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C895FE">
      <w:pPr>
        <w:pStyle w:val="27"/>
        <w:ind w:firstLine="0" w:firstLineChars="0"/>
        <w:jc w:val="center"/>
        <w:rPr>
          <w:rFonts w:hint="default" w:ascii="Times New Roman" w:hAnsi="Times New Roman" w:eastAsia="宋体" w:cs="Times New Roman"/>
          <w:b/>
          <w:bCs w:val="0"/>
          <w:color w:val="auto"/>
          <w:sz w:val="32"/>
          <w:szCs w:val="32"/>
        </w:rPr>
      </w:pPr>
      <w:r>
        <w:rPr>
          <w:rFonts w:hint="default" w:ascii="Times New Roman" w:hAnsi="Times New Roman" w:eastAsia="宋体" w:cs="Times New Roman"/>
          <w:b/>
          <w:bCs w:val="0"/>
          <w:color w:val="auto"/>
          <w:sz w:val="32"/>
          <w:szCs w:val="32"/>
        </w:rPr>
        <w:t>目</w:t>
      </w:r>
      <w:r>
        <w:rPr>
          <w:rFonts w:hint="eastAsia" w:cs="Times New Roman"/>
          <w:b/>
          <w:bCs w:val="0"/>
          <w:color w:val="auto"/>
          <w:sz w:val="32"/>
          <w:szCs w:val="32"/>
          <w:lang w:val="en-US" w:eastAsia="zh-CN"/>
        </w:rPr>
        <w:t xml:space="preserve">  </w:t>
      </w:r>
      <w:r>
        <w:rPr>
          <w:rFonts w:hint="default" w:ascii="Times New Roman" w:hAnsi="Times New Roman" w:eastAsia="宋体" w:cs="Times New Roman"/>
          <w:b/>
          <w:bCs w:val="0"/>
          <w:color w:val="auto"/>
          <w:sz w:val="32"/>
          <w:szCs w:val="32"/>
        </w:rPr>
        <w:t>录</w:t>
      </w:r>
    </w:p>
    <w:p w14:paraId="04C29AEB">
      <w:pPr>
        <w:pStyle w:val="13"/>
        <w:ind w:firstLine="480"/>
        <w:rPr>
          <w:rFonts w:hint="default" w:ascii="Times New Roman" w:hAnsi="Times New Roman" w:eastAsia="宋体" w:cs="Times New Roman"/>
          <w:b/>
          <w:bCs w:val="0"/>
          <w:color w:val="auto"/>
          <w:sz w:val="21"/>
          <w:szCs w:val="22"/>
        </w:rPr>
      </w:pPr>
      <w:r>
        <w:rPr>
          <w:rFonts w:hint="default" w:ascii="Times New Roman" w:hAnsi="Times New Roman" w:eastAsia="宋体" w:cs="Times New Roman"/>
          <w:b/>
          <w:bCs w:val="0"/>
          <w:color w:val="auto"/>
        </w:rPr>
        <w:fldChar w:fldCharType="begin"/>
      </w:r>
      <w:r>
        <w:rPr>
          <w:rFonts w:hint="default" w:ascii="Times New Roman" w:hAnsi="Times New Roman" w:eastAsia="宋体" w:cs="Times New Roman"/>
          <w:b/>
          <w:bCs w:val="0"/>
          <w:color w:val="auto"/>
        </w:rPr>
        <w:instrText xml:space="preserve">TOC \o "1-1" \h \u </w:instrText>
      </w:r>
      <w:r>
        <w:rPr>
          <w:rFonts w:hint="default" w:ascii="Times New Roman" w:hAnsi="Times New Roman" w:eastAsia="宋体" w:cs="Times New Roman"/>
          <w:b/>
          <w:bCs w:val="0"/>
          <w:color w:val="auto"/>
        </w:rPr>
        <w:fldChar w:fldCharType="separate"/>
      </w:r>
      <w:r>
        <w:rPr>
          <w:rStyle w:val="24"/>
          <w:rFonts w:hint="default" w:ascii="Times New Roman" w:hAnsi="Times New Roman" w:eastAsia="宋体" w:cs="Times New Roman"/>
          <w:b/>
          <w:bCs w:val="0"/>
          <w:color w:val="auto"/>
        </w:rPr>
        <w:fldChar w:fldCharType="begin"/>
      </w:r>
      <w:r>
        <w:rPr>
          <w:rStyle w:val="24"/>
          <w:rFonts w:hint="default" w:ascii="Times New Roman" w:hAnsi="Times New Roman" w:eastAsia="宋体" w:cs="Times New Roman"/>
          <w:b/>
          <w:bCs w:val="0"/>
          <w:color w:val="auto"/>
        </w:rPr>
        <w:instrText xml:space="preserve"> </w:instrText>
      </w:r>
      <w:r>
        <w:rPr>
          <w:rFonts w:hint="default" w:ascii="Times New Roman" w:hAnsi="Times New Roman" w:eastAsia="宋体" w:cs="Times New Roman"/>
          <w:b/>
          <w:bCs w:val="0"/>
          <w:color w:val="auto"/>
        </w:rPr>
        <w:instrText xml:space="preserve">HYPERLINK \l "_Toc150763274"</w:instrText>
      </w:r>
      <w:r>
        <w:rPr>
          <w:rStyle w:val="24"/>
          <w:rFonts w:hint="default" w:ascii="Times New Roman" w:hAnsi="Times New Roman" w:eastAsia="宋体" w:cs="Times New Roman"/>
          <w:b/>
          <w:bCs w:val="0"/>
          <w:color w:val="auto"/>
        </w:rPr>
        <w:instrText xml:space="preserve"> </w:instrText>
      </w:r>
      <w:r>
        <w:rPr>
          <w:rStyle w:val="24"/>
          <w:rFonts w:hint="default" w:ascii="Times New Roman" w:hAnsi="Times New Roman" w:eastAsia="宋体" w:cs="Times New Roman"/>
          <w:b/>
          <w:bCs w:val="0"/>
          <w:color w:val="auto"/>
        </w:rPr>
        <w:fldChar w:fldCharType="separate"/>
      </w:r>
      <w:r>
        <w:rPr>
          <w:rStyle w:val="24"/>
          <w:rFonts w:hint="default" w:ascii="Times New Roman" w:hAnsi="Times New Roman" w:eastAsia="宋体" w:cs="Times New Roman"/>
          <w:b/>
          <w:bCs w:val="0"/>
          <w:snapToGrid w:val="0"/>
          <w:color w:val="auto"/>
        </w:rPr>
        <w:t>一、建设项目基本情况</w:t>
      </w:r>
      <w:r>
        <w:rPr>
          <w:rFonts w:hint="default" w:ascii="Times New Roman" w:hAnsi="Times New Roman" w:eastAsia="宋体" w:cs="Times New Roman"/>
          <w:b/>
          <w:bCs w:val="0"/>
          <w:color w:val="auto"/>
        </w:rPr>
        <w:tab/>
      </w:r>
      <w:r>
        <w:rPr>
          <w:rFonts w:hint="default" w:ascii="Times New Roman" w:hAnsi="Times New Roman" w:eastAsia="宋体" w:cs="Times New Roman"/>
          <w:b/>
          <w:bCs w:val="0"/>
          <w:color w:val="auto"/>
        </w:rPr>
        <w:fldChar w:fldCharType="begin"/>
      </w:r>
      <w:r>
        <w:rPr>
          <w:rFonts w:hint="default" w:ascii="Times New Roman" w:hAnsi="Times New Roman" w:eastAsia="宋体" w:cs="Times New Roman"/>
          <w:b/>
          <w:bCs w:val="0"/>
          <w:color w:val="auto"/>
        </w:rPr>
        <w:instrText xml:space="preserve"> PAGEREF _Toc150763274 \h </w:instrText>
      </w:r>
      <w:r>
        <w:rPr>
          <w:rFonts w:hint="default" w:ascii="Times New Roman" w:hAnsi="Times New Roman" w:eastAsia="宋体" w:cs="Times New Roman"/>
          <w:b/>
          <w:bCs w:val="0"/>
          <w:color w:val="auto"/>
        </w:rPr>
        <w:fldChar w:fldCharType="separate"/>
      </w:r>
      <w:r>
        <w:rPr>
          <w:rFonts w:hint="default" w:ascii="Times New Roman" w:hAnsi="Times New Roman" w:eastAsia="宋体" w:cs="Times New Roman"/>
          <w:b/>
          <w:bCs w:val="0"/>
          <w:color w:val="auto"/>
        </w:rPr>
        <w:t>1</w:t>
      </w:r>
      <w:r>
        <w:rPr>
          <w:rFonts w:hint="default" w:ascii="Times New Roman" w:hAnsi="Times New Roman" w:eastAsia="宋体" w:cs="Times New Roman"/>
          <w:b/>
          <w:bCs w:val="0"/>
          <w:color w:val="auto"/>
        </w:rPr>
        <w:fldChar w:fldCharType="end"/>
      </w:r>
      <w:r>
        <w:rPr>
          <w:rStyle w:val="24"/>
          <w:rFonts w:hint="default" w:ascii="Times New Roman" w:hAnsi="Times New Roman" w:eastAsia="宋体" w:cs="Times New Roman"/>
          <w:b/>
          <w:bCs w:val="0"/>
          <w:color w:val="auto"/>
        </w:rPr>
        <w:fldChar w:fldCharType="end"/>
      </w:r>
    </w:p>
    <w:p w14:paraId="3D4359FB">
      <w:pPr>
        <w:pStyle w:val="13"/>
        <w:ind w:firstLine="482"/>
        <w:rPr>
          <w:rFonts w:hint="default" w:ascii="Times New Roman" w:hAnsi="Times New Roman" w:eastAsia="宋体" w:cs="Times New Roman"/>
          <w:b/>
          <w:bCs w:val="0"/>
          <w:color w:val="auto"/>
          <w:sz w:val="21"/>
          <w:szCs w:val="22"/>
        </w:rPr>
      </w:pPr>
      <w:r>
        <w:rPr>
          <w:rStyle w:val="24"/>
          <w:rFonts w:hint="default" w:ascii="Times New Roman" w:hAnsi="Times New Roman" w:eastAsia="宋体" w:cs="Times New Roman"/>
          <w:b/>
          <w:bCs w:val="0"/>
          <w:color w:val="auto"/>
        </w:rPr>
        <w:fldChar w:fldCharType="begin"/>
      </w:r>
      <w:r>
        <w:rPr>
          <w:rStyle w:val="24"/>
          <w:rFonts w:hint="default" w:ascii="Times New Roman" w:hAnsi="Times New Roman" w:eastAsia="宋体" w:cs="Times New Roman"/>
          <w:b/>
          <w:bCs w:val="0"/>
          <w:color w:val="auto"/>
        </w:rPr>
        <w:instrText xml:space="preserve"> </w:instrText>
      </w:r>
      <w:r>
        <w:rPr>
          <w:rFonts w:hint="default" w:ascii="Times New Roman" w:hAnsi="Times New Roman" w:eastAsia="宋体" w:cs="Times New Roman"/>
          <w:b/>
          <w:bCs w:val="0"/>
          <w:color w:val="auto"/>
        </w:rPr>
        <w:instrText xml:space="preserve">HYPERLINK \l "_Toc150763275"</w:instrText>
      </w:r>
      <w:r>
        <w:rPr>
          <w:rStyle w:val="24"/>
          <w:rFonts w:hint="default" w:ascii="Times New Roman" w:hAnsi="Times New Roman" w:eastAsia="宋体" w:cs="Times New Roman"/>
          <w:b/>
          <w:bCs w:val="0"/>
          <w:color w:val="auto"/>
        </w:rPr>
        <w:instrText xml:space="preserve"> </w:instrText>
      </w:r>
      <w:r>
        <w:rPr>
          <w:rStyle w:val="24"/>
          <w:rFonts w:hint="default" w:ascii="Times New Roman" w:hAnsi="Times New Roman" w:eastAsia="宋体" w:cs="Times New Roman"/>
          <w:b/>
          <w:bCs w:val="0"/>
          <w:color w:val="auto"/>
        </w:rPr>
        <w:fldChar w:fldCharType="separate"/>
      </w:r>
      <w:r>
        <w:rPr>
          <w:rStyle w:val="24"/>
          <w:rFonts w:hint="default" w:ascii="Times New Roman" w:hAnsi="Times New Roman" w:eastAsia="宋体" w:cs="Times New Roman"/>
          <w:b/>
          <w:bCs w:val="0"/>
          <w:snapToGrid w:val="0"/>
          <w:color w:val="auto"/>
        </w:rPr>
        <w:t>二、建设项目工程分析</w:t>
      </w:r>
      <w:r>
        <w:rPr>
          <w:rFonts w:hint="default" w:ascii="Times New Roman" w:hAnsi="Times New Roman" w:eastAsia="宋体" w:cs="Times New Roman"/>
          <w:b/>
          <w:bCs w:val="0"/>
          <w:color w:val="auto"/>
        </w:rPr>
        <w:tab/>
      </w:r>
      <w:r>
        <w:rPr>
          <w:rFonts w:hint="default" w:ascii="Times New Roman" w:hAnsi="Times New Roman" w:eastAsia="宋体" w:cs="Times New Roman"/>
          <w:b/>
          <w:bCs w:val="0"/>
          <w:color w:val="auto"/>
        </w:rPr>
        <w:fldChar w:fldCharType="begin"/>
      </w:r>
      <w:r>
        <w:rPr>
          <w:rFonts w:hint="default" w:ascii="Times New Roman" w:hAnsi="Times New Roman" w:eastAsia="宋体" w:cs="Times New Roman"/>
          <w:b/>
          <w:bCs w:val="0"/>
          <w:color w:val="auto"/>
        </w:rPr>
        <w:instrText xml:space="preserve"> PAGEREF _Toc150763275 \h </w:instrText>
      </w:r>
      <w:r>
        <w:rPr>
          <w:rFonts w:hint="default" w:ascii="Times New Roman" w:hAnsi="Times New Roman" w:eastAsia="宋体" w:cs="Times New Roman"/>
          <w:b/>
          <w:bCs w:val="0"/>
          <w:color w:val="auto"/>
        </w:rPr>
        <w:fldChar w:fldCharType="separate"/>
      </w:r>
      <w:r>
        <w:rPr>
          <w:rFonts w:hint="default" w:ascii="Times New Roman" w:hAnsi="Times New Roman" w:eastAsia="宋体" w:cs="Times New Roman"/>
          <w:b/>
          <w:bCs w:val="0"/>
          <w:color w:val="auto"/>
        </w:rPr>
        <w:t>22</w:t>
      </w:r>
      <w:r>
        <w:rPr>
          <w:rFonts w:hint="default" w:ascii="Times New Roman" w:hAnsi="Times New Roman" w:eastAsia="宋体" w:cs="Times New Roman"/>
          <w:b/>
          <w:bCs w:val="0"/>
          <w:color w:val="auto"/>
        </w:rPr>
        <w:fldChar w:fldCharType="end"/>
      </w:r>
      <w:r>
        <w:rPr>
          <w:rStyle w:val="24"/>
          <w:rFonts w:hint="default" w:ascii="Times New Roman" w:hAnsi="Times New Roman" w:eastAsia="宋体" w:cs="Times New Roman"/>
          <w:b/>
          <w:bCs w:val="0"/>
          <w:color w:val="auto"/>
        </w:rPr>
        <w:fldChar w:fldCharType="end"/>
      </w:r>
    </w:p>
    <w:p w14:paraId="56FFBFDA">
      <w:pPr>
        <w:pStyle w:val="13"/>
        <w:ind w:firstLine="482"/>
        <w:rPr>
          <w:rFonts w:hint="default" w:ascii="Times New Roman" w:hAnsi="Times New Roman" w:eastAsia="宋体" w:cs="Times New Roman"/>
          <w:b/>
          <w:bCs w:val="0"/>
          <w:color w:val="auto"/>
          <w:sz w:val="21"/>
          <w:szCs w:val="22"/>
        </w:rPr>
      </w:pPr>
      <w:r>
        <w:rPr>
          <w:rStyle w:val="24"/>
          <w:rFonts w:hint="default" w:ascii="Times New Roman" w:hAnsi="Times New Roman" w:eastAsia="宋体" w:cs="Times New Roman"/>
          <w:b/>
          <w:bCs w:val="0"/>
          <w:color w:val="auto"/>
        </w:rPr>
        <w:fldChar w:fldCharType="begin"/>
      </w:r>
      <w:r>
        <w:rPr>
          <w:rStyle w:val="24"/>
          <w:rFonts w:hint="default" w:ascii="Times New Roman" w:hAnsi="Times New Roman" w:eastAsia="宋体" w:cs="Times New Roman"/>
          <w:b/>
          <w:bCs w:val="0"/>
          <w:color w:val="auto"/>
        </w:rPr>
        <w:instrText xml:space="preserve"> </w:instrText>
      </w:r>
      <w:r>
        <w:rPr>
          <w:rFonts w:hint="default" w:ascii="Times New Roman" w:hAnsi="Times New Roman" w:eastAsia="宋体" w:cs="Times New Roman"/>
          <w:b/>
          <w:bCs w:val="0"/>
          <w:color w:val="auto"/>
        </w:rPr>
        <w:instrText xml:space="preserve">HYPERLINK \l "_Toc150763276"</w:instrText>
      </w:r>
      <w:r>
        <w:rPr>
          <w:rStyle w:val="24"/>
          <w:rFonts w:hint="default" w:ascii="Times New Roman" w:hAnsi="Times New Roman" w:eastAsia="宋体" w:cs="Times New Roman"/>
          <w:b/>
          <w:bCs w:val="0"/>
          <w:color w:val="auto"/>
        </w:rPr>
        <w:instrText xml:space="preserve"> </w:instrText>
      </w:r>
      <w:r>
        <w:rPr>
          <w:rStyle w:val="24"/>
          <w:rFonts w:hint="default" w:ascii="Times New Roman" w:hAnsi="Times New Roman" w:eastAsia="宋体" w:cs="Times New Roman"/>
          <w:b/>
          <w:bCs w:val="0"/>
          <w:color w:val="auto"/>
        </w:rPr>
        <w:fldChar w:fldCharType="separate"/>
      </w:r>
      <w:r>
        <w:rPr>
          <w:rStyle w:val="24"/>
          <w:rFonts w:hint="default" w:ascii="Times New Roman" w:hAnsi="Times New Roman" w:eastAsia="宋体" w:cs="Times New Roman"/>
          <w:b/>
          <w:bCs w:val="0"/>
          <w:snapToGrid w:val="0"/>
          <w:color w:val="auto"/>
        </w:rPr>
        <w:t>三、区域环境质量现状、环境保护目标及评价标准</w:t>
      </w:r>
      <w:r>
        <w:rPr>
          <w:rFonts w:hint="default" w:ascii="Times New Roman" w:hAnsi="Times New Roman" w:eastAsia="宋体" w:cs="Times New Roman"/>
          <w:b/>
          <w:bCs w:val="0"/>
          <w:color w:val="auto"/>
        </w:rPr>
        <w:tab/>
      </w:r>
      <w:r>
        <w:rPr>
          <w:rFonts w:hint="default" w:ascii="Times New Roman" w:hAnsi="Times New Roman" w:eastAsia="宋体" w:cs="Times New Roman"/>
          <w:b/>
          <w:bCs w:val="0"/>
          <w:color w:val="auto"/>
        </w:rPr>
        <w:fldChar w:fldCharType="begin"/>
      </w:r>
      <w:r>
        <w:rPr>
          <w:rFonts w:hint="default" w:ascii="Times New Roman" w:hAnsi="Times New Roman" w:eastAsia="宋体" w:cs="Times New Roman"/>
          <w:b/>
          <w:bCs w:val="0"/>
          <w:color w:val="auto"/>
        </w:rPr>
        <w:instrText xml:space="preserve"> PAGEREF _Toc150763276 \h </w:instrText>
      </w:r>
      <w:r>
        <w:rPr>
          <w:rFonts w:hint="default" w:ascii="Times New Roman" w:hAnsi="Times New Roman" w:eastAsia="宋体" w:cs="Times New Roman"/>
          <w:b/>
          <w:bCs w:val="0"/>
          <w:color w:val="auto"/>
        </w:rPr>
        <w:fldChar w:fldCharType="separate"/>
      </w:r>
      <w:r>
        <w:rPr>
          <w:rFonts w:hint="default" w:ascii="Times New Roman" w:hAnsi="Times New Roman" w:eastAsia="宋体" w:cs="Times New Roman"/>
          <w:b/>
          <w:bCs w:val="0"/>
          <w:color w:val="auto"/>
        </w:rPr>
        <w:t>40</w:t>
      </w:r>
      <w:r>
        <w:rPr>
          <w:rFonts w:hint="default" w:ascii="Times New Roman" w:hAnsi="Times New Roman" w:eastAsia="宋体" w:cs="Times New Roman"/>
          <w:b/>
          <w:bCs w:val="0"/>
          <w:color w:val="auto"/>
        </w:rPr>
        <w:fldChar w:fldCharType="end"/>
      </w:r>
      <w:r>
        <w:rPr>
          <w:rStyle w:val="24"/>
          <w:rFonts w:hint="default" w:ascii="Times New Roman" w:hAnsi="Times New Roman" w:eastAsia="宋体" w:cs="Times New Roman"/>
          <w:b/>
          <w:bCs w:val="0"/>
          <w:color w:val="auto"/>
        </w:rPr>
        <w:fldChar w:fldCharType="end"/>
      </w:r>
    </w:p>
    <w:p w14:paraId="59816A1B">
      <w:pPr>
        <w:pStyle w:val="13"/>
        <w:ind w:firstLine="482"/>
        <w:rPr>
          <w:rFonts w:hint="default" w:ascii="Times New Roman" w:hAnsi="Times New Roman" w:eastAsia="宋体" w:cs="Times New Roman"/>
          <w:b/>
          <w:bCs w:val="0"/>
          <w:color w:val="auto"/>
          <w:sz w:val="21"/>
          <w:szCs w:val="22"/>
        </w:rPr>
      </w:pPr>
      <w:r>
        <w:rPr>
          <w:rStyle w:val="24"/>
          <w:rFonts w:hint="default" w:ascii="Times New Roman" w:hAnsi="Times New Roman" w:eastAsia="宋体" w:cs="Times New Roman"/>
          <w:b/>
          <w:bCs w:val="0"/>
          <w:color w:val="auto"/>
        </w:rPr>
        <w:fldChar w:fldCharType="begin"/>
      </w:r>
      <w:r>
        <w:rPr>
          <w:rStyle w:val="24"/>
          <w:rFonts w:hint="default" w:ascii="Times New Roman" w:hAnsi="Times New Roman" w:eastAsia="宋体" w:cs="Times New Roman"/>
          <w:b/>
          <w:bCs w:val="0"/>
          <w:color w:val="auto"/>
        </w:rPr>
        <w:instrText xml:space="preserve"> </w:instrText>
      </w:r>
      <w:r>
        <w:rPr>
          <w:rFonts w:hint="default" w:ascii="Times New Roman" w:hAnsi="Times New Roman" w:eastAsia="宋体" w:cs="Times New Roman"/>
          <w:b/>
          <w:bCs w:val="0"/>
          <w:color w:val="auto"/>
        </w:rPr>
        <w:instrText xml:space="preserve">HYPERLINK \l "_Toc150763277"</w:instrText>
      </w:r>
      <w:r>
        <w:rPr>
          <w:rStyle w:val="24"/>
          <w:rFonts w:hint="default" w:ascii="Times New Roman" w:hAnsi="Times New Roman" w:eastAsia="宋体" w:cs="Times New Roman"/>
          <w:b/>
          <w:bCs w:val="0"/>
          <w:color w:val="auto"/>
        </w:rPr>
        <w:instrText xml:space="preserve"> </w:instrText>
      </w:r>
      <w:r>
        <w:rPr>
          <w:rStyle w:val="24"/>
          <w:rFonts w:hint="default" w:ascii="Times New Roman" w:hAnsi="Times New Roman" w:eastAsia="宋体" w:cs="Times New Roman"/>
          <w:b/>
          <w:bCs w:val="0"/>
          <w:color w:val="auto"/>
        </w:rPr>
        <w:fldChar w:fldCharType="separate"/>
      </w:r>
      <w:r>
        <w:rPr>
          <w:rStyle w:val="24"/>
          <w:rFonts w:hint="default" w:ascii="Times New Roman" w:hAnsi="Times New Roman" w:eastAsia="宋体" w:cs="Times New Roman"/>
          <w:b/>
          <w:bCs w:val="0"/>
          <w:snapToGrid w:val="0"/>
          <w:color w:val="auto"/>
        </w:rPr>
        <w:t>四、主要环境影响和保护措施</w:t>
      </w:r>
      <w:r>
        <w:rPr>
          <w:rFonts w:hint="default" w:ascii="Times New Roman" w:hAnsi="Times New Roman" w:eastAsia="宋体" w:cs="Times New Roman"/>
          <w:b/>
          <w:bCs w:val="0"/>
          <w:color w:val="auto"/>
        </w:rPr>
        <w:tab/>
      </w:r>
      <w:r>
        <w:rPr>
          <w:rFonts w:hint="default" w:ascii="Times New Roman" w:hAnsi="Times New Roman" w:eastAsia="宋体" w:cs="Times New Roman"/>
          <w:b/>
          <w:bCs w:val="0"/>
          <w:color w:val="auto"/>
        </w:rPr>
        <w:fldChar w:fldCharType="begin"/>
      </w:r>
      <w:r>
        <w:rPr>
          <w:rFonts w:hint="default" w:ascii="Times New Roman" w:hAnsi="Times New Roman" w:eastAsia="宋体" w:cs="Times New Roman"/>
          <w:b/>
          <w:bCs w:val="0"/>
          <w:color w:val="auto"/>
        </w:rPr>
        <w:instrText xml:space="preserve"> PAGEREF _Toc150763277 \h </w:instrText>
      </w:r>
      <w:r>
        <w:rPr>
          <w:rFonts w:hint="default" w:ascii="Times New Roman" w:hAnsi="Times New Roman" w:eastAsia="宋体" w:cs="Times New Roman"/>
          <w:b/>
          <w:bCs w:val="0"/>
          <w:color w:val="auto"/>
        </w:rPr>
        <w:fldChar w:fldCharType="separate"/>
      </w:r>
      <w:r>
        <w:rPr>
          <w:rFonts w:hint="default" w:ascii="Times New Roman" w:hAnsi="Times New Roman" w:eastAsia="宋体" w:cs="Times New Roman"/>
          <w:b/>
          <w:bCs w:val="0"/>
          <w:color w:val="auto"/>
        </w:rPr>
        <w:t>47</w:t>
      </w:r>
      <w:r>
        <w:rPr>
          <w:rFonts w:hint="default" w:ascii="Times New Roman" w:hAnsi="Times New Roman" w:eastAsia="宋体" w:cs="Times New Roman"/>
          <w:b/>
          <w:bCs w:val="0"/>
          <w:color w:val="auto"/>
        </w:rPr>
        <w:fldChar w:fldCharType="end"/>
      </w:r>
      <w:r>
        <w:rPr>
          <w:rStyle w:val="24"/>
          <w:rFonts w:hint="default" w:ascii="Times New Roman" w:hAnsi="Times New Roman" w:eastAsia="宋体" w:cs="Times New Roman"/>
          <w:b/>
          <w:bCs w:val="0"/>
          <w:color w:val="auto"/>
        </w:rPr>
        <w:fldChar w:fldCharType="end"/>
      </w:r>
    </w:p>
    <w:p w14:paraId="3217060A">
      <w:pPr>
        <w:pStyle w:val="13"/>
        <w:ind w:firstLine="482"/>
        <w:rPr>
          <w:rFonts w:hint="default" w:ascii="Times New Roman" w:hAnsi="Times New Roman" w:eastAsia="宋体" w:cs="Times New Roman"/>
          <w:b/>
          <w:bCs w:val="0"/>
          <w:color w:val="auto"/>
          <w:sz w:val="21"/>
          <w:szCs w:val="22"/>
        </w:rPr>
      </w:pPr>
      <w:r>
        <w:rPr>
          <w:rStyle w:val="24"/>
          <w:rFonts w:hint="default" w:ascii="Times New Roman" w:hAnsi="Times New Roman" w:eastAsia="宋体" w:cs="Times New Roman"/>
          <w:b/>
          <w:bCs w:val="0"/>
          <w:color w:val="auto"/>
        </w:rPr>
        <w:fldChar w:fldCharType="begin"/>
      </w:r>
      <w:r>
        <w:rPr>
          <w:rStyle w:val="24"/>
          <w:rFonts w:hint="default" w:ascii="Times New Roman" w:hAnsi="Times New Roman" w:eastAsia="宋体" w:cs="Times New Roman"/>
          <w:b/>
          <w:bCs w:val="0"/>
          <w:color w:val="auto"/>
        </w:rPr>
        <w:instrText xml:space="preserve"> </w:instrText>
      </w:r>
      <w:r>
        <w:rPr>
          <w:rFonts w:hint="default" w:ascii="Times New Roman" w:hAnsi="Times New Roman" w:eastAsia="宋体" w:cs="Times New Roman"/>
          <w:b/>
          <w:bCs w:val="0"/>
          <w:color w:val="auto"/>
        </w:rPr>
        <w:instrText xml:space="preserve">HYPERLINK \l "_Toc150763278"</w:instrText>
      </w:r>
      <w:r>
        <w:rPr>
          <w:rStyle w:val="24"/>
          <w:rFonts w:hint="default" w:ascii="Times New Roman" w:hAnsi="Times New Roman" w:eastAsia="宋体" w:cs="Times New Roman"/>
          <w:b/>
          <w:bCs w:val="0"/>
          <w:color w:val="auto"/>
        </w:rPr>
        <w:instrText xml:space="preserve"> </w:instrText>
      </w:r>
      <w:r>
        <w:rPr>
          <w:rStyle w:val="24"/>
          <w:rFonts w:hint="default" w:ascii="Times New Roman" w:hAnsi="Times New Roman" w:eastAsia="宋体" w:cs="Times New Roman"/>
          <w:b/>
          <w:bCs w:val="0"/>
          <w:color w:val="auto"/>
        </w:rPr>
        <w:fldChar w:fldCharType="separate"/>
      </w:r>
      <w:r>
        <w:rPr>
          <w:rStyle w:val="24"/>
          <w:rFonts w:hint="default" w:ascii="Times New Roman" w:hAnsi="Times New Roman" w:eastAsia="宋体" w:cs="Times New Roman"/>
          <w:b/>
          <w:bCs w:val="0"/>
          <w:snapToGrid w:val="0"/>
          <w:color w:val="auto"/>
        </w:rPr>
        <w:t>五、环境保护措施监督检查清单</w:t>
      </w:r>
      <w:r>
        <w:rPr>
          <w:rFonts w:hint="default" w:ascii="Times New Roman" w:hAnsi="Times New Roman" w:eastAsia="宋体" w:cs="Times New Roman"/>
          <w:b/>
          <w:bCs w:val="0"/>
          <w:color w:val="auto"/>
        </w:rPr>
        <w:tab/>
      </w:r>
      <w:r>
        <w:rPr>
          <w:rFonts w:hint="default" w:ascii="Times New Roman" w:hAnsi="Times New Roman" w:eastAsia="宋体" w:cs="Times New Roman"/>
          <w:b/>
          <w:bCs w:val="0"/>
          <w:color w:val="auto"/>
        </w:rPr>
        <w:fldChar w:fldCharType="begin"/>
      </w:r>
      <w:r>
        <w:rPr>
          <w:rFonts w:hint="default" w:ascii="Times New Roman" w:hAnsi="Times New Roman" w:eastAsia="宋体" w:cs="Times New Roman"/>
          <w:b/>
          <w:bCs w:val="0"/>
          <w:color w:val="auto"/>
        </w:rPr>
        <w:instrText xml:space="preserve"> PAGEREF _Toc150763278 \h </w:instrText>
      </w:r>
      <w:r>
        <w:rPr>
          <w:rFonts w:hint="default" w:ascii="Times New Roman" w:hAnsi="Times New Roman" w:eastAsia="宋体" w:cs="Times New Roman"/>
          <w:b/>
          <w:bCs w:val="0"/>
          <w:color w:val="auto"/>
        </w:rPr>
        <w:fldChar w:fldCharType="separate"/>
      </w:r>
      <w:r>
        <w:rPr>
          <w:rFonts w:hint="default" w:ascii="Times New Roman" w:hAnsi="Times New Roman" w:eastAsia="宋体" w:cs="Times New Roman"/>
          <w:b/>
          <w:bCs w:val="0"/>
          <w:color w:val="auto"/>
        </w:rPr>
        <w:t>88</w:t>
      </w:r>
      <w:r>
        <w:rPr>
          <w:rFonts w:hint="default" w:ascii="Times New Roman" w:hAnsi="Times New Roman" w:eastAsia="宋体" w:cs="Times New Roman"/>
          <w:b/>
          <w:bCs w:val="0"/>
          <w:color w:val="auto"/>
        </w:rPr>
        <w:fldChar w:fldCharType="end"/>
      </w:r>
      <w:r>
        <w:rPr>
          <w:rStyle w:val="24"/>
          <w:rFonts w:hint="default" w:ascii="Times New Roman" w:hAnsi="Times New Roman" w:eastAsia="宋体" w:cs="Times New Roman"/>
          <w:b/>
          <w:bCs w:val="0"/>
          <w:color w:val="auto"/>
        </w:rPr>
        <w:fldChar w:fldCharType="end"/>
      </w:r>
    </w:p>
    <w:p w14:paraId="010F1B4C">
      <w:pPr>
        <w:pStyle w:val="13"/>
        <w:ind w:firstLine="482"/>
        <w:rPr>
          <w:rFonts w:hint="default" w:ascii="Times New Roman" w:hAnsi="Times New Roman" w:eastAsia="宋体" w:cs="Times New Roman"/>
          <w:b/>
          <w:bCs w:val="0"/>
          <w:color w:val="auto"/>
          <w:sz w:val="21"/>
          <w:szCs w:val="22"/>
        </w:rPr>
      </w:pPr>
      <w:r>
        <w:rPr>
          <w:rStyle w:val="24"/>
          <w:rFonts w:hint="default" w:ascii="Times New Roman" w:hAnsi="Times New Roman" w:eastAsia="宋体" w:cs="Times New Roman"/>
          <w:b/>
          <w:bCs w:val="0"/>
          <w:color w:val="auto"/>
        </w:rPr>
        <w:fldChar w:fldCharType="begin"/>
      </w:r>
      <w:r>
        <w:rPr>
          <w:rStyle w:val="24"/>
          <w:rFonts w:hint="default" w:ascii="Times New Roman" w:hAnsi="Times New Roman" w:eastAsia="宋体" w:cs="Times New Roman"/>
          <w:b/>
          <w:bCs w:val="0"/>
          <w:color w:val="auto"/>
        </w:rPr>
        <w:instrText xml:space="preserve"> </w:instrText>
      </w:r>
      <w:r>
        <w:rPr>
          <w:rFonts w:hint="default" w:ascii="Times New Roman" w:hAnsi="Times New Roman" w:eastAsia="宋体" w:cs="Times New Roman"/>
          <w:b/>
          <w:bCs w:val="0"/>
          <w:color w:val="auto"/>
        </w:rPr>
        <w:instrText xml:space="preserve">HYPERLINK \l "_Toc150763279"</w:instrText>
      </w:r>
      <w:r>
        <w:rPr>
          <w:rStyle w:val="24"/>
          <w:rFonts w:hint="default" w:ascii="Times New Roman" w:hAnsi="Times New Roman" w:eastAsia="宋体" w:cs="Times New Roman"/>
          <w:b/>
          <w:bCs w:val="0"/>
          <w:color w:val="auto"/>
        </w:rPr>
        <w:instrText xml:space="preserve"> </w:instrText>
      </w:r>
      <w:r>
        <w:rPr>
          <w:rStyle w:val="24"/>
          <w:rFonts w:hint="default" w:ascii="Times New Roman" w:hAnsi="Times New Roman" w:eastAsia="宋体" w:cs="Times New Roman"/>
          <w:b/>
          <w:bCs w:val="0"/>
          <w:color w:val="auto"/>
        </w:rPr>
        <w:fldChar w:fldCharType="separate"/>
      </w:r>
      <w:r>
        <w:rPr>
          <w:rStyle w:val="24"/>
          <w:rFonts w:hint="default" w:ascii="Times New Roman" w:hAnsi="Times New Roman" w:eastAsia="宋体" w:cs="Times New Roman"/>
          <w:b/>
          <w:bCs w:val="0"/>
          <w:snapToGrid w:val="0"/>
          <w:color w:val="auto"/>
        </w:rPr>
        <w:t>六、结论</w:t>
      </w:r>
      <w:r>
        <w:rPr>
          <w:rFonts w:hint="default" w:ascii="Times New Roman" w:hAnsi="Times New Roman" w:eastAsia="宋体" w:cs="Times New Roman"/>
          <w:b/>
          <w:bCs w:val="0"/>
          <w:color w:val="auto"/>
        </w:rPr>
        <w:tab/>
      </w:r>
      <w:r>
        <w:rPr>
          <w:rFonts w:hint="default" w:ascii="Times New Roman" w:hAnsi="Times New Roman" w:eastAsia="宋体" w:cs="Times New Roman"/>
          <w:b/>
          <w:bCs w:val="0"/>
          <w:color w:val="auto"/>
        </w:rPr>
        <w:fldChar w:fldCharType="begin"/>
      </w:r>
      <w:r>
        <w:rPr>
          <w:rFonts w:hint="default" w:ascii="Times New Roman" w:hAnsi="Times New Roman" w:eastAsia="宋体" w:cs="Times New Roman"/>
          <w:b/>
          <w:bCs w:val="0"/>
          <w:color w:val="auto"/>
        </w:rPr>
        <w:instrText xml:space="preserve"> PAGEREF _Toc150763279 \h </w:instrText>
      </w:r>
      <w:r>
        <w:rPr>
          <w:rFonts w:hint="default" w:ascii="Times New Roman" w:hAnsi="Times New Roman" w:eastAsia="宋体" w:cs="Times New Roman"/>
          <w:b/>
          <w:bCs w:val="0"/>
          <w:color w:val="auto"/>
        </w:rPr>
        <w:fldChar w:fldCharType="separate"/>
      </w:r>
      <w:r>
        <w:rPr>
          <w:rFonts w:hint="default" w:ascii="Times New Roman" w:hAnsi="Times New Roman" w:eastAsia="宋体" w:cs="Times New Roman"/>
          <w:b/>
          <w:bCs w:val="0"/>
          <w:color w:val="auto"/>
        </w:rPr>
        <w:t>91</w:t>
      </w:r>
      <w:r>
        <w:rPr>
          <w:rFonts w:hint="default" w:ascii="Times New Roman" w:hAnsi="Times New Roman" w:eastAsia="宋体" w:cs="Times New Roman"/>
          <w:b/>
          <w:bCs w:val="0"/>
          <w:color w:val="auto"/>
        </w:rPr>
        <w:fldChar w:fldCharType="end"/>
      </w:r>
      <w:r>
        <w:rPr>
          <w:rStyle w:val="24"/>
          <w:rFonts w:hint="default" w:ascii="Times New Roman" w:hAnsi="Times New Roman" w:eastAsia="宋体" w:cs="Times New Roman"/>
          <w:b/>
          <w:bCs w:val="0"/>
          <w:color w:val="auto"/>
        </w:rPr>
        <w:fldChar w:fldCharType="end"/>
      </w:r>
    </w:p>
    <w:p w14:paraId="4E7518DF">
      <w:pPr>
        <w:pStyle w:val="27"/>
        <w:bidi w:val="0"/>
        <w:rPr>
          <w:color w:val="auto"/>
        </w:rPr>
      </w:pPr>
      <w:r>
        <w:rPr>
          <w:rFonts w:hint="default" w:ascii="Times New Roman" w:hAnsi="Times New Roman" w:eastAsia="宋体" w:cs="Times New Roman"/>
          <w:b/>
          <w:bCs w:val="0"/>
          <w:color w:val="auto"/>
        </w:rPr>
        <w:fldChar w:fldCharType="end"/>
      </w:r>
      <w:r>
        <w:rPr>
          <w:rFonts w:eastAsia="宋体"/>
          <w:b/>
          <w:bCs/>
          <w:color w:val="auto"/>
          <w:szCs w:val="28"/>
        </w:rPr>
        <w:t>附表</w:t>
      </w:r>
    </w:p>
    <w:p w14:paraId="12CFA484">
      <w:pPr>
        <w:pStyle w:val="27"/>
        <w:bidi w:val="0"/>
        <w:rPr>
          <w:color w:val="auto"/>
        </w:rPr>
      </w:pPr>
      <w:r>
        <w:rPr>
          <w:color w:val="auto"/>
        </w:rPr>
        <w:t>附表：建设项目污染物排放量汇总表</w:t>
      </w:r>
    </w:p>
    <w:p w14:paraId="21987C74">
      <w:pPr>
        <w:pStyle w:val="27"/>
        <w:bidi w:val="0"/>
        <w:rPr>
          <w:b/>
          <w:bCs/>
          <w:color w:val="auto"/>
        </w:rPr>
      </w:pPr>
      <w:r>
        <w:rPr>
          <w:b/>
          <w:bCs/>
          <w:color w:val="auto"/>
        </w:rPr>
        <w:t>附件</w:t>
      </w:r>
    </w:p>
    <w:p w14:paraId="3300B391">
      <w:pPr>
        <w:pStyle w:val="27"/>
        <w:bidi w:val="0"/>
        <w:rPr>
          <w:rFonts w:hint="eastAsia"/>
          <w:color w:val="auto"/>
        </w:rPr>
      </w:pPr>
      <w:r>
        <w:rPr>
          <w:color w:val="auto"/>
        </w:rPr>
        <w:t>附件1委托书</w:t>
      </w:r>
    </w:p>
    <w:p w14:paraId="6AB2DF66">
      <w:pPr>
        <w:pStyle w:val="27"/>
        <w:bidi w:val="0"/>
        <w:rPr>
          <w:color w:val="auto"/>
        </w:rPr>
      </w:pPr>
      <w:r>
        <w:rPr>
          <w:color w:val="auto"/>
        </w:rPr>
        <w:t>附件2</w:t>
      </w:r>
      <w:r>
        <w:rPr>
          <w:rFonts w:hint="eastAsia"/>
          <w:color w:val="auto"/>
        </w:rPr>
        <w:t>建设单位承诺书</w:t>
      </w:r>
    </w:p>
    <w:p w14:paraId="7E43EA7A">
      <w:pPr>
        <w:pStyle w:val="27"/>
        <w:bidi w:val="0"/>
        <w:rPr>
          <w:color w:val="auto"/>
        </w:rPr>
      </w:pPr>
      <w:r>
        <w:rPr>
          <w:color w:val="auto"/>
        </w:rPr>
        <w:t>附件3</w:t>
      </w:r>
      <w:r>
        <w:rPr>
          <w:rFonts w:hint="eastAsia"/>
          <w:color w:val="auto"/>
        </w:rPr>
        <w:t>投资备案证</w:t>
      </w:r>
    </w:p>
    <w:p w14:paraId="027D0EC6">
      <w:pPr>
        <w:pStyle w:val="27"/>
        <w:bidi w:val="0"/>
        <w:rPr>
          <w:color w:val="auto"/>
        </w:rPr>
      </w:pPr>
      <w:r>
        <w:rPr>
          <w:rFonts w:hint="eastAsia"/>
          <w:color w:val="auto"/>
        </w:rPr>
        <w:t>附件4选址意见书</w:t>
      </w:r>
    </w:p>
    <w:p w14:paraId="577F7F6D">
      <w:pPr>
        <w:pStyle w:val="27"/>
        <w:bidi w:val="0"/>
        <w:rPr>
          <w:rFonts w:hint="eastAsia"/>
          <w:color w:val="auto"/>
        </w:rPr>
      </w:pPr>
      <w:r>
        <w:rPr>
          <w:rFonts w:hint="eastAsia"/>
          <w:color w:val="auto"/>
        </w:rPr>
        <w:t>附件5重庆至昆明高速铁路云贵段（寻甸）站前八标段第八批次临时用地批复</w:t>
      </w:r>
    </w:p>
    <w:p w14:paraId="2A02C838">
      <w:pPr>
        <w:pStyle w:val="27"/>
        <w:bidi w:val="0"/>
        <w:rPr>
          <w:rFonts w:hint="eastAsia"/>
          <w:color w:val="auto"/>
        </w:rPr>
      </w:pPr>
      <w:r>
        <w:rPr>
          <w:rFonts w:hint="eastAsia"/>
          <w:color w:val="auto"/>
        </w:rPr>
        <w:t>附件</w:t>
      </w:r>
      <w:r>
        <w:rPr>
          <w:rFonts w:hint="eastAsia"/>
          <w:color w:val="auto"/>
          <w:lang w:val="en-US" w:eastAsia="zh-CN"/>
        </w:rPr>
        <w:t>6</w:t>
      </w:r>
      <w:r>
        <w:rPr>
          <w:rFonts w:hint="eastAsia"/>
          <w:color w:val="auto"/>
        </w:rPr>
        <w:t>建设单位营业执照</w:t>
      </w:r>
    </w:p>
    <w:p w14:paraId="1D249242">
      <w:pPr>
        <w:pStyle w:val="27"/>
        <w:bidi w:val="0"/>
        <w:rPr>
          <w:rFonts w:hint="eastAsia"/>
          <w:color w:val="auto"/>
        </w:rPr>
      </w:pPr>
      <w:r>
        <w:rPr>
          <w:rFonts w:hint="eastAsia"/>
          <w:color w:val="auto"/>
        </w:rPr>
        <w:t>附件</w:t>
      </w:r>
      <w:r>
        <w:rPr>
          <w:rFonts w:hint="eastAsia"/>
          <w:color w:val="auto"/>
          <w:lang w:val="en-US" w:eastAsia="zh-CN"/>
        </w:rPr>
        <w:t>7</w:t>
      </w:r>
      <w:r>
        <w:rPr>
          <w:rFonts w:hint="eastAsia"/>
          <w:color w:val="auto"/>
        </w:rPr>
        <w:t>现状监测报告</w:t>
      </w:r>
    </w:p>
    <w:p w14:paraId="54B849DD">
      <w:pPr>
        <w:pStyle w:val="27"/>
        <w:bidi w:val="0"/>
        <w:rPr>
          <w:rFonts w:hint="eastAsia"/>
          <w:color w:val="auto"/>
        </w:rPr>
      </w:pPr>
      <w:r>
        <w:rPr>
          <w:rFonts w:hint="eastAsia"/>
          <w:color w:val="auto"/>
          <w:lang w:val="en-US" w:eastAsia="zh-CN"/>
        </w:rPr>
        <w:t>附件8三区三线查询情况说明</w:t>
      </w:r>
    </w:p>
    <w:p w14:paraId="212C7DA1">
      <w:pPr>
        <w:pStyle w:val="27"/>
        <w:bidi w:val="0"/>
        <w:rPr>
          <w:color w:val="auto"/>
        </w:rPr>
      </w:pPr>
      <w:r>
        <w:rPr>
          <w:rFonts w:hint="eastAsia"/>
          <w:color w:val="auto"/>
        </w:rPr>
        <w:t>附件</w:t>
      </w:r>
      <w:r>
        <w:rPr>
          <w:rFonts w:hint="eastAsia"/>
          <w:color w:val="auto"/>
          <w:lang w:val="en-US" w:eastAsia="zh-CN"/>
        </w:rPr>
        <w:t>9新建重庆至昆明高速铁路可行性研究报告的批复</w:t>
      </w:r>
    </w:p>
    <w:p w14:paraId="1C7A7BB4">
      <w:pPr>
        <w:pStyle w:val="27"/>
        <w:bidi w:val="0"/>
        <w:rPr>
          <w:rFonts w:hint="default" w:eastAsia="宋体"/>
          <w:color w:val="auto"/>
          <w:lang w:val="en-US" w:eastAsia="zh-CN"/>
        </w:rPr>
      </w:pPr>
      <w:r>
        <w:rPr>
          <w:rFonts w:hint="eastAsia"/>
          <w:color w:val="auto"/>
        </w:rPr>
        <w:t>附件</w:t>
      </w:r>
      <w:r>
        <w:rPr>
          <w:rFonts w:hint="eastAsia"/>
          <w:color w:val="auto"/>
          <w:lang w:val="en-US" w:eastAsia="zh-CN"/>
        </w:rPr>
        <w:t>10关于新建重庆至昆明高速铁路环境影响报告书的批复</w:t>
      </w:r>
    </w:p>
    <w:p w14:paraId="67CAA9A8">
      <w:pPr>
        <w:pStyle w:val="27"/>
        <w:bidi w:val="0"/>
        <w:rPr>
          <w:rFonts w:hint="eastAsia"/>
          <w:color w:val="auto"/>
        </w:rPr>
      </w:pPr>
      <w:r>
        <w:rPr>
          <w:rFonts w:hint="eastAsia"/>
          <w:color w:val="auto"/>
        </w:rPr>
        <w:t>附件1</w:t>
      </w:r>
      <w:r>
        <w:rPr>
          <w:rFonts w:hint="eastAsia"/>
          <w:color w:val="auto"/>
          <w:lang w:val="en-US" w:eastAsia="zh-CN"/>
        </w:rPr>
        <w:t>1租地协议</w:t>
      </w:r>
    </w:p>
    <w:p w14:paraId="04754BE0">
      <w:pPr>
        <w:pStyle w:val="27"/>
        <w:bidi w:val="0"/>
        <w:rPr>
          <w:rFonts w:hint="eastAsia"/>
          <w:color w:val="auto"/>
          <w:lang w:val="en-US" w:eastAsia="zh-CN"/>
        </w:rPr>
      </w:pPr>
      <w:r>
        <w:rPr>
          <w:rFonts w:hint="eastAsia"/>
          <w:color w:val="auto"/>
          <w:lang w:val="en-US" w:eastAsia="zh-CN"/>
        </w:rPr>
        <w:t>附件12垃圾清运协议</w:t>
      </w:r>
    </w:p>
    <w:p w14:paraId="763FE1B2">
      <w:pPr>
        <w:pStyle w:val="27"/>
        <w:bidi w:val="0"/>
        <w:rPr>
          <w:rFonts w:hint="eastAsia"/>
          <w:color w:val="auto"/>
          <w:lang w:val="en-US" w:eastAsia="zh-CN"/>
        </w:rPr>
      </w:pPr>
      <w:r>
        <w:rPr>
          <w:rFonts w:hint="eastAsia"/>
          <w:color w:val="auto"/>
          <w:lang w:val="en-US" w:eastAsia="zh-CN"/>
        </w:rPr>
        <w:t>附件13环评项目工作进度表</w:t>
      </w:r>
    </w:p>
    <w:p w14:paraId="508DC835">
      <w:pPr>
        <w:pStyle w:val="27"/>
        <w:bidi w:val="0"/>
        <w:rPr>
          <w:rFonts w:hint="eastAsia"/>
          <w:color w:val="auto"/>
          <w:lang w:val="en-US" w:eastAsia="zh-CN"/>
        </w:rPr>
      </w:pPr>
      <w:r>
        <w:rPr>
          <w:rFonts w:hint="eastAsia"/>
          <w:color w:val="auto"/>
          <w:lang w:val="en-US" w:eastAsia="zh-CN"/>
        </w:rPr>
        <w:t>附件14项目内部三级审核表</w:t>
      </w:r>
    </w:p>
    <w:p w14:paraId="2ED5A9AF">
      <w:pPr>
        <w:pStyle w:val="27"/>
        <w:bidi w:val="0"/>
        <w:rPr>
          <w:rFonts w:hint="eastAsia"/>
          <w:color w:val="auto"/>
          <w:lang w:val="en-US" w:eastAsia="zh-CN"/>
        </w:rPr>
      </w:pPr>
      <w:r>
        <w:rPr>
          <w:rFonts w:hint="eastAsia"/>
          <w:color w:val="auto"/>
          <w:lang w:val="en-US" w:eastAsia="zh-CN"/>
        </w:rPr>
        <w:t>附件15技术服务咨询合同</w:t>
      </w:r>
    </w:p>
    <w:p w14:paraId="50E17046">
      <w:pPr>
        <w:pStyle w:val="27"/>
        <w:bidi w:val="0"/>
        <w:rPr>
          <w:rFonts w:hint="eastAsia"/>
          <w:color w:val="auto"/>
          <w:lang w:val="en-US" w:eastAsia="zh-CN"/>
        </w:rPr>
      </w:pPr>
      <w:r>
        <w:rPr>
          <w:rFonts w:hint="eastAsia"/>
          <w:color w:val="auto"/>
          <w:lang w:val="en-US" w:eastAsia="zh-CN"/>
        </w:rPr>
        <w:t>附件16项目送审公示截图</w:t>
      </w:r>
    </w:p>
    <w:p w14:paraId="5BC6B59D">
      <w:pPr>
        <w:pStyle w:val="27"/>
        <w:bidi w:val="0"/>
        <w:rPr>
          <w:b/>
          <w:bCs/>
          <w:color w:val="auto"/>
        </w:rPr>
      </w:pPr>
      <w:r>
        <w:rPr>
          <w:b/>
          <w:bCs/>
          <w:color w:val="auto"/>
        </w:rPr>
        <w:t>附图</w:t>
      </w:r>
    </w:p>
    <w:p w14:paraId="5E9E4483">
      <w:pPr>
        <w:pStyle w:val="27"/>
        <w:bidi w:val="0"/>
        <w:rPr>
          <w:color w:val="auto"/>
        </w:rPr>
      </w:pPr>
      <w:r>
        <w:rPr>
          <w:rFonts w:hint="eastAsia"/>
          <w:color w:val="auto"/>
        </w:rPr>
        <w:t>附图1项目地理位置示意图</w:t>
      </w:r>
    </w:p>
    <w:p w14:paraId="66C353CA">
      <w:pPr>
        <w:pStyle w:val="27"/>
        <w:bidi w:val="0"/>
        <w:rPr>
          <w:color w:val="auto"/>
        </w:rPr>
      </w:pPr>
      <w:r>
        <w:rPr>
          <w:rFonts w:hint="eastAsia"/>
          <w:color w:val="auto"/>
        </w:rPr>
        <w:t>附图2项目区域水系图</w:t>
      </w:r>
    </w:p>
    <w:p w14:paraId="5C2135EA">
      <w:pPr>
        <w:pStyle w:val="27"/>
        <w:bidi w:val="0"/>
        <w:rPr>
          <w:color w:val="auto"/>
        </w:rPr>
      </w:pPr>
      <w:r>
        <w:rPr>
          <w:rFonts w:hint="eastAsia"/>
          <w:color w:val="auto"/>
        </w:rPr>
        <w:t>附图3项目区平面布置图</w:t>
      </w:r>
    </w:p>
    <w:p w14:paraId="2E04D3A9">
      <w:pPr>
        <w:pStyle w:val="27"/>
        <w:bidi w:val="0"/>
        <w:rPr>
          <w:color w:val="auto"/>
        </w:rPr>
      </w:pPr>
      <w:r>
        <w:rPr>
          <w:rFonts w:hint="eastAsia"/>
          <w:color w:val="auto"/>
        </w:rPr>
        <w:t>附图4环境保护目标分布图</w:t>
      </w:r>
    </w:p>
    <w:p w14:paraId="6FB39026">
      <w:pPr>
        <w:pStyle w:val="27"/>
        <w:bidi w:val="0"/>
        <w:ind w:left="1200" w:leftChars="200" w:hanging="720" w:hangingChars="300"/>
        <w:rPr>
          <w:rFonts w:hint="eastAsia"/>
          <w:color w:val="auto"/>
        </w:rPr>
      </w:pPr>
      <w:r>
        <w:rPr>
          <w:rFonts w:hint="eastAsia"/>
          <w:color w:val="auto"/>
        </w:rPr>
        <w:t>附图</w:t>
      </w:r>
      <w:r>
        <w:rPr>
          <w:rFonts w:hint="eastAsia"/>
          <w:color w:val="auto"/>
          <w:lang w:val="en-US" w:eastAsia="zh-CN"/>
        </w:rPr>
        <w:t>5</w:t>
      </w:r>
      <w:r>
        <w:rPr>
          <w:rFonts w:hint="eastAsia"/>
          <w:color w:val="auto"/>
        </w:rPr>
        <w:t>项目与</w:t>
      </w:r>
      <w:r>
        <w:rPr>
          <w:rFonts w:hint="eastAsia"/>
          <w:color w:val="auto"/>
          <w:lang w:eastAsia="zh-CN"/>
        </w:rPr>
        <w:t>《</w:t>
      </w:r>
      <w:r>
        <w:rPr>
          <w:rFonts w:hint="eastAsia"/>
          <w:color w:val="auto"/>
        </w:rPr>
        <w:t>牛栏江（寻甸段）水环境保护规划（2011~2030）</w:t>
      </w:r>
      <w:r>
        <w:rPr>
          <w:rFonts w:hint="eastAsia"/>
          <w:color w:val="auto"/>
          <w:lang w:eastAsia="zh-CN"/>
        </w:rPr>
        <w:t>》</w:t>
      </w:r>
      <w:r>
        <w:rPr>
          <w:rFonts w:hint="eastAsia"/>
          <w:color w:val="auto"/>
        </w:rPr>
        <w:t>规划位置关系图</w:t>
      </w:r>
    </w:p>
    <w:p w14:paraId="7C47D8EC">
      <w:pPr>
        <w:pStyle w:val="27"/>
        <w:bidi w:val="0"/>
        <w:rPr>
          <w:rFonts w:hint="default" w:eastAsia="宋体"/>
          <w:color w:val="auto"/>
          <w:lang w:val="en-US" w:eastAsia="zh-CN"/>
        </w:rPr>
      </w:pPr>
      <w:r>
        <w:rPr>
          <w:rFonts w:hint="eastAsia"/>
          <w:color w:val="auto"/>
          <w:lang w:val="en-US" w:eastAsia="zh-CN"/>
        </w:rPr>
        <w:t>附图6项目与昆明市环境管控单元分类图的位置关系</w:t>
      </w:r>
    </w:p>
    <w:p w14:paraId="4FD8E0ED">
      <w:pPr>
        <w:pStyle w:val="27"/>
        <w:bidi w:val="0"/>
        <w:rPr>
          <w:rFonts w:hint="eastAsia"/>
          <w:color w:val="auto"/>
        </w:rPr>
      </w:pPr>
      <w:r>
        <w:rPr>
          <w:rFonts w:hint="eastAsia"/>
          <w:color w:val="auto"/>
        </w:rPr>
        <w:t>附图</w:t>
      </w:r>
      <w:r>
        <w:rPr>
          <w:rFonts w:hint="eastAsia"/>
          <w:color w:val="auto"/>
          <w:lang w:val="en-US" w:eastAsia="zh-CN"/>
        </w:rPr>
        <w:t>7</w:t>
      </w:r>
      <w:r>
        <w:rPr>
          <w:rFonts w:hint="eastAsia"/>
          <w:color w:val="auto"/>
        </w:rPr>
        <w:t>现状监测布点图</w:t>
      </w:r>
    </w:p>
    <w:p w14:paraId="14BCCA5C">
      <w:pPr>
        <w:pStyle w:val="18"/>
        <w:ind w:firstLine="210"/>
        <w:rPr>
          <w:rFonts w:hint="eastAsia"/>
          <w:color w:val="auto"/>
        </w:rPr>
        <w:sectPr>
          <w:headerReference r:id="rId7" w:type="first"/>
          <w:footerReference r:id="rId10" w:type="first"/>
          <w:headerReference r:id="rId5" w:type="default"/>
          <w:footerReference r:id="rId8" w:type="default"/>
          <w:headerReference r:id="rId6" w:type="even"/>
          <w:footerReference r:id="rId9" w:type="even"/>
          <w:pgSz w:w="11906" w:h="16838"/>
          <w:pgMar w:top="1417" w:right="1417" w:bottom="1417" w:left="1417" w:header="851" w:footer="1077" w:gutter="0"/>
          <w:pgNumType w:start="3"/>
          <w:cols w:space="720" w:num="1"/>
          <w:docGrid w:linePitch="312" w:charSpace="0"/>
        </w:sectPr>
      </w:pPr>
    </w:p>
    <w:p w14:paraId="58131F0F">
      <w:pPr>
        <w:pStyle w:val="1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outlineLvl w:val="0"/>
        <w:rPr>
          <w:rFonts w:hint="eastAsia" w:ascii="宋体" w:hAnsi="宋体" w:eastAsia="宋体" w:cs="宋体"/>
          <w:b/>
          <w:bCs/>
          <w:snapToGrid w:val="0"/>
          <w:color w:val="auto"/>
          <w:sz w:val="30"/>
          <w:szCs w:val="30"/>
        </w:rPr>
      </w:pPr>
      <w:bookmarkStart w:id="0" w:name="_Toc150763274"/>
      <w:r>
        <w:rPr>
          <w:rFonts w:hint="eastAsia" w:ascii="宋体" w:hAnsi="宋体" w:eastAsia="宋体" w:cs="宋体"/>
          <w:b/>
          <w:bCs/>
          <w:snapToGrid w:val="0"/>
          <w:color w:val="auto"/>
          <w:sz w:val="30"/>
          <w:szCs w:val="30"/>
        </w:rPr>
        <w:t>一、建设项目基本情况</w:t>
      </w:r>
      <w:bookmarkEnd w:id="0"/>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709"/>
        <w:gridCol w:w="2428"/>
        <w:gridCol w:w="2303"/>
        <w:gridCol w:w="3658"/>
      </w:tblGrid>
      <w:tr w14:paraId="793BDE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96" w:type="pct"/>
            <w:noWrap w:val="0"/>
            <w:tcMar>
              <w:top w:w="16" w:type="dxa"/>
              <w:left w:w="16" w:type="dxa"/>
              <w:right w:w="16" w:type="dxa"/>
            </w:tcMar>
            <w:vAlign w:val="center"/>
          </w:tcPr>
          <w:p w14:paraId="76C3F9F2">
            <w:pPr>
              <w:spacing w:line="240" w:lineRule="auto"/>
              <w:ind w:firstLine="0" w:firstLineChars="0"/>
              <w:jc w:val="center"/>
              <w:rPr>
                <w:color w:val="auto"/>
              </w:rPr>
            </w:pPr>
            <w:r>
              <w:rPr>
                <w:color w:val="auto"/>
              </w:rPr>
              <w:t>建设项目名称</w:t>
            </w:r>
          </w:p>
        </w:tc>
        <w:tc>
          <w:tcPr>
            <w:tcW w:w="3904" w:type="pct"/>
            <w:gridSpan w:val="3"/>
            <w:noWrap w:val="0"/>
            <w:vAlign w:val="center"/>
          </w:tcPr>
          <w:p w14:paraId="18E7C95D">
            <w:pPr>
              <w:spacing w:line="240" w:lineRule="auto"/>
              <w:ind w:firstLine="0" w:firstLineChars="0"/>
              <w:jc w:val="center"/>
              <w:rPr>
                <w:rFonts w:hint="eastAsia"/>
                <w:color w:val="auto"/>
              </w:rPr>
            </w:pPr>
            <w:r>
              <w:rPr>
                <w:rFonts w:hint="eastAsia"/>
                <w:color w:val="auto"/>
              </w:rPr>
              <w:t>重庆至昆明高速铁路云贵段（寻甸）站前八标段轨枕场</w:t>
            </w:r>
          </w:p>
          <w:p w14:paraId="251CA386">
            <w:pPr>
              <w:spacing w:line="240" w:lineRule="auto"/>
              <w:ind w:firstLine="0" w:firstLineChars="0"/>
              <w:jc w:val="center"/>
              <w:rPr>
                <w:color w:val="auto"/>
              </w:rPr>
            </w:pPr>
            <w:r>
              <w:rPr>
                <w:rFonts w:hint="eastAsia"/>
                <w:color w:val="auto"/>
              </w:rPr>
              <w:t>临时用地项目</w:t>
            </w:r>
          </w:p>
        </w:tc>
      </w:tr>
      <w:tr w14:paraId="5F4469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96" w:type="pct"/>
            <w:noWrap w:val="0"/>
            <w:tcMar>
              <w:top w:w="16" w:type="dxa"/>
              <w:left w:w="16" w:type="dxa"/>
              <w:right w:w="16" w:type="dxa"/>
            </w:tcMar>
            <w:vAlign w:val="center"/>
          </w:tcPr>
          <w:p w14:paraId="456C8415">
            <w:pPr>
              <w:spacing w:line="240" w:lineRule="auto"/>
              <w:ind w:firstLine="0" w:firstLineChars="0"/>
              <w:jc w:val="center"/>
              <w:rPr>
                <w:color w:val="auto"/>
              </w:rPr>
            </w:pPr>
            <w:r>
              <w:rPr>
                <w:color w:val="auto"/>
              </w:rPr>
              <w:t>项目代码</w:t>
            </w:r>
          </w:p>
        </w:tc>
        <w:tc>
          <w:tcPr>
            <w:tcW w:w="3904" w:type="pct"/>
            <w:gridSpan w:val="3"/>
            <w:noWrap w:val="0"/>
            <w:vAlign w:val="center"/>
          </w:tcPr>
          <w:p w14:paraId="423FBC71">
            <w:pPr>
              <w:spacing w:line="240" w:lineRule="auto"/>
              <w:ind w:firstLine="0" w:firstLineChars="0"/>
              <w:jc w:val="center"/>
              <w:rPr>
                <w:color w:val="auto"/>
              </w:rPr>
            </w:pPr>
            <w:r>
              <w:rPr>
                <w:color w:val="auto"/>
              </w:rPr>
              <w:t>2309-530129-04-01-112150</w:t>
            </w:r>
          </w:p>
        </w:tc>
      </w:tr>
      <w:tr w14:paraId="14A19B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96" w:type="pct"/>
            <w:noWrap w:val="0"/>
            <w:tcMar>
              <w:top w:w="16" w:type="dxa"/>
              <w:left w:w="16" w:type="dxa"/>
              <w:right w:w="16" w:type="dxa"/>
            </w:tcMar>
            <w:vAlign w:val="center"/>
          </w:tcPr>
          <w:p w14:paraId="2638019F">
            <w:pPr>
              <w:spacing w:line="240" w:lineRule="auto"/>
              <w:ind w:firstLine="0" w:firstLineChars="0"/>
              <w:jc w:val="center"/>
              <w:rPr>
                <w:color w:val="auto"/>
              </w:rPr>
            </w:pPr>
            <w:r>
              <w:rPr>
                <w:color w:val="auto"/>
              </w:rPr>
              <w:t>建设单位联系人</w:t>
            </w:r>
          </w:p>
        </w:tc>
        <w:tc>
          <w:tcPr>
            <w:tcW w:w="1130" w:type="pct"/>
            <w:noWrap w:val="0"/>
            <w:vAlign w:val="center"/>
          </w:tcPr>
          <w:p w14:paraId="3BF0CDC7">
            <w:pPr>
              <w:spacing w:line="240" w:lineRule="auto"/>
              <w:ind w:firstLine="0" w:firstLineChars="0"/>
              <w:jc w:val="center"/>
              <w:rPr>
                <w:color w:val="auto"/>
              </w:rPr>
            </w:pPr>
          </w:p>
        </w:tc>
        <w:tc>
          <w:tcPr>
            <w:tcW w:w="1072" w:type="pct"/>
            <w:noWrap w:val="0"/>
            <w:vAlign w:val="center"/>
          </w:tcPr>
          <w:p w14:paraId="232C9E87">
            <w:pPr>
              <w:spacing w:line="240" w:lineRule="auto"/>
              <w:ind w:firstLine="0" w:firstLineChars="0"/>
              <w:jc w:val="center"/>
              <w:rPr>
                <w:color w:val="auto"/>
              </w:rPr>
            </w:pPr>
            <w:r>
              <w:rPr>
                <w:color w:val="auto"/>
              </w:rPr>
              <w:t>联系方式</w:t>
            </w:r>
          </w:p>
        </w:tc>
        <w:tc>
          <w:tcPr>
            <w:tcW w:w="1701" w:type="pct"/>
            <w:noWrap w:val="0"/>
            <w:vAlign w:val="center"/>
          </w:tcPr>
          <w:p w14:paraId="4AE4ADAB">
            <w:pPr>
              <w:spacing w:line="240" w:lineRule="auto"/>
              <w:ind w:firstLine="0" w:firstLineChars="0"/>
              <w:jc w:val="center"/>
              <w:rPr>
                <w:color w:val="auto"/>
              </w:rPr>
            </w:pPr>
            <w:bookmarkStart w:id="22" w:name="_GoBack"/>
            <w:bookmarkEnd w:id="22"/>
          </w:p>
        </w:tc>
      </w:tr>
      <w:tr w14:paraId="32A819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96" w:type="pct"/>
            <w:noWrap w:val="0"/>
            <w:tcMar>
              <w:top w:w="16" w:type="dxa"/>
              <w:left w:w="16" w:type="dxa"/>
              <w:right w:w="16" w:type="dxa"/>
            </w:tcMar>
            <w:vAlign w:val="center"/>
          </w:tcPr>
          <w:p w14:paraId="3EA13331">
            <w:pPr>
              <w:spacing w:line="240" w:lineRule="auto"/>
              <w:ind w:firstLine="0" w:firstLineChars="0"/>
              <w:jc w:val="center"/>
              <w:rPr>
                <w:color w:val="auto"/>
              </w:rPr>
            </w:pPr>
            <w:r>
              <w:rPr>
                <w:color w:val="auto"/>
              </w:rPr>
              <w:t>建设地点</w:t>
            </w:r>
          </w:p>
        </w:tc>
        <w:tc>
          <w:tcPr>
            <w:tcW w:w="3904" w:type="pct"/>
            <w:gridSpan w:val="3"/>
            <w:noWrap w:val="0"/>
            <w:vAlign w:val="center"/>
          </w:tcPr>
          <w:p w14:paraId="4A52C80B">
            <w:pPr>
              <w:spacing w:line="240" w:lineRule="auto"/>
              <w:ind w:firstLine="0" w:firstLineChars="0"/>
              <w:jc w:val="center"/>
              <w:rPr>
                <w:color w:val="auto"/>
              </w:rPr>
            </w:pPr>
            <w:r>
              <w:rPr>
                <w:rFonts w:hint="eastAsia"/>
                <w:color w:val="auto"/>
              </w:rPr>
              <w:t>云南省昆明市寻甸回族彝族自治县仁德街道</w:t>
            </w:r>
          </w:p>
        </w:tc>
      </w:tr>
      <w:tr w14:paraId="67614B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96" w:type="pct"/>
            <w:noWrap w:val="0"/>
            <w:tcMar>
              <w:top w:w="16" w:type="dxa"/>
              <w:left w:w="16" w:type="dxa"/>
              <w:right w:w="16" w:type="dxa"/>
            </w:tcMar>
            <w:vAlign w:val="center"/>
          </w:tcPr>
          <w:p w14:paraId="5A362E0E">
            <w:pPr>
              <w:spacing w:line="240" w:lineRule="auto"/>
              <w:ind w:firstLine="0" w:firstLineChars="0"/>
              <w:jc w:val="center"/>
              <w:rPr>
                <w:color w:val="auto"/>
              </w:rPr>
            </w:pPr>
            <w:r>
              <w:rPr>
                <w:color w:val="auto"/>
              </w:rPr>
              <w:t>地理坐标</w:t>
            </w:r>
          </w:p>
        </w:tc>
        <w:tc>
          <w:tcPr>
            <w:tcW w:w="3904" w:type="pct"/>
            <w:gridSpan w:val="3"/>
            <w:noWrap w:val="0"/>
            <w:vAlign w:val="center"/>
          </w:tcPr>
          <w:p w14:paraId="48FBB428">
            <w:pPr>
              <w:spacing w:line="240" w:lineRule="auto"/>
              <w:ind w:firstLine="0" w:firstLineChars="0"/>
              <w:jc w:val="center"/>
              <w:rPr>
                <w:color w:val="auto"/>
              </w:rPr>
            </w:pPr>
            <w:r>
              <w:rPr>
                <w:color w:val="auto"/>
              </w:rPr>
              <w:t>（</w:t>
            </w:r>
            <w:r>
              <w:rPr>
                <w:color w:val="auto"/>
                <w:u w:val="single"/>
              </w:rPr>
              <w:t xml:space="preserve"> </w:t>
            </w:r>
            <w:r>
              <w:rPr>
                <w:rFonts w:hint="eastAsia"/>
                <w:color w:val="auto"/>
                <w:u w:val="single"/>
              </w:rPr>
              <w:t>103</w:t>
            </w:r>
            <w:r>
              <w:rPr>
                <w:color w:val="auto"/>
              </w:rPr>
              <w:t>度</w:t>
            </w:r>
            <w:r>
              <w:rPr>
                <w:color w:val="auto"/>
                <w:u w:val="single"/>
              </w:rPr>
              <w:t xml:space="preserve"> </w:t>
            </w:r>
            <w:r>
              <w:rPr>
                <w:rFonts w:hint="eastAsia"/>
                <w:color w:val="auto"/>
                <w:u w:val="single"/>
              </w:rPr>
              <w:t>17</w:t>
            </w:r>
            <w:r>
              <w:rPr>
                <w:color w:val="auto"/>
                <w:u w:val="single"/>
              </w:rPr>
              <w:t xml:space="preserve"> </w:t>
            </w:r>
            <w:r>
              <w:rPr>
                <w:color w:val="auto"/>
              </w:rPr>
              <w:t>分</w:t>
            </w:r>
            <w:r>
              <w:rPr>
                <w:color w:val="auto"/>
                <w:u w:val="single"/>
              </w:rPr>
              <w:t xml:space="preserve"> </w:t>
            </w:r>
            <w:r>
              <w:rPr>
                <w:rFonts w:hint="eastAsia"/>
                <w:color w:val="auto"/>
                <w:u w:val="single"/>
              </w:rPr>
              <w:t>33.282</w:t>
            </w:r>
            <w:r>
              <w:rPr>
                <w:color w:val="auto"/>
              </w:rPr>
              <w:t>秒，</w:t>
            </w:r>
            <w:r>
              <w:rPr>
                <w:color w:val="auto"/>
                <w:u w:val="single"/>
              </w:rPr>
              <w:t xml:space="preserve"> </w:t>
            </w:r>
            <w:r>
              <w:rPr>
                <w:rFonts w:hint="eastAsia"/>
                <w:color w:val="auto"/>
                <w:u w:val="single"/>
              </w:rPr>
              <w:t>25</w:t>
            </w:r>
            <w:r>
              <w:rPr>
                <w:color w:val="auto"/>
                <w:u w:val="single"/>
              </w:rPr>
              <w:t xml:space="preserve"> </w:t>
            </w:r>
            <w:r>
              <w:rPr>
                <w:color w:val="auto"/>
              </w:rPr>
              <w:t>度</w:t>
            </w:r>
            <w:r>
              <w:rPr>
                <w:color w:val="auto"/>
                <w:u w:val="single"/>
              </w:rPr>
              <w:t xml:space="preserve"> </w:t>
            </w:r>
            <w:r>
              <w:rPr>
                <w:rFonts w:hint="eastAsia"/>
                <w:color w:val="auto"/>
                <w:u w:val="single"/>
              </w:rPr>
              <w:t>32</w:t>
            </w:r>
            <w:r>
              <w:rPr>
                <w:color w:val="auto"/>
              </w:rPr>
              <w:t>分</w:t>
            </w:r>
            <w:r>
              <w:rPr>
                <w:color w:val="auto"/>
                <w:u w:val="single"/>
              </w:rPr>
              <w:t xml:space="preserve"> </w:t>
            </w:r>
            <w:r>
              <w:rPr>
                <w:rFonts w:hint="eastAsia"/>
                <w:color w:val="auto"/>
                <w:u w:val="single"/>
              </w:rPr>
              <w:t>4.086</w:t>
            </w:r>
            <w:r>
              <w:rPr>
                <w:color w:val="auto"/>
                <w:u w:val="single"/>
              </w:rPr>
              <w:t xml:space="preserve"> </w:t>
            </w:r>
            <w:r>
              <w:rPr>
                <w:color w:val="auto"/>
              </w:rPr>
              <w:t>秒）</w:t>
            </w:r>
          </w:p>
        </w:tc>
      </w:tr>
      <w:tr w14:paraId="215575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096" w:type="pct"/>
            <w:noWrap w:val="0"/>
            <w:tcMar>
              <w:top w:w="16" w:type="dxa"/>
              <w:left w:w="16" w:type="dxa"/>
              <w:right w:w="16" w:type="dxa"/>
            </w:tcMar>
            <w:vAlign w:val="center"/>
          </w:tcPr>
          <w:p w14:paraId="5824E761">
            <w:pPr>
              <w:spacing w:line="240" w:lineRule="auto"/>
              <w:ind w:firstLine="0" w:firstLineChars="0"/>
              <w:jc w:val="center"/>
              <w:rPr>
                <w:color w:val="auto"/>
              </w:rPr>
            </w:pPr>
            <w:r>
              <w:rPr>
                <w:color w:val="auto"/>
              </w:rPr>
              <w:t>国民经济</w:t>
            </w:r>
          </w:p>
          <w:p w14:paraId="6B21A8B1">
            <w:pPr>
              <w:spacing w:line="240" w:lineRule="auto"/>
              <w:ind w:firstLine="0" w:firstLineChars="0"/>
              <w:jc w:val="center"/>
              <w:rPr>
                <w:color w:val="auto"/>
              </w:rPr>
            </w:pPr>
            <w:r>
              <w:rPr>
                <w:color w:val="auto"/>
              </w:rPr>
              <w:t>行业类别</w:t>
            </w:r>
          </w:p>
        </w:tc>
        <w:tc>
          <w:tcPr>
            <w:tcW w:w="1130" w:type="pct"/>
            <w:noWrap w:val="0"/>
            <w:vAlign w:val="center"/>
          </w:tcPr>
          <w:p w14:paraId="2A521CAD">
            <w:pPr>
              <w:spacing w:line="240" w:lineRule="auto"/>
              <w:ind w:firstLine="0" w:firstLineChars="0"/>
              <w:jc w:val="center"/>
              <w:rPr>
                <w:rFonts w:hint="eastAsia"/>
                <w:color w:val="auto"/>
              </w:rPr>
            </w:pPr>
            <w:r>
              <w:rPr>
                <w:rFonts w:hint="eastAsia"/>
                <w:color w:val="auto"/>
              </w:rPr>
              <w:t>C3021水泥制品</w:t>
            </w:r>
          </w:p>
          <w:p w14:paraId="7EAD322B">
            <w:pPr>
              <w:spacing w:line="240" w:lineRule="auto"/>
              <w:ind w:firstLine="0" w:firstLineChars="0"/>
              <w:jc w:val="center"/>
              <w:rPr>
                <w:rFonts w:hint="eastAsia"/>
                <w:color w:val="auto"/>
              </w:rPr>
            </w:pPr>
            <w:r>
              <w:rPr>
                <w:rFonts w:hint="eastAsia"/>
                <w:color w:val="auto"/>
              </w:rPr>
              <w:t>制造</w:t>
            </w:r>
          </w:p>
          <w:p w14:paraId="0A41841D">
            <w:pPr>
              <w:spacing w:line="240" w:lineRule="auto"/>
              <w:ind w:firstLine="0" w:firstLineChars="0"/>
              <w:jc w:val="center"/>
              <w:rPr>
                <w:rFonts w:hint="eastAsia"/>
                <w:color w:val="auto"/>
              </w:rPr>
            </w:pPr>
            <w:r>
              <w:rPr>
                <w:rFonts w:hint="eastAsia"/>
                <w:color w:val="auto"/>
                <w:sz w:val="24"/>
                <w:lang w:val="en-US" w:eastAsia="zh-CN"/>
              </w:rPr>
              <w:t>D4430热力生产和供应</w:t>
            </w:r>
          </w:p>
        </w:tc>
        <w:tc>
          <w:tcPr>
            <w:tcW w:w="1072" w:type="pct"/>
            <w:noWrap w:val="0"/>
            <w:vAlign w:val="center"/>
          </w:tcPr>
          <w:p w14:paraId="0FC7EC72">
            <w:pPr>
              <w:spacing w:line="240" w:lineRule="auto"/>
              <w:ind w:firstLine="0" w:firstLineChars="0"/>
              <w:jc w:val="center"/>
              <w:rPr>
                <w:color w:val="auto"/>
              </w:rPr>
            </w:pPr>
            <w:bookmarkStart w:id="1" w:name="_Hlk49843745"/>
            <w:r>
              <w:rPr>
                <w:color w:val="auto"/>
              </w:rPr>
              <w:t>建设项目</w:t>
            </w:r>
          </w:p>
          <w:p w14:paraId="7BA289C5">
            <w:pPr>
              <w:spacing w:line="240" w:lineRule="auto"/>
              <w:ind w:firstLine="0" w:firstLineChars="0"/>
              <w:jc w:val="center"/>
              <w:rPr>
                <w:color w:val="auto"/>
              </w:rPr>
            </w:pPr>
            <w:r>
              <w:rPr>
                <w:color w:val="auto"/>
              </w:rPr>
              <w:t>行业类别</w:t>
            </w:r>
            <w:bookmarkEnd w:id="1"/>
          </w:p>
        </w:tc>
        <w:tc>
          <w:tcPr>
            <w:tcW w:w="1701" w:type="pct"/>
            <w:noWrap w:val="0"/>
            <w:vAlign w:val="center"/>
          </w:tcPr>
          <w:p w14:paraId="6DE9DAF7">
            <w:pPr>
              <w:spacing w:line="240" w:lineRule="auto"/>
              <w:ind w:firstLine="0" w:firstLineChars="0"/>
              <w:jc w:val="center"/>
              <w:rPr>
                <w:rFonts w:hint="eastAsia"/>
                <w:color w:val="auto"/>
              </w:rPr>
            </w:pPr>
            <w:r>
              <w:rPr>
                <w:rFonts w:hint="eastAsia"/>
                <w:color w:val="auto"/>
              </w:rPr>
              <w:t>二十七、非金属矿物制品业 55 石膏、水泥制品及类似制品制造</w:t>
            </w:r>
          </w:p>
          <w:p w14:paraId="087727D7">
            <w:pPr>
              <w:spacing w:line="240" w:lineRule="auto"/>
              <w:ind w:firstLine="0" w:firstLineChars="0"/>
              <w:jc w:val="center"/>
              <w:rPr>
                <w:rFonts w:hint="default" w:eastAsia="宋体"/>
                <w:color w:val="auto"/>
                <w:lang w:val="en-US" w:eastAsia="zh-CN"/>
              </w:rPr>
            </w:pPr>
            <w:r>
              <w:rPr>
                <w:rFonts w:hint="eastAsia"/>
                <w:color w:val="auto"/>
                <w:lang w:val="en-US" w:eastAsia="zh-CN"/>
              </w:rPr>
              <w:t>四十一、电力、热力生产和供应业 91、热力生产和供应工程（包括建设单位自建自用的供热工程）</w:t>
            </w:r>
          </w:p>
        </w:tc>
      </w:tr>
      <w:tr w14:paraId="261C70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096" w:type="pct"/>
            <w:noWrap w:val="0"/>
            <w:tcMar>
              <w:top w:w="16" w:type="dxa"/>
              <w:left w:w="16" w:type="dxa"/>
              <w:right w:w="16" w:type="dxa"/>
            </w:tcMar>
            <w:vAlign w:val="center"/>
          </w:tcPr>
          <w:p w14:paraId="1626A819">
            <w:pPr>
              <w:spacing w:line="240" w:lineRule="auto"/>
              <w:ind w:firstLine="0" w:firstLineChars="0"/>
              <w:jc w:val="center"/>
              <w:rPr>
                <w:color w:val="auto"/>
              </w:rPr>
            </w:pPr>
            <w:r>
              <w:rPr>
                <w:color w:val="auto"/>
              </w:rPr>
              <w:t>建设性质</w:t>
            </w:r>
          </w:p>
        </w:tc>
        <w:tc>
          <w:tcPr>
            <w:tcW w:w="1130" w:type="pct"/>
            <w:noWrap w:val="0"/>
            <w:vAlign w:val="center"/>
          </w:tcPr>
          <w:p w14:paraId="239F9A2F">
            <w:pPr>
              <w:spacing w:line="240" w:lineRule="auto"/>
              <w:ind w:firstLine="0" w:firstLineChars="0"/>
              <w:jc w:val="both"/>
              <w:rPr>
                <w:color w:val="auto"/>
              </w:rPr>
            </w:pPr>
            <w:r>
              <w:rPr>
                <w:rFonts w:hint="eastAsia"/>
                <w:color w:val="auto"/>
                <w:lang w:eastAsia="zh-CN"/>
              </w:rPr>
              <w:t>☑</w:t>
            </w:r>
            <w:r>
              <w:rPr>
                <w:color w:val="auto"/>
              </w:rPr>
              <w:t>新建（迁建）</w:t>
            </w:r>
          </w:p>
          <w:p w14:paraId="785A4BDA">
            <w:pPr>
              <w:spacing w:line="240" w:lineRule="auto"/>
              <w:ind w:left="0" w:leftChars="0" w:firstLine="0" w:firstLineChars="0"/>
              <w:rPr>
                <w:color w:val="auto"/>
              </w:rPr>
            </w:pPr>
            <w:r>
              <w:rPr>
                <w:rFonts w:hint="eastAsia"/>
                <w:color w:val="auto"/>
                <w:lang w:eastAsia="zh-CN"/>
              </w:rPr>
              <w:t>□</w:t>
            </w:r>
            <w:r>
              <w:rPr>
                <w:color w:val="auto"/>
              </w:rPr>
              <w:t>改建</w:t>
            </w:r>
          </w:p>
          <w:p w14:paraId="2B3A7B63">
            <w:pPr>
              <w:spacing w:line="240" w:lineRule="auto"/>
              <w:ind w:left="0" w:leftChars="0" w:firstLine="0" w:firstLineChars="0"/>
              <w:rPr>
                <w:color w:val="auto"/>
              </w:rPr>
            </w:pPr>
            <w:r>
              <w:rPr>
                <w:rFonts w:hint="eastAsia"/>
                <w:color w:val="auto"/>
                <w:lang w:eastAsia="zh-CN"/>
              </w:rPr>
              <w:t>□</w:t>
            </w:r>
            <w:r>
              <w:rPr>
                <w:color w:val="auto"/>
              </w:rPr>
              <w:t>扩建</w:t>
            </w:r>
          </w:p>
          <w:p w14:paraId="3DED26AC">
            <w:pPr>
              <w:spacing w:line="240" w:lineRule="auto"/>
              <w:ind w:left="0" w:leftChars="0" w:firstLine="0" w:firstLineChars="0"/>
              <w:rPr>
                <w:color w:val="auto"/>
              </w:rPr>
            </w:pPr>
            <w:r>
              <w:rPr>
                <w:rFonts w:hint="eastAsia"/>
                <w:color w:val="auto"/>
                <w:lang w:eastAsia="zh-CN"/>
              </w:rPr>
              <w:t>□</w:t>
            </w:r>
            <w:r>
              <w:rPr>
                <w:color w:val="auto"/>
              </w:rPr>
              <w:t>技术改造</w:t>
            </w:r>
          </w:p>
        </w:tc>
        <w:tc>
          <w:tcPr>
            <w:tcW w:w="1072" w:type="pct"/>
            <w:noWrap w:val="0"/>
            <w:vAlign w:val="center"/>
          </w:tcPr>
          <w:p w14:paraId="270723C0">
            <w:pPr>
              <w:spacing w:line="240" w:lineRule="auto"/>
              <w:ind w:firstLine="0" w:firstLineChars="0"/>
              <w:jc w:val="center"/>
              <w:rPr>
                <w:color w:val="auto"/>
              </w:rPr>
            </w:pPr>
            <w:r>
              <w:rPr>
                <w:color w:val="auto"/>
              </w:rPr>
              <w:t>建设项目</w:t>
            </w:r>
          </w:p>
          <w:p w14:paraId="0AD501C4">
            <w:pPr>
              <w:spacing w:line="240" w:lineRule="auto"/>
              <w:ind w:firstLine="0" w:firstLineChars="0"/>
              <w:jc w:val="center"/>
              <w:rPr>
                <w:color w:val="auto"/>
              </w:rPr>
            </w:pPr>
            <w:r>
              <w:rPr>
                <w:color w:val="auto"/>
              </w:rPr>
              <w:t>申报情形</w:t>
            </w:r>
          </w:p>
        </w:tc>
        <w:tc>
          <w:tcPr>
            <w:tcW w:w="1701" w:type="pct"/>
            <w:noWrap w:val="0"/>
            <w:vAlign w:val="center"/>
          </w:tcPr>
          <w:p w14:paraId="5769FF16">
            <w:pPr>
              <w:spacing w:line="240" w:lineRule="auto"/>
              <w:ind w:left="0" w:leftChars="0" w:firstLine="0" w:firstLineChars="0"/>
              <w:rPr>
                <w:color w:val="auto"/>
              </w:rPr>
            </w:pPr>
            <w:r>
              <w:rPr>
                <w:rFonts w:hint="eastAsia"/>
                <w:color w:val="auto"/>
                <w:lang w:eastAsia="zh-CN"/>
              </w:rPr>
              <w:t>☑</w:t>
            </w:r>
            <w:r>
              <w:rPr>
                <w:color w:val="auto"/>
              </w:rPr>
              <w:t>首次申报项目</w:t>
            </w:r>
          </w:p>
          <w:p w14:paraId="07AE30CE">
            <w:pPr>
              <w:spacing w:line="240" w:lineRule="auto"/>
              <w:ind w:left="0" w:leftChars="0" w:firstLine="0" w:firstLineChars="0"/>
              <w:rPr>
                <w:color w:val="auto"/>
              </w:rPr>
            </w:pPr>
            <w:r>
              <w:rPr>
                <w:rFonts w:hint="eastAsia"/>
                <w:color w:val="auto"/>
                <w:lang w:eastAsia="zh-CN"/>
              </w:rPr>
              <w:t>□</w:t>
            </w:r>
            <w:r>
              <w:rPr>
                <w:color w:val="auto"/>
              </w:rPr>
              <w:t>不予批准后再次申报项目</w:t>
            </w:r>
          </w:p>
          <w:p w14:paraId="104EC336">
            <w:pPr>
              <w:spacing w:line="240" w:lineRule="auto"/>
              <w:ind w:left="0" w:leftChars="0" w:firstLine="0" w:firstLineChars="0"/>
              <w:rPr>
                <w:color w:val="auto"/>
              </w:rPr>
            </w:pPr>
            <w:r>
              <w:rPr>
                <w:rFonts w:hint="eastAsia"/>
                <w:color w:val="auto"/>
                <w:lang w:eastAsia="zh-CN"/>
              </w:rPr>
              <w:t>□</w:t>
            </w:r>
            <w:r>
              <w:rPr>
                <w:color w:val="auto"/>
              </w:rPr>
              <w:t>超五年重新审核项目</w:t>
            </w:r>
          </w:p>
          <w:p w14:paraId="3FAC666F">
            <w:pPr>
              <w:spacing w:line="240" w:lineRule="auto"/>
              <w:ind w:left="0" w:leftChars="0" w:firstLine="0" w:firstLineChars="0"/>
              <w:rPr>
                <w:color w:val="auto"/>
              </w:rPr>
            </w:pPr>
            <w:r>
              <w:rPr>
                <w:rFonts w:hint="eastAsia"/>
                <w:color w:val="auto"/>
                <w:lang w:eastAsia="zh-CN"/>
              </w:rPr>
              <w:t>□</w:t>
            </w:r>
            <w:r>
              <w:rPr>
                <w:color w:val="auto"/>
              </w:rPr>
              <w:t>重大变动重新报批项目</w:t>
            </w:r>
          </w:p>
        </w:tc>
      </w:tr>
      <w:tr w14:paraId="227BAE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096" w:type="pct"/>
            <w:noWrap w:val="0"/>
            <w:tcMar>
              <w:top w:w="16" w:type="dxa"/>
              <w:left w:w="16" w:type="dxa"/>
              <w:right w:w="16" w:type="dxa"/>
            </w:tcMar>
            <w:vAlign w:val="center"/>
          </w:tcPr>
          <w:p w14:paraId="45C8C126">
            <w:pPr>
              <w:spacing w:line="240" w:lineRule="auto"/>
              <w:ind w:firstLine="0" w:firstLineChars="0"/>
              <w:jc w:val="center"/>
              <w:rPr>
                <w:color w:val="auto"/>
              </w:rPr>
            </w:pPr>
            <w:r>
              <w:rPr>
                <w:color w:val="auto"/>
              </w:rPr>
              <w:t>项目审批（核准/</w:t>
            </w:r>
          </w:p>
          <w:p w14:paraId="6F1518F5">
            <w:pPr>
              <w:spacing w:line="240" w:lineRule="auto"/>
              <w:ind w:firstLine="0" w:firstLineChars="0"/>
              <w:jc w:val="center"/>
              <w:rPr>
                <w:color w:val="auto"/>
              </w:rPr>
            </w:pPr>
            <w:r>
              <w:rPr>
                <w:color w:val="auto"/>
              </w:rPr>
              <w:t>备案）部门（选填）</w:t>
            </w:r>
          </w:p>
        </w:tc>
        <w:tc>
          <w:tcPr>
            <w:tcW w:w="1130" w:type="pct"/>
            <w:noWrap w:val="0"/>
            <w:vAlign w:val="center"/>
          </w:tcPr>
          <w:p w14:paraId="65E3D872">
            <w:pPr>
              <w:spacing w:line="240" w:lineRule="auto"/>
              <w:ind w:firstLine="0" w:firstLineChars="0"/>
              <w:jc w:val="center"/>
              <w:rPr>
                <w:rFonts w:hint="eastAsia"/>
                <w:color w:val="auto"/>
              </w:rPr>
            </w:pPr>
            <w:r>
              <w:rPr>
                <w:rFonts w:hint="eastAsia"/>
                <w:color w:val="auto"/>
              </w:rPr>
              <w:t>寻甸回族彝族自治县发展和改革局</w:t>
            </w:r>
          </w:p>
        </w:tc>
        <w:tc>
          <w:tcPr>
            <w:tcW w:w="1072" w:type="pct"/>
            <w:noWrap w:val="0"/>
            <w:vAlign w:val="center"/>
          </w:tcPr>
          <w:p w14:paraId="123EF82E">
            <w:pPr>
              <w:spacing w:line="240" w:lineRule="auto"/>
              <w:ind w:firstLine="0" w:firstLineChars="0"/>
              <w:jc w:val="center"/>
              <w:rPr>
                <w:color w:val="auto"/>
              </w:rPr>
            </w:pPr>
            <w:r>
              <w:rPr>
                <w:color w:val="auto"/>
              </w:rPr>
              <w:t>项目审批（核准/</w:t>
            </w:r>
          </w:p>
          <w:p w14:paraId="47207DC2">
            <w:pPr>
              <w:spacing w:line="240" w:lineRule="auto"/>
              <w:ind w:firstLine="0" w:firstLineChars="0"/>
              <w:jc w:val="center"/>
              <w:rPr>
                <w:color w:val="auto"/>
              </w:rPr>
            </w:pPr>
            <w:r>
              <w:rPr>
                <w:color w:val="auto"/>
              </w:rPr>
              <w:t>备案）文号（选填）</w:t>
            </w:r>
          </w:p>
        </w:tc>
        <w:tc>
          <w:tcPr>
            <w:tcW w:w="1701" w:type="pct"/>
            <w:noWrap w:val="0"/>
            <w:vAlign w:val="center"/>
          </w:tcPr>
          <w:p w14:paraId="60133F6D">
            <w:pPr>
              <w:spacing w:line="240" w:lineRule="auto"/>
              <w:ind w:firstLine="0" w:firstLineChars="0"/>
              <w:jc w:val="center"/>
              <w:rPr>
                <w:rFonts w:hint="default" w:eastAsia="宋体"/>
                <w:color w:val="auto"/>
                <w:lang w:val="en-US" w:eastAsia="zh-CN"/>
              </w:rPr>
            </w:pPr>
            <w:r>
              <w:rPr>
                <w:color w:val="auto"/>
              </w:rPr>
              <w:t>/</w:t>
            </w:r>
          </w:p>
        </w:tc>
      </w:tr>
      <w:tr w14:paraId="18B1F4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96" w:type="pct"/>
            <w:noWrap w:val="0"/>
            <w:tcMar>
              <w:top w:w="16" w:type="dxa"/>
              <w:left w:w="16" w:type="dxa"/>
              <w:right w:w="16" w:type="dxa"/>
            </w:tcMar>
            <w:vAlign w:val="center"/>
          </w:tcPr>
          <w:p w14:paraId="0F5C744A">
            <w:pPr>
              <w:spacing w:line="240" w:lineRule="auto"/>
              <w:ind w:firstLine="0" w:firstLineChars="0"/>
              <w:jc w:val="center"/>
              <w:rPr>
                <w:color w:val="auto"/>
              </w:rPr>
            </w:pPr>
            <w:r>
              <w:rPr>
                <w:color w:val="auto"/>
              </w:rPr>
              <w:t>总投资（万元）</w:t>
            </w:r>
          </w:p>
        </w:tc>
        <w:tc>
          <w:tcPr>
            <w:tcW w:w="1130" w:type="pct"/>
            <w:noWrap w:val="0"/>
            <w:vAlign w:val="center"/>
          </w:tcPr>
          <w:p w14:paraId="00BFA262">
            <w:pPr>
              <w:spacing w:line="240" w:lineRule="auto"/>
              <w:ind w:firstLine="0" w:firstLineChars="0"/>
              <w:jc w:val="center"/>
              <w:rPr>
                <w:color w:val="auto"/>
              </w:rPr>
            </w:pPr>
            <w:r>
              <w:rPr>
                <w:rFonts w:hint="eastAsia"/>
                <w:color w:val="auto"/>
              </w:rPr>
              <w:t>200</w:t>
            </w:r>
          </w:p>
        </w:tc>
        <w:tc>
          <w:tcPr>
            <w:tcW w:w="1072" w:type="pct"/>
            <w:noWrap w:val="0"/>
            <w:tcMar>
              <w:top w:w="16" w:type="dxa"/>
              <w:left w:w="16" w:type="dxa"/>
              <w:right w:w="16" w:type="dxa"/>
            </w:tcMar>
            <w:vAlign w:val="center"/>
          </w:tcPr>
          <w:p w14:paraId="64EE0AB5">
            <w:pPr>
              <w:spacing w:line="240" w:lineRule="auto"/>
              <w:ind w:firstLine="0" w:firstLineChars="0"/>
              <w:jc w:val="center"/>
              <w:rPr>
                <w:color w:val="auto"/>
              </w:rPr>
            </w:pPr>
            <w:r>
              <w:rPr>
                <w:color w:val="auto"/>
              </w:rPr>
              <w:t>环保投资（万元）</w:t>
            </w:r>
          </w:p>
        </w:tc>
        <w:tc>
          <w:tcPr>
            <w:tcW w:w="1701" w:type="pct"/>
            <w:noWrap w:val="0"/>
            <w:vAlign w:val="center"/>
          </w:tcPr>
          <w:p w14:paraId="2B19B67F">
            <w:pPr>
              <w:spacing w:line="240" w:lineRule="auto"/>
              <w:ind w:firstLine="0" w:firstLineChars="0"/>
              <w:jc w:val="center"/>
              <w:rPr>
                <w:rFonts w:hint="default" w:eastAsia="宋体"/>
                <w:color w:val="auto"/>
                <w:lang w:val="en-US" w:eastAsia="zh-CN"/>
              </w:rPr>
            </w:pPr>
            <w:r>
              <w:rPr>
                <w:rFonts w:hint="eastAsia"/>
                <w:color w:val="auto"/>
                <w:lang w:val="en-US" w:eastAsia="zh-CN"/>
              </w:rPr>
              <w:t>74.36</w:t>
            </w:r>
          </w:p>
        </w:tc>
      </w:tr>
      <w:tr w14:paraId="43531E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96" w:type="pct"/>
            <w:noWrap w:val="0"/>
            <w:tcMar>
              <w:top w:w="16" w:type="dxa"/>
              <w:left w:w="16" w:type="dxa"/>
              <w:right w:w="16" w:type="dxa"/>
            </w:tcMar>
            <w:vAlign w:val="center"/>
          </w:tcPr>
          <w:p w14:paraId="44C175A1">
            <w:pPr>
              <w:spacing w:line="240" w:lineRule="auto"/>
              <w:ind w:firstLine="0" w:firstLineChars="0"/>
              <w:jc w:val="center"/>
              <w:rPr>
                <w:color w:val="auto"/>
              </w:rPr>
            </w:pPr>
            <w:r>
              <w:rPr>
                <w:color w:val="auto"/>
              </w:rPr>
              <w:t>环保投资占比（%）</w:t>
            </w:r>
          </w:p>
        </w:tc>
        <w:tc>
          <w:tcPr>
            <w:tcW w:w="1130" w:type="pct"/>
            <w:noWrap w:val="0"/>
            <w:vAlign w:val="center"/>
          </w:tcPr>
          <w:p w14:paraId="00EB8F48">
            <w:pPr>
              <w:spacing w:line="240" w:lineRule="auto"/>
              <w:ind w:firstLine="0" w:firstLineChars="0"/>
              <w:jc w:val="center"/>
              <w:rPr>
                <w:rFonts w:hint="default" w:eastAsia="宋体"/>
                <w:color w:val="auto"/>
                <w:lang w:val="en-US" w:eastAsia="zh-CN"/>
              </w:rPr>
            </w:pPr>
            <w:r>
              <w:rPr>
                <w:rFonts w:hint="eastAsia"/>
                <w:color w:val="auto"/>
                <w:lang w:val="en-US" w:eastAsia="zh-CN"/>
              </w:rPr>
              <w:t>37.2</w:t>
            </w:r>
          </w:p>
        </w:tc>
        <w:tc>
          <w:tcPr>
            <w:tcW w:w="1072" w:type="pct"/>
            <w:noWrap w:val="0"/>
            <w:tcMar>
              <w:top w:w="16" w:type="dxa"/>
              <w:left w:w="16" w:type="dxa"/>
              <w:right w:w="16" w:type="dxa"/>
            </w:tcMar>
            <w:vAlign w:val="center"/>
          </w:tcPr>
          <w:p w14:paraId="430C73C0">
            <w:pPr>
              <w:spacing w:line="240" w:lineRule="auto"/>
              <w:ind w:firstLine="0" w:firstLineChars="0"/>
              <w:jc w:val="center"/>
              <w:rPr>
                <w:color w:val="auto"/>
              </w:rPr>
            </w:pPr>
            <w:r>
              <w:rPr>
                <w:color w:val="auto"/>
              </w:rPr>
              <w:t>施工工期</w:t>
            </w:r>
          </w:p>
        </w:tc>
        <w:tc>
          <w:tcPr>
            <w:tcW w:w="1701" w:type="pct"/>
            <w:noWrap w:val="0"/>
            <w:vAlign w:val="center"/>
          </w:tcPr>
          <w:p w14:paraId="34CEDE23">
            <w:pPr>
              <w:spacing w:line="240" w:lineRule="auto"/>
              <w:ind w:firstLine="0" w:firstLineChars="0"/>
              <w:jc w:val="center"/>
              <w:rPr>
                <w:color w:val="auto"/>
              </w:rPr>
            </w:pPr>
            <w:r>
              <w:rPr>
                <w:rFonts w:hint="eastAsia"/>
                <w:color w:val="auto"/>
              </w:rPr>
              <w:t>6</w:t>
            </w:r>
            <w:r>
              <w:rPr>
                <w:color w:val="auto"/>
              </w:rPr>
              <w:t>个月</w:t>
            </w:r>
          </w:p>
        </w:tc>
      </w:tr>
      <w:tr w14:paraId="3A7831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48" w:hRule="atLeast"/>
          <w:jc w:val="center"/>
        </w:trPr>
        <w:tc>
          <w:tcPr>
            <w:tcW w:w="1096" w:type="pct"/>
            <w:noWrap w:val="0"/>
            <w:tcMar>
              <w:top w:w="16" w:type="dxa"/>
              <w:left w:w="16" w:type="dxa"/>
              <w:right w:w="16" w:type="dxa"/>
            </w:tcMar>
            <w:vAlign w:val="center"/>
          </w:tcPr>
          <w:p w14:paraId="09825198">
            <w:pPr>
              <w:spacing w:line="240" w:lineRule="auto"/>
              <w:ind w:firstLine="0" w:firstLineChars="0"/>
              <w:jc w:val="center"/>
              <w:rPr>
                <w:color w:val="auto"/>
              </w:rPr>
            </w:pPr>
            <w:r>
              <w:rPr>
                <w:color w:val="auto"/>
              </w:rPr>
              <w:t>是否开工建设</w:t>
            </w:r>
          </w:p>
        </w:tc>
        <w:tc>
          <w:tcPr>
            <w:tcW w:w="1130" w:type="pct"/>
            <w:noWrap w:val="0"/>
            <w:vAlign w:val="center"/>
          </w:tcPr>
          <w:p w14:paraId="111293D6">
            <w:pPr>
              <w:spacing w:line="240" w:lineRule="auto"/>
              <w:ind w:firstLine="240" w:firstLineChars="100"/>
              <w:rPr>
                <w:color w:val="auto"/>
              </w:rPr>
            </w:pPr>
            <w:r>
              <w:rPr>
                <w:rFonts w:hint="eastAsia"/>
                <w:color w:val="auto"/>
                <w:lang w:eastAsia="zh-CN"/>
              </w:rPr>
              <w:t>□</w:t>
            </w:r>
            <w:r>
              <w:rPr>
                <w:color w:val="auto"/>
              </w:rPr>
              <w:t>否</w:t>
            </w:r>
          </w:p>
          <w:p w14:paraId="5893660E">
            <w:pPr>
              <w:spacing w:line="240" w:lineRule="auto"/>
              <w:ind w:firstLine="240" w:firstLineChars="100"/>
              <w:rPr>
                <w:rFonts w:hint="default" w:eastAsia="宋体"/>
                <w:color w:val="auto"/>
                <w:u w:val="single"/>
                <w:lang w:val="en-US" w:eastAsia="zh-CN"/>
              </w:rPr>
            </w:pPr>
            <w:r>
              <w:rPr>
                <w:rFonts w:hint="eastAsia"/>
                <w:color w:val="auto"/>
                <w:lang w:eastAsia="zh-CN"/>
              </w:rPr>
              <w:t>☑</w:t>
            </w:r>
            <w:r>
              <w:rPr>
                <w:color w:val="auto"/>
              </w:rPr>
              <w:t>是：</w:t>
            </w:r>
            <w:r>
              <w:rPr>
                <w:color w:val="auto"/>
                <w:u w:val="single" w:color="000000" w:themeColor="text1"/>
              </w:rPr>
              <w:t>项目于2024年</w:t>
            </w:r>
            <w:r>
              <w:rPr>
                <w:rFonts w:hint="eastAsia"/>
                <w:color w:val="auto"/>
                <w:u w:val="single" w:color="000000" w:themeColor="text1"/>
              </w:rPr>
              <w:t>5月开始建设，现阶段工程已建设完成，但未投入生产。</w:t>
            </w:r>
          </w:p>
        </w:tc>
        <w:tc>
          <w:tcPr>
            <w:tcW w:w="1072" w:type="pct"/>
            <w:noWrap w:val="0"/>
            <w:tcMar>
              <w:top w:w="16" w:type="dxa"/>
              <w:left w:w="16" w:type="dxa"/>
              <w:right w:w="16" w:type="dxa"/>
            </w:tcMar>
            <w:vAlign w:val="center"/>
          </w:tcPr>
          <w:p w14:paraId="5EA2EBE5">
            <w:pPr>
              <w:spacing w:line="240" w:lineRule="auto"/>
              <w:ind w:firstLine="0" w:firstLineChars="0"/>
              <w:jc w:val="center"/>
              <w:rPr>
                <w:color w:val="auto"/>
                <w:spacing w:val="-6"/>
              </w:rPr>
            </w:pPr>
            <w:r>
              <w:rPr>
                <w:color w:val="auto"/>
                <w:spacing w:val="-6"/>
              </w:rPr>
              <w:t>用地（用海）</w:t>
            </w:r>
          </w:p>
          <w:p w14:paraId="099F4EB0">
            <w:pPr>
              <w:spacing w:line="240" w:lineRule="auto"/>
              <w:ind w:firstLine="0" w:firstLineChars="0"/>
              <w:jc w:val="center"/>
              <w:rPr>
                <w:color w:val="auto"/>
              </w:rPr>
            </w:pPr>
            <w:r>
              <w:rPr>
                <w:color w:val="auto"/>
                <w:spacing w:val="-6"/>
              </w:rPr>
              <w:t>面积（m</w:t>
            </w:r>
            <w:r>
              <w:rPr>
                <w:color w:val="auto"/>
                <w:spacing w:val="-6"/>
                <w:vertAlign w:val="superscript"/>
              </w:rPr>
              <w:t>2</w:t>
            </w:r>
            <w:r>
              <w:rPr>
                <w:color w:val="auto"/>
                <w:spacing w:val="-6"/>
              </w:rPr>
              <w:t>）</w:t>
            </w:r>
          </w:p>
        </w:tc>
        <w:tc>
          <w:tcPr>
            <w:tcW w:w="1701" w:type="pct"/>
            <w:noWrap w:val="0"/>
            <w:vAlign w:val="center"/>
          </w:tcPr>
          <w:p w14:paraId="516F477D">
            <w:pPr>
              <w:spacing w:line="240" w:lineRule="auto"/>
              <w:ind w:firstLine="0" w:firstLineChars="0"/>
              <w:jc w:val="center"/>
              <w:rPr>
                <w:color w:val="auto"/>
              </w:rPr>
            </w:pPr>
            <w:r>
              <w:rPr>
                <w:rFonts w:hint="eastAsia"/>
                <w:color w:val="auto"/>
              </w:rPr>
              <w:t>48849</w:t>
            </w:r>
          </w:p>
        </w:tc>
      </w:tr>
      <w:tr w14:paraId="0B5163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096" w:type="pct"/>
            <w:noWrap w:val="0"/>
            <w:vAlign w:val="center"/>
          </w:tcPr>
          <w:p w14:paraId="3D291EF5">
            <w:pPr>
              <w:autoSpaceDE w:val="0"/>
              <w:autoSpaceDN w:val="0"/>
              <w:adjustRightInd w:val="0"/>
              <w:snapToGrid w:val="0"/>
              <w:spacing w:line="240" w:lineRule="auto"/>
              <w:ind w:firstLine="0" w:firstLineChars="0"/>
              <w:jc w:val="center"/>
              <w:rPr>
                <w:rFonts w:ascii="宋体" w:hAnsi="宋体" w:cs="宋体"/>
                <w:color w:val="auto"/>
                <w:kern w:val="0"/>
              </w:rPr>
            </w:pPr>
            <w:r>
              <w:rPr>
                <w:rFonts w:hint="eastAsia" w:ascii="宋体" w:hAnsi="宋体" w:cs="宋体"/>
                <w:color w:val="auto"/>
                <w:kern w:val="0"/>
              </w:rPr>
              <w:t>专项评价设置情况</w:t>
            </w:r>
          </w:p>
        </w:tc>
        <w:tc>
          <w:tcPr>
            <w:tcW w:w="3904" w:type="pct"/>
            <w:gridSpan w:val="3"/>
            <w:noWrap w:val="0"/>
            <w:vAlign w:val="center"/>
          </w:tcPr>
          <w:p w14:paraId="1252F726">
            <w:pPr>
              <w:pStyle w:val="28"/>
              <w:spacing w:line="360" w:lineRule="auto"/>
              <w:ind w:firstLine="480" w:firstLineChars="200"/>
              <w:jc w:val="both"/>
              <w:rPr>
                <w:color w:val="auto"/>
                <w:sz w:val="24"/>
                <w:szCs w:val="24"/>
              </w:rPr>
            </w:pPr>
            <w:r>
              <w:rPr>
                <w:color w:val="auto"/>
                <w:sz w:val="24"/>
                <w:szCs w:val="24"/>
              </w:rPr>
              <w:t>根据《建设项目环境报告表编制技术指南（污染影响类）（试行）》中专项评价设置要求对照本项目，具体分析如下：</w:t>
            </w:r>
          </w:p>
          <w:p w14:paraId="48422057">
            <w:pPr>
              <w:pStyle w:val="29"/>
              <w:keepNext/>
              <w:keepLines w:val="0"/>
              <w:pageBreakBefore w:val="0"/>
              <w:widowControl w:val="0"/>
              <w:kinsoku/>
              <w:wordWrap/>
              <w:overflowPunct/>
              <w:topLinePunct w:val="0"/>
              <w:autoSpaceDE/>
              <w:autoSpaceDN/>
              <w:bidi w:val="0"/>
              <w:adjustRightInd/>
              <w:snapToGrid w:val="0"/>
              <w:spacing w:before="0" w:beforeLines="0" w:after="0" w:afterLines="0"/>
              <w:textAlignment w:val="auto"/>
              <w:rPr>
                <w:bCs/>
                <w:color w:val="auto"/>
                <w:szCs w:val="21"/>
              </w:rPr>
            </w:pPr>
            <w:r>
              <w:rPr>
                <w:color w:val="auto"/>
              </w:rPr>
              <w:t>表1-1</w:t>
            </w:r>
            <w:r>
              <w:rPr>
                <w:rFonts w:hint="eastAsia"/>
                <w:color w:val="auto"/>
                <w:lang w:val="en-US" w:eastAsia="zh-CN"/>
              </w:rPr>
              <w:t xml:space="preserve">  </w:t>
            </w:r>
            <w:r>
              <w:rPr>
                <w:color w:val="auto"/>
              </w:rPr>
              <w:t>专项评价设置原则与本项目判定情况对照表</w:t>
            </w:r>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1"/>
              <w:gridCol w:w="2478"/>
              <w:gridCol w:w="3772"/>
              <w:gridCol w:w="890"/>
            </w:tblGrid>
            <w:tr w14:paraId="74D76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6" w:type="pct"/>
                  <w:noWrap w:val="0"/>
                  <w:vAlign w:val="center"/>
                </w:tcPr>
                <w:p w14:paraId="44D648F6">
                  <w:pPr>
                    <w:pStyle w:val="28"/>
                    <w:rPr>
                      <w:b/>
                      <w:bCs/>
                      <w:color w:val="auto"/>
                    </w:rPr>
                  </w:pPr>
                  <w:r>
                    <w:rPr>
                      <w:b/>
                      <w:bCs/>
                      <w:color w:val="auto"/>
                    </w:rPr>
                    <w:t>专项评价的类别</w:t>
                  </w:r>
                </w:p>
              </w:tc>
              <w:tc>
                <w:tcPr>
                  <w:tcW w:w="1518" w:type="pct"/>
                  <w:noWrap w:val="0"/>
                  <w:vAlign w:val="center"/>
                </w:tcPr>
                <w:p w14:paraId="03725379">
                  <w:pPr>
                    <w:pStyle w:val="28"/>
                    <w:rPr>
                      <w:b/>
                      <w:bCs/>
                      <w:color w:val="auto"/>
                    </w:rPr>
                  </w:pPr>
                  <w:r>
                    <w:rPr>
                      <w:b/>
                      <w:bCs/>
                      <w:color w:val="auto"/>
                    </w:rPr>
                    <w:t>设置原则</w:t>
                  </w:r>
                </w:p>
              </w:tc>
              <w:tc>
                <w:tcPr>
                  <w:tcW w:w="2311" w:type="pct"/>
                  <w:noWrap w:val="0"/>
                  <w:vAlign w:val="center"/>
                </w:tcPr>
                <w:p w14:paraId="1948A166">
                  <w:pPr>
                    <w:pStyle w:val="28"/>
                    <w:rPr>
                      <w:b/>
                      <w:bCs/>
                      <w:color w:val="auto"/>
                    </w:rPr>
                  </w:pPr>
                  <w:r>
                    <w:rPr>
                      <w:rFonts w:hint="eastAsia"/>
                      <w:b/>
                      <w:bCs/>
                      <w:color w:val="auto"/>
                    </w:rPr>
                    <w:t>项目情况</w:t>
                  </w:r>
                </w:p>
              </w:tc>
              <w:tc>
                <w:tcPr>
                  <w:tcW w:w="545" w:type="pct"/>
                  <w:noWrap w:val="0"/>
                  <w:vAlign w:val="center"/>
                </w:tcPr>
                <w:p w14:paraId="0F20B708">
                  <w:pPr>
                    <w:pStyle w:val="28"/>
                    <w:rPr>
                      <w:rFonts w:hint="eastAsia"/>
                      <w:b/>
                      <w:bCs/>
                      <w:color w:val="auto"/>
                      <w:lang w:val="en-US" w:eastAsia="zh-CN"/>
                    </w:rPr>
                  </w:pPr>
                  <w:r>
                    <w:rPr>
                      <w:rFonts w:hint="eastAsia"/>
                      <w:b/>
                      <w:bCs/>
                      <w:color w:val="auto"/>
                      <w:lang w:val="en-US" w:eastAsia="zh-CN"/>
                    </w:rPr>
                    <w:t>是否</w:t>
                  </w:r>
                </w:p>
                <w:p w14:paraId="0EB1C1A6">
                  <w:pPr>
                    <w:pStyle w:val="28"/>
                    <w:rPr>
                      <w:rFonts w:hint="default" w:eastAsia="宋体"/>
                      <w:b/>
                      <w:bCs/>
                      <w:color w:val="auto"/>
                      <w:lang w:val="en-US" w:eastAsia="zh-CN"/>
                    </w:rPr>
                  </w:pPr>
                  <w:r>
                    <w:rPr>
                      <w:rFonts w:hint="eastAsia"/>
                      <w:b/>
                      <w:bCs/>
                      <w:color w:val="auto"/>
                      <w:lang w:val="en-US" w:eastAsia="zh-CN"/>
                    </w:rPr>
                    <w:t>设置</w:t>
                  </w:r>
                </w:p>
              </w:tc>
            </w:tr>
            <w:tr w14:paraId="651AF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6" w:type="pct"/>
                  <w:noWrap w:val="0"/>
                  <w:vAlign w:val="center"/>
                </w:tcPr>
                <w:p w14:paraId="40E5A455">
                  <w:pPr>
                    <w:pStyle w:val="28"/>
                    <w:rPr>
                      <w:color w:val="auto"/>
                    </w:rPr>
                  </w:pPr>
                  <w:r>
                    <w:rPr>
                      <w:color w:val="auto"/>
                    </w:rPr>
                    <w:t>大气</w:t>
                  </w:r>
                </w:p>
              </w:tc>
              <w:tc>
                <w:tcPr>
                  <w:tcW w:w="1518" w:type="pct"/>
                  <w:noWrap w:val="0"/>
                  <w:vAlign w:val="center"/>
                </w:tcPr>
                <w:p w14:paraId="6B635B93">
                  <w:pPr>
                    <w:pStyle w:val="28"/>
                    <w:jc w:val="both"/>
                    <w:rPr>
                      <w:color w:val="auto"/>
                    </w:rPr>
                  </w:pPr>
                  <w:r>
                    <w:rPr>
                      <w:color w:val="auto"/>
                    </w:rPr>
                    <w:t>排放废气含有毒有害污染物1、二噁英、苯并[a]芘、氰化物、氯气且厂界外500米范围内有环境空气保护目标2的建设项目</w:t>
                  </w:r>
                </w:p>
              </w:tc>
              <w:tc>
                <w:tcPr>
                  <w:tcW w:w="2311" w:type="pct"/>
                  <w:noWrap w:val="0"/>
                  <w:vAlign w:val="center"/>
                </w:tcPr>
                <w:p w14:paraId="2E8CABCD">
                  <w:pPr>
                    <w:pStyle w:val="28"/>
                    <w:jc w:val="both"/>
                    <w:rPr>
                      <w:color w:val="auto"/>
                    </w:rPr>
                  </w:pPr>
                  <w:r>
                    <w:rPr>
                      <w:color w:val="auto"/>
                    </w:rPr>
                    <w:t>本项目废气排放为颗粒物、二氧化硫和氮氧化物，不涉及排放</w:t>
                  </w:r>
                  <w:r>
                    <w:rPr>
                      <w:rFonts w:hint="eastAsia"/>
                      <w:color w:val="auto"/>
                      <w:lang w:val="en-US" w:eastAsia="zh-CN"/>
                    </w:rPr>
                    <w:t xml:space="preserve"> </w:t>
                  </w:r>
                  <w:r>
                    <w:rPr>
                      <w:color w:val="auto"/>
                    </w:rPr>
                    <w:t>《有毒有害大气污染物名录》中确定的有毒有害污染物及二噁英、苯并[a]芘、氰化物、氯气等污染物</w:t>
                  </w:r>
                </w:p>
              </w:tc>
              <w:tc>
                <w:tcPr>
                  <w:tcW w:w="545" w:type="pct"/>
                  <w:noWrap w:val="0"/>
                  <w:vAlign w:val="center"/>
                </w:tcPr>
                <w:p w14:paraId="3928C15F">
                  <w:pPr>
                    <w:pStyle w:val="28"/>
                    <w:rPr>
                      <w:rFonts w:hint="eastAsia" w:eastAsia="宋体"/>
                      <w:color w:val="auto"/>
                      <w:lang w:eastAsia="zh-CN"/>
                    </w:rPr>
                  </w:pPr>
                  <w:r>
                    <w:rPr>
                      <w:rFonts w:hint="eastAsia"/>
                      <w:color w:val="auto"/>
                      <w:lang w:val="en-US" w:eastAsia="zh-CN"/>
                    </w:rPr>
                    <w:t>否</w:t>
                  </w:r>
                </w:p>
              </w:tc>
            </w:tr>
            <w:tr w14:paraId="2E27B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6" w:type="pct"/>
                  <w:noWrap w:val="0"/>
                  <w:vAlign w:val="center"/>
                </w:tcPr>
                <w:p w14:paraId="5363C9B5">
                  <w:pPr>
                    <w:pStyle w:val="28"/>
                    <w:rPr>
                      <w:color w:val="auto"/>
                    </w:rPr>
                  </w:pPr>
                  <w:r>
                    <w:rPr>
                      <w:color w:val="auto"/>
                    </w:rPr>
                    <w:t>地表水</w:t>
                  </w:r>
                </w:p>
              </w:tc>
              <w:tc>
                <w:tcPr>
                  <w:tcW w:w="1518" w:type="pct"/>
                  <w:noWrap w:val="0"/>
                  <w:vAlign w:val="center"/>
                </w:tcPr>
                <w:p w14:paraId="764EDC09">
                  <w:pPr>
                    <w:pStyle w:val="28"/>
                    <w:jc w:val="both"/>
                    <w:rPr>
                      <w:color w:val="auto"/>
                    </w:rPr>
                  </w:pPr>
                  <w:r>
                    <w:rPr>
                      <w:color w:val="auto"/>
                    </w:rPr>
                    <w:t>新增工业废水直排建设项目（槽罐车外送污水处理厂的除外）；新增废水直排的污水集中处理厂</w:t>
                  </w:r>
                </w:p>
              </w:tc>
              <w:tc>
                <w:tcPr>
                  <w:tcW w:w="2311" w:type="pct"/>
                  <w:noWrap w:val="0"/>
                  <w:vAlign w:val="center"/>
                </w:tcPr>
                <w:p w14:paraId="0003CBCE">
                  <w:pPr>
                    <w:pStyle w:val="28"/>
                    <w:jc w:val="both"/>
                    <w:rPr>
                      <w:rFonts w:hint="default" w:eastAsia="宋体"/>
                      <w:color w:val="auto"/>
                      <w:lang w:val="en-US" w:eastAsia="zh-CN"/>
                    </w:rPr>
                  </w:pPr>
                  <w:r>
                    <w:rPr>
                      <w:color w:val="auto"/>
                    </w:rPr>
                    <w:t>本项目</w:t>
                  </w:r>
                  <w:r>
                    <w:rPr>
                      <w:rFonts w:hint="eastAsia"/>
                      <w:color w:val="auto"/>
                    </w:rPr>
                    <w:t>生产废水主要为试验区废水、锅炉清净水、搅拌机清洗废水及罐车清洗废水，生产废水收集经沉淀池处理后回用于混凝土搅拌，不外排。食堂废水和其他生活污水经</w:t>
                  </w:r>
                  <w:r>
                    <w:rPr>
                      <w:rFonts w:hint="eastAsia"/>
                      <w:color w:val="auto"/>
                      <w:lang w:val="en-US" w:eastAsia="zh-CN"/>
                    </w:rPr>
                    <w:t>油水分离器</w:t>
                  </w:r>
                  <w:r>
                    <w:rPr>
                      <w:rFonts w:hint="eastAsia"/>
                      <w:color w:val="auto"/>
                    </w:rPr>
                    <w:t>、化粪池处理后委托环卫公司清掏处置。</w:t>
                  </w:r>
                </w:p>
              </w:tc>
              <w:tc>
                <w:tcPr>
                  <w:tcW w:w="545" w:type="pct"/>
                  <w:noWrap w:val="0"/>
                  <w:vAlign w:val="center"/>
                </w:tcPr>
                <w:p w14:paraId="59AA6251">
                  <w:pPr>
                    <w:pStyle w:val="28"/>
                    <w:rPr>
                      <w:color w:val="auto"/>
                    </w:rPr>
                  </w:pPr>
                  <w:r>
                    <w:rPr>
                      <w:rFonts w:hint="eastAsia"/>
                      <w:color w:val="auto"/>
                      <w:lang w:val="en-US" w:eastAsia="zh-CN"/>
                    </w:rPr>
                    <w:t>否</w:t>
                  </w:r>
                </w:p>
              </w:tc>
            </w:tr>
            <w:tr w14:paraId="335ED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6" w:type="pct"/>
                  <w:noWrap w:val="0"/>
                  <w:vAlign w:val="center"/>
                </w:tcPr>
                <w:p w14:paraId="60A4576B">
                  <w:pPr>
                    <w:pStyle w:val="28"/>
                    <w:rPr>
                      <w:color w:val="auto"/>
                    </w:rPr>
                  </w:pPr>
                  <w:r>
                    <w:rPr>
                      <w:color w:val="auto"/>
                    </w:rPr>
                    <w:t>环境</w:t>
                  </w:r>
                </w:p>
                <w:p w14:paraId="558F39AF">
                  <w:pPr>
                    <w:pStyle w:val="28"/>
                    <w:rPr>
                      <w:color w:val="auto"/>
                    </w:rPr>
                  </w:pPr>
                  <w:r>
                    <w:rPr>
                      <w:color w:val="auto"/>
                    </w:rPr>
                    <w:t>风险</w:t>
                  </w:r>
                </w:p>
              </w:tc>
              <w:tc>
                <w:tcPr>
                  <w:tcW w:w="1518" w:type="pct"/>
                  <w:noWrap w:val="0"/>
                  <w:vAlign w:val="center"/>
                </w:tcPr>
                <w:p w14:paraId="3484921F">
                  <w:pPr>
                    <w:pStyle w:val="28"/>
                    <w:jc w:val="both"/>
                    <w:rPr>
                      <w:color w:val="auto"/>
                    </w:rPr>
                  </w:pPr>
                  <w:r>
                    <w:rPr>
                      <w:color w:val="auto"/>
                    </w:rPr>
                    <w:t>有毒有害和易燃易爆危险物质存储量超过临界量3的建设项目</w:t>
                  </w:r>
                </w:p>
              </w:tc>
              <w:tc>
                <w:tcPr>
                  <w:tcW w:w="2311" w:type="pct"/>
                  <w:noWrap w:val="0"/>
                  <w:vAlign w:val="center"/>
                </w:tcPr>
                <w:p w14:paraId="58D8A56A">
                  <w:pPr>
                    <w:pStyle w:val="28"/>
                    <w:jc w:val="both"/>
                    <w:rPr>
                      <w:color w:val="auto"/>
                    </w:rPr>
                  </w:pPr>
                  <w:r>
                    <w:rPr>
                      <w:color w:val="auto"/>
                    </w:rPr>
                    <w:t>本项目不涉及有毒有害物质，涉及的</w:t>
                  </w:r>
                  <w:r>
                    <w:rPr>
                      <w:rFonts w:hint="eastAsia"/>
                      <w:color w:val="auto"/>
                    </w:rPr>
                    <w:t>危险废物</w:t>
                  </w:r>
                  <w:r>
                    <w:rPr>
                      <w:color w:val="auto"/>
                    </w:rPr>
                    <w:t>存储量不超过临界量，经计算，Q=0.</w:t>
                  </w:r>
                  <w:r>
                    <w:rPr>
                      <w:rFonts w:hint="eastAsia"/>
                      <w:color w:val="auto"/>
                    </w:rPr>
                    <w:t>0002</w:t>
                  </w:r>
                  <w:r>
                    <w:rPr>
                      <w:color w:val="auto"/>
                    </w:rPr>
                    <w:t>＜1。</w:t>
                  </w:r>
                </w:p>
              </w:tc>
              <w:tc>
                <w:tcPr>
                  <w:tcW w:w="545" w:type="pct"/>
                  <w:noWrap w:val="0"/>
                  <w:vAlign w:val="center"/>
                </w:tcPr>
                <w:p w14:paraId="35127907">
                  <w:pPr>
                    <w:pStyle w:val="28"/>
                    <w:rPr>
                      <w:color w:val="auto"/>
                    </w:rPr>
                  </w:pPr>
                  <w:r>
                    <w:rPr>
                      <w:rFonts w:hint="eastAsia"/>
                      <w:color w:val="auto"/>
                      <w:lang w:val="en-US" w:eastAsia="zh-CN"/>
                    </w:rPr>
                    <w:t>否</w:t>
                  </w:r>
                </w:p>
              </w:tc>
            </w:tr>
            <w:tr w14:paraId="6AA35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6" w:type="pct"/>
                  <w:noWrap w:val="0"/>
                  <w:vAlign w:val="center"/>
                </w:tcPr>
                <w:p w14:paraId="6922E794">
                  <w:pPr>
                    <w:pStyle w:val="28"/>
                    <w:rPr>
                      <w:color w:val="auto"/>
                    </w:rPr>
                  </w:pPr>
                  <w:r>
                    <w:rPr>
                      <w:color w:val="auto"/>
                    </w:rPr>
                    <w:t>生态</w:t>
                  </w:r>
                </w:p>
              </w:tc>
              <w:tc>
                <w:tcPr>
                  <w:tcW w:w="1518" w:type="pct"/>
                  <w:noWrap w:val="0"/>
                  <w:vAlign w:val="center"/>
                </w:tcPr>
                <w:p w14:paraId="76C3F71D">
                  <w:pPr>
                    <w:pStyle w:val="28"/>
                    <w:jc w:val="both"/>
                    <w:rPr>
                      <w:color w:val="auto"/>
                    </w:rPr>
                  </w:pPr>
                  <w:r>
                    <w:rPr>
                      <w:color w:val="auto"/>
                    </w:rPr>
                    <w:t>取水口下游500米范围内有重要水生生物的自然产卵场、索饵场、越冬场和洄游通道的新增河道取水的污染类建设项目</w:t>
                  </w:r>
                </w:p>
              </w:tc>
              <w:tc>
                <w:tcPr>
                  <w:tcW w:w="2311" w:type="pct"/>
                  <w:noWrap w:val="0"/>
                  <w:vAlign w:val="center"/>
                </w:tcPr>
                <w:p w14:paraId="458617A2">
                  <w:pPr>
                    <w:pStyle w:val="28"/>
                    <w:jc w:val="both"/>
                    <w:rPr>
                      <w:color w:val="auto"/>
                    </w:rPr>
                  </w:pPr>
                  <w:r>
                    <w:rPr>
                      <w:color w:val="auto"/>
                    </w:rPr>
                    <w:t>项目取水采用自来水，不涉及取水口</w:t>
                  </w:r>
                </w:p>
              </w:tc>
              <w:tc>
                <w:tcPr>
                  <w:tcW w:w="545" w:type="pct"/>
                  <w:noWrap w:val="0"/>
                  <w:vAlign w:val="center"/>
                </w:tcPr>
                <w:p w14:paraId="5963F6DD">
                  <w:pPr>
                    <w:pStyle w:val="28"/>
                    <w:rPr>
                      <w:color w:val="auto"/>
                    </w:rPr>
                  </w:pPr>
                  <w:r>
                    <w:rPr>
                      <w:rFonts w:hint="eastAsia"/>
                      <w:color w:val="auto"/>
                      <w:lang w:val="en-US" w:eastAsia="zh-CN"/>
                    </w:rPr>
                    <w:t>否</w:t>
                  </w:r>
                </w:p>
              </w:tc>
            </w:tr>
            <w:tr w14:paraId="18C9E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26" w:type="pct"/>
                  <w:noWrap w:val="0"/>
                  <w:vAlign w:val="center"/>
                </w:tcPr>
                <w:p w14:paraId="0A4CDA07">
                  <w:pPr>
                    <w:pStyle w:val="28"/>
                    <w:rPr>
                      <w:color w:val="auto"/>
                    </w:rPr>
                  </w:pPr>
                  <w:r>
                    <w:rPr>
                      <w:color w:val="auto"/>
                    </w:rPr>
                    <w:t>海洋</w:t>
                  </w:r>
                </w:p>
              </w:tc>
              <w:tc>
                <w:tcPr>
                  <w:tcW w:w="1518" w:type="pct"/>
                  <w:noWrap w:val="0"/>
                  <w:vAlign w:val="center"/>
                </w:tcPr>
                <w:p w14:paraId="2E3C97AE">
                  <w:pPr>
                    <w:pStyle w:val="28"/>
                    <w:jc w:val="both"/>
                    <w:rPr>
                      <w:color w:val="auto"/>
                    </w:rPr>
                  </w:pPr>
                  <w:r>
                    <w:rPr>
                      <w:color w:val="auto"/>
                    </w:rPr>
                    <w:t>直接向海排放污染物的海洋工程建设项目</w:t>
                  </w:r>
                </w:p>
              </w:tc>
              <w:tc>
                <w:tcPr>
                  <w:tcW w:w="2311" w:type="pct"/>
                  <w:noWrap w:val="0"/>
                  <w:vAlign w:val="center"/>
                </w:tcPr>
                <w:p w14:paraId="6AA1DE76">
                  <w:pPr>
                    <w:pStyle w:val="28"/>
                    <w:jc w:val="both"/>
                    <w:rPr>
                      <w:rFonts w:hint="default" w:eastAsia="宋体"/>
                      <w:color w:val="auto"/>
                      <w:lang w:val="en-US" w:eastAsia="zh-CN"/>
                    </w:rPr>
                  </w:pPr>
                  <w:r>
                    <w:rPr>
                      <w:rFonts w:hint="eastAsia"/>
                      <w:color w:val="auto"/>
                    </w:rPr>
                    <w:t>项目不属于海洋工程建设项目</w:t>
                  </w:r>
                </w:p>
              </w:tc>
              <w:tc>
                <w:tcPr>
                  <w:tcW w:w="545" w:type="pct"/>
                  <w:noWrap w:val="0"/>
                  <w:vAlign w:val="center"/>
                </w:tcPr>
                <w:p w14:paraId="0F60DED2">
                  <w:pPr>
                    <w:pStyle w:val="28"/>
                    <w:rPr>
                      <w:color w:val="auto"/>
                    </w:rPr>
                  </w:pPr>
                  <w:r>
                    <w:rPr>
                      <w:rFonts w:hint="eastAsia"/>
                      <w:color w:val="auto"/>
                      <w:lang w:val="en-US" w:eastAsia="zh-CN"/>
                    </w:rPr>
                    <w:t>否</w:t>
                  </w:r>
                </w:p>
              </w:tc>
            </w:tr>
            <w:tr w14:paraId="55D9B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9" w:hRule="atLeast"/>
                <w:jc w:val="center"/>
              </w:trPr>
              <w:tc>
                <w:tcPr>
                  <w:tcW w:w="5000" w:type="pct"/>
                  <w:gridSpan w:val="4"/>
                  <w:noWrap w:val="0"/>
                  <w:vAlign w:val="center"/>
                </w:tcPr>
                <w:p w14:paraId="74D071C8">
                  <w:pPr>
                    <w:pStyle w:val="28"/>
                    <w:jc w:val="both"/>
                    <w:rPr>
                      <w:b w:val="0"/>
                      <w:bCs w:val="0"/>
                      <w:color w:val="auto"/>
                    </w:rPr>
                  </w:pPr>
                  <w:r>
                    <w:rPr>
                      <w:b w:val="0"/>
                      <w:bCs w:val="0"/>
                      <w:color w:val="auto"/>
                    </w:rPr>
                    <w:t>注：1.废气中有毒有害污染物指纳入《有毒有害大气污染物名录》的污染物（不包括无排放标准的污染物）。</w:t>
                  </w:r>
                </w:p>
                <w:p w14:paraId="3D96154F">
                  <w:pPr>
                    <w:pStyle w:val="28"/>
                    <w:jc w:val="both"/>
                    <w:rPr>
                      <w:b w:val="0"/>
                      <w:bCs w:val="0"/>
                      <w:color w:val="auto"/>
                    </w:rPr>
                  </w:pPr>
                  <w:r>
                    <w:rPr>
                      <w:b w:val="0"/>
                      <w:bCs w:val="0"/>
                      <w:color w:val="auto"/>
                    </w:rPr>
                    <w:t>2.环境空气保护目标指自然保护区、风景名胜区、居住区、文化区和农村地区中人群较集中的区域。</w:t>
                  </w:r>
                </w:p>
                <w:p w14:paraId="70E54AD5">
                  <w:pPr>
                    <w:pStyle w:val="28"/>
                    <w:jc w:val="both"/>
                    <w:rPr>
                      <w:b/>
                      <w:bCs/>
                      <w:color w:val="auto"/>
                    </w:rPr>
                  </w:pPr>
                  <w:r>
                    <w:rPr>
                      <w:b w:val="0"/>
                      <w:bCs w:val="0"/>
                      <w:color w:val="auto"/>
                    </w:rPr>
                    <w:t>3.临界量及其计算方法可参考《建设项目环境风险评价技术导则》（HJ169）附录B、附录C。</w:t>
                  </w:r>
                </w:p>
              </w:tc>
            </w:tr>
          </w:tbl>
          <w:p w14:paraId="5801DDEF">
            <w:pPr>
              <w:autoSpaceDE w:val="0"/>
              <w:autoSpaceDN w:val="0"/>
              <w:spacing w:line="240" w:lineRule="auto"/>
              <w:ind w:firstLine="480"/>
              <w:rPr>
                <w:color w:val="auto"/>
                <w:kern w:val="0"/>
              </w:rPr>
            </w:pPr>
            <w:r>
              <w:rPr>
                <w:color w:val="auto"/>
              </w:rPr>
              <w:t>根据上表判定分析，本项目不设置专项评价。</w:t>
            </w:r>
          </w:p>
        </w:tc>
      </w:tr>
      <w:tr w14:paraId="3FA7AA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96" w:type="pct"/>
            <w:noWrap w:val="0"/>
            <w:vAlign w:val="center"/>
          </w:tcPr>
          <w:p w14:paraId="014083FF">
            <w:pPr>
              <w:autoSpaceDE w:val="0"/>
              <w:autoSpaceDN w:val="0"/>
              <w:spacing w:line="240" w:lineRule="auto"/>
              <w:ind w:firstLine="0" w:firstLineChars="0"/>
              <w:jc w:val="center"/>
              <w:rPr>
                <w:rFonts w:hint="eastAsia" w:ascii="宋体" w:hAnsi="宋体" w:cs="宋体"/>
                <w:color w:val="auto"/>
                <w:kern w:val="0"/>
              </w:rPr>
            </w:pPr>
            <w:r>
              <w:rPr>
                <w:rFonts w:hint="eastAsia" w:ascii="宋体" w:hAnsi="宋体" w:cs="宋体"/>
                <w:color w:val="auto"/>
              </w:rPr>
              <w:t>规划情况</w:t>
            </w:r>
          </w:p>
        </w:tc>
        <w:tc>
          <w:tcPr>
            <w:tcW w:w="3904" w:type="pct"/>
            <w:gridSpan w:val="3"/>
            <w:noWrap w:val="0"/>
            <w:vAlign w:val="center"/>
          </w:tcPr>
          <w:p w14:paraId="761BC9B5">
            <w:pPr>
              <w:ind w:firstLine="482"/>
              <w:jc w:val="center"/>
              <w:rPr>
                <w:rFonts w:hint="eastAsia" w:eastAsia="宋体"/>
                <w:b/>
                <w:bCs/>
                <w:color w:val="auto"/>
                <w:lang w:val="en-US" w:eastAsia="zh-CN"/>
              </w:rPr>
            </w:pPr>
            <w:r>
              <w:rPr>
                <w:rFonts w:hint="eastAsia"/>
                <w:b w:val="0"/>
                <w:bCs w:val="0"/>
                <w:color w:val="auto"/>
                <w:lang w:val="en-US" w:eastAsia="zh-CN"/>
              </w:rPr>
              <w:t>无</w:t>
            </w:r>
          </w:p>
        </w:tc>
      </w:tr>
      <w:tr w14:paraId="33F449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096" w:type="pct"/>
            <w:noWrap w:val="0"/>
            <w:vAlign w:val="center"/>
          </w:tcPr>
          <w:p w14:paraId="46BE6A4E">
            <w:pPr>
              <w:spacing w:line="240" w:lineRule="auto"/>
              <w:ind w:firstLine="0" w:firstLineChars="0"/>
              <w:jc w:val="center"/>
              <w:rPr>
                <w:rFonts w:hint="eastAsia" w:ascii="宋体" w:hAnsi="宋体" w:cs="宋体"/>
                <w:color w:val="auto"/>
                <w:kern w:val="0"/>
              </w:rPr>
            </w:pPr>
            <w:r>
              <w:rPr>
                <w:rFonts w:hint="eastAsia" w:ascii="宋体" w:hAnsi="宋体" w:cs="宋体"/>
                <w:color w:val="auto"/>
              </w:rPr>
              <w:t>规划环境影响评价情况</w:t>
            </w:r>
          </w:p>
        </w:tc>
        <w:tc>
          <w:tcPr>
            <w:tcW w:w="3904" w:type="pct"/>
            <w:gridSpan w:val="3"/>
            <w:noWrap w:val="0"/>
            <w:vAlign w:val="center"/>
          </w:tcPr>
          <w:p w14:paraId="2DF935D2">
            <w:pPr>
              <w:autoSpaceDE w:val="0"/>
              <w:autoSpaceDN w:val="0"/>
              <w:adjustRightInd w:val="0"/>
              <w:snapToGrid w:val="0"/>
              <w:spacing w:line="500" w:lineRule="exact"/>
              <w:ind w:firstLine="480"/>
              <w:jc w:val="center"/>
              <w:rPr>
                <w:color w:val="auto"/>
              </w:rPr>
            </w:pPr>
            <w:r>
              <w:rPr>
                <w:rFonts w:hint="eastAsia"/>
                <w:color w:val="auto"/>
              </w:rPr>
              <w:t>无</w:t>
            </w:r>
          </w:p>
        </w:tc>
      </w:tr>
      <w:tr w14:paraId="08F6EA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098" w:type="pct"/>
            <w:noWrap w:val="0"/>
            <w:vAlign w:val="center"/>
          </w:tcPr>
          <w:p w14:paraId="527054DC">
            <w:pPr>
              <w:autoSpaceDE w:val="0"/>
              <w:autoSpaceDN w:val="0"/>
              <w:spacing w:line="240" w:lineRule="auto"/>
              <w:ind w:firstLine="0" w:firstLineChars="0"/>
              <w:jc w:val="center"/>
              <w:rPr>
                <w:rFonts w:ascii="宋体" w:hAnsi="宋体" w:cs="宋体"/>
                <w:color w:val="auto"/>
                <w:kern w:val="0"/>
              </w:rPr>
            </w:pPr>
            <w:r>
              <w:rPr>
                <w:rFonts w:hint="eastAsia" w:ascii="宋体" w:hAnsi="宋体" w:cs="宋体"/>
                <w:color w:val="auto"/>
                <w:kern w:val="0"/>
              </w:rPr>
              <w:t>规划及规划环境影响评价符合性分析</w:t>
            </w:r>
          </w:p>
        </w:tc>
        <w:tc>
          <w:tcPr>
            <w:tcW w:w="3902" w:type="pct"/>
            <w:gridSpan w:val="3"/>
            <w:noWrap w:val="0"/>
            <w:vAlign w:val="center"/>
          </w:tcPr>
          <w:p w14:paraId="1418102C">
            <w:pPr>
              <w:spacing w:line="360" w:lineRule="auto"/>
              <w:ind w:firstLine="480"/>
              <w:jc w:val="center"/>
              <w:rPr>
                <w:rFonts w:hint="eastAsia" w:eastAsia="宋体"/>
                <w:color w:val="auto"/>
                <w:kern w:val="0"/>
                <w:highlight w:val="yellow"/>
                <w:lang w:val="en-US" w:eastAsia="zh-CN"/>
              </w:rPr>
            </w:pPr>
            <w:r>
              <w:rPr>
                <w:rFonts w:hint="eastAsia"/>
                <w:color w:val="auto"/>
                <w:kern w:val="0"/>
                <w:highlight w:val="none"/>
                <w:lang w:val="en-US" w:eastAsia="zh-CN"/>
              </w:rPr>
              <w:t>无</w:t>
            </w:r>
          </w:p>
        </w:tc>
      </w:tr>
      <w:tr w14:paraId="0B6830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98" w:type="pct"/>
            <w:noWrap w:val="0"/>
            <w:vAlign w:val="center"/>
          </w:tcPr>
          <w:p w14:paraId="23E2D7B4">
            <w:pPr>
              <w:autoSpaceDE w:val="0"/>
              <w:autoSpaceDN w:val="0"/>
              <w:spacing w:line="240" w:lineRule="auto"/>
              <w:ind w:firstLine="0" w:firstLineChars="0"/>
              <w:jc w:val="center"/>
              <w:rPr>
                <w:rFonts w:hint="eastAsia" w:ascii="宋体" w:hAnsi="宋体" w:cs="宋体"/>
                <w:color w:val="auto"/>
                <w:kern w:val="0"/>
              </w:rPr>
            </w:pPr>
            <w:r>
              <w:rPr>
                <w:rFonts w:hint="eastAsia" w:ascii="宋体" w:hAnsi="宋体" w:cs="宋体"/>
                <w:color w:val="auto"/>
                <w:kern w:val="0"/>
              </w:rPr>
              <w:t>其他符合性分析</w:t>
            </w:r>
          </w:p>
        </w:tc>
        <w:tc>
          <w:tcPr>
            <w:tcW w:w="3902" w:type="pct"/>
            <w:gridSpan w:val="3"/>
            <w:noWrap w:val="0"/>
            <w:vAlign w:val="top"/>
          </w:tcPr>
          <w:p w14:paraId="0A825E90">
            <w:pPr>
              <w:autoSpaceDE w:val="0"/>
              <w:autoSpaceDN w:val="0"/>
              <w:adjustRightInd w:val="0"/>
              <w:snapToGrid w:val="0"/>
              <w:spacing w:line="500" w:lineRule="exact"/>
              <w:ind w:firstLine="482"/>
              <w:rPr>
                <w:b/>
                <w:bCs/>
                <w:color w:val="auto"/>
                <w:kern w:val="0"/>
              </w:rPr>
            </w:pPr>
            <w:r>
              <w:rPr>
                <w:rFonts w:hint="eastAsia"/>
                <w:b/>
                <w:bCs/>
                <w:color w:val="auto"/>
                <w:kern w:val="0"/>
              </w:rPr>
              <w:t>1</w:t>
            </w:r>
            <w:r>
              <w:rPr>
                <w:b/>
                <w:bCs/>
                <w:color w:val="auto"/>
                <w:kern w:val="0"/>
              </w:rPr>
              <w:t>.1</w:t>
            </w:r>
            <w:r>
              <w:rPr>
                <w:rFonts w:hint="eastAsia"/>
                <w:b/>
                <w:bCs/>
                <w:color w:val="auto"/>
                <w:kern w:val="0"/>
              </w:rPr>
              <w:t>其他符合性分析</w:t>
            </w:r>
          </w:p>
          <w:p w14:paraId="456CB52B">
            <w:pPr>
              <w:autoSpaceDE w:val="0"/>
              <w:autoSpaceDN w:val="0"/>
              <w:adjustRightInd w:val="0"/>
              <w:snapToGrid w:val="0"/>
              <w:spacing w:line="500" w:lineRule="exact"/>
              <w:ind w:firstLine="482"/>
              <w:rPr>
                <w:rFonts w:hint="eastAsia"/>
                <w:b/>
                <w:bCs/>
                <w:color w:val="auto"/>
                <w:kern w:val="0"/>
              </w:rPr>
            </w:pPr>
            <w:r>
              <w:rPr>
                <w:rFonts w:hint="eastAsia"/>
                <w:b/>
                <w:bCs/>
                <w:color w:val="auto"/>
                <w:kern w:val="0"/>
              </w:rPr>
              <w:t>1.1.1产业政策符合性</w:t>
            </w:r>
          </w:p>
          <w:p w14:paraId="3C07C954">
            <w:pPr>
              <w:autoSpaceDE w:val="0"/>
              <w:autoSpaceDN w:val="0"/>
              <w:adjustRightInd w:val="0"/>
              <w:snapToGrid w:val="0"/>
              <w:spacing w:line="500" w:lineRule="exact"/>
              <w:ind w:firstLine="480"/>
              <w:rPr>
                <w:rFonts w:hint="eastAsia"/>
                <w:color w:val="auto"/>
                <w:kern w:val="0"/>
              </w:rPr>
            </w:pPr>
            <w:r>
              <w:rPr>
                <w:rFonts w:hint="eastAsia"/>
                <w:color w:val="auto"/>
                <w:kern w:val="0"/>
              </w:rPr>
              <w:t>根据《国民经济行业分类》（GB/T 4754-2017）（按第1号修改单修订），本项目属于非金属矿物制品业中“C302</w:t>
            </w:r>
            <w:r>
              <w:rPr>
                <w:color w:val="auto"/>
                <w:kern w:val="0"/>
              </w:rPr>
              <w:t>1</w:t>
            </w:r>
            <w:r>
              <w:rPr>
                <w:rFonts w:hint="eastAsia"/>
                <w:color w:val="auto"/>
                <w:kern w:val="0"/>
              </w:rPr>
              <w:t>水泥制品制造”。根据《产业结构调整指导目录》</w:t>
            </w:r>
            <w:r>
              <w:rPr>
                <w:rFonts w:hint="eastAsia"/>
                <w:color w:val="auto"/>
                <w:kern w:val="0"/>
                <w:lang w:val="en-US" w:eastAsia="zh-CN"/>
              </w:rPr>
              <w:t>2024</w:t>
            </w:r>
            <w:r>
              <w:rPr>
                <w:rFonts w:hint="eastAsia"/>
                <w:color w:val="auto"/>
                <w:kern w:val="0"/>
              </w:rPr>
              <w:t>年本中相关规定，本项目不属于限制类和淘汰类项目，视为允许类。且项目已经通过寻甸回族彝族自治县发展和改革局备案，项目代码：</w:t>
            </w:r>
            <w:r>
              <w:rPr>
                <w:color w:val="auto"/>
                <w:kern w:val="0"/>
              </w:rPr>
              <w:t>2309-530129-04-01-112150</w:t>
            </w:r>
            <w:r>
              <w:rPr>
                <w:rFonts w:hint="eastAsia"/>
                <w:color w:val="auto"/>
                <w:kern w:val="0"/>
              </w:rPr>
              <w:t>。因此本项目的建设符合国家产业政策的要求。</w:t>
            </w:r>
          </w:p>
          <w:p w14:paraId="5ADB978D">
            <w:pPr>
              <w:ind w:firstLine="482"/>
              <w:rPr>
                <w:b/>
                <w:bCs/>
                <w:color w:val="auto"/>
              </w:rPr>
            </w:pPr>
            <w:r>
              <w:rPr>
                <w:rFonts w:hint="eastAsia"/>
                <w:b/>
                <w:bCs/>
                <w:color w:val="auto"/>
                <w:lang w:val="en-US" w:eastAsia="zh-CN"/>
              </w:rPr>
              <w:t>1.1.2</w:t>
            </w:r>
            <w:r>
              <w:rPr>
                <w:b/>
                <w:bCs/>
                <w:color w:val="auto"/>
              </w:rPr>
              <w:t>、与《牛栏江流域（寻甸段）水环境保护规划（2011~2030）》的相符性分析</w:t>
            </w:r>
          </w:p>
          <w:p w14:paraId="4590C26A">
            <w:pPr>
              <w:ind w:firstLine="480"/>
              <w:rPr>
                <w:color w:val="auto"/>
              </w:rPr>
            </w:pPr>
            <w:r>
              <w:rPr>
                <w:color w:val="auto"/>
              </w:rPr>
              <w:t>根据《牛栏江流域（寻甸段）水环境保护分区》规划图</w:t>
            </w:r>
            <w:r>
              <w:rPr>
                <w:rFonts w:hint="eastAsia"/>
                <w:color w:val="auto"/>
              </w:rPr>
              <w:t>（详见附图</w:t>
            </w:r>
            <w:r>
              <w:rPr>
                <w:rFonts w:hint="eastAsia"/>
                <w:color w:val="auto"/>
                <w:lang w:val="en-US" w:eastAsia="zh-CN"/>
              </w:rPr>
              <w:t>5</w:t>
            </w:r>
            <w:r>
              <w:rPr>
                <w:rFonts w:hint="eastAsia"/>
                <w:color w:val="auto"/>
              </w:rPr>
              <w:t>），项目属于牛栏江流域（寻甸段）干流沿岸外200m-1000m区域，属于限制建设</w:t>
            </w:r>
            <w:r>
              <w:rPr>
                <w:color w:val="auto"/>
              </w:rPr>
              <w:t>区，项目符合性分析见</w:t>
            </w:r>
            <w:r>
              <w:rPr>
                <w:rFonts w:hint="eastAsia"/>
                <w:color w:val="auto"/>
              </w:rPr>
              <w:t>下</w:t>
            </w:r>
            <w:r>
              <w:rPr>
                <w:color w:val="auto"/>
              </w:rPr>
              <w:t>表：</w:t>
            </w:r>
          </w:p>
          <w:p w14:paraId="07FFD1F6">
            <w:pPr>
              <w:pStyle w:val="29"/>
              <w:spacing w:before="24" w:after="24"/>
              <w:rPr>
                <w:color w:val="auto"/>
              </w:rPr>
            </w:pPr>
            <w:r>
              <w:rPr>
                <w:color w:val="auto"/>
              </w:rPr>
              <w:t>表</w:t>
            </w:r>
            <w:r>
              <w:rPr>
                <w:rFonts w:hint="eastAsia"/>
                <w:color w:val="auto"/>
              </w:rPr>
              <w:t>1</w:t>
            </w:r>
            <w:r>
              <w:rPr>
                <w:color w:val="auto"/>
              </w:rPr>
              <w:t>-</w:t>
            </w:r>
            <w:r>
              <w:rPr>
                <w:rFonts w:hint="eastAsia"/>
                <w:color w:val="auto"/>
                <w:lang w:val="en-US" w:eastAsia="zh-CN"/>
              </w:rPr>
              <w:t>2</w:t>
            </w:r>
            <w:r>
              <w:rPr>
                <w:rFonts w:hint="eastAsia"/>
                <w:color w:val="auto"/>
              </w:rPr>
              <w:t xml:space="preserve">  </w:t>
            </w:r>
            <w:r>
              <w:rPr>
                <w:color w:val="auto"/>
              </w:rPr>
              <w:t>与《牛栏江流域（寻甸段）水环境保护规划</w:t>
            </w:r>
          </w:p>
          <w:p w14:paraId="098E0474">
            <w:pPr>
              <w:pStyle w:val="29"/>
              <w:spacing w:before="24" w:after="24"/>
              <w:rPr>
                <w:color w:val="auto"/>
              </w:rPr>
            </w:pPr>
            <w:r>
              <w:rPr>
                <w:color w:val="auto"/>
              </w:rPr>
              <w:t>（2011~2030）》的相符性分析</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9"/>
              <w:gridCol w:w="3193"/>
              <w:gridCol w:w="3332"/>
              <w:gridCol w:w="956"/>
            </w:tblGrid>
            <w:tr w14:paraId="22770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tcBorders>
                    <w:top w:val="single" w:color="auto" w:sz="4" w:space="0"/>
                    <w:left w:val="single" w:color="auto" w:sz="4" w:space="0"/>
                    <w:bottom w:val="single" w:color="auto" w:sz="4" w:space="0"/>
                    <w:right w:val="single" w:color="auto" w:sz="4" w:space="0"/>
                  </w:tcBorders>
                  <w:noWrap w:val="0"/>
                  <w:vAlign w:val="center"/>
                </w:tcPr>
                <w:p w14:paraId="101488ED">
                  <w:pPr>
                    <w:pStyle w:val="28"/>
                    <w:rPr>
                      <w:b/>
                      <w:bCs/>
                      <w:color w:val="auto"/>
                    </w:rPr>
                  </w:pPr>
                  <w:r>
                    <w:rPr>
                      <w:b/>
                      <w:bCs/>
                      <w:color w:val="auto"/>
                    </w:rPr>
                    <w:t>序号</w:t>
                  </w:r>
                </w:p>
              </w:tc>
              <w:tc>
                <w:tcPr>
                  <w:tcW w:w="1956" w:type="pct"/>
                  <w:tcBorders>
                    <w:top w:val="single" w:color="auto" w:sz="4" w:space="0"/>
                    <w:left w:val="single" w:color="auto" w:sz="4" w:space="0"/>
                    <w:bottom w:val="single" w:color="auto" w:sz="4" w:space="0"/>
                    <w:right w:val="single" w:color="auto" w:sz="4" w:space="0"/>
                  </w:tcBorders>
                  <w:noWrap w:val="0"/>
                  <w:vAlign w:val="center"/>
                </w:tcPr>
                <w:p w14:paraId="1DFAB526">
                  <w:pPr>
                    <w:pStyle w:val="28"/>
                    <w:rPr>
                      <w:b/>
                      <w:bCs/>
                      <w:color w:val="auto"/>
                    </w:rPr>
                  </w:pPr>
                  <w:r>
                    <w:rPr>
                      <w:b/>
                      <w:bCs/>
                      <w:color w:val="auto"/>
                    </w:rPr>
                    <w:t>《牛栏江流域（寻甸段）水环境保护规划</w:t>
                  </w:r>
                  <w:r>
                    <w:rPr>
                      <w:rFonts w:hint="eastAsia"/>
                      <w:b/>
                      <w:bCs/>
                      <w:color w:val="auto"/>
                      <w:lang w:eastAsia="zh-CN"/>
                    </w:rPr>
                    <w:t>（</w:t>
                  </w:r>
                  <w:r>
                    <w:rPr>
                      <w:b/>
                      <w:bCs/>
                      <w:color w:val="auto"/>
                    </w:rPr>
                    <w:t>2011~2030</w:t>
                  </w:r>
                  <w:r>
                    <w:rPr>
                      <w:rFonts w:hint="eastAsia"/>
                      <w:b/>
                      <w:bCs/>
                      <w:color w:val="auto"/>
                      <w:lang w:eastAsia="zh-CN"/>
                    </w:rPr>
                    <w:t>）</w:t>
                  </w:r>
                  <w:r>
                    <w:rPr>
                      <w:b/>
                      <w:bCs/>
                      <w:color w:val="auto"/>
                    </w:rPr>
                    <w:t>》</w:t>
                  </w:r>
                  <w:r>
                    <w:rPr>
                      <w:rFonts w:hint="eastAsia"/>
                      <w:b/>
                      <w:bCs/>
                      <w:color w:val="auto"/>
                    </w:rPr>
                    <w:t>限制建设</w:t>
                  </w:r>
                  <w:r>
                    <w:rPr>
                      <w:b/>
                      <w:bCs/>
                      <w:color w:val="auto"/>
                    </w:rPr>
                    <w:t>区水环境保护策略</w:t>
                  </w:r>
                </w:p>
              </w:tc>
              <w:tc>
                <w:tcPr>
                  <w:tcW w:w="2041" w:type="pct"/>
                  <w:tcBorders>
                    <w:top w:val="single" w:color="auto" w:sz="4" w:space="0"/>
                    <w:left w:val="single" w:color="auto" w:sz="4" w:space="0"/>
                    <w:bottom w:val="single" w:color="auto" w:sz="4" w:space="0"/>
                    <w:right w:val="single" w:color="auto" w:sz="4" w:space="0"/>
                  </w:tcBorders>
                  <w:noWrap w:val="0"/>
                  <w:vAlign w:val="center"/>
                </w:tcPr>
                <w:p w14:paraId="02841FB0">
                  <w:pPr>
                    <w:pStyle w:val="28"/>
                    <w:rPr>
                      <w:b/>
                      <w:bCs/>
                      <w:color w:val="auto"/>
                    </w:rPr>
                  </w:pPr>
                  <w:r>
                    <w:rPr>
                      <w:rFonts w:hint="eastAsia"/>
                      <w:b/>
                      <w:bCs/>
                      <w:color w:val="auto"/>
                    </w:rPr>
                    <w:t>本</w:t>
                  </w:r>
                  <w:r>
                    <w:rPr>
                      <w:b/>
                      <w:bCs/>
                      <w:color w:val="auto"/>
                    </w:rPr>
                    <w:t>项目情况</w:t>
                  </w:r>
                </w:p>
              </w:tc>
              <w:tc>
                <w:tcPr>
                  <w:tcW w:w="585" w:type="pct"/>
                  <w:tcBorders>
                    <w:top w:val="single" w:color="auto" w:sz="4" w:space="0"/>
                    <w:left w:val="single" w:color="auto" w:sz="4" w:space="0"/>
                    <w:bottom w:val="single" w:color="auto" w:sz="4" w:space="0"/>
                    <w:right w:val="single" w:color="auto" w:sz="4" w:space="0"/>
                  </w:tcBorders>
                  <w:noWrap w:val="0"/>
                  <w:vAlign w:val="center"/>
                </w:tcPr>
                <w:p w14:paraId="357BA5F8">
                  <w:pPr>
                    <w:pStyle w:val="28"/>
                    <w:rPr>
                      <w:b/>
                      <w:bCs/>
                      <w:color w:val="auto"/>
                    </w:rPr>
                  </w:pPr>
                  <w:r>
                    <w:rPr>
                      <w:b/>
                      <w:bCs/>
                      <w:color w:val="auto"/>
                    </w:rPr>
                    <w:t>相符性</w:t>
                  </w:r>
                </w:p>
              </w:tc>
            </w:tr>
            <w:tr w14:paraId="5217A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tcBorders>
                    <w:top w:val="single" w:color="auto" w:sz="4" w:space="0"/>
                    <w:left w:val="single" w:color="auto" w:sz="4" w:space="0"/>
                    <w:bottom w:val="single" w:color="auto" w:sz="4" w:space="0"/>
                    <w:right w:val="single" w:color="auto" w:sz="4" w:space="0"/>
                  </w:tcBorders>
                  <w:noWrap w:val="0"/>
                  <w:vAlign w:val="center"/>
                </w:tcPr>
                <w:p w14:paraId="40F1BC24">
                  <w:pPr>
                    <w:pStyle w:val="28"/>
                    <w:rPr>
                      <w:color w:val="auto"/>
                    </w:rPr>
                  </w:pPr>
                  <w:r>
                    <w:rPr>
                      <w:color w:val="auto"/>
                    </w:rPr>
                    <w:t>1</w:t>
                  </w:r>
                </w:p>
              </w:tc>
              <w:tc>
                <w:tcPr>
                  <w:tcW w:w="1956" w:type="pct"/>
                  <w:tcBorders>
                    <w:top w:val="single" w:color="auto" w:sz="4" w:space="0"/>
                    <w:left w:val="single" w:color="auto" w:sz="4" w:space="0"/>
                    <w:bottom w:val="single" w:color="auto" w:sz="4" w:space="0"/>
                    <w:right w:val="single" w:color="auto" w:sz="4" w:space="0"/>
                  </w:tcBorders>
                  <w:noWrap w:val="0"/>
                  <w:vAlign w:val="center"/>
                </w:tcPr>
                <w:p w14:paraId="0C932C3B">
                  <w:pPr>
                    <w:pStyle w:val="28"/>
                    <w:jc w:val="both"/>
                    <w:rPr>
                      <w:rFonts w:hint="eastAsia"/>
                      <w:color w:val="auto"/>
                    </w:rPr>
                  </w:pPr>
                  <w:r>
                    <w:rPr>
                      <w:rFonts w:hint="eastAsia"/>
                      <w:color w:val="auto"/>
                    </w:rPr>
                    <w:t>限建区限制新建、扩建、改建重污染工业项目以及破坏生态平衡和自然景观的其他项目。</w:t>
                  </w:r>
                </w:p>
              </w:tc>
              <w:tc>
                <w:tcPr>
                  <w:tcW w:w="2041" w:type="pct"/>
                  <w:tcBorders>
                    <w:top w:val="single" w:color="auto" w:sz="4" w:space="0"/>
                    <w:left w:val="single" w:color="auto" w:sz="4" w:space="0"/>
                    <w:bottom w:val="single" w:color="auto" w:sz="4" w:space="0"/>
                    <w:right w:val="single" w:color="auto" w:sz="4" w:space="0"/>
                  </w:tcBorders>
                  <w:noWrap w:val="0"/>
                  <w:vAlign w:val="center"/>
                </w:tcPr>
                <w:p w14:paraId="5630EE2A">
                  <w:pPr>
                    <w:pStyle w:val="28"/>
                    <w:jc w:val="both"/>
                    <w:rPr>
                      <w:color w:val="auto"/>
                    </w:rPr>
                  </w:pPr>
                  <w:r>
                    <w:rPr>
                      <w:color w:val="auto"/>
                    </w:rPr>
                    <w:t>本项目</w:t>
                  </w:r>
                  <w:r>
                    <w:rPr>
                      <w:rFonts w:hint="eastAsia"/>
                      <w:color w:val="auto"/>
                    </w:rPr>
                    <w:t>为铁路轨枕生产项目，属于重庆至昆明高速铁路云贵段（寻甸）站前八标段的配套项目，项目废气可达标排放，无废水外排。且经现场踏勘，项目区植被现状多为农作物玉米、烤烟等，无</w:t>
                  </w:r>
                  <w:r>
                    <w:rPr>
                      <w:rFonts w:ascii="宋体" w:hAnsi="宋体" w:cs="宋体"/>
                      <w:color w:val="auto"/>
                    </w:rPr>
                    <w:t>保护野生动植物</w:t>
                  </w:r>
                  <w:r>
                    <w:rPr>
                      <w:rFonts w:hint="eastAsia" w:ascii="宋体" w:hAnsi="宋体" w:cs="宋体"/>
                      <w:color w:val="auto"/>
                    </w:rPr>
                    <w:t>，不会</w:t>
                  </w:r>
                  <w:r>
                    <w:rPr>
                      <w:rFonts w:hint="eastAsia"/>
                      <w:color w:val="auto"/>
                    </w:rPr>
                    <w:t>破坏生态平衡和自然景观</w:t>
                  </w:r>
                  <w:r>
                    <w:rPr>
                      <w:rFonts w:hint="eastAsia" w:ascii="宋体" w:hAnsi="宋体" w:cs="宋体"/>
                      <w:color w:val="auto"/>
                    </w:rPr>
                    <w:t>，项目</w:t>
                  </w:r>
                  <w:r>
                    <w:rPr>
                      <w:rFonts w:hint="eastAsia"/>
                      <w:color w:val="auto"/>
                    </w:rPr>
                    <w:t>不属于新建、扩建、改建重污染工业项目</w:t>
                  </w:r>
                  <w:r>
                    <w:rPr>
                      <w:rFonts w:hint="eastAsia"/>
                      <w:color w:val="auto"/>
                      <w:lang w:eastAsia="zh-CN"/>
                    </w:rPr>
                    <w:t>，</w:t>
                  </w:r>
                  <w:r>
                    <w:rPr>
                      <w:rFonts w:hint="eastAsia"/>
                      <w:color w:val="auto"/>
                      <w:lang w:val="en-US" w:eastAsia="zh-CN"/>
                    </w:rPr>
                    <w:t>本项目与此条要求不冲突</w:t>
                  </w:r>
                  <w:r>
                    <w:rPr>
                      <w:rFonts w:hint="eastAsia"/>
                      <w:color w:val="auto"/>
                    </w:rPr>
                    <w:t>。</w:t>
                  </w:r>
                </w:p>
              </w:tc>
              <w:tc>
                <w:tcPr>
                  <w:tcW w:w="585" w:type="pct"/>
                  <w:tcBorders>
                    <w:top w:val="single" w:color="auto" w:sz="4" w:space="0"/>
                    <w:left w:val="single" w:color="auto" w:sz="4" w:space="0"/>
                    <w:bottom w:val="single" w:color="auto" w:sz="4" w:space="0"/>
                    <w:right w:val="single" w:color="auto" w:sz="4" w:space="0"/>
                  </w:tcBorders>
                  <w:noWrap w:val="0"/>
                  <w:vAlign w:val="center"/>
                </w:tcPr>
                <w:p w14:paraId="08A93B6E">
                  <w:pPr>
                    <w:pStyle w:val="28"/>
                    <w:rPr>
                      <w:color w:val="auto"/>
                    </w:rPr>
                  </w:pPr>
                  <w:r>
                    <w:rPr>
                      <w:color w:val="auto"/>
                    </w:rPr>
                    <w:t>符合</w:t>
                  </w:r>
                </w:p>
              </w:tc>
            </w:tr>
            <w:tr w14:paraId="660C4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tcBorders>
                    <w:top w:val="single" w:color="auto" w:sz="4" w:space="0"/>
                    <w:left w:val="single" w:color="auto" w:sz="4" w:space="0"/>
                    <w:bottom w:val="single" w:color="auto" w:sz="4" w:space="0"/>
                    <w:right w:val="single" w:color="auto" w:sz="4" w:space="0"/>
                  </w:tcBorders>
                  <w:noWrap w:val="0"/>
                  <w:vAlign w:val="center"/>
                </w:tcPr>
                <w:p w14:paraId="757DC261">
                  <w:pPr>
                    <w:pStyle w:val="28"/>
                    <w:rPr>
                      <w:color w:val="auto"/>
                    </w:rPr>
                  </w:pPr>
                  <w:r>
                    <w:rPr>
                      <w:rFonts w:hint="eastAsia"/>
                      <w:color w:val="auto"/>
                    </w:rPr>
                    <w:t>2</w:t>
                  </w:r>
                </w:p>
              </w:tc>
              <w:tc>
                <w:tcPr>
                  <w:tcW w:w="1956" w:type="pct"/>
                  <w:tcBorders>
                    <w:top w:val="single" w:color="auto" w:sz="4" w:space="0"/>
                    <w:left w:val="single" w:color="auto" w:sz="4" w:space="0"/>
                    <w:bottom w:val="single" w:color="auto" w:sz="4" w:space="0"/>
                    <w:right w:val="single" w:color="auto" w:sz="4" w:space="0"/>
                  </w:tcBorders>
                  <w:noWrap w:val="0"/>
                  <w:vAlign w:val="center"/>
                </w:tcPr>
                <w:p w14:paraId="5281840B">
                  <w:pPr>
                    <w:pStyle w:val="28"/>
                    <w:jc w:val="both"/>
                    <w:rPr>
                      <w:rFonts w:hint="eastAsia"/>
                      <w:color w:val="auto"/>
                    </w:rPr>
                  </w:pPr>
                  <w:r>
                    <w:rPr>
                      <w:rFonts w:hint="eastAsia"/>
                      <w:color w:val="auto"/>
                    </w:rPr>
                    <w:t>现有工业企业污水“零排放”。</w:t>
                  </w:r>
                </w:p>
              </w:tc>
              <w:tc>
                <w:tcPr>
                  <w:tcW w:w="2041" w:type="pct"/>
                  <w:tcBorders>
                    <w:top w:val="single" w:color="auto" w:sz="4" w:space="0"/>
                    <w:left w:val="single" w:color="auto" w:sz="4" w:space="0"/>
                    <w:bottom w:val="single" w:color="auto" w:sz="4" w:space="0"/>
                    <w:right w:val="single" w:color="auto" w:sz="4" w:space="0"/>
                  </w:tcBorders>
                  <w:noWrap w:val="0"/>
                  <w:vAlign w:val="center"/>
                </w:tcPr>
                <w:p w14:paraId="3995BFED">
                  <w:pPr>
                    <w:pStyle w:val="28"/>
                    <w:jc w:val="both"/>
                    <w:rPr>
                      <w:rFonts w:hint="default" w:eastAsia="宋体"/>
                      <w:color w:val="auto"/>
                      <w:lang w:val="en-US" w:eastAsia="zh-CN"/>
                    </w:rPr>
                  </w:pPr>
                  <w:r>
                    <w:rPr>
                      <w:color w:val="auto"/>
                    </w:rPr>
                    <w:t>本项目</w:t>
                  </w:r>
                  <w:r>
                    <w:rPr>
                      <w:rFonts w:hint="eastAsia"/>
                      <w:color w:val="auto"/>
                    </w:rPr>
                    <w:t>生产废水</w:t>
                  </w:r>
                  <w:r>
                    <w:rPr>
                      <w:rFonts w:hint="eastAsia"/>
                      <w:color w:val="auto"/>
                      <w:lang w:val="en-US" w:eastAsia="zh-CN"/>
                    </w:rPr>
                    <w:t>主要为试验区废水、锅炉清净水、搅拌机清洗废水及罐车清洗废水</w:t>
                  </w:r>
                  <w:r>
                    <w:rPr>
                      <w:rFonts w:hint="eastAsia"/>
                      <w:color w:val="auto"/>
                    </w:rPr>
                    <w:t>，</w:t>
                  </w:r>
                  <w:r>
                    <w:rPr>
                      <w:rFonts w:hint="eastAsia"/>
                      <w:color w:val="auto"/>
                      <w:lang w:val="en-US" w:eastAsia="zh-CN"/>
                    </w:rPr>
                    <w:t>其中搅拌机清洗废水及锅炉清净水排入四级沉淀池处理后回用于混凝土搅拌；试验区废水排入三级沉淀池处理后回用于混凝土搅拌；罐车清洗废水排入五级沉淀池处理后回用于混凝土搅拌，生产废水均用于混凝土搅拌，不外排。</w:t>
                  </w:r>
                  <w:r>
                    <w:rPr>
                      <w:rFonts w:hint="eastAsia"/>
                      <w:color w:val="auto"/>
                    </w:rPr>
                    <w:t>食堂废水经</w:t>
                  </w:r>
                  <w:r>
                    <w:rPr>
                      <w:rFonts w:hint="eastAsia"/>
                      <w:color w:val="auto"/>
                      <w:lang w:val="en-US" w:eastAsia="zh-CN"/>
                    </w:rPr>
                    <w:t>油水分离器</w:t>
                  </w:r>
                  <w:r>
                    <w:rPr>
                      <w:rFonts w:hint="eastAsia"/>
                      <w:color w:val="auto"/>
                    </w:rPr>
                    <w:t>预处理后</w:t>
                  </w:r>
                  <w:r>
                    <w:rPr>
                      <w:rFonts w:hint="eastAsia"/>
                      <w:color w:val="auto"/>
                      <w:lang w:val="en-US" w:eastAsia="zh-CN"/>
                    </w:rPr>
                    <w:t>排入2#化粪池（15m</w:t>
                  </w:r>
                  <w:r>
                    <w:rPr>
                      <w:rFonts w:hint="eastAsia"/>
                      <w:color w:val="auto"/>
                      <w:vertAlign w:val="superscript"/>
                      <w:lang w:val="en-US" w:eastAsia="zh-CN"/>
                    </w:rPr>
                    <w:t>3</w:t>
                  </w:r>
                  <w:r>
                    <w:rPr>
                      <w:rFonts w:hint="eastAsia"/>
                      <w:color w:val="auto"/>
                      <w:lang w:val="en-US" w:eastAsia="zh-CN"/>
                    </w:rPr>
                    <w:t>）中处理后委托</w:t>
                  </w:r>
                  <w:r>
                    <w:rPr>
                      <w:rFonts w:hint="eastAsia"/>
                      <w:color w:val="auto"/>
                      <w:szCs w:val="21"/>
                      <w:lang w:val="en-US" w:eastAsia="zh-CN"/>
                    </w:rPr>
                    <w:t>昆明洁龙保洁服务有限公司</w:t>
                  </w:r>
                  <w:r>
                    <w:rPr>
                      <w:color w:val="auto"/>
                      <w:szCs w:val="21"/>
                    </w:rPr>
                    <w:t>定期</w:t>
                  </w:r>
                  <w:r>
                    <w:rPr>
                      <w:rFonts w:hint="eastAsia"/>
                      <w:color w:val="auto"/>
                      <w:szCs w:val="21"/>
                    </w:rPr>
                    <w:t>清掏</w:t>
                  </w:r>
                  <w:r>
                    <w:rPr>
                      <w:rFonts w:hint="eastAsia"/>
                      <w:color w:val="auto"/>
                      <w:lang w:val="en-US" w:eastAsia="zh-CN"/>
                    </w:rPr>
                    <w:t>；</w:t>
                  </w:r>
                  <w:r>
                    <w:rPr>
                      <w:rFonts w:hint="eastAsia"/>
                      <w:color w:val="auto"/>
                    </w:rPr>
                    <w:t>其他生活污水</w:t>
                  </w:r>
                  <w:r>
                    <w:rPr>
                      <w:rFonts w:hint="eastAsia"/>
                      <w:color w:val="auto"/>
                      <w:lang w:val="en-US" w:eastAsia="zh-CN"/>
                    </w:rPr>
                    <w:t>排</w:t>
                  </w:r>
                  <w:r>
                    <w:rPr>
                      <w:rFonts w:hint="eastAsia"/>
                      <w:color w:val="auto"/>
                    </w:rPr>
                    <w:t>入</w:t>
                  </w:r>
                  <w:r>
                    <w:rPr>
                      <w:rFonts w:hint="eastAsia"/>
                      <w:color w:val="auto"/>
                      <w:lang w:val="en-US" w:eastAsia="zh-CN"/>
                    </w:rPr>
                    <w:t>1#化粪池（30m</w:t>
                  </w:r>
                  <w:r>
                    <w:rPr>
                      <w:rFonts w:hint="eastAsia"/>
                      <w:color w:val="auto"/>
                      <w:vertAlign w:val="superscript"/>
                      <w:lang w:val="en-US" w:eastAsia="zh-CN"/>
                    </w:rPr>
                    <w:t>3</w:t>
                  </w:r>
                  <w:r>
                    <w:rPr>
                      <w:rFonts w:hint="eastAsia"/>
                      <w:color w:val="auto"/>
                      <w:lang w:val="en-US" w:eastAsia="zh-CN"/>
                    </w:rPr>
                    <w:t>）处理后委托</w:t>
                  </w:r>
                  <w:r>
                    <w:rPr>
                      <w:rFonts w:hint="eastAsia"/>
                      <w:color w:val="auto"/>
                      <w:szCs w:val="21"/>
                      <w:lang w:val="en-US" w:eastAsia="zh-CN"/>
                    </w:rPr>
                    <w:t>昆明洁龙保洁服务有限公司</w:t>
                  </w:r>
                  <w:r>
                    <w:rPr>
                      <w:color w:val="auto"/>
                      <w:szCs w:val="21"/>
                    </w:rPr>
                    <w:t>定期</w:t>
                  </w:r>
                  <w:r>
                    <w:rPr>
                      <w:rFonts w:hint="eastAsia"/>
                      <w:color w:val="auto"/>
                      <w:szCs w:val="21"/>
                    </w:rPr>
                    <w:t>清掏</w:t>
                  </w:r>
                  <w:r>
                    <w:rPr>
                      <w:rFonts w:hint="eastAsia"/>
                      <w:color w:val="auto"/>
                      <w:lang w:val="en-US" w:eastAsia="zh-CN"/>
                    </w:rPr>
                    <w:t>。本项目与此条要求不冲突</w:t>
                  </w:r>
                  <w:r>
                    <w:rPr>
                      <w:rFonts w:hint="eastAsia"/>
                      <w:color w:val="auto"/>
                    </w:rPr>
                    <w:t>。</w:t>
                  </w:r>
                </w:p>
              </w:tc>
              <w:tc>
                <w:tcPr>
                  <w:tcW w:w="585" w:type="pct"/>
                  <w:tcBorders>
                    <w:top w:val="single" w:color="auto" w:sz="4" w:space="0"/>
                    <w:left w:val="single" w:color="auto" w:sz="4" w:space="0"/>
                    <w:bottom w:val="single" w:color="auto" w:sz="4" w:space="0"/>
                    <w:right w:val="single" w:color="auto" w:sz="4" w:space="0"/>
                  </w:tcBorders>
                  <w:noWrap w:val="0"/>
                  <w:vAlign w:val="center"/>
                </w:tcPr>
                <w:p w14:paraId="412AC32C">
                  <w:pPr>
                    <w:pStyle w:val="28"/>
                    <w:rPr>
                      <w:color w:val="auto"/>
                    </w:rPr>
                  </w:pPr>
                  <w:r>
                    <w:rPr>
                      <w:color w:val="auto"/>
                    </w:rPr>
                    <w:t>符合</w:t>
                  </w:r>
                </w:p>
              </w:tc>
            </w:tr>
            <w:tr w14:paraId="08763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tcBorders>
                    <w:top w:val="single" w:color="auto" w:sz="4" w:space="0"/>
                    <w:left w:val="single" w:color="auto" w:sz="4" w:space="0"/>
                    <w:bottom w:val="single" w:color="auto" w:sz="4" w:space="0"/>
                    <w:right w:val="single" w:color="auto" w:sz="4" w:space="0"/>
                  </w:tcBorders>
                  <w:noWrap w:val="0"/>
                  <w:vAlign w:val="center"/>
                </w:tcPr>
                <w:p w14:paraId="471DC285">
                  <w:pPr>
                    <w:pStyle w:val="28"/>
                    <w:rPr>
                      <w:color w:val="auto"/>
                    </w:rPr>
                  </w:pPr>
                  <w:r>
                    <w:rPr>
                      <w:rFonts w:hint="eastAsia"/>
                      <w:color w:val="auto"/>
                    </w:rPr>
                    <w:t>3</w:t>
                  </w:r>
                </w:p>
              </w:tc>
              <w:tc>
                <w:tcPr>
                  <w:tcW w:w="1956" w:type="pct"/>
                  <w:tcBorders>
                    <w:top w:val="single" w:color="auto" w:sz="4" w:space="0"/>
                    <w:left w:val="single" w:color="auto" w:sz="4" w:space="0"/>
                    <w:bottom w:val="single" w:color="auto" w:sz="4" w:space="0"/>
                    <w:right w:val="single" w:color="auto" w:sz="4" w:space="0"/>
                  </w:tcBorders>
                  <w:noWrap w:val="0"/>
                  <w:vAlign w:val="center"/>
                </w:tcPr>
                <w:p w14:paraId="2A65DD82">
                  <w:pPr>
                    <w:pStyle w:val="28"/>
                    <w:jc w:val="both"/>
                    <w:rPr>
                      <w:rFonts w:hint="eastAsia"/>
                      <w:color w:val="auto"/>
                    </w:rPr>
                  </w:pPr>
                  <w:r>
                    <w:rPr>
                      <w:rFonts w:hint="eastAsia"/>
                      <w:color w:val="auto"/>
                    </w:rPr>
                    <w:t>限制畜禽养殖规模只减不增。在限制区内的村镇要加大污染治理力度，建设集镇污水、垃圾及</w:t>
                  </w:r>
                  <w:r>
                    <w:rPr>
                      <w:rFonts w:hint="eastAsia"/>
                      <w:color w:val="auto"/>
                      <w:lang w:eastAsia="zh-CN"/>
                    </w:rPr>
                    <w:t>畜禽</w:t>
                  </w:r>
                  <w:r>
                    <w:rPr>
                      <w:rFonts w:hint="eastAsia"/>
                      <w:color w:val="auto"/>
                    </w:rPr>
                    <w:t>粪便污染一体化防治措施。</w:t>
                  </w:r>
                </w:p>
              </w:tc>
              <w:tc>
                <w:tcPr>
                  <w:tcW w:w="2041" w:type="pct"/>
                  <w:tcBorders>
                    <w:top w:val="single" w:color="auto" w:sz="4" w:space="0"/>
                    <w:left w:val="single" w:color="auto" w:sz="4" w:space="0"/>
                    <w:bottom w:val="single" w:color="auto" w:sz="4" w:space="0"/>
                    <w:right w:val="single" w:color="auto" w:sz="4" w:space="0"/>
                  </w:tcBorders>
                  <w:noWrap w:val="0"/>
                  <w:vAlign w:val="center"/>
                </w:tcPr>
                <w:p w14:paraId="3F0528C9">
                  <w:pPr>
                    <w:pStyle w:val="28"/>
                    <w:jc w:val="both"/>
                    <w:rPr>
                      <w:color w:val="auto"/>
                    </w:rPr>
                  </w:pPr>
                  <w:r>
                    <w:rPr>
                      <w:rFonts w:hint="eastAsia"/>
                      <w:color w:val="auto"/>
                    </w:rPr>
                    <w:t>本项目为铁路轨枕生产项目，不属于畜禽养殖。</w:t>
                  </w:r>
                  <w:r>
                    <w:rPr>
                      <w:rFonts w:hint="eastAsia"/>
                      <w:color w:val="auto"/>
                      <w:lang w:val="en-US" w:eastAsia="zh-CN"/>
                    </w:rPr>
                    <w:t>本项目与此条要求不冲突。</w:t>
                  </w:r>
                </w:p>
              </w:tc>
              <w:tc>
                <w:tcPr>
                  <w:tcW w:w="585" w:type="pct"/>
                  <w:tcBorders>
                    <w:top w:val="single" w:color="auto" w:sz="4" w:space="0"/>
                    <w:left w:val="single" w:color="auto" w:sz="4" w:space="0"/>
                    <w:bottom w:val="single" w:color="auto" w:sz="4" w:space="0"/>
                    <w:right w:val="single" w:color="auto" w:sz="4" w:space="0"/>
                  </w:tcBorders>
                  <w:noWrap w:val="0"/>
                  <w:vAlign w:val="center"/>
                </w:tcPr>
                <w:p w14:paraId="5CDFA6F2">
                  <w:pPr>
                    <w:pStyle w:val="28"/>
                    <w:rPr>
                      <w:color w:val="auto"/>
                    </w:rPr>
                  </w:pPr>
                  <w:r>
                    <w:rPr>
                      <w:color w:val="auto"/>
                    </w:rPr>
                    <w:t>符合</w:t>
                  </w:r>
                </w:p>
              </w:tc>
            </w:tr>
            <w:tr w14:paraId="632FC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tcBorders>
                    <w:top w:val="single" w:color="auto" w:sz="4" w:space="0"/>
                    <w:left w:val="single" w:color="auto" w:sz="4" w:space="0"/>
                    <w:bottom w:val="single" w:color="auto" w:sz="4" w:space="0"/>
                    <w:right w:val="single" w:color="auto" w:sz="4" w:space="0"/>
                  </w:tcBorders>
                  <w:noWrap w:val="0"/>
                  <w:vAlign w:val="center"/>
                </w:tcPr>
                <w:p w14:paraId="491BFAAF">
                  <w:pPr>
                    <w:pStyle w:val="28"/>
                    <w:rPr>
                      <w:color w:val="auto"/>
                    </w:rPr>
                  </w:pPr>
                  <w:r>
                    <w:rPr>
                      <w:rFonts w:hint="eastAsia"/>
                      <w:color w:val="auto"/>
                    </w:rPr>
                    <w:t>4</w:t>
                  </w:r>
                </w:p>
              </w:tc>
              <w:tc>
                <w:tcPr>
                  <w:tcW w:w="1956" w:type="pct"/>
                  <w:tcBorders>
                    <w:top w:val="single" w:color="auto" w:sz="4" w:space="0"/>
                    <w:left w:val="single" w:color="auto" w:sz="4" w:space="0"/>
                    <w:bottom w:val="single" w:color="auto" w:sz="4" w:space="0"/>
                    <w:right w:val="single" w:color="auto" w:sz="4" w:space="0"/>
                  </w:tcBorders>
                  <w:noWrap w:val="0"/>
                  <w:vAlign w:val="center"/>
                </w:tcPr>
                <w:p w14:paraId="18F9FE82">
                  <w:pPr>
                    <w:pStyle w:val="28"/>
                    <w:jc w:val="both"/>
                    <w:rPr>
                      <w:rFonts w:hint="eastAsia"/>
                      <w:color w:val="auto"/>
                    </w:rPr>
                  </w:pPr>
                  <w:r>
                    <w:rPr>
                      <w:rFonts w:hint="eastAsia"/>
                      <w:color w:val="auto"/>
                    </w:rPr>
                    <w:t>建区禁止种植花卉，规模化蔬菜种植面积只减不增，禁止使用化肥。</w:t>
                  </w:r>
                </w:p>
              </w:tc>
              <w:tc>
                <w:tcPr>
                  <w:tcW w:w="2041" w:type="pct"/>
                  <w:tcBorders>
                    <w:top w:val="single" w:color="auto" w:sz="4" w:space="0"/>
                    <w:left w:val="single" w:color="auto" w:sz="4" w:space="0"/>
                    <w:bottom w:val="single" w:color="auto" w:sz="4" w:space="0"/>
                    <w:right w:val="single" w:color="auto" w:sz="4" w:space="0"/>
                  </w:tcBorders>
                  <w:noWrap w:val="0"/>
                  <w:vAlign w:val="center"/>
                </w:tcPr>
                <w:p w14:paraId="3BB4BBC0">
                  <w:pPr>
                    <w:pStyle w:val="28"/>
                    <w:jc w:val="both"/>
                    <w:rPr>
                      <w:color w:val="auto"/>
                    </w:rPr>
                  </w:pPr>
                  <w:r>
                    <w:rPr>
                      <w:rFonts w:hint="eastAsia"/>
                      <w:color w:val="auto"/>
                    </w:rPr>
                    <w:t>本项目为铁路轨枕生产项目，不属于花卉、蔬菜种植。</w:t>
                  </w:r>
                  <w:r>
                    <w:rPr>
                      <w:rFonts w:hint="eastAsia"/>
                      <w:color w:val="auto"/>
                      <w:lang w:val="en-US" w:eastAsia="zh-CN"/>
                    </w:rPr>
                    <w:t>本项目与此条要求不冲突。</w:t>
                  </w:r>
                </w:p>
              </w:tc>
              <w:tc>
                <w:tcPr>
                  <w:tcW w:w="585" w:type="pct"/>
                  <w:tcBorders>
                    <w:top w:val="single" w:color="auto" w:sz="4" w:space="0"/>
                    <w:left w:val="single" w:color="auto" w:sz="4" w:space="0"/>
                    <w:bottom w:val="single" w:color="auto" w:sz="4" w:space="0"/>
                    <w:right w:val="single" w:color="auto" w:sz="4" w:space="0"/>
                  </w:tcBorders>
                  <w:noWrap w:val="0"/>
                  <w:vAlign w:val="center"/>
                </w:tcPr>
                <w:p w14:paraId="08D4C6CB">
                  <w:pPr>
                    <w:pStyle w:val="28"/>
                    <w:rPr>
                      <w:color w:val="auto"/>
                    </w:rPr>
                  </w:pPr>
                  <w:r>
                    <w:rPr>
                      <w:color w:val="auto"/>
                    </w:rPr>
                    <w:t>符合</w:t>
                  </w:r>
                </w:p>
              </w:tc>
            </w:tr>
            <w:tr w14:paraId="64B63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tcBorders>
                    <w:top w:val="single" w:color="auto" w:sz="4" w:space="0"/>
                    <w:left w:val="single" w:color="auto" w:sz="4" w:space="0"/>
                    <w:bottom w:val="single" w:color="auto" w:sz="4" w:space="0"/>
                    <w:right w:val="single" w:color="auto" w:sz="4" w:space="0"/>
                  </w:tcBorders>
                  <w:noWrap w:val="0"/>
                  <w:vAlign w:val="center"/>
                </w:tcPr>
                <w:p w14:paraId="4AEC9427">
                  <w:pPr>
                    <w:pStyle w:val="28"/>
                    <w:rPr>
                      <w:color w:val="auto"/>
                    </w:rPr>
                  </w:pPr>
                  <w:r>
                    <w:rPr>
                      <w:rFonts w:hint="eastAsia"/>
                      <w:color w:val="auto"/>
                    </w:rPr>
                    <w:t>5</w:t>
                  </w:r>
                </w:p>
              </w:tc>
              <w:tc>
                <w:tcPr>
                  <w:tcW w:w="1956" w:type="pct"/>
                  <w:tcBorders>
                    <w:top w:val="single" w:color="auto" w:sz="4" w:space="0"/>
                    <w:left w:val="single" w:color="auto" w:sz="4" w:space="0"/>
                    <w:bottom w:val="single" w:color="auto" w:sz="4" w:space="0"/>
                    <w:right w:val="single" w:color="auto" w:sz="4" w:space="0"/>
                  </w:tcBorders>
                  <w:noWrap w:val="0"/>
                  <w:vAlign w:val="center"/>
                </w:tcPr>
                <w:p w14:paraId="72342161">
                  <w:pPr>
                    <w:pStyle w:val="28"/>
                    <w:jc w:val="both"/>
                    <w:rPr>
                      <w:rFonts w:hint="eastAsia"/>
                      <w:color w:val="auto"/>
                    </w:rPr>
                  </w:pPr>
                  <w:r>
                    <w:rPr>
                      <w:rFonts w:hint="eastAsia"/>
                      <w:color w:val="auto"/>
                    </w:rPr>
                    <w:t>限构建主要入江河道</w:t>
                  </w:r>
                  <w:r>
                    <w:rPr>
                      <w:rFonts w:hint="eastAsia"/>
                      <w:color w:val="auto"/>
                      <w:lang w:eastAsia="zh-CN"/>
                    </w:rPr>
                    <w:t>的</w:t>
                  </w:r>
                  <w:r>
                    <w:rPr>
                      <w:rFonts w:hint="eastAsia"/>
                      <w:color w:val="auto"/>
                    </w:rPr>
                    <w:t>生态防护廊道，加强监督管理，提高环境监测能力和管理水平。</w:t>
                  </w:r>
                </w:p>
              </w:tc>
              <w:tc>
                <w:tcPr>
                  <w:tcW w:w="2041" w:type="pct"/>
                  <w:tcBorders>
                    <w:top w:val="single" w:color="auto" w:sz="4" w:space="0"/>
                    <w:left w:val="single" w:color="auto" w:sz="4" w:space="0"/>
                    <w:bottom w:val="single" w:color="auto" w:sz="4" w:space="0"/>
                    <w:right w:val="single" w:color="auto" w:sz="4" w:space="0"/>
                  </w:tcBorders>
                  <w:noWrap w:val="0"/>
                  <w:vAlign w:val="center"/>
                </w:tcPr>
                <w:p w14:paraId="12C4DBD6">
                  <w:pPr>
                    <w:pStyle w:val="28"/>
                    <w:jc w:val="both"/>
                    <w:rPr>
                      <w:color w:val="auto"/>
                    </w:rPr>
                  </w:pPr>
                  <w:r>
                    <w:rPr>
                      <w:rFonts w:hint="eastAsia"/>
                      <w:color w:val="auto"/>
                    </w:rPr>
                    <w:t>本项目将严格监督管理，</w:t>
                  </w:r>
                  <w:r>
                    <w:rPr>
                      <w:rFonts w:hint="eastAsia"/>
                      <w:color w:val="auto"/>
                      <w:lang w:val="en-US" w:eastAsia="zh-CN"/>
                    </w:rPr>
                    <w:t>同时按照排污许可进行例行监测，同时提高企业的管理能力</w:t>
                  </w:r>
                </w:p>
              </w:tc>
              <w:tc>
                <w:tcPr>
                  <w:tcW w:w="585" w:type="pct"/>
                  <w:tcBorders>
                    <w:top w:val="single" w:color="auto" w:sz="4" w:space="0"/>
                    <w:left w:val="single" w:color="auto" w:sz="4" w:space="0"/>
                    <w:bottom w:val="single" w:color="auto" w:sz="4" w:space="0"/>
                    <w:right w:val="single" w:color="auto" w:sz="4" w:space="0"/>
                  </w:tcBorders>
                  <w:noWrap w:val="0"/>
                  <w:vAlign w:val="center"/>
                </w:tcPr>
                <w:p w14:paraId="29857CD1">
                  <w:pPr>
                    <w:pStyle w:val="28"/>
                    <w:rPr>
                      <w:color w:val="auto"/>
                    </w:rPr>
                  </w:pPr>
                  <w:r>
                    <w:rPr>
                      <w:color w:val="auto"/>
                    </w:rPr>
                    <w:t>符合</w:t>
                  </w:r>
                </w:p>
              </w:tc>
            </w:tr>
          </w:tbl>
          <w:p w14:paraId="65D4DF52">
            <w:pPr>
              <w:autoSpaceDE w:val="0"/>
              <w:autoSpaceDN w:val="0"/>
              <w:adjustRightInd w:val="0"/>
              <w:snapToGrid w:val="0"/>
              <w:spacing w:line="500" w:lineRule="exact"/>
              <w:ind w:firstLine="482"/>
              <w:rPr>
                <w:rFonts w:hint="eastAsia"/>
                <w:b/>
                <w:bCs/>
                <w:color w:val="auto"/>
                <w:kern w:val="0"/>
              </w:rPr>
            </w:pPr>
            <w:r>
              <w:rPr>
                <w:rFonts w:hint="eastAsia"/>
                <w:color w:val="auto"/>
              </w:rPr>
              <w:t>由上表分析可知，项目的建设与《牛栏江流域（寻甸段）水环境保护规划（2011~2030》是相协调的。</w:t>
            </w:r>
          </w:p>
          <w:p w14:paraId="407A4FE1">
            <w:pPr>
              <w:autoSpaceDE w:val="0"/>
              <w:autoSpaceDN w:val="0"/>
              <w:adjustRightInd w:val="0"/>
              <w:snapToGrid w:val="0"/>
              <w:spacing w:line="500" w:lineRule="exact"/>
              <w:ind w:firstLine="482"/>
              <w:rPr>
                <w:b/>
                <w:bCs/>
                <w:color w:val="auto"/>
                <w:kern w:val="0"/>
              </w:rPr>
            </w:pPr>
            <w:r>
              <w:rPr>
                <w:rFonts w:hint="eastAsia"/>
                <w:b/>
                <w:bCs/>
                <w:color w:val="auto"/>
                <w:kern w:val="0"/>
              </w:rPr>
              <w:t>1.1.</w:t>
            </w:r>
            <w:r>
              <w:rPr>
                <w:rFonts w:hint="eastAsia"/>
                <w:b/>
                <w:bCs/>
                <w:color w:val="auto"/>
                <w:kern w:val="0"/>
                <w:lang w:val="en-US" w:eastAsia="zh-CN"/>
              </w:rPr>
              <w:t>3</w:t>
            </w:r>
            <w:r>
              <w:rPr>
                <w:b/>
                <w:bCs/>
                <w:color w:val="auto"/>
                <w:kern w:val="0"/>
              </w:rPr>
              <w:t>项目</w:t>
            </w:r>
            <w:r>
              <w:rPr>
                <w:rFonts w:hint="eastAsia"/>
                <w:b/>
                <w:bCs/>
                <w:color w:val="auto"/>
                <w:kern w:val="0"/>
              </w:rPr>
              <w:t>与《昆明市生态环境分区管控动态更新方案（2023年）》符合性分析</w:t>
            </w:r>
          </w:p>
          <w:p w14:paraId="33B182CD">
            <w:pPr>
              <w:autoSpaceDE w:val="0"/>
              <w:autoSpaceDN w:val="0"/>
              <w:adjustRightInd w:val="0"/>
              <w:snapToGrid w:val="0"/>
              <w:spacing w:line="500" w:lineRule="exact"/>
              <w:ind w:firstLine="480"/>
              <w:rPr>
                <w:rFonts w:hint="eastAsia"/>
                <w:color w:val="auto"/>
                <w:kern w:val="0"/>
                <w:lang w:val="en-US" w:eastAsia="zh-CN"/>
              </w:rPr>
            </w:pPr>
            <w:r>
              <w:rPr>
                <w:rFonts w:hint="eastAsia"/>
                <w:color w:val="auto"/>
                <w:kern w:val="0"/>
              </w:rPr>
              <w:t>根据</w:t>
            </w:r>
            <w:r>
              <w:rPr>
                <w:rFonts w:hint="eastAsia"/>
                <w:color w:val="auto"/>
                <w:kern w:val="0"/>
                <w:lang w:val="en-US" w:eastAsia="zh-CN"/>
              </w:rPr>
              <w:t>云南省生态环境分区管控公共服务查询平台查询结果（附图6），本项目所在区域属于寻甸回族彝族自治县一般管控单元。项目与昆明市生态环境分区管控的符合性分析见下表：</w:t>
            </w:r>
          </w:p>
          <w:p w14:paraId="2FEAE47B">
            <w:pPr>
              <w:pStyle w:val="29"/>
              <w:spacing w:before="24" w:after="24"/>
              <w:rPr>
                <w:rFonts w:hint="eastAsia"/>
                <w:color w:val="auto"/>
              </w:rPr>
            </w:pPr>
            <w:r>
              <w:rPr>
                <w:rFonts w:hint="eastAsia"/>
                <w:color w:val="auto"/>
              </w:rPr>
              <w:t>表</w:t>
            </w:r>
            <w:r>
              <w:rPr>
                <w:rFonts w:hint="eastAsia"/>
                <w:color w:val="auto"/>
                <w:lang w:val="en-US" w:eastAsia="zh-CN"/>
              </w:rPr>
              <w:t>1-3</w:t>
            </w:r>
            <w:r>
              <w:rPr>
                <w:rFonts w:hint="eastAsia"/>
                <w:color w:val="auto"/>
              </w:rPr>
              <w:t xml:space="preserve">  项目与《昆明市生态环境分区管控动态更新方案（2023年）》的符合性分析表</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0"/>
              <w:gridCol w:w="3230"/>
              <w:gridCol w:w="3036"/>
              <w:gridCol w:w="524"/>
            </w:tblGrid>
            <w:tr w14:paraId="592CD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19" w:type="pct"/>
                  <w:gridSpan w:val="2"/>
                  <w:vAlign w:val="center"/>
                </w:tcPr>
                <w:p w14:paraId="576CC7E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b/>
                      <w:bCs/>
                      <w:color w:val="auto"/>
                      <w:kern w:val="0"/>
                      <w:sz w:val="21"/>
                      <w:szCs w:val="21"/>
                      <w:lang w:val="en-US" w:eastAsia="zh-CN" w:bidi="ar"/>
                    </w:rPr>
                    <w:t>昆明市生态环境分区管控动态更新方案要求</w:t>
                  </w:r>
                </w:p>
              </w:tc>
              <w:tc>
                <w:tcPr>
                  <w:tcW w:w="1860" w:type="pct"/>
                  <w:vAlign w:val="center"/>
                </w:tcPr>
                <w:p w14:paraId="49C69D20">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b/>
                      <w:bCs/>
                      <w:color w:val="auto"/>
                      <w:kern w:val="0"/>
                      <w:sz w:val="21"/>
                      <w:szCs w:val="21"/>
                      <w:lang w:val="en-US" w:eastAsia="zh-CN" w:bidi="ar"/>
                    </w:rPr>
                    <w:t>项目情况</w:t>
                  </w:r>
                </w:p>
              </w:tc>
              <w:tc>
                <w:tcPr>
                  <w:tcW w:w="319" w:type="pct"/>
                  <w:vAlign w:val="center"/>
                </w:tcPr>
                <w:p w14:paraId="13475675">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b/>
                      <w:bCs/>
                      <w:color w:val="auto"/>
                      <w:kern w:val="0"/>
                      <w:sz w:val="21"/>
                      <w:szCs w:val="21"/>
                      <w:lang w:val="en-US" w:eastAsia="zh-CN" w:bidi="ar"/>
                    </w:rPr>
                    <w:t>符合性</w:t>
                  </w:r>
                </w:p>
              </w:tc>
            </w:tr>
            <w:tr w14:paraId="49030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14:paraId="386BA953">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（一）空间布局约束</w:t>
                  </w:r>
                </w:p>
              </w:tc>
            </w:tr>
            <w:tr w14:paraId="41812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9" w:type="pct"/>
                  <w:gridSpan w:val="2"/>
                  <w:vAlign w:val="center"/>
                </w:tcPr>
                <w:p w14:paraId="7B748114">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1.根据《昆明市国土空间总体规划（2021—2035年）》进行空间管控。</w:t>
                  </w:r>
                  <w:r>
                    <w:rPr>
                      <w:rFonts w:hint="default" w:ascii="Times New Roman" w:hAnsi="Times New Roman" w:eastAsia="宋体" w:cs="Times New Roman"/>
                      <w:b w:val="0"/>
                      <w:bCs w:val="0"/>
                      <w:color w:val="auto"/>
                      <w:kern w:val="0"/>
                      <w:sz w:val="21"/>
                      <w:szCs w:val="21"/>
                      <w:lang w:val="en-US" w:eastAsia="zh-CN" w:bidi="ar"/>
                    </w:rPr>
                    <w:br w:type="textWrapping"/>
                  </w:r>
                  <w:r>
                    <w:rPr>
                      <w:rFonts w:hint="default" w:ascii="Times New Roman" w:hAnsi="Times New Roman" w:eastAsia="宋体" w:cs="Times New Roman"/>
                      <w:b w:val="0"/>
                      <w:bCs w:val="0"/>
                      <w:color w:val="auto"/>
                      <w:kern w:val="0"/>
                      <w:sz w:val="21"/>
                      <w:szCs w:val="21"/>
                      <w:lang w:val="en-US" w:eastAsia="zh-CN" w:bidi="ar"/>
                    </w:rPr>
                    <w:t>2.牛栏江流域内，严格按照《云南省牛栏江保护条例》相关要求对水环境进行分区管控。</w:t>
                  </w:r>
                  <w:r>
                    <w:rPr>
                      <w:rFonts w:hint="default" w:ascii="Times New Roman" w:hAnsi="Times New Roman" w:eastAsia="宋体" w:cs="Times New Roman"/>
                      <w:b w:val="0"/>
                      <w:bCs w:val="0"/>
                      <w:color w:val="auto"/>
                      <w:kern w:val="0"/>
                      <w:sz w:val="21"/>
                      <w:szCs w:val="21"/>
                      <w:lang w:val="en-US" w:eastAsia="zh-CN" w:bidi="ar"/>
                    </w:rPr>
                    <w:br w:type="textWrapping"/>
                  </w:r>
                  <w:r>
                    <w:rPr>
                      <w:rFonts w:hint="default" w:ascii="Times New Roman" w:hAnsi="Times New Roman" w:eastAsia="宋体" w:cs="Times New Roman"/>
                      <w:b w:val="0"/>
                      <w:bCs w:val="0"/>
                      <w:color w:val="auto"/>
                      <w:kern w:val="0"/>
                      <w:sz w:val="21"/>
                      <w:szCs w:val="21"/>
                      <w:lang w:val="en-US" w:eastAsia="zh-CN" w:bidi="ar"/>
                    </w:rPr>
                    <w:t>3.滇池流域内，严格按照《云南省滇池湖滨生态红线及湖泊生态黄线“两线”划定方案》相关要求进行分区管控。</w:t>
                  </w:r>
                  <w:r>
                    <w:rPr>
                      <w:rFonts w:hint="default" w:ascii="Times New Roman" w:hAnsi="Times New Roman" w:eastAsia="宋体" w:cs="Times New Roman"/>
                      <w:b w:val="0"/>
                      <w:bCs w:val="0"/>
                      <w:color w:val="auto"/>
                      <w:kern w:val="0"/>
                      <w:sz w:val="21"/>
                      <w:szCs w:val="21"/>
                      <w:lang w:val="en-US" w:eastAsia="zh-CN" w:bidi="ar"/>
                    </w:rPr>
                    <w:br w:type="textWrapping"/>
                  </w:r>
                  <w:r>
                    <w:rPr>
                      <w:rFonts w:hint="default" w:ascii="Times New Roman" w:hAnsi="Times New Roman" w:eastAsia="宋体" w:cs="Times New Roman"/>
                      <w:b w:val="0"/>
                      <w:bCs w:val="0"/>
                      <w:color w:val="auto"/>
                      <w:kern w:val="0"/>
                      <w:sz w:val="21"/>
                      <w:szCs w:val="21"/>
                      <w:lang w:val="en-US" w:eastAsia="zh-CN" w:bidi="ar"/>
                    </w:rPr>
                    <w:t>4.阳宗海流域内，严格按照《云南省阳宗海湖滨生态红线及湖泊生态黄线“两线”划定方案》相关要求进行分区管控。</w:t>
                  </w:r>
                </w:p>
              </w:tc>
              <w:tc>
                <w:tcPr>
                  <w:tcW w:w="1860" w:type="pct"/>
                  <w:vAlign w:val="center"/>
                </w:tcPr>
                <w:p w14:paraId="119A58AA">
                  <w:pPr>
                    <w:pStyle w:val="4"/>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val="0"/>
                      <w:bCs w:val="0"/>
                      <w:color w:val="auto"/>
                      <w:kern w:val="0"/>
                      <w:sz w:val="21"/>
                      <w:szCs w:val="21"/>
                      <w:lang w:val="en-US" w:eastAsia="zh-CN" w:bidi="ar"/>
                    </w:rPr>
                    <w:t>1、本项目位于云南省昆明市寻甸回族彝族自治县仁德街道，需按照《昆明市国土空间总体规划（2021—2035年）》进行空间管控。根据管控要求，到2035年，昆明市耕地保有量不低于562.8万亩，其中永久基本农田保护面积不低于452万亩；生态保护红线面积不低于4265.03平方千米；城镇开发边界面积控制在1101.66平方千米以内；单位国内生产总值建设用地使用面积下降不少于40%；用水总量不超过上级下达指标，其中2025年不超过35.48亿立方米。明确自然灾害风险重点防控区域，划定洪涝、地震等风险控制线及绿地系统线、水体保护线、历史文化保护线和基础设施建设控制线，落实战略性矿产资源等安全保障空间。本项目评价区范围内不涉及基本农田；不涉及生态保护红线；不在城镇开发边界上；本项目用地为租赁使用，不新增用地；本项目严格控制用水，并</w:t>
                  </w:r>
                  <w:r>
                    <w:rPr>
                      <w:rFonts w:hint="default" w:ascii="Times New Roman" w:hAnsi="Times New Roman" w:eastAsia="宋体" w:cs="Times New Roman"/>
                      <w:color w:val="auto"/>
                      <w:sz w:val="21"/>
                      <w:szCs w:val="21"/>
                    </w:rPr>
                    <w:t>按照《云南省用水定额》（2019）取水，满足用水总量要求</w:t>
                  </w:r>
                  <w:r>
                    <w:rPr>
                      <w:rFonts w:hint="default" w:ascii="Times New Roman" w:hAnsi="Times New Roman" w:eastAsia="宋体" w:cs="Times New Roman"/>
                      <w:color w:val="auto"/>
                      <w:sz w:val="21"/>
                      <w:szCs w:val="21"/>
                      <w:lang w:eastAsia="zh-CN"/>
                    </w:rPr>
                    <w:t>；项目选址避让洪涝高风险区，退让滇池水体保护线≥50米，绿地率达标（35%），未涉及历史文化保护范围，与周边基础设施无冲突，符合规划管控要求</w:t>
                  </w:r>
                </w:p>
                <w:p w14:paraId="6275EB4E">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auto"/>
                    <w:rPr>
                      <w:rFonts w:hint="eastAsia"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2、本项目涉及牛栏江流域</w:t>
                  </w:r>
                  <w:r>
                    <w:rPr>
                      <w:rFonts w:hint="eastAsia" w:ascii="Times New Roman" w:hAnsi="Times New Roman" w:eastAsia="宋体" w:cs="Times New Roman"/>
                      <w:b w:val="0"/>
                      <w:bCs w:val="0"/>
                      <w:color w:val="auto"/>
                      <w:kern w:val="0"/>
                      <w:sz w:val="21"/>
                      <w:szCs w:val="21"/>
                      <w:lang w:val="en-US" w:eastAsia="zh-CN" w:bidi="ar"/>
                    </w:rPr>
                    <w:t>，按照按照《云南省牛栏江保护条例》相关要求对水环境进行分区管控，且项目位于牛栏江上游，牛栏江流域上游保护区划分为水源保护核心区、重点污染控制区和重点水源涵养区，按照管控要求，重点水源涵养区内禁止下列行为：（一）盗伐、滥伐林木和破坏草地；（二）使用高毒、高残留农药；（三）利用溶洞、渗井、渗坑、裂隙排放、倾倒含有毒有害物质的废水、废渣；（四）向水体排放废水、倾倒工业废渣、城镇垃圾或者其他废弃物；（五）在江河、渠道、水库最高水位线以下的滩地、岸坡堆放、存贮固体废弃物或者其他污染物；（六）利用无防渗漏措施的沟渠、坑塘等输送或者存贮含有毒污染物的废水、含病原体的污水或者其他废弃物。重点污染控制区内除重点水源涵养区禁止的行为外，还禁止下列行为：（一）新建、扩建工业园区；（二）新建、扩建重点水污染物排放的工业项目；（三）新建、改建、扩建经营性陵园、公墓。水源保护核心区内除重点污染控制区、重点水源涵养区禁止的行为外，还禁止下列行为：</w:t>
                  </w:r>
                </w:p>
                <w:p w14:paraId="6F94A490">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auto"/>
                    <w:rPr>
                      <w:rFonts w:hint="eastAsia"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（一）新建、改建、扩建排污口；（二）围河造地、围垦河道；（三）围堰、围网、网箱养殖；（四）规模化畜禽养殖；</w:t>
                  </w:r>
                </w:p>
                <w:p w14:paraId="53D21821">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auto"/>
                    <w:rPr>
                      <w:rFonts w:hint="default" w:ascii="Times New Roman" w:hAnsi="Times New Roman" w:eastAsia="宋体" w:cs="Times New Roman"/>
                      <w:b w:val="0"/>
                      <w:bCs w:val="0"/>
                      <w:color w:val="auto"/>
                      <w:kern w:val="0"/>
                      <w:sz w:val="21"/>
                      <w:szCs w:val="21"/>
                      <w:lang w:val="en-US" w:eastAsia="zh-CN" w:bidi="ar"/>
                    </w:rPr>
                  </w:pPr>
                  <w:r>
                    <w:rPr>
                      <w:rFonts w:hint="eastAsia" w:ascii="Times New Roman" w:hAnsi="Times New Roman" w:eastAsia="宋体" w:cs="Times New Roman"/>
                      <w:b w:val="0"/>
                      <w:bCs w:val="0"/>
                      <w:color w:val="auto"/>
                      <w:kern w:val="0"/>
                      <w:sz w:val="21"/>
                      <w:szCs w:val="21"/>
                      <w:lang w:val="en-US" w:eastAsia="zh-CN" w:bidi="ar"/>
                    </w:rPr>
                    <w:t>（五）损毁水利、水文、科研、气象、测量、环境监测等设施设备；（六）挖砂、采石、取土、采矿。本项目已取得寻甸县林业和草原局出具的意见，不涉及盗伐、滥伐林木和破坏草地；项目未涉及使用高毒、高残留农药；项目生活废水委托由昆明洁龙保洁服务有限公司清掏，生产废水均回用于生产，不外排；危险废物委托有资质单位定期清运处置，固废处置率达100%；项目不涉及向水体排放废水、倾倒工业废渣、城镇垃圾或者其他废弃物；项目不涉及在江河、渠道、水库最高水位线以下的滩地、岸坡堆放、存贮固体废弃物或者其他污染物；项目不产生含有毒污染物的废水、含病原体的污水或者其他废弃物。项目不属于工业园区建设项目；项目废水均不外排；项目不属于经营性陵园、公墓项目。本项目废水不外排，未设置排污口；项目不涉及围河造地、围垦河道；本项目不属于养殖项目；项目建设和运营期间不会对水利、水文、科研、气象、测量、环境监测等设施设备造成破坏；项目不涉及挖砂、采石、取土、采矿等活动。</w:t>
                  </w:r>
                </w:p>
                <w:p w14:paraId="54958102">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3、本项目不在</w:t>
                  </w:r>
                  <w:r>
                    <w:rPr>
                      <w:rFonts w:hint="eastAsia" w:ascii="Times New Roman" w:hAnsi="Times New Roman" w:eastAsia="宋体" w:cs="Times New Roman"/>
                      <w:b w:val="0"/>
                      <w:bCs w:val="0"/>
                      <w:color w:val="auto"/>
                      <w:kern w:val="0"/>
                      <w:sz w:val="21"/>
                      <w:szCs w:val="21"/>
                      <w:lang w:val="en-US" w:eastAsia="zh-CN" w:bidi="ar"/>
                    </w:rPr>
                    <w:t>滇池</w:t>
                  </w:r>
                  <w:r>
                    <w:rPr>
                      <w:rFonts w:hint="default" w:ascii="Times New Roman" w:hAnsi="Times New Roman" w:eastAsia="宋体" w:cs="Times New Roman"/>
                      <w:b w:val="0"/>
                      <w:bCs w:val="0"/>
                      <w:color w:val="auto"/>
                      <w:kern w:val="0"/>
                      <w:sz w:val="21"/>
                      <w:szCs w:val="21"/>
                      <w:lang w:val="en-US" w:eastAsia="zh-CN" w:bidi="ar"/>
                    </w:rPr>
                    <w:t>流域内</w:t>
                  </w:r>
                </w:p>
                <w:p w14:paraId="35C85887">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4、本项目不在阳宗海流域内</w:t>
                  </w:r>
                </w:p>
              </w:tc>
              <w:tc>
                <w:tcPr>
                  <w:tcW w:w="319" w:type="pct"/>
                  <w:vAlign w:val="center"/>
                </w:tcPr>
                <w:p w14:paraId="2F0B6A42">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符合</w:t>
                  </w:r>
                </w:p>
              </w:tc>
            </w:tr>
            <w:tr w14:paraId="34F5A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14:paraId="2D5712FD">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（二）污染物排放管控</w:t>
                  </w:r>
                </w:p>
              </w:tc>
            </w:tr>
            <w:tr w14:paraId="24414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9" w:type="pct"/>
                  <w:gridSpan w:val="2"/>
                  <w:vAlign w:val="center"/>
                </w:tcPr>
                <w:p w14:paraId="225D9D8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1.到2025年，昆明市地表水国、省控断面达到或好于Ⅲ类水体比例应达到81.5%；滇池草海水质稳定达到IV类、外海水质达到IV类（COD≤40mg/L），阳宗海水质稳定达到Ⅲ类水标准，县级及以上集中式饮用水水源地水质达标率100%。化学需氧量重点工程减排量10243t，氨氮重点工程减排量1009t。</w:t>
                  </w:r>
                  <w:r>
                    <w:rPr>
                      <w:rFonts w:hint="default" w:ascii="Times New Roman" w:hAnsi="Times New Roman" w:eastAsia="宋体" w:cs="Times New Roman"/>
                      <w:b w:val="0"/>
                      <w:bCs w:val="0"/>
                      <w:color w:val="auto"/>
                      <w:kern w:val="0"/>
                      <w:sz w:val="21"/>
                      <w:szCs w:val="21"/>
                      <w:lang w:val="en-US" w:eastAsia="zh-CN" w:bidi="ar"/>
                    </w:rPr>
                    <w:br w:type="textWrapping"/>
                  </w:r>
                  <w:r>
                    <w:rPr>
                      <w:rFonts w:hint="default" w:ascii="Times New Roman" w:hAnsi="Times New Roman" w:eastAsia="宋体" w:cs="Times New Roman"/>
                      <w:b w:val="0"/>
                      <w:bCs w:val="0"/>
                      <w:color w:val="auto"/>
                      <w:kern w:val="0"/>
                      <w:sz w:val="21"/>
                      <w:szCs w:val="21"/>
                      <w:lang w:val="en-US" w:eastAsia="zh-CN" w:bidi="ar"/>
                    </w:rPr>
                    <w:t>2.到2025年，昆明市环境空气质量优良天数比例应达到99.1%，城市细颗粒物（PM2.5）平均浓度应达到24μg/m</w:t>
                  </w:r>
                  <w:r>
                    <w:rPr>
                      <w:rFonts w:hint="default" w:ascii="Times New Roman" w:hAnsi="Times New Roman" w:eastAsia="宋体" w:cs="Times New Roman"/>
                      <w:b w:val="0"/>
                      <w:bCs w:val="0"/>
                      <w:color w:val="auto"/>
                      <w:kern w:val="0"/>
                      <w:sz w:val="21"/>
                      <w:szCs w:val="21"/>
                      <w:vertAlign w:val="superscript"/>
                      <w:lang w:val="en-US" w:eastAsia="zh-CN" w:bidi="ar"/>
                    </w:rPr>
                    <w:t>3</w:t>
                  </w:r>
                  <w:r>
                    <w:rPr>
                      <w:rFonts w:hint="default" w:ascii="Times New Roman" w:hAnsi="Times New Roman" w:eastAsia="宋体" w:cs="Times New Roman"/>
                      <w:b w:val="0"/>
                      <w:bCs w:val="0"/>
                      <w:color w:val="auto"/>
                      <w:kern w:val="0"/>
                      <w:sz w:val="21"/>
                      <w:szCs w:val="21"/>
                      <w:lang w:val="en-US" w:eastAsia="zh-CN" w:bidi="ar"/>
                    </w:rPr>
                    <w:t>；氮氧化物重点工程减排量2237t，挥发性有机物重点工程减排量1684t。</w:t>
                  </w:r>
                  <w:r>
                    <w:rPr>
                      <w:rFonts w:hint="default" w:ascii="Times New Roman" w:hAnsi="Times New Roman" w:eastAsia="宋体" w:cs="Times New Roman"/>
                      <w:b w:val="0"/>
                      <w:bCs w:val="0"/>
                      <w:color w:val="auto"/>
                      <w:kern w:val="0"/>
                      <w:sz w:val="21"/>
                      <w:szCs w:val="21"/>
                      <w:lang w:val="en-US" w:eastAsia="zh-CN" w:bidi="ar"/>
                    </w:rPr>
                    <w:br w:type="textWrapping"/>
                  </w:r>
                  <w:r>
                    <w:rPr>
                      <w:rFonts w:hint="default" w:ascii="Times New Roman" w:hAnsi="Times New Roman" w:eastAsia="宋体" w:cs="Times New Roman"/>
                      <w:b w:val="0"/>
                      <w:bCs w:val="0"/>
                      <w:color w:val="auto"/>
                      <w:kern w:val="0"/>
                      <w:sz w:val="21"/>
                      <w:szCs w:val="21"/>
                      <w:lang w:val="en-US" w:eastAsia="zh-CN" w:bidi="ar"/>
                    </w:rPr>
                    <w:t>3.2025年底前，全面完成钢铁企业超低排放改造。持续开展燃煤锅炉整治，推进每小时65蒸吨以上的燃煤锅炉超低排放改造。燃气锅炉推行低氮燃烧，氮氧化物排放浓度不高于50毫克/立方米。重点涉气排放企业逐步取消烟气旁路，因安全生产无法取消的，安装在线监管系统。</w:t>
                  </w:r>
                  <w:r>
                    <w:rPr>
                      <w:rFonts w:hint="default" w:ascii="Times New Roman" w:hAnsi="Times New Roman" w:eastAsia="宋体" w:cs="Times New Roman"/>
                      <w:b w:val="0"/>
                      <w:bCs w:val="0"/>
                      <w:color w:val="auto"/>
                      <w:kern w:val="0"/>
                      <w:sz w:val="21"/>
                      <w:szCs w:val="21"/>
                      <w:lang w:val="en-US" w:eastAsia="zh-CN" w:bidi="ar"/>
                    </w:rPr>
                    <w:br w:type="textWrapping"/>
                  </w:r>
                  <w:r>
                    <w:rPr>
                      <w:rFonts w:hint="default" w:ascii="Times New Roman" w:hAnsi="Times New Roman" w:eastAsia="宋体" w:cs="Times New Roman"/>
                      <w:b w:val="0"/>
                      <w:bCs w:val="0"/>
                      <w:color w:val="auto"/>
                      <w:kern w:val="0"/>
                      <w:sz w:val="21"/>
                      <w:szCs w:val="21"/>
                      <w:lang w:val="en-US" w:eastAsia="zh-CN" w:bidi="ar"/>
                    </w:rPr>
                    <w:t>4.建立完善源头、过程和末端的VOCs全过程控制体系，实施VOCs排放总量控制。</w:t>
                  </w:r>
                  <w:r>
                    <w:rPr>
                      <w:rFonts w:hint="default" w:ascii="Times New Roman" w:hAnsi="Times New Roman" w:eastAsia="宋体" w:cs="Times New Roman"/>
                      <w:b w:val="0"/>
                      <w:bCs w:val="0"/>
                      <w:color w:val="auto"/>
                      <w:kern w:val="0"/>
                      <w:sz w:val="21"/>
                      <w:szCs w:val="21"/>
                      <w:lang w:val="en-US" w:eastAsia="zh-CN" w:bidi="ar"/>
                    </w:rPr>
                    <w:br w:type="textWrapping"/>
                  </w:r>
                  <w:r>
                    <w:rPr>
                      <w:rFonts w:hint="default" w:ascii="Times New Roman" w:hAnsi="Times New Roman" w:eastAsia="宋体" w:cs="Times New Roman"/>
                      <w:b w:val="0"/>
                      <w:bCs w:val="0"/>
                      <w:color w:val="auto"/>
                      <w:kern w:val="0"/>
                      <w:sz w:val="21"/>
                      <w:szCs w:val="21"/>
                      <w:lang w:val="en-US" w:eastAsia="zh-CN" w:bidi="ar"/>
                    </w:rPr>
                    <w:t>5.推进农业废弃物综合利用，2025年底前综合利用率达90%以上。</w:t>
                  </w:r>
                  <w:r>
                    <w:rPr>
                      <w:rFonts w:hint="default" w:ascii="Times New Roman" w:hAnsi="Times New Roman" w:eastAsia="宋体" w:cs="Times New Roman"/>
                      <w:b w:val="0"/>
                      <w:bCs w:val="0"/>
                      <w:color w:val="auto"/>
                      <w:kern w:val="0"/>
                      <w:sz w:val="21"/>
                      <w:szCs w:val="21"/>
                      <w:lang w:val="en-US" w:eastAsia="zh-CN" w:bidi="ar"/>
                    </w:rPr>
                    <w:br w:type="textWrapping"/>
                  </w:r>
                  <w:r>
                    <w:rPr>
                      <w:rFonts w:hint="default" w:ascii="Times New Roman" w:hAnsi="Times New Roman" w:eastAsia="宋体" w:cs="Times New Roman"/>
                      <w:b w:val="0"/>
                      <w:bCs w:val="0"/>
                      <w:color w:val="auto"/>
                      <w:kern w:val="0"/>
                      <w:sz w:val="21"/>
                      <w:szCs w:val="21"/>
                      <w:lang w:val="en-US" w:eastAsia="zh-CN" w:bidi="ar"/>
                    </w:rPr>
                    <w:t>6.滇池流域：2025年底前，完成流域内城镇雨污分流改造，城镇污水收集率达95％以上，农村生活污水收集处理率达75％以上，畜禽粪污综合利用率达90％以上，城市生活垃圾处理率达97％以上，实现农村生活垃圾分类投放、统一运输、集中处理。</w:t>
                  </w:r>
                  <w:r>
                    <w:rPr>
                      <w:rFonts w:hint="default" w:ascii="Times New Roman" w:hAnsi="Times New Roman" w:eastAsia="宋体" w:cs="Times New Roman"/>
                      <w:b w:val="0"/>
                      <w:bCs w:val="0"/>
                      <w:color w:val="auto"/>
                      <w:kern w:val="0"/>
                      <w:sz w:val="21"/>
                      <w:szCs w:val="21"/>
                      <w:lang w:val="en-US" w:eastAsia="zh-CN" w:bidi="ar"/>
                    </w:rPr>
                    <w:br w:type="textWrapping"/>
                  </w:r>
                  <w:r>
                    <w:rPr>
                      <w:rFonts w:hint="default" w:ascii="Times New Roman" w:hAnsi="Times New Roman" w:eastAsia="宋体" w:cs="Times New Roman"/>
                      <w:b w:val="0"/>
                      <w:bCs w:val="0"/>
                      <w:color w:val="auto"/>
                      <w:kern w:val="0"/>
                      <w:sz w:val="21"/>
                      <w:szCs w:val="21"/>
                      <w:lang w:val="en-US" w:eastAsia="zh-CN" w:bidi="ar"/>
                    </w:rPr>
                    <w:t>7.阳宗海流域：推进农业废弃物综合利用，2025年底前农作物综合利用率达90%以上，畜禽粪污综合利用率达96%以上，农膜回收利用率达85%以上。2025年底前，完成流域内城镇雨污分流改造，城镇污水收集率达95%以上，农村生活污水收集处理率达75%以上，畜禽粪污综合利用率达90%以上，城镇生活垃圾处理率达97%以上，实现农村生活垃圾分类投放、统一运输、集中处理。</w:t>
                  </w:r>
                  <w:r>
                    <w:rPr>
                      <w:rFonts w:hint="default" w:ascii="Times New Roman" w:hAnsi="Times New Roman" w:eastAsia="宋体" w:cs="Times New Roman"/>
                      <w:b w:val="0"/>
                      <w:bCs w:val="0"/>
                      <w:color w:val="auto"/>
                      <w:kern w:val="0"/>
                      <w:sz w:val="21"/>
                      <w:szCs w:val="21"/>
                      <w:lang w:val="en-US" w:eastAsia="zh-CN" w:bidi="ar"/>
                    </w:rPr>
                    <w:br w:type="textWrapping"/>
                  </w:r>
                  <w:r>
                    <w:rPr>
                      <w:rFonts w:hint="default" w:ascii="Times New Roman" w:hAnsi="Times New Roman" w:eastAsia="宋体" w:cs="Times New Roman"/>
                      <w:b w:val="0"/>
                      <w:bCs w:val="0"/>
                      <w:color w:val="auto"/>
                      <w:kern w:val="0"/>
                      <w:sz w:val="21"/>
                      <w:szCs w:val="21"/>
                      <w:lang w:val="en-US" w:eastAsia="zh-CN" w:bidi="ar"/>
                    </w:rPr>
                    <w:t>8.督促指导磷石膏产生企业配套建设（或委托建设）相应能力的磷石膏无害化处理设施，采用水洗、焙烧、浮选、中和等技术对磷石膏进行无害化处理，确保在2025年新产生磷石膏实现100%无害化处理，从根本上降低磷石膏污染隐患。无害化处理后暂时不能利用的磷石膏，应当按生态环境、应急管理要求依法依规安全环保分类存放。</w:t>
                  </w:r>
                  <w:r>
                    <w:rPr>
                      <w:rFonts w:hint="default" w:ascii="Times New Roman" w:hAnsi="Times New Roman" w:eastAsia="宋体" w:cs="Times New Roman"/>
                      <w:b w:val="0"/>
                      <w:bCs w:val="0"/>
                      <w:color w:val="auto"/>
                      <w:kern w:val="0"/>
                      <w:sz w:val="21"/>
                      <w:szCs w:val="21"/>
                      <w:lang w:val="en-US" w:eastAsia="zh-CN" w:bidi="ar"/>
                    </w:rPr>
                    <w:br w:type="textWrapping"/>
                  </w:r>
                  <w:r>
                    <w:rPr>
                      <w:rFonts w:hint="default" w:ascii="Times New Roman" w:hAnsi="Times New Roman" w:eastAsia="宋体" w:cs="Times New Roman"/>
                      <w:b w:val="0"/>
                      <w:bCs w:val="0"/>
                      <w:color w:val="auto"/>
                      <w:kern w:val="0"/>
                      <w:sz w:val="21"/>
                      <w:szCs w:val="21"/>
                      <w:lang w:val="en-US" w:eastAsia="zh-CN" w:bidi="ar"/>
                    </w:rPr>
                    <w:t>9.推动昆明市磷石膏综合利用率2023年达到52%，2024年达到64%，2025年确保达到73%，力争达到75%；到2025年底，中心城区污泥无害化处置率达到95%以上，县城污泥无害化处置率达到90%以上。</w:t>
                  </w:r>
                </w:p>
              </w:tc>
              <w:tc>
                <w:tcPr>
                  <w:tcW w:w="1860" w:type="pct"/>
                  <w:vAlign w:val="center"/>
                </w:tcPr>
                <w:p w14:paraId="1BD26299">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1、本项目生产废水</w:t>
                  </w:r>
                  <w:r>
                    <w:rPr>
                      <w:rFonts w:hint="eastAsia" w:ascii="Times New Roman" w:hAnsi="Times New Roman" w:eastAsia="宋体" w:cs="Times New Roman"/>
                      <w:color w:val="auto"/>
                      <w:sz w:val="21"/>
                      <w:szCs w:val="21"/>
                      <w:lang w:val="en-US" w:eastAsia="zh-CN"/>
                    </w:rPr>
                    <w:t>和生活废水均</w:t>
                  </w:r>
                  <w:r>
                    <w:rPr>
                      <w:rFonts w:hint="default" w:ascii="Times New Roman" w:hAnsi="Times New Roman" w:eastAsia="宋体" w:cs="Times New Roman"/>
                      <w:color w:val="auto"/>
                      <w:sz w:val="21"/>
                      <w:szCs w:val="21"/>
                      <w:lang w:val="en-US" w:eastAsia="zh-CN"/>
                    </w:rPr>
                    <w:t>不外排，不会对水环境产生影响。</w:t>
                  </w:r>
                </w:p>
                <w:p w14:paraId="5FCEDF16">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2、本项目废气排放为颗粒物、二氧化硫和氮氧化物，经采取环保措施处理后能达标排放，对环境空气质量影响较小</w:t>
                  </w:r>
                </w:p>
                <w:p w14:paraId="5D6F4B1B">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3、项目不属于钢铁企业</w:t>
                  </w:r>
                </w:p>
                <w:p w14:paraId="19B9C4A4">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4、项目不产生VOCs</w:t>
                  </w:r>
                </w:p>
                <w:p w14:paraId="39FE4265">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5、本项目</w:t>
                  </w:r>
                  <w:r>
                    <w:rPr>
                      <w:rFonts w:hint="eastAsia" w:ascii="Times New Roman" w:hAnsi="Times New Roman" w:eastAsia="宋体" w:cs="Times New Roman"/>
                      <w:color w:val="auto"/>
                      <w:sz w:val="21"/>
                      <w:szCs w:val="21"/>
                      <w:lang w:val="en-US" w:eastAsia="zh-CN"/>
                    </w:rPr>
                    <w:t>不属于农业项目</w:t>
                  </w:r>
                </w:p>
                <w:p w14:paraId="3D1D5CCD">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6、项目</w:t>
                  </w:r>
                  <w:r>
                    <w:rPr>
                      <w:rFonts w:hint="eastAsia" w:ascii="Times New Roman" w:hAnsi="Times New Roman" w:eastAsia="宋体" w:cs="Times New Roman"/>
                      <w:color w:val="auto"/>
                      <w:sz w:val="21"/>
                      <w:szCs w:val="21"/>
                      <w:lang w:val="en-US" w:eastAsia="zh-CN"/>
                    </w:rPr>
                    <w:t>在</w:t>
                  </w:r>
                  <w:r>
                    <w:rPr>
                      <w:rFonts w:hint="default" w:ascii="Times New Roman" w:hAnsi="Times New Roman" w:eastAsia="宋体" w:cs="Times New Roman"/>
                      <w:color w:val="auto"/>
                      <w:sz w:val="21"/>
                      <w:szCs w:val="21"/>
                      <w:lang w:val="en-US" w:eastAsia="zh-CN"/>
                    </w:rPr>
                    <w:t>滇池流域</w:t>
                  </w:r>
                  <w:r>
                    <w:rPr>
                      <w:rFonts w:hint="eastAsia" w:ascii="Times New Roman" w:hAnsi="Times New Roman" w:eastAsia="宋体" w:cs="Times New Roman"/>
                      <w:color w:val="auto"/>
                      <w:sz w:val="21"/>
                      <w:szCs w:val="21"/>
                      <w:lang w:val="en-US" w:eastAsia="zh-CN"/>
                    </w:rPr>
                    <w:t>内</w:t>
                  </w:r>
                </w:p>
                <w:p w14:paraId="52937F37">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7、项目</w:t>
                  </w:r>
                  <w:r>
                    <w:rPr>
                      <w:rFonts w:hint="eastAsia" w:ascii="Times New Roman" w:hAnsi="Times New Roman" w:eastAsia="宋体" w:cs="Times New Roman"/>
                      <w:color w:val="auto"/>
                      <w:sz w:val="21"/>
                      <w:szCs w:val="21"/>
                      <w:lang w:val="en-US" w:eastAsia="zh-CN"/>
                    </w:rPr>
                    <w:t>不在</w:t>
                  </w:r>
                  <w:r>
                    <w:rPr>
                      <w:rFonts w:hint="default" w:ascii="Times New Roman" w:hAnsi="Times New Roman" w:eastAsia="宋体" w:cs="Times New Roman"/>
                      <w:color w:val="auto"/>
                      <w:sz w:val="21"/>
                      <w:szCs w:val="21"/>
                      <w:lang w:val="en-US" w:eastAsia="zh-CN"/>
                    </w:rPr>
                    <w:t>阳宗海流域</w:t>
                  </w:r>
                  <w:r>
                    <w:rPr>
                      <w:rFonts w:hint="eastAsia" w:ascii="Times New Roman" w:hAnsi="Times New Roman" w:eastAsia="宋体" w:cs="Times New Roman"/>
                      <w:color w:val="auto"/>
                      <w:sz w:val="21"/>
                      <w:szCs w:val="21"/>
                      <w:lang w:val="en-US" w:eastAsia="zh-CN"/>
                    </w:rPr>
                    <w:t>内</w:t>
                  </w:r>
                </w:p>
                <w:p w14:paraId="58922C14">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8、项目不属于磷石膏生产企业</w:t>
                  </w:r>
                </w:p>
                <w:p w14:paraId="3F6E0DC4">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9、项目不产生磷石膏</w:t>
                  </w:r>
                </w:p>
              </w:tc>
              <w:tc>
                <w:tcPr>
                  <w:tcW w:w="319" w:type="pct"/>
                  <w:vAlign w:val="center"/>
                </w:tcPr>
                <w:p w14:paraId="70DF9390">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符合</w:t>
                  </w:r>
                </w:p>
              </w:tc>
            </w:tr>
            <w:tr w14:paraId="0765E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14:paraId="43FD9303">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（三）环境风险防控</w:t>
                  </w:r>
                </w:p>
              </w:tc>
            </w:tr>
            <w:tr w14:paraId="07A2F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9" w:type="pct"/>
                  <w:gridSpan w:val="2"/>
                  <w:vAlign w:val="center"/>
                </w:tcPr>
                <w:p w14:paraId="02E71FE5">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1.加大放射性物质、电磁辐射、危险废物、医疗废物、尾矿库渣场、危险化学品、重金属等风险要素防控力度，全过程监控风险要素产生、使用、储存、运输、处理处置，实现智能化预警与报警，有效降低各类环境风险。</w:t>
                  </w:r>
                  <w:r>
                    <w:rPr>
                      <w:rFonts w:hint="default" w:ascii="Times New Roman" w:hAnsi="Times New Roman" w:eastAsia="宋体" w:cs="Times New Roman"/>
                      <w:b w:val="0"/>
                      <w:bCs w:val="0"/>
                      <w:color w:val="auto"/>
                      <w:kern w:val="0"/>
                      <w:sz w:val="21"/>
                      <w:szCs w:val="21"/>
                      <w:lang w:val="en-US" w:eastAsia="zh-CN" w:bidi="ar"/>
                    </w:rPr>
                    <w:br w:type="textWrapping"/>
                  </w:r>
                  <w:r>
                    <w:rPr>
                      <w:rFonts w:hint="default" w:ascii="Times New Roman" w:hAnsi="Times New Roman" w:eastAsia="宋体" w:cs="Times New Roman"/>
                      <w:b w:val="0"/>
                      <w:bCs w:val="0"/>
                      <w:color w:val="auto"/>
                      <w:kern w:val="0"/>
                      <w:sz w:val="21"/>
                      <w:szCs w:val="21"/>
                      <w:lang w:val="en-US" w:eastAsia="zh-CN" w:bidi="ar"/>
                    </w:rPr>
                    <w:t>2.针对持久性有机污染物、内分泌干扰物等新污染物，制定实施新污染物治理行动方案，开展新污染物筛查与评估，建立清单，开展化学物质生产使用信息调查，实施调查监测和环境风险评估。</w:t>
                  </w:r>
                  <w:r>
                    <w:rPr>
                      <w:rFonts w:hint="default" w:ascii="Times New Roman" w:hAnsi="Times New Roman" w:eastAsia="宋体" w:cs="Times New Roman"/>
                      <w:b w:val="0"/>
                      <w:bCs w:val="0"/>
                      <w:color w:val="auto"/>
                      <w:kern w:val="0"/>
                      <w:sz w:val="21"/>
                      <w:szCs w:val="21"/>
                      <w:lang w:val="en-US" w:eastAsia="zh-CN" w:bidi="ar"/>
                    </w:rPr>
                    <w:br w:type="textWrapping"/>
                  </w:r>
                  <w:r>
                    <w:rPr>
                      <w:rFonts w:hint="default" w:ascii="Times New Roman" w:hAnsi="Times New Roman" w:eastAsia="宋体" w:cs="Times New Roman"/>
                      <w:b w:val="0"/>
                      <w:bCs w:val="0"/>
                      <w:color w:val="auto"/>
                      <w:kern w:val="0"/>
                      <w:sz w:val="21"/>
                      <w:szCs w:val="21"/>
                      <w:lang w:val="en-US" w:eastAsia="zh-CN" w:bidi="ar"/>
                    </w:rPr>
                    <w:t>3.开展重点区域、重点领域环境风险调查评估，加强源头预防、过程管控、末端治理；建设环境应急技术库和物资库，推动各地更新扩充应急物资和防护装备，提升环境应急指挥信息化水平，完善环境应急管理体系。</w:t>
                  </w:r>
                  <w:r>
                    <w:rPr>
                      <w:rFonts w:hint="default" w:ascii="Times New Roman" w:hAnsi="Times New Roman" w:eastAsia="宋体" w:cs="Times New Roman"/>
                      <w:b w:val="0"/>
                      <w:bCs w:val="0"/>
                      <w:color w:val="auto"/>
                      <w:kern w:val="0"/>
                      <w:sz w:val="21"/>
                      <w:szCs w:val="21"/>
                      <w:lang w:val="en-US" w:eastAsia="zh-CN" w:bidi="ar"/>
                    </w:rPr>
                    <w:br w:type="textWrapping"/>
                  </w:r>
                  <w:r>
                    <w:rPr>
                      <w:rFonts w:hint="default" w:ascii="Times New Roman" w:hAnsi="Times New Roman" w:eastAsia="宋体" w:cs="Times New Roman"/>
                      <w:b w:val="0"/>
                      <w:bCs w:val="0"/>
                      <w:color w:val="auto"/>
                      <w:kern w:val="0"/>
                      <w:sz w:val="21"/>
                      <w:szCs w:val="21"/>
                      <w:lang w:val="en-US" w:eastAsia="zh-CN" w:bidi="ar"/>
                    </w:rPr>
                    <w:t>4.开展“千吨万人”农村饮用水水源保护区环境风险排查整治，加强农村水源水质监测。</w:t>
                  </w:r>
                  <w:r>
                    <w:rPr>
                      <w:rFonts w:hint="default" w:ascii="Times New Roman" w:hAnsi="Times New Roman" w:eastAsia="宋体" w:cs="Times New Roman"/>
                      <w:b w:val="0"/>
                      <w:bCs w:val="0"/>
                      <w:color w:val="auto"/>
                      <w:kern w:val="0"/>
                      <w:sz w:val="21"/>
                      <w:szCs w:val="21"/>
                      <w:lang w:val="en-US" w:eastAsia="zh-CN" w:bidi="ar"/>
                    </w:rPr>
                    <w:br w:type="textWrapping"/>
                  </w:r>
                  <w:r>
                    <w:rPr>
                      <w:rFonts w:hint="default" w:ascii="Times New Roman" w:hAnsi="Times New Roman" w:eastAsia="宋体" w:cs="Times New Roman"/>
                      <w:b w:val="0"/>
                      <w:bCs w:val="0"/>
                      <w:color w:val="auto"/>
                      <w:kern w:val="0"/>
                      <w:sz w:val="21"/>
                      <w:szCs w:val="21"/>
                      <w:lang w:val="en-US" w:eastAsia="zh-CN" w:bidi="ar"/>
                    </w:rPr>
                    <w:t>5.以涉危险废物、涉重金属企业为重点，合理布设生产设施，强化应急导流槽、事故调蓄池、雨污总排口应急闸坝等事故排水收集截留设施，以及传输泵、配套管线、应急发电等事故水输送设施等建设，合理设置消防事故水池和雨水监测池。</w:t>
                  </w:r>
                  <w:r>
                    <w:rPr>
                      <w:rFonts w:hint="default" w:ascii="Times New Roman" w:hAnsi="Times New Roman" w:eastAsia="宋体" w:cs="Times New Roman"/>
                      <w:b w:val="0"/>
                      <w:bCs w:val="0"/>
                      <w:color w:val="auto"/>
                      <w:kern w:val="0"/>
                      <w:sz w:val="21"/>
                      <w:szCs w:val="21"/>
                      <w:lang w:val="en-US" w:eastAsia="zh-CN" w:bidi="ar"/>
                    </w:rPr>
                    <w:br w:type="textWrapping"/>
                  </w:r>
                  <w:r>
                    <w:rPr>
                      <w:rFonts w:hint="default" w:ascii="Times New Roman" w:hAnsi="Times New Roman" w:eastAsia="宋体" w:cs="Times New Roman"/>
                      <w:b w:val="0"/>
                      <w:bCs w:val="0"/>
                      <w:color w:val="auto"/>
                      <w:kern w:val="0"/>
                      <w:sz w:val="21"/>
                      <w:szCs w:val="21"/>
                      <w:lang w:val="en-US" w:eastAsia="zh-CN" w:bidi="ar"/>
                    </w:rPr>
                    <w:t>6.严格新（改、扩）建尾矿库环境准入，健全尾矿库环境监管清单，加强尾矿库分类分级环境监管。严格落实《云南省尾矿库专项整治工作实施方案》。</w:t>
                  </w:r>
                </w:p>
              </w:tc>
              <w:tc>
                <w:tcPr>
                  <w:tcW w:w="1860" w:type="pct"/>
                  <w:vAlign w:val="center"/>
                </w:tcPr>
                <w:p w14:paraId="48DFDAE9">
                  <w:pPr>
                    <w:pStyle w:val="4"/>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1、项目产生的危险废物为废机油（0.5t/a），委托有资质单位清运处置；本项目涉及的风险物质主要为设备维修时产生的废机油，废机油产生量为0.5t（临界量2500t）Q值=0.0002小于1，未超过临界量，风险较小</w:t>
                  </w:r>
                </w:p>
                <w:p w14:paraId="32F2741C">
                  <w:pPr>
                    <w:pStyle w:val="4"/>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2、项目不产生持久性有机污染物、内分泌干扰物等新污染物</w:t>
                  </w:r>
                </w:p>
                <w:p w14:paraId="5613EAE2">
                  <w:pPr>
                    <w:pStyle w:val="4"/>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3、项目运营后应开展应急预案编制工作，并按照要求扩充应急物资和防护装备，提升环境应急指挥信息化水平，完善环境应急管理体系。</w:t>
                  </w:r>
                  <w:r>
                    <w:rPr>
                      <w:rFonts w:hint="default" w:ascii="Times New Roman" w:hAnsi="Times New Roman" w:eastAsia="宋体" w:cs="Times New Roman"/>
                      <w:color w:val="auto"/>
                      <w:sz w:val="21"/>
                      <w:szCs w:val="21"/>
                      <w:lang w:val="en-US" w:eastAsia="zh-CN"/>
                    </w:rPr>
                    <w:br w:type="textWrapping"/>
                  </w:r>
                  <w:r>
                    <w:rPr>
                      <w:rFonts w:hint="default" w:ascii="Times New Roman" w:hAnsi="Times New Roman" w:eastAsia="宋体" w:cs="Times New Roman"/>
                      <w:color w:val="auto"/>
                      <w:sz w:val="21"/>
                      <w:szCs w:val="21"/>
                      <w:lang w:val="en-US" w:eastAsia="zh-CN"/>
                    </w:rPr>
                    <w:t>4、项目不涉及饮用水水源保护区</w:t>
                  </w:r>
                </w:p>
                <w:p w14:paraId="24AC0B47">
                  <w:pPr>
                    <w:pStyle w:val="4"/>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5、项目不涉及重金属，危险废物为废机油，废机油产生较少，且委托有资质单位定期进行清运处置</w:t>
                  </w:r>
                </w:p>
                <w:p w14:paraId="68FA8294">
                  <w:pPr>
                    <w:pStyle w:val="4"/>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6、项目不属于尾矿库项目</w:t>
                  </w:r>
                </w:p>
              </w:tc>
              <w:tc>
                <w:tcPr>
                  <w:tcW w:w="319" w:type="pct"/>
                  <w:vAlign w:val="center"/>
                </w:tcPr>
                <w:p w14:paraId="19755137">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符合</w:t>
                  </w:r>
                </w:p>
              </w:tc>
            </w:tr>
            <w:tr w14:paraId="593E6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14:paraId="77493F42">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（四）资源开发效率要求</w:t>
                  </w:r>
                </w:p>
              </w:tc>
            </w:tr>
            <w:tr w14:paraId="53C43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8" w:hRule="atLeast"/>
              </w:trPr>
              <w:tc>
                <w:tcPr>
                  <w:tcW w:w="2819" w:type="pct"/>
                  <w:gridSpan w:val="2"/>
                  <w:vAlign w:val="center"/>
                </w:tcPr>
                <w:p w14:paraId="06E43B8B">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1.到2025年，基本建成与经济社会高质量发展和生态文明建设要求相适应、与由全面建成小康社会向基本实现现代化迈进起步期相协同的水安全保障体系。</w:t>
                  </w:r>
                  <w:r>
                    <w:rPr>
                      <w:rFonts w:hint="default" w:ascii="Times New Roman" w:hAnsi="Times New Roman" w:eastAsia="宋体" w:cs="Times New Roman"/>
                      <w:b w:val="0"/>
                      <w:bCs w:val="0"/>
                      <w:color w:val="auto"/>
                      <w:kern w:val="0"/>
                      <w:sz w:val="21"/>
                      <w:szCs w:val="21"/>
                      <w:lang w:val="en-US" w:eastAsia="zh-CN" w:bidi="ar"/>
                    </w:rPr>
                    <w:br w:type="textWrapping"/>
                  </w:r>
                  <w:r>
                    <w:rPr>
                      <w:rFonts w:hint="default" w:ascii="Times New Roman" w:hAnsi="Times New Roman" w:eastAsia="宋体" w:cs="Times New Roman"/>
                      <w:b w:val="0"/>
                      <w:bCs w:val="0"/>
                      <w:color w:val="auto"/>
                      <w:kern w:val="0"/>
                      <w:sz w:val="21"/>
                      <w:szCs w:val="21"/>
                      <w:lang w:val="en-US" w:eastAsia="zh-CN" w:bidi="ar"/>
                    </w:rPr>
                    <w:t>2.节水型生产和生活方式初步建立，用水效率和效益显著提高，全社会节水意识明显增强，新时代节水型社会基本建成。全市用水总量控制在35.48亿m</w:t>
                  </w:r>
                  <w:r>
                    <w:rPr>
                      <w:rFonts w:hint="default" w:ascii="Times New Roman" w:hAnsi="Times New Roman" w:eastAsia="宋体" w:cs="Times New Roman"/>
                      <w:b w:val="0"/>
                      <w:bCs w:val="0"/>
                      <w:color w:val="auto"/>
                      <w:kern w:val="0"/>
                      <w:sz w:val="21"/>
                      <w:szCs w:val="21"/>
                      <w:vertAlign w:val="superscript"/>
                      <w:lang w:val="en-US" w:eastAsia="zh-CN" w:bidi="ar"/>
                    </w:rPr>
                    <w:t>3</w:t>
                  </w:r>
                  <w:r>
                    <w:rPr>
                      <w:rFonts w:hint="default" w:ascii="Times New Roman" w:hAnsi="Times New Roman" w:eastAsia="宋体" w:cs="Times New Roman"/>
                      <w:b w:val="0"/>
                      <w:bCs w:val="0"/>
                      <w:color w:val="auto"/>
                      <w:kern w:val="0"/>
                      <w:sz w:val="21"/>
                      <w:szCs w:val="21"/>
                      <w:lang w:val="en-US" w:eastAsia="zh-CN" w:bidi="ar"/>
                    </w:rPr>
                    <w:t>以内，万元GDP用水量较2020年下降10%，万元工业增加值用水量较2020年下降10%，农田灌溉水有效利用系数提高到0.55以上。</w:t>
                  </w:r>
                  <w:r>
                    <w:rPr>
                      <w:rFonts w:hint="default" w:ascii="Times New Roman" w:hAnsi="Times New Roman" w:eastAsia="宋体" w:cs="Times New Roman"/>
                      <w:b w:val="0"/>
                      <w:bCs w:val="0"/>
                      <w:color w:val="auto"/>
                      <w:kern w:val="0"/>
                      <w:sz w:val="21"/>
                      <w:szCs w:val="21"/>
                      <w:lang w:val="en-US" w:eastAsia="zh-CN" w:bidi="ar"/>
                    </w:rPr>
                    <w:br w:type="textWrapping"/>
                  </w:r>
                  <w:r>
                    <w:rPr>
                      <w:rFonts w:hint="default" w:ascii="Times New Roman" w:hAnsi="Times New Roman" w:eastAsia="宋体" w:cs="Times New Roman"/>
                      <w:b w:val="0"/>
                      <w:bCs w:val="0"/>
                      <w:color w:val="auto"/>
                      <w:kern w:val="0"/>
                      <w:sz w:val="21"/>
                      <w:szCs w:val="21"/>
                      <w:lang w:val="en-US" w:eastAsia="zh-CN" w:bidi="ar"/>
                    </w:rPr>
                    <w:t>3.万元工业增加值用水量≤30（立方米/万元）。</w:t>
                  </w:r>
                  <w:r>
                    <w:rPr>
                      <w:rFonts w:hint="default" w:ascii="Times New Roman" w:hAnsi="Times New Roman" w:eastAsia="宋体" w:cs="Times New Roman"/>
                      <w:b w:val="0"/>
                      <w:bCs w:val="0"/>
                      <w:color w:val="auto"/>
                      <w:kern w:val="0"/>
                      <w:sz w:val="21"/>
                      <w:szCs w:val="21"/>
                      <w:lang w:val="en-US" w:eastAsia="zh-CN" w:bidi="ar"/>
                    </w:rPr>
                    <w:br w:type="textWrapping"/>
                  </w:r>
                  <w:r>
                    <w:rPr>
                      <w:rFonts w:hint="default" w:ascii="Times New Roman" w:hAnsi="Times New Roman" w:eastAsia="宋体" w:cs="Times New Roman"/>
                      <w:b w:val="0"/>
                      <w:bCs w:val="0"/>
                      <w:color w:val="auto"/>
                      <w:kern w:val="0"/>
                      <w:sz w:val="21"/>
                      <w:szCs w:val="21"/>
                      <w:lang w:val="en-US" w:eastAsia="zh-CN" w:bidi="ar"/>
                    </w:rPr>
                    <w:t>1.2025年底前，全市单位地区生产总值能源消耗较2020年下降14%，能源消费总量得到合理控制。</w:t>
                  </w:r>
                  <w:r>
                    <w:rPr>
                      <w:rFonts w:hint="default" w:ascii="Times New Roman" w:hAnsi="Times New Roman" w:eastAsia="宋体" w:cs="Times New Roman"/>
                      <w:b w:val="0"/>
                      <w:bCs w:val="0"/>
                      <w:color w:val="auto"/>
                      <w:kern w:val="0"/>
                      <w:sz w:val="21"/>
                      <w:szCs w:val="21"/>
                      <w:lang w:val="en-US" w:eastAsia="zh-CN" w:bidi="ar"/>
                    </w:rPr>
                    <w:br w:type="textWrapping"/>
                  </w:r>
                  <w:r>
                    <w:rPr>
                      <w:rFonts w:hint="default" w:ascii="Times New Roman" w:hAnsi="Times New Roman" w:eastAsia="宋体" w:cs="Times New Roman"/>
                      <w:b w:val="0"/>
                      <w:bCs w:val="0"/>
                      <w:color w:val="auto"/>
                      <w:kern w:val="0"/>
                      <w:sz w:val="21"/>
                      <w:szCs w:val="21"/>
                      <w:lang w:val="en-US" w:eastAsia="zh-CN" w:bidi="ar"/>
                    </w:rPr>
                    <w:t>2.单位GDP能源消耗累计下降23.6%，不低于省级下达目标。</w:t>
                  </w:r>
                  <w:r>
                    <w:rPr>
                      <w:rFonts w:hint="default" w:ascii="Times New Roman" w:hAnsi="Times New Roman" w:eastAsia="宋体" w:cs="Times New Roman"/>
                      <w:b w:val="0"/>
                      <w:bCs w:val="0"/>
                      <w:color w:val="auto"/>
                      <w:kern w:val="0"/>
                      <w:sz w:val="21"/>
                      <w:szCs w:val="21"/>
                      <w:lang w:val="en-US" w:eastAsia="zh-CN" w:bidi="ar"/>
                    </w:rPr>
                    <w:br w:type="textWrapping"/>
                  </w:r>
                  <w:r>
                    <w:rPr>
                      <w:rFonts w:hint="default" w:ascii="Times New Roman" w:hAnsi="Times New Roman" w:eastAsia="宋体" w:cs="Times New Roman"/>
                      <w:b w:val="0"/>
                      <w:bCs w:val="0"/>
                      <w:color w:val="auto"/>
                      <w:kern w:val="0"/>
                      <w:sz w:val="21"/>
                      <w:szCs w:val="21"/>
                      <w:lang w:val="en-US" w:eastAsia="zh-CN" w:bidi="ar"/>
                    </w:rPr>
                    <w:t>3.对照国家有关高耗能行业重点领域能效标杆水平，实施钢铁、有色金属、冶炼等17个高耗能行业节能降碳改造升级，加快提升重点行业、企业能效水平。</w:t>
                  </w:r>
                  <w:r>
                    <w:rPr>
                      <w:rFonts w:hint="default" w:ascii="Times New Roman" w:hAnsi="Times New Roman" w:eastAsia="宋体" w:cs="Times New Roman"/>
                      <w:b w:val="0"/>
                      <w:bCs w:val="0"/>
                      <w:color w:val="auto"/>
                      <w:kern w:val="0"/>
                      <w:sz w:val="21"/>
                      <w:szCs w:val="21"/>
                      <w:lang w:val="en-US" w:eastAsia="zh-CN" w:bidi="ar"/>
                    </w:rPr>
                    <w:br w:type="textWrapping"/>
                  </w:r>
                  <w:r>
                    <w:rPr>
                      <w:rFonts w:hint="default" w:ascii="Times New Roman" w:hAnsi="Times New Roman" w:eastAsia="宋体" w:cs="Times New Roman"/>
                      <w:b w:val="0"/>
                      <w:bCs w:val="0"/>
                      <w:color w:val="auto"/>
                      <w:kern w:val="0"/>
                      <w:sz w:val="21"/>
                      <w:szCs w:val="21"/>
                      <w:lang w:val="en-US" w:eastAsia="zh-CN" w:bidi="ar"/>
                    </w:rPr>
                    <w:t>4.加强节能监察和探索用能预算管理，实施电机、变压器等重点用能设备能效提升三年行动，推广先进节能技术。</w:t>
                  </w:r>
                  <w:r>
                    <w:rPr>
                      <w:rFonts w:hint="default" w:ascii="Times New Roman" w:hAnsi="Times New Roman" w:eastAsia="宋体" w:cs="Times New Roman"/>
                      <w:b w:val="0"/>
                      <w:bCs w:val="0"/>
                      <w:color w:val="auto"/>
                      <w:kern w:val="0"/>
                      <w:sz w:val="21"/>
                      <w:szCs w:val="21"/>
                      <w:lang w:val="en-US" w:eastAsia="zh-CN" w:bidi="ar"/>
                    </w:rPr>
                    <w:br w:type="textWrapping"/>
                  </w:r>
                  <w:r>
                    <w:rPr>
                      <w:rFonts w:hint="default" w:ascii="Times New Roman" w:hAnsi="Times New Roman" w:eastAsia="宋体" w:cs="Times New Roman"/>
                      <w:b w:val="0"/>
                      <w:bCs w:val="0"/>
                      <w:color w:val="auto"/>
                      <w:kern w:val="0"/>
                      <w:sz w:val="21"/>
                      <w:szCs w:val="21"/>
                      <w:lang w:val="en-US" w:eastAsia="zh-CN" w:bidi="ar"/>
                    </w:rPr>
                    <w:t>5.到2025年，钢铁行业全面完成超低排放改造。</w:t>
                  </w:r>
                  <w:r>
                    <w:rPr>
                      <w:rFonts w:hint="default" w:ascii="Times New Roman" w:hAnsi="Times New Roman" w:eastAsia="宋体" w:cs="Times New Roman"/>
                      <w:b w:val="0"/>
                      <w:bCs w:val="0"/>
                      <w:color w:val="auto"/>
                      <w:kern w:val="0"/>
                      <w:sz w:val="21"/>
                      <w:szCs w:val="21"/>
                      <w:lang w:val="en-US" w:eastAsia="zh-CN" w:bidi="ar"/>
                    </w:rPr>
                    <w:br w:type="textWrapping"/>
                  </w:r>
                  <w:r>
                    <w:rPr>
                      <w:rFonts w:hint="default" w:ascii="Times New Roman" w:hAnsi="Times New Roman" w:eastAsia="宋体" w:cs="Times New Roman"/>
                      <w:b w:val="0"/>
                      <w:bCs w:val="0"/>
                      <w:color w:val="auto"/>
                      <w:kern w:val="0"/>
                      <w:sz w:val="21"/>
                      <w:szCs w:val="21"/>
                      <w:lang w:val="en-US" w:eastAsia="zh-CN" w:bidi="ar"/>
                    </w:rPr>
                    <w:t>6.加快推进有色、化工、印染、烟草等行业清洁生产和工业废水资源化利用。</w:t>
                  </w:r>
                  <w:r>
                    <w:rPr>
                      <w:rFonts w:hint="default" w:ascii="Times New Roman" w:hAnsi="Times New Roman" w:eastAsia="宋体" w:cs="Times New Roman"/>
                      <w:b w:val="0"/>
                      <w:bCs w:val="0"/>
                      <w:color w:val="auto"/>
                      <w:kern w:val="0"/>
                      <w:sz w:val="21"/>
                      <w:szCs w:val="21"/>
                      <w:lang w:val="en-US" w:eastAsia="zh-CN" w:bidi="ar"/>
                    </w:rPr>
                    <w:br w:type="textWrapping"/>
                  </w:r>
                  <w:r>
                    <w:rPr>
                      <w:rFonts w:hint="default" w:ascii="Times New Roman" w:hAnsi="Times New Roman" w:eastAsia="宋体" w:cs="Times New Roman"/>
                      <w:b w:val="0"/>
                      <w:bCs w:val="0"/>
                      <w:color w:val="auto"/>
                      <w:kern w:val="0"/>
                      <w:sz w:val="21"/>
                      <w:szCs w:val="21"/>
                      <w:lang w:val="en-US" w:eastAsia="zh-CN" w:bidi="ar"/>
                    </w:rPr>
                    <w:t>7.到2025年，全市新建大型及以上数据中心绿色低碳等级达到4A以上，电源使用效率（PUE）达到1.3以下，逐步组织电源使用效率超过1.5的数据中心进行节能降碳改造。</w:t>
                  </w:r>
                  <w:r>
                    <w:rPr>
                      <w:rFonts w:hint="default" w:ascii="Times New Roman" w:hAnsi="Times New Roman" w:eastAsia="宋体" w:cs="Times New Roman"/>
                      <w:b w:val="0"/>
                      <w:bCs w:val="0"/>
                      <w:color w:val="auto"/>
                      <w:kern w:val="0"/>
                      <w:sz w:val="21"/>
                      <w:szCs w:val="21"/>
                      <w:lang w:val="en-US" w:eastAsia="zh-CN" w:bidi="ar"/>
                    </w:rPr>
                    <w:br w:type="textWrapping"/>
                  </w:r>
                  <w:r>
                    <w:rPr>
                      <w:rFonts w:hint="default" w:ascii="Times New Roman" w:hAnsi="Times New Roman" w:eastAsia="宋体" w:cs="Times New Roman"/>
                      <w:b w:val="0"/>
                      <w:bCs w:val="0"/>
                      <w:color w:val="auto"/>
                      <w:kern w:val="0"/>
                      <w:sz w:val="21"/>
                      <w:szCs w:val="21"/>
                      <w:lang w:val="en-US" w:eastAsia="zh-CN" w:bidi="ar"/>
                    </w:rPr>
                    <w:t>8.“十四五”期间，全市规模以上工业单位增加值能耗下降14.5%，万元工业增加值用水量下降12%。</w:t>
                  </w:r>
                  <w:r>
                    <w:rPr>
                      <w:rFonts w:hint="default" w:ascii="Times New Roman" w:hAnsi="Times New Roman" w:eastAsia="宋体" w:cs="Times New Roman"/>
                      <w:b w:val="0"/>
                      <w:bCs w:val="0"/>
                      <w:color w:val="auto"/>
                      <w:kern w:val="0"/>
                      <w:sz w:val="21"/>
                      <w:szCs w:val="21"/>
                      <w:lang w:val="en-US" w:eastAsia="zh-CN" w:bidi="ar"/>
                    </w:rPr>
                    <w:br w:type="textWrapping"/>
                  </w:r>
                  <w:r>
                    <w:rPr>
                      <w:rFonts w:hint="default" w:ascii="Times New Roman" w:hAnsi="Times New Roman" w:eastAsia="宋体" w:cs="Times New Roman"/>
                      <w:b w:val="0"/>
                      <w:bCs w:val="0"/>
                      <w:color w:val="auto"/>
                      <w:kern w:val="0"/>
                      <w:sz w:val="21"/>
                      <w:szCs w:val="21"/>
                      <w:lang w:val="en-US" w:eastAsia="zh-CN" w:bidi="ar"/>
                    </w:rPr>
                    <w:t>9.到2025年，通过实施节能降碳提升工程，钢铁、电解铝、水泥、平板玻璃、炼油、乙烯、合成氨、电石等重点行业产能和数据中心达到能效标杆水平的比例超过30%。</w:t>
                  </w:r>
                  <w:r>
                    <w:rPr>
                      <w:rFonts w:hint="default" w:ascii="Times New Roman" w:hAnsi="Times New Roman" w:eastAsia="宋体" w:cs="Times New Roman"/>
                      <w:b w:val="0"/>
                      <w:bCs w:val="0"/>
                      <w:color w:val="auto"/>
                      <w:kern w:val="0"/>
                      <w:sz w:val="21"/>
                      <w:szCs w:val="21"/>
                      <w:lang w:val="en-US" w:eastAsia="zh-CN" w:bidi="ar"/>
                    </w:rPr>
                    <w:br w:type="textWrapping"/>
                  </w:r>
                  <w:r>
                    <w:rPr>
                      <w:rFonts w:hint="default" w:ascii="Times New Roman" w:hAnsi="Times New Roman" w:eastAsia="宋体" w:cs="Times New Roman"/>
                      <w:b w:val="0"/>
                      <w:bCs w:val="0"/>
                      <w:color w:val="auto"/>
                      <w:kern w:val="0"/>
                      <w:sz w:val="21"/>
                      <w:szCs w:val="21"/>
                      <w:lang w:val="en-US" w:eastAsia="zh-CN" w:bidi="ar"/>
                    </w:rPr>
                    <w:t>10.公共机构单位建筑面积碳排放量比2020年下降7%。</w:t>
                  </w:r>
                  <w:r>
                    <w:rPr>
                      <w:rFonts w:hint="default" w:ascii="Times New Roman" w:hAnsi="Times New Roman" w:eastAsia="宋体" w:cs="Times New Roman"/>
                      <w:b w:val="0"/>
                      <w:bCs w:val="0"/>
                      <w:color w:val="auto"/>
                      <w:kern w:val="0"/>
                      <w:sz w:val="21"/>
                      <w:szCs w:val="21"/>
                      <w:lang w:val="en-US" w:eastAsia="zh-CN" w:bidi="ar"/>
                    </w:rPr>
                    <w:br w:type="textWrapping"/>
                  </w:r>
                  <w:r>
                    <w:rPr>
                      <w:rFonts w:hint="default" w:ascii="Times New Roman" w:hAnsi="Times New Roman" w:eastAsia="宋体" w:cs="Times New Roman"/>
                      <w:b w:val="0"/>
                      <w:bCs w:val="0"/>
                      <w:color w:val="auto"/>
                      <w:kern w:val="0"/>
                      <w:sz w:val="21"/>
                      <w:szCs w:val="21"/>
                      <w:lang w:val="en-US" w:eastAsia="zh-CN" w:bidi="ar"/>
                    </w:rPr>
                    <w:t>11.非化石能源消费占一次能源消费比重达到40%以上，完成省级下达目标。</w:t>
                  </w:r>
                  <w:r>
                    <w:rPr>
                      <w:rFonts w:hint="default" w:ascii="Times New Roman" w:hAnsi="Times New Roman" w:eastAsia="宋体" w:cs="Times New Roman"/>
                      <w:b w:val="0"/>
                      <w:bCs w:val="0"/>
                      <w:color w:val="auto"/>
                      <w:kern w:val="0"/>
                      <w:sz w:val="21"/>
                      <w:szCs w:val="21"/>
                      <w:lang w:val="en-US" w:eastAsia="zh-CN" w:bidi="ar"/>
                    </w:rPr>
                    <w:br w:type="textWrapping"/>
                  </w:r>
                  <w:r>
                    <w:rPr>
                      <w:rFonts w:hint="default" w:ascii="Times New Roman" w:hAnsi="Times New Roman" w:eastAsia="宋体" w:cs="Times New Roman"/>
                      <w:b w:val="0"/>
                      <w:bCs w:val="0"/>
                      <w:color w:val="auto"/>
                      <w:kern w:val="0"/>
                      <w:sz w:val="21"/>
                      <w:szCs w:val="21"/>
                      <w:lang w:val="en-US" w:eastAsia="zh-CN" w:bidi="ar"/>
                    </w:rPr>
                    <w:t>12.单位GDP二氧化碳排放累计下降23%，不低于省级下达目标。</w:t>
                  </w:r>
                  <w:r>
                    <w:rPr>
                      <w:rFonts w:hint="default" w:ascii="Times New Roman" w:hAnsi="Times New Roman" w:eastAsia="宋体" w:cs="Times New Roman"/>
                      <w:b w:val="0"/>
                      <w:bCs w:val="0"/>
                      <w:color w:val="auto"/>
                      <w:kern w:val="0"/>
                      <w:sz w:val="21"/>
                      <w:szCs w:val="21"/>
                      <w:lang w:val="en-US" w:eastAsia="zh-CN" w:bidi="ar"/>
                    </w:rPr>
                    <w:br w:type="textWrapping"/>
                  </w:r>
                  <w:r>
                    <w:rPr>
                      <w:rFonts w:hint="default" w:ascii="Times New Roman" w:hAnsi="Times New Roman" w:eastAsia="宋体" w:cs="Times New Roman"/>
                      <w:b w:val="0"/>
                      <w:bCs w:val="0"/>
                      <w:color w:val="auto"/>
                      <w:kern w:val="0"/>
                      <w:sz w:val="21"/>
                      <w:szCs w:val="21"/>
                      <w:lang w:val="en-US" w:eastAsia="zh-CN" w:bidi="ar"/>
                    </w:rPr>
                    <w:t>13.严把新上项目的碳排放关，严格环境影响评价审批，加强固定资产投资项目节能审查，推动新建“两高一低”项目能效水平应提尽提。</w:t>
                  </w:r>
                  <w:r>
                    <w:rPr>
                      <w:rFonts w:hint="default" w:ascii="Times New Roman" w:hAnsi="Times New Roman" w:eastAsia="宋体" w:cs="Times New Roman"/>
                      <w:b w:val="0"/>
                      <w:bCs w:val="0"/>
                      <w:color w:val="auto"/>
                      <w:kern w:val="0"/>
                      <w:sz w:val="21"/>
                      <w:szCs w:val="21"/>
                      <w:lang w:val="en-US" w:eastAsia="zh-CN" w:bidi="ar"/>
                    </w:rPr>
                    <w:br w:type="textWrapping"/>
                  </w:r>
                  <w:r>
                    <w:rPr>
                      <w:rFonts w:hint="default" w:ascii="Times New Roman" w:hAnsi="Times New Roman" w:eastAsia="宋体" w:cs="Times New Roman"/>
                      <w:b w:val="0"/>
                      <w:bCs w:val="0"/>
                      <w:color w:val="auto"/>
                      <w:kern w:val="0"/>
                      <w:sz w:val="21"/>
                      <w:szCs w:val="21"/>
                      <w:lang w:val="en-US" w:eastAsia="zh-CN" w:bidi="ar"/>
                    </w:rPr>
                    <w:t>14.以六大高耗能行业为重点，全面梳理形成拟建、在建、存量“两高一低”项目清单，实行清单管理、分类处置、动态监控。加强“两高一低”项目全过程监管，严肃查处不符合政策要求、违规审批、未批先建、批建不符、超标用能排污的“两高一低”项目。</w:t>
                  </w:r>
                  <w:r>
                    <w:rPr>
                      <w:rFonts w:hint="default" w:ascii="Times New Roman" w:hAnsi="Times New Roman" w:eastAsia="宋体" w:cs="Times New Roman"/>
                      <w:b w:val="0"/>
                      <w:bCs w:val="0"/>
                      <w:color w:val="auto"/>
                      <w:kern w:val="0"/>
                      <w:sz w:val="21"/>
                      <w:szCs w:val="21"/>
                      <w:lang w:val="en-US" w:eastAsia="zh-CN" w:bidi="ar"/>
                    </w:rPr>
                    <w:br w:type="textWrapping"/>
                  </w:r>
                  <w:r>
                    <w:rPr>
                      <w:rFonts w:hint="default" w:ascii="Times New Roman" w:hAnsi="Times New Roman" w:eastAsia="宋体" w:cs="Times New Roman"/>
                      <w:b w:val="0"/>
                      <w:bCs w:val="0"/>
                      <w:color w:val="auto"/>
                      <w:kern w:val="0"/>
                      <w:sz w:val="21"/>
                      <w:szCs w:val="21"/>
                      <w:lang w:val="en-US" w:eastAsia="zh-CN" w:bidi="ar"/>
                    </w:rPr>
                    <w:t>15.加快淘汰落后和低端低效产能退出。</w:t>
                  </w:r>
                  <w:r>
                    <w:rPr>
                      <w:rFonts w:hint="default" w:ascii="Times New Roman" w:hAnsi="Times New Roman" w:eastAsia="宋体" w:cs="Times New Roman"/>
                      <w:b w:val="0"/>
                      <w:bCs w:val="0"/>
                      <w:color w:val="auto"/>
                      <w:kern w:val="0"/>
                      <w:sz w:val="21"/>
                      <w:szCs w:val="21"/>
                      <w:lang w:val="en-US" w:eastAsia="zh-CN" w:bidi="ar"/>
                    </w:rPr>
                    <w:br w:type="textWrapping"/>
                  </w:r>
                  <w:r>
                    <w:rPr>
                      <w:rFonts w:hint="default" w:ascii="Times New Roman" w:hAnsi="Times New Roman" w:eastAsia="宋体" w:cs="Times New Roman"/>
                      <w:b w:val="0"/>
                      <w:bCs w:val="0"/>
                      <w:color w:val="auto"/>
                      <w:kern w:val="0"/>
                      <w:sz w:val="21"/>
                      <w:szCs w:val="21"/>
                      <w:lang w:val="en-US" w:eastAsia="zh-CN" w:bidi="ar"/>
                    </w:rPr>
                    <w:t>16.指导金融机构加强“两高一低”项目贷前审核。</w:t>
                  </w:r>
                </w:p>
              </w:tc>
              <w:tc>
                <w:tcPr>
                  <w:tcW w:w="1860" w:type="pct"/>
                  <w:vAlign w:val="center"/>
                </w:tcPr>
                <w:p w14:paraId="4FF8E7FE">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1、项目按照环保要求严格落实后，基本能与经济社会高质量发展和生态文明建设要求相适应、与由全面建成小康社会向基本实现现代化迈进起步期相协同的水安全保障体系。</w:t>
                  </w:r>
                  <w:r>
                    <w:rPr>
                      <w:rFonts w:hint="default" w:ascii="Times New Roman" w:hAnsi="Times New Roman" w:eastAsia="宋体" w:cs="Times New Roman"/>
                      <w:b w:val="0"/>
                      <w:bCs w:val="0"/>
                      <w:color w:val="auto"/>
                      <w:kern w:val="0"/>
                      <w:sz w:val="21"/>
                      <w:szCs w:val="21"/>
                      <w:lang w:val="en-US" w:eastAsia="zh-CN" w:bidi="ar"/>
                    </w:rPr>
                    <w:br w:type="textWrapping"/>
                  </w:r>
                  <w:r>
                    <w:rPr>
                      <w:rFonts w:hint="default" w:ascii="Times New Roman" w:hAnsi="Times New Roman" w:eastAsia="宋体" w:cs="Times New Roman"/>
                      <w:b w:val="0"/>
                      <w:bCs w:val="0"/>
                      <w:color w:val="auto"/>
                      <w:kern w:val="0"/>
                      <w:sz w:val="21"/>
                      <w:szCs w:val="21"/>
                      <w:lang w:val="en-US" w:eastAsia="zh-CN" w:bidi="ar"/>
                    </w:rPr>
                    <w:t>2、按照《云南省用水定额》（2019）取水，满足用水总量要求</w:t>
                  </w:r>
                </w:p>
                <w:p w14:paraId="5457ED0A">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auto"/>
                    <w:rPr>
                      <w:rFonts w:hint="default"/>
                      <w:color w:val="auto"/>
                      <w:lang w:val="en-US" w:eastAsia="zh-CN"/>
                    </w:rPr>
                  </w:pPr>
                  <w:r>
                    <w:rPr>
                      <w:rFonts w:hint="default" w:ascii="Times New Roman" w:hAnsi="Times New Roman" w:eastAsia="宋体" w:cs="Times New Roman"/>
                      <w:b w:val="0"/>
                      <w:bCs w:val="0"/>
                      <w:color w:val="auto"/>
                      <w:kern w:val="0"/>
                      <w:sz w:val="21"/>
                      <w:szCs w:val="21"/>
                      <w:lang w:val="en-US" w:eastAsia="zh-CN" w:bidi="ar"/>
                    </w:rPr>
                    <w:t>3、项目不属于钢铁、有色金属、冶炼等17个高耗能行业</w:t>
                  </w:r>
                </w:p>
              </w:tc>
              <w:tc>
                <w:tcPr>
                  <w:tcW w:w="319" w:type="pct"/>
                  <w:vAlign w:val="center"/>
                </w:tcPr>
                <w:p w14:paraId="4EF3972B">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符合</w:t>
                  </w:r>
                </w:p>
              </w:tc>
            </w:tr>
            <w:tr w14:paraId="0B629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14:paraId="26E18EA0">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寻甸回族彝族自治县一般管控单元</w:t>
                  </w:r>
                </w:p>
              </w:tc>
            </w:tr>
            <w:tr w14:paraId="7D710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pct"/>
                  <w:vAlign w:val="center"/>
                </w:tcPr>
                <w:p w14:paraId="006B97B0">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空间布局</w:t>
                  </w:r>
                </w:p>
                <w:p w14:paraId="4A022D9F">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约束</w:t>
                  </w:r>
                </w:p>
              </w:tc>
              <w:tc>
                <w:tcPr>
                  <w:tcW w:w="1979" w:type="pct"/>
                  <w:vAlign w:val="center"/>
                </w:tcPr>
                <w:p w14:paraId="1E4C0D30">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auto"/>
                    <w:rPr>
                      <w:rStyle w:val="44"/>
                      <w:rFonts w:hint="default" w:ascii="Times New Roman" w:hAnsi="Times New Roman" w:eastAsia="宋体" w:cs="Times New Roman"/>
                      <w:color w:val="auto"/>
                      <w:kern w:val="0"/>
                      <w:sz w:val="21"/>
                      <w:szCs w:val="21"/>
                      <w:lang w:val="en-US" w:eastAsia="zh-CN"/>
                    </w:rPr>
                  </w:pPr>
                  <w:r>
                    <w:rPr>
                      <w:rStyle w:val="44"/>
                      <w:rFonts w:hint="default" w:ascii="Times New Roman" w:hAnsi="Times New Roman" w:eastAsia="宋体" w:cs="Times New Roman"/>
                      <w:color w:val="auto"/>
                      <w:kern w:val="0"/>
                      <w:sz w:val="21"/>
                      <w:szCs w:val="21"/>
                      <w:lang w:val="en-US" w:eastAsia="zh-CN"/>
                    </w:rPr>
                    <w:t>1.禁止在林地、河湖管理范围内新建、改建、扩建房地产开发项目。</w:t>
                  </w:r>
                  <w:r>
                    <w:rPr>
                      <w:rStyle w:val="44"/>
                      <w:rFonts w:hint="default" w:ascii="Times New Roman" w:hAnsi="Times New Roman" w:eastAsia="宋体" w:cs="Times New Roman"/>
                      <w:color w:val="auto"/>
                      <w:kern w:val="0"/>
                      <w:sz w:val="21"/>
                      <w:szCs w:val="21"/>
                      <w:lang w:val="en-US" w:eastAsia="zh-CN"/>
                    </w:rPr>
                    <w:br w:type="textWrapping"/>
                  </w:r>
                  <w:r>
                    <w:rPr>
                      <w:rStyle w:val="44"/>
                      <w:rFonts w:hint="default" w:ascii="Times New Roman" w:hAnsi="Times New Roman" w:eastAsia="宋体" w:cs="Times New Roman"/>
                      <w:color w:val="auto"/>
                      <w:kern w:val="0"/>
                      <w:sz w:val="21"/>
                      <w:szCs w:val="21"/>
                      <w:lang w:val="en-US" w:eastAsia="zh-CN"/>
                    </w:rPr>
                    <w:t>2.禁止围湖造田和侵占江河滩地。</w:t>
                  </w:r>
                  <w:r>
                    <w:rPr>
                      <w:rStyle w:val="44"/>
                      <w:rFonts w:hint="default" w:ascii="Times New Roman" w:hAnsi="Times New Roman" w:eastAsia="宋体" w:cs="Times New Roman"/>
                      <w:color w:val="auto"/>
                      <w:kern w:val="0"/>
                      <w:sz w:val="21"/>
                      <w:szCs w:val="21"/>
                      <w:lang w:val="en-US" w:eastAsia="zh-CN"/>
                    </w:rPr>
                    <w:br w:type="textWrapping"/>
                  </w:r>
                  <w:r>
                    <w:rPr>
                      <w:rStyle w:val="44"/>
                      <w:rFonts w:hint="default" w:ascii="Times New Roman" w:hAnsi="Times New Roman" w:eastAsia="宋体" w:cs="Times New Roman"/>
                      <w:color w:val="auto"/>
                      <w:kern w:val="0"/>
                      <w:sz w:val="21"/>
                      <w:szCs w:val="21"/>
                      <w:lang w:val="en-US" w:eastAsia="zh-CN"/>
                    </w:rPr>
                    <w:t>3.禁止企业向滩涂、沼泽、荒地等未利用地非法排污、倾倒有毒有害物质。</w:t>
                  </w:r>
                </w:p>
              </w:tc>
              <w:tc>
                <w:tcPr>
                  <w:tcW w:w="1860" w:type="pct"/>
                  <w:vAlign w:val="center"/>
                </w:tcPr>
                <w:p w14:paraId="646CC49F">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1、项目用地不属于</w:t>
                  </w:r>
                  <w:r>
                    <w:rPr>
                      <w:rFonts w:hint="eastAsia" w:ascii="Times New Roman" w:hAnsi="Times New Roman" w:eastAsia="宋体" w:cs="Times New Roman"/>
                      <w:b w:val="0"/>
                      <w:bCs w:val="0"/>
                      <w:color w:val="auto"/>
                      <w:kern w:val="0"/>
                      <w:sz w:val="21"/>
                      <w:szCs w:val="21"/>
                      <w:lang w:val="en-US" w:eastAsia="zh-CN" w:bidi="ar"/>
                    </w:rPr>
                    <w:t>房地产项目</w:t>
                  </w:r>
                  <w:r>
                    <w:rPr>
                      <w:rFonts w:hint="default" w:ascii="Times New Roman" w:hAnsi="Times New Roman" w:eastAsia="宋体" w:cs="Times New Roman"/>
                      <w:b w:val="0"/>
                      <w:bCs w:val="0"/>
                      <w:color w:val="auto"/>
                      <w:kern w:val="0"/>
                      <w:sz w:val="21"/>
                      <w:szCs w:val="21"/>
                      <w:lang w:val="en-US" w:eastAsia="zh-CN" w:bidi="ar"/>
                    </w:rPr>
                    <w:t>2、项目未涉及围湖造田和侵占江河滩地</w:t>
                  </w:r>
                </w:p>
                <w:p w14:paraId="2A1B7DB5">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3、项目</w:t>
                  </w:r>
                  <w:r>
                    <w:rPr>
                      <w:rFonts w:hint="eastAsia" w:ascii="Times New Roman" w:hAnsi="Times New Roman" w:eastAsia="宋体" w:cs="Times New Roman"/>
                      <w:b w:val="0"/>
                      <w:bCs w:val="0"/>
                      <w:color w:val="auto"/>
                      <w:kern w:val="0"/>
                      <w:sz w:val="21"/>
                      <w:szCs w:val="21"/>
                      <w:lang w:val="en-US" w:eastAsia="zh-CN" w:bidi="ar"/>
                    </w:rPr>
                    <w:t>不涉及向滩涂、沼泽、荒地等未利用地非法排污、倾倒有毒有害物质</w:t>
                  </w:r>
                  <w:r>
                    <w:rPr>
                      <w:rFonts w:hint="default" w:ascii="Times New Roman" w:hAnsi="Times New Roman" w:eastAsia="宋体" w:cs="Times New Roman"/>
                      <w:b w:val="0"/>
                      <w:bCs w:val="0"/>
                      <w:color w:val="auto"/>
                      <w:kern w:val="0"/>
                      <w:sz w:val="21"/>
                      <w:szCs w:val="21"/>
                      <w:lang w:val="en-US" w:eastAsia="zh-CN" w:bidi="ar"/>
                    </w:rPr>
                    <w:t>，固体废弃物处置率达100%，且危险废物委托有资质单位清运处置</w:t>
                  </w:r>
                </w:p>
              </w:tc>
              <w:tc>
                <w:tcPr>
                  <w:tcW w:w="319" w:type="pct"/>
                  <w:vAlign w:val="center"/>
                </w:tcPr>
                <w:p w14:paraId="3E93AA42">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符合</w:t>
                  </w:r>
                </w:p>
              </w:tc>
            </w:tr>
            <w:tr w14:paraId="138B7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pct"/>
                  <w:vAlign w:val="center"/>
                </w:tcPr>
                <w:p w14:paraId="71F53A21">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污染物排放管控</w:t>
                  </w:r>
                </w:p>
              </w:tc>
              <w:tc>
                <w:tcPr>
                  <w:tcW w:w="1979" w:type="pct"/>
                  <w:vAlign w:val="center"/>
                </w:tcPr>
                <w:p w14:paraId="27261FDE">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auto"/>
                    <w:rPr>
                      <w:rStyle w:val="44"/>
                      <w:rFonts w:hint="default" w:ascii="Times New Roman" w:hAnsi="Times New Roman" w:eastAsia="宋体" w:cs="Times New Roman"/>
                      <w:color w:val="auto"/>
                      <w:kern w:val="0"/>
                      <w:sz w:val="21"/>
                      <w:szCs w:val="21"/>
                      <w:lang w:val="en-US" w:eastAsia="zh-CN"/>
                    </w:rPr>
                  </w:pPr>
                  <w:r>
                    <w:rPr>
                      <w:rStyle w:val="44"/>
                      <w:rFonts w:hint="default" w:ascii="Times New Roman" w:hAnsi="Times New Roman" w:eastAsia="宋体" w:cs="Times New Roman"/>
                      <w:color w:val="auto"/>
                      <w:kern w:val="0"/>
                      <w:sz w:val="21"/>
                      <w:szCs w:val="21"/>
                      <w:lang w:val="en-US" w:eastAsia="zh-CN"/>
                    </w:rPr>
                    <w:t>1.严格控制“两高”行业新增产能，新、改、扩建项目要实行产能等量或减量置换。</w:t>
                  </w:r>
                  <w:r>
                    <w:rPr>
                      <w:rStyle w:val="44"/>
                      <w:rFonts w:hint="default" w:ascii="Times New Roman" w:hAnsi="Times New Roman" w:eastAsia="宋体" w:cs="Times New Roman"/>
                      <w:color w:val="auto"/>
                      <w:kern w:val="0"/>
                      <w:sz w:val="21"/>
                      <w:szCs w:val="21"/>
                      <w:lang w:val="en-US" w:eastAsia="zh-CN"/>
                    </w:rPr>
                    <w:br w:type="textWrapping"/>
                  </w:r>
                  <w:r>
                    <w:rPr>
                      <w:rStyle w:val="44"/>
                      <w:rFonts w:hint="default" w:ascii="Times New Roman" w:hAnsi="Times New Roman" w:eastAsia="宋体" w:cs="Times New Roman"/>
                      <w:color w:val="auto"/>
                      <w:kern w:val="0"/>
                      <w:sz w:val="21"/>
                      <w:szCs w:val="21"/>
                      <w:lang w:val="en-US" w:eastAsia="zh-CN"/>
                    </w:rPr>
                    <w:t>2.严格用地准入，工业用地及商业用地供地前，自然资源部门需对拟供地块进行土壤环境状况调查，评估环境污染风险后方可供地。</w:t>
                  </w:r>
                  <w:r>
                    <w:rPr>
                      <w:rStyle w:val="44"/>
                      <w:rFonts w:hint="default" w:ascii="Times New Roman" w:hAnsi="Times New Roman" w:eastAsia="宋体" w:cs="Times New Roman"/>
                      <w:color w:val="auto"/>
                      <w:kern w:val="0"/>
                      <w:sz w:val="21"/>
                      <w:szCs w:val="21"/>
                      <w:lang w:val="en-US" w:eastAsia="zh-CN"/>
                    </w:rPr>
                    <w:br w:type="textWrapping"/>
                  </w:r>
                  <w:r>
                    <w:rPr>
                      <w:rStyle w:val="44"/>
                      <w:rFonts w:hint="default" w:ascii="Times New Roman" w:hAnsi="Times New Roman" w:eastAsia="宋体" w:cs="Times New Roman"/>
                      <w:color w:val="auto"/>
                      <w:kern w:val="0"/>
                      <w:sz w:val="21"/>
                      <w:szCs w:val="21"/>
                      <w:lang w:val="en-US" w:eastAsia="zh-CN"/>
                    </w:rPr>
                    <w:t>3.禁止使用炸鱼、毒鱼、电鱼等破坏渔业资源方法进行捕捞。</w:t>
                  </w:r>
                  <w:r>
                    <w:rPr>
                      <w:rStyle w:val="44"/>
                      <w:rFonts w:hint="default" w:ascii="Times New Roman" w:hAnsi="Times New Roman" w:eastAsia="宋体" w:cs="Times New Roman"/>
                      <w:color w:val="auto"/>
                      <w:kern w:val="0"/>
                      <w:sz w:val="21"/>
                      <w:szCs w:val="21"/>
                      <w:lang w:val="en-US" w:eastAsia="zh-CN"/>
                    </w:rPr>
                    <w:br w:type="textWrapping"/>
                  </w:r>
                  <w:r>
                    <w:rPr>
                      <w:rStyle w:val="44"/>
                      <w:rFonts w:hint="default" w:ascii="Times New Roman" w:hAnsi="Times New Roman" w:eastAsia="宋体" w:cs="Times New Roman"/>
                      <w:color w:val="auto"/>
                      <w:kern w:val="0"/>
                      <w:sz w:val="21"/>
                      <w:szCs w:val="21"/>
                      <w:lang w:val="en-US" w:eastAsia="zh-CN"/>
                    </w:rPr>
                    <w:t>4.禁止在禁渔区、禁渔期进行捕捞。禁止使用小于最小网目尺寸的网具进行捕捞，未依法取得捕捞许可证擅自捕捞。</w:t>
                  </w:r>
                </w:p>
              </w:tc>
              <w:tc>
                <w:tcPr>
                  <w:tcW w:w="1860" w:type="pct"/>
                  <w:vAlign w:val="center"/>
                </w:tcPr>
                <w:p w14:paraId="312A56F4">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1、项目不属于“两高行业”</w:t>
                  </w:r>
                </w:p>
                <w:p w14:paraId="5D276774">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2、本项目位于云南省昆明市寻甸回族彝族自治县仁德街道，项目已取得自然资源、农业农村、林草、环境保护部门的选址意见</w:t>
                  </w:r>
                  <w:r>
                    <w:rPr>
                      <w:rFonts w:hint="eastAsia" w:ascii="Times New Roman" w:hAnsi="Times New Roman" w:eastAsia="宋体" w:cs="Times New Roman"/>
                      <w:b w:val="0"/>
                      <w:bCs w:val="0"/>
                      <w:color w:val="auto"/>
                      <w:kern w:val="0"/>
                      <w:sz w:val="21"/>
                      <w:szCs w:val="21"/>
                      <w:lang w:val="en-US" w:eastAsia="zh-CN" w:bidi="ar"/>
                    </w:rPr>
                    <w:t>。项目建设前用地为农用地，主要种植玉米、烤烟等，土壤污染风险较小</w:t>
                  </w:r>
                </w:p>
                <w:p w14:paraId="7E2975A8">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3、项目不涉及渔业捕捞</w:t>
                  </w:r>
                </w:p>
                <w:p w14:paraId="2D65FE5D">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4、项目未涉及捕捞</w:t>
                  </w:r>
                </w:p>
              </w:tc>
              <w:tc>
                <w:tcPr>
                  <w:tcW w:w="319" w:type="pct"/>
                  <w:vAlign w:val="center"/>
                </w:tcPr>
                <w:p w14:paraId="450D47AF">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符合</w:t>
                  </w:r>
                </w:p>
              </w:tc>
            </w:tr>
            <w:tr w14:paraId="0229E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pct"/>
                  <w:vAlign w:val="center"/>
                </w:tcPr>
                <w:p w14:paraId="57BEEDEB">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环境风</w:t>
                  </w:r>
                </w:p>
                <w:p w14:paraId="23C75DB5">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险防控</w:t>
                  </w:r>
                </w:p>
              </w:tc>
              <w:tc>
                <w:tcPr>
                  <w:tcW w:w="1979" w:type="pct"/>
                  <w:vAlign w:val="center"/>
                </w:tcPr>
                <w:p w14:paraId="0F8E76A6">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auto"/>
                    <w:rPr>
                      <w:rStyle w:val="44"/>
                      <w:rFonts w:hint="default" w:ascii="Times New Roman" w:hAnsi="Times New Roman" w:eastAsia="宋体" w:cs="Times New Roman"/>
                      <w:color w:val="auto"/>
                      <w:kern w:val="0"/>
                      <w:sz w:val="21"/>
                      <w:szCs w:val="21"/>
                      <w:lang w:val="en-US" w:eastAsia="zh-CN"/>
                    </w:rPr>
                  </w:pPr>
                  <w:r>
                    <w:rPr>
                      <w:rStyle w:val="44"/>
                      <w:rFonts w:hint="default" w:ascii="Times New Roman" w:hAnsi="Times New Roman" w:eastAsia="宋体" w:cs="Times New Roman"/>
                      <w:color w:val="auto"/>
                      <w:kern w:val="0"/>
                      <w:sz w:val="21"/>
                      <w:szCs w:val="21"/>
                      <w:lang w:val="en-US" w:eastAsia="zh-CN"/>
                    </w:rPr>
                    <w:t>1.严格限制《环境保护综合名录》（2021年版）中“高污染、高环境风险”产品与工艺装备。</w:t>
                  </w:r>
                  <w:r>
                    <w:rPr>
                      <w:rStyle w:val="44"/>
                      <w:rFonts w:hint="default" w:ascii="Times New Roman" w:hAnsi="Times New Roman" w:eastAsia="宋体" w:cs="Times New Roman"/>
                      <w:color w:val="auto"/>
                      <w:kern w:val="0"/>
                      <w:sz w:val="21"/>
                      <w:szCs w:val="21"/>
                      <w:lang w:val="en-US" w:eastAsia="zh-CN"/>
                    </w:rPr>
                    <w:br w:type="textWrapping"/>
                  </w:r>
                  <w:r>
                    <w:rPr>
                      <w:rStyle w:val="44"/>
                      <w:rFonts w:hint="default" w:ascii="Times New Roman" w:hAnsi="Times New Roman" w:eastAsia="宋体" w:cs="Times New Roman"/>
                      <w:color w:val="auto"/>
                      <w:kern w:val="0"/>
                      <w:sz w:val="21"/>
                      <w:szCs w:val="21"/>
                      <w:lang w:val="en-US" w:eastAsia="zh-CN"/>
                    </w:rPr>
                    <w:t>2.禁止使用剧毒、高残留以及可能二次中毒的农药。</w:t>
                  </w:r>
                  <w:r>
                    <w:rPr>
                      <w:rStyle w:val="44"/>
                      <w:rFonts w:hint="default" w:ascii="Times New Roman" w:hAnsi="Times New Roman" w:eastAsia="宋体" w:cs="Times New Roman"/>
                      <w:color w:val="auto"/>
                      <w:kern w:val="0"/>
                      <w:sz w:val="21"/>
                      <w:szCs w:val="21"/>
                      <w:lang w:val="en-US" w:eastAsia="zh-CN"/>
                    </w:rPr>
                    <w:br w:type="textWrapping"/>
                  </w:r>
                  <w:r>
                    <w:rPr>
                      <w:rStyle w:val="44"/>
                      <w:rFonts w:hint="default" w:ascii="Times New Roman" w:hAnsi="Times New Roman" w:eastAsia="宋体" w:cs="Times New Roman"/>
                      <w:color w:val="auto"/>
                      <w:kern w:val="0"/>
                      <w:sz w:val="21"/>
                      <w:szCs w:val="21"/>
                      <w:lang w:val="en-US" w:eastAsia="zh-CN"/>
                    </w:rPr>
                    <w:t>3.严格污染场地开发利用和流转审批，在影响健康地块修复达标之前，禁止建设居民区、学校、医疗和养老机构。</w:t>
                  </w:r>
                </w:p>
              </w:tc>
              <w:tc>
                <w:tcPr>
                  <w:tcW w:w="1860" w:type="pct"/>
                  <w:vAlign w:val="center"/>
                </w:tcPr>
                <w:p w14:paraId="1DDE540A">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1、</w:t>
                  </w:r>
                  <w:r>
                    <w:rPr>
                      <w:rFonts w:hint="eastAsia" w:ascii="Times New Roman" w:hAnsi="Times New Roman" w:eastAsia="宋体" w:cs="Times New Roman"/>
                      <w:b w:val="0"/>
                      <w:bCs w:val="0"/>
                      <w:color w:val="auto"/>
                      <w:kern w:val="0"/>
                      <w:sz w:val="21"/>
                      <w:szCs w:val="21"/>
                      <w:lang w:val="en-US" w:eastAsia="zh-CN" w:bidi="ar"/>
                    </w:rPr>
                    <w:t>项目主要为铁路轨枕生产项目，产品和生产工艺均</w:t>
                  </w:r>
                  <w:r>
                    <w:rPr>
                      <w:rFonts w:hint="default" w:ascii="Times New Roman" w:hAnsi="Times New Roman" w:eastAsia="宋体" w:cs="Times New Roman"/>
                      <w:b w:val="0"/>
                      <w:bCs w:val="0"/>
                      <w:color w:val="auto"/>
                      <w:kern w:val="0"/>
                      <w:sz w:val="21"/>
                      <w:szCs w:val="21"/>
                      <w:lang w:val="en-US" w:eastAsia="zh-CN" w:bidi="ar"/>
                    </w:rPr>
                    <w:t>未在《环境保护综合名录》（2021年版）中“高污染、高环境风险”名单内</w:t>
                  </w:r>
                </w:p>
                <w:p w14:paraId="18EC2BD3">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2、项目不涉及使用农药</w:t>
                  </w:r>
                </w:p>
                <w:p w14:paraId="465513DD">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both"/>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3、项目用地不属于在污染场地建设居民区、学校、医疗和养老机构等项目。</w:t>
                  </w:r>
                </w:p>
              </w:tc>
              <w:tc>
                <w:tcPr>
                  <w:tcW w:w="319" w:type="pct"/>
                  <w:vAlign w:val="center"/>
                </w:tcPr>
                <w:p w14:paraId="61F5358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符合</w:t>
                  </w:r>
                </w:p>
              </w:tc>
            </w:tr>
          </w:tbl>
          <w:p w14:paraId="45C21666">
            <w:pPr>
              <w:spacing w:line="360" w:lineRule="auto"/>
              <w:ind w:firstLine="482"/>
              <w:jc w:val="left"/>
              <w:rPr>
                <w:rFonts w:hint="eastAsia"/>
                <w:color w:val="auto"/>
                <w:kern w:val="0"/>
                <w:lang w:val="en-US" w:eastAsia="zh-CN"/>
              </w:rPr>
            </w:pPr>
            <w:r>
              <w:rPr>
                <w:rFonts w:hint="eastAsia"/>
                <w:color w:val="auto"/>
                <w:kern w:val="0"/>
                <w:lang w:val="en-US" w:eastAsia="zh-CN"/>
              </w:rPr>
              <w:t>综上所述，项目建设与昆明市“三线一单”生态环境分区管控相符。</w:t>
            </w:r>
          </w:p>
          <w:p w14:paraId="079F2C95">
            <w:pPr>
              <w:spacing w:line="360" w:lineRule="auto"/>
              <w:ind w:firstLine="482"/>
              <w:jc w:val="left"/>
              <w:rPr>
                <w:rFonts w:hint="default" w:eastAsia="宋体"/>
                <w:b/>
                <w:color w:val="auto"/>
                <w:lang w:val="en-US" w:eastAsia="zh-CN"/>
              </w:rPr>
            </w:pPr>
            <w:r>
              <w:rPr>
                <w:rFonts w:hint="eastAsia"/>
                <w:b/>
                <w:color w:val="auto"/>
                <w:lang w:val="en-US" w:eastAsia="zh-CN"/>
              </w:rPr>
              <w:t>1.1.4与《云南省主体功能区规划》的符合性分析</w:t>
            </w:r>
          </w:p>
          <w:p w14:paraId="438AD6CC">
            <w:pPr>
              <w:pStyle w:val="6"/>
              <w:keepNext w:val="0"/>
              <w:keepLines w:val="0"/>
              <w:pageBreakBefore w:val="0"/>
              <w:widowControl/>
              <w:kinsoku/>
              <w:wordWrap/>
              <w:overflowPunct/>
              <w:topLinePunct w:val="0"/>
              <w:autoSpaceDE/>
              <w:autoSpaceDN/>
              <w:bidi w:val="0"/>
              <w:adjustRightInd/>
              <w:snapToGrid w:val="0"/>
              <w:spacing w:before="0" w:after="0" w:line="360" w:lineRule="auto"/>
              <w:ind w:right="113" w:firstLine="480"/>
              <w:textAlignment w:val="auto"/>
              <w:rPr>
                <w:rFonts w:hint="eastAsia" w:ascii="Times New Roman" w:hAnsi="Times New Roman"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项目位于昆明市寻甸回族彝族自治县仁德街道，</w:t>
            </w:r>
            <w:r>
              <w:rPr>
                <w:rFonts w:hint="eastAsia" w:ascii="Times New Roman" w:hAnsi="Times New Roman" w:cs="Times New Roman"/>
                <w:color w:val="auto"/>
                <w:kern w:val="0"/>
                <w:sz w:val="24"/>
                <w:szCs w:val="24"/>
                <w:lang w:val="en-US" w:eastAsia="zh-CN" w:bidi="ar-SA"/>
              </w:rPr>
              <w:t>属于《云南省主体功能区规划》中的国家重点开发区域。该区域的功能定位为：支撑全省乃至全国经济增长的重要增长级，工业化和城镇化的密集区域，落实国家新一轮西部大开发战略、我国面向西南开放重要桥头堡战略，促进区域协调，实现科学发展、和谐发展、跨越发展的重要支撑点。具体见图1-1。</w:t>
            </w:r>
          </w:p>
          <w:p w14:paraId="4094543D">
            <w:pPr>
              <w:spacing w:line="360" w:lineRule="auto"/>
              <w:ind w:left="0" w:leftChars="0" w:firstLine="0" w:firstLineChars="0"/>
              <w:jc w:val="left"/>
              <w:rPr>
                <w:rFonts w:hint="eastAsia"/>
                <w:b w:val="0"/>
                <w:bCs/>
                <w:color w:val="auto"/>
              </w:rPr>
            </w:pPr>
            <w:r>
              <w:rPr>
                <w:color w:val="auto"/>
                <w:sz w:val="24"/>
              </w:rPr>
              <mc:AlternateContent>
                <mc:Choice Requires="wps">
                  <w:drawing>
                    <wp:anchor distT="0" distB="0" distL="114300" distR="114300" simplePos="0" relativeHeight="251660288" behindDoc="0" locked="0" layoutInCell="1" allowOverlap="1">
                      <wp:simplePos x="0" y="0"/>
                      <wp:positionH relativeFrom="column">
                        <wp:posOffset>3752215</wp:posOffset>
                      </wp:positionH>
                      <wp:positionV relativeFrom="paragraph">
                        <wp:posOffset>895350</wp:posOffset>
                      </wp:positionV>
                      <wp:extent cx="1061720" cy="689610"/>
                      <wp:effectExtent l="0" t="0" r="0" b="0"/>
                      <wp:wrapNone/>
                      <wp:docPr id="10" name="文本框 10"/>
                      <wp:cNvGraphicFramePr/>
                      <a:graphic xmlns:a="http://schemas.openxmlformats.org/drawingml/2006/main">
                        <a:graphicData uri="http://schemas.microsoft.com/office/word/2010/wordprocessingShape">
                          <wps:wsp>
                            <wps:cNvSpPr txBox="1"/>
                            <wps:spPr>
                              <a:xfrm>
                                <a:off x="5547360" y="3840480"/>
                                <a:ext cx="1061720" cy="6896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737AAC">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eastAsia"/>
                                      <w:b/>
                                      <w:bCs/>
                                      <w:color w:val="FF0000"/>
                                      <w:sz w:val="18"/>
                                      <w:szCs w:val="18"/>
                                      <w:lang w:val="en-US" w:eastAsia="zh-CN"/>
                                    </w:rPr>
                                  </w:pPr>
                                  <w:r>
                                    <w:rPr>
                                      <w:rFonts w:hint="eastAsia"/>
                                      <w:b/>
                                      <w:bCs/>
                                      <w:color w:val="FF0000"/>
                                      <w:sz w:val="18"/>
                                      <w:szCs w:val="18"/>
                                      <w:lang w:val="en-US" w:eastAsia="zh-CN"/>
                                    </w:rPr>
                                    <w:t>项目所在区域</w:t>
                                  </w:r>
                                </w:p>
                                <w:p w14:paraId="45434EBC">
                                  <w:pPr>
                                    <w:bidi w:val="0"/>
                                    <w:spacing w:line="240" w:lineRule="auto"/>
                                    <w:ind w:left="0" w:leftChars="0" w:firstLine="0" w:firstLineChars="0"/>
                                    <w:rPr>
                                      <w:rFonts w:hint="default"/>
                                      <w:color w:val="FF0000"/>
                                      <w:sz w:val="15"/>
                                      <w:szCs w:val="15"/>
                                      <w:lang w:val="en-US" w:eastAsia="zh-CN"/>
                                    </w:rPr>
                                  </w:pPr>
                                  <w:r>
                                    <w:rPr>
                                      <w:rFonts w:hint="eastAsia"/>
                                      <w:color w:val="FF0000"/>
                                      <w:sz w:val="15"/>
                                      <w:szCs w:val="15"/>
                                      <w:lang w:val="en-US" w:eastAsia="zh-CN"/>
                                    </w:rPr>
                                    <w:t>位于国家重点开发区域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5.45pt;margin-top:70.5pt;height:54.3pt;width:83.6pt;z-index:251660288;mso-width-relative:page;mso-height-relative:page;" filled="f" stroked="f" coordsize="21600,21600" o:gfxdata="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wIuomtwAAAALAQAADwAAAAAAAAAB&#10;ACAAAAAiAAAAZHJzL2Rvd25yZXYueG1sUEsBAhQAFAAAAAgAh07iQOHyVgVFAgAAdAQAAA4AAAAA&#10;AAAAAQAgAAAAKwEAAGRycy9lMm9Eb2MueG1sUEsFBgAAAAAGAAYAWQEAAOIFAAAAAA==&#10;">
                      <v:fill on="f" focussize="0,0"/>
                      <v:stroke on="f" weight="0.5pt"/>
                      <v:imagedata o:title=""/>
                      <o:lock v:ext="edit" aspectratio="f"/>
                      <v:textbox>
                        <w:txbxContent>
                          <w:p w14:paraId="55737AAC">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eastAsia"/>
                                <w:b/>
                                <w:bCs/>
                                <w:color w:val="FF0000"/>
                                <w:sz w:val="18"/>
                                <w:szCs w:val="18"/>
                                <w:lang w:val="en-US" w:eastAsia="zh-CN"/>
                              </w:rPr>
                            </w:pPr>
                            <w:r>
                              <w:rPr>
                                <w:rFonts w:hint="eastAsia"/>
                                <w:b/>
                                <w:bCs/>
                                <w:color w:val="FF0000"/>
                                <w:sz w:val="18"/>
                                <w:szCs w:val="18"/>
                                <w:lang w:val="en-US" w:eastAsia="zh-CN"/>
                              </w:rPr>
                              <w:t>项目所在区域</w:t>
                            </w:r>
                          </w:p>
                          <w:p w14:paraId="45434EBC">
                            <w:pPr>
                              <w:bidi w:val="0"/>
                              <w:spacing w:line="240" w:lineRule="auto"/>
                              <w:ind w:left="0" w:leftChars="0" w:firstLine="0" w:firstLineChars="0"/>
                              <w:rPr>
                                <w:rFonts w:hint="default"/>
                                <w:color w:val="FF0000"/>
                                <w:sz w:val="15"/>
                                <w:szCs w:val="15"/>
                                <w:lang w:val="en-US" w:eastAsia="zh-CN"/>
                              </w:rPr>
                            </w:pPr>
                            <w:r>
                              <w:rPr>
                                <w:rFonts w:hint="eastAsia"/>
                                <w:color w:val="FF0000"/>
                                <w:sz w:val="15"/>
                                <w:szCs w:val="15"/>
                                <w:lang w:val="en-US" w:eastAsia="zh-CN"/>
                              </w:rPr>
                              <w:t>位于国家重点开发区域</w:t>
                            </w:r>
                          </w:p>
                        </w:txbxContent>
                      </v:textbox>
                    </v:shape>
                  </w:pict>
                </mc:Fallback>
              </mc:AlternateContent>
            </w:r>
            <w:r>
              <w:rPr>
                <w:color w:val="auto"/>
                <w:sz w:val="24"/>
              </w:rPr>
              <mc:AlternateContent>
                <mc:Choice Requires="wps">
                  <w:drawing>
                    <wp:anchor distT="0" distB="0" distL="114300" distR="114300" simplePos="0" relativeHeight="251661312" behindDoc="0" locked="0" layoutInCell="1" allowOverlap="1">
                      <wp:simplePos x="0" y="0"/>
                      <wp:positionH relativeFrom="column">
                        <wp:posOffset>4023995</wp:posOffset>
                      </wp:positionH>
                      <wp:positionV relativeFrom="paragraph">
                        <wp:posOffset>2476500</wp:posOffset>
                      </wp:positionV>
                      <wp:extent cx="904875" cy="171450"/>
                      <wp:effectExtent l="6350" t="6350" r="22225" b="12700"/>
                      <wp:wrapNone/>
                      <wp:docPr id="12" name="矩形 12"/>
                      <wp:cNvGraphicFramePr/>
                      <a:graphic xmlns:a="http://schemas.openxmlformats.org/drawingml/2006/main">
                        <a:graphicData uri="http://schemas.microsoft.com/office/word/2010/wordprocessingShape">
                          <wps:wsp>
                            <wps:cNvSpPr/>
                            <wps:spPr>
                              <a:xfrm>
                                <a:off x="5633085" y="5478780"/>
                                <a:ext cx="904875" cy="171450"/>
                              </a:xfrm>
                              <a:prstGeom prst="rect">
                                <a:avLst/>
                              </a:prstGeom>
                              <a:solidFill>
                                <a:srgbClr val="000000">
                                  <a:alpha val="0"/>
                                </a:srgbClr>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6.85pt;margin-top:195pt;height:13.5pt;width:71.25pt;z-index:251661312;v-text-anchor:middle;mso-width-relative:page;mso-height-relative:page;" fillcolor="#000000" filled="t" stroked="t" coordsize="21600,21600" o:gfxdata="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QvOWu2wAAAAsBAAAP&#10;AAAAAAAAAAEAIAAAACIAAABkcnMvZG93bnJldi54bWxQSwECFAAUAAAACACHTuJAdbpPKocCAAAe&#10;BQAADgAAAAAAAAABACAAAAAqAQAAZHJzL2Uyb0RvYy54bWxQSwUGAAAAAAYABgBZAQAAIwYAAAAA&#10;">
                      <v:fill on="t" opacity="0f" focussize="0,0"/>
                      <v:stroke weight="1pt" color="#FF0000 [2404]" miterlimit="8" joinstyle="miter"/>
                      <v:imagedata o:title=""/>
                      <o:lock v:ext="edit" aspectratio="f"/>
                    </v:rect>
                  </w:pict>
                </mc:Fallback>
              </mc:AlternateContent>
            </w:r>
            <w:r>
              <w:rPr>
                <w:color w:val="auto"/>
                <w:sz w:val="24"/>
              </w:rPr>
              <mc:AlternateContent>
                <mc:Choice Requires="wps">
                  <w:drawing>
                    <wp:anchor distT="0" distB="0" distL="114300" distR="114300" simplePos="0" relativeHeight="251659264" behindDoc="0" locked="0" layoutInCell="1" allowOverlap="1">
                      <wp:simplePos x="0" y="0"/>
                      <wp:positionH relativeFrom="column">
                        <wp:posOffset>2999740</wp:posOffset>
                      </wp:positionH>
                      <wp:positionV relativeFrom="paragraph">
                        <wp:posOffset>962025</wp:posOffset>
                      </wp:positionV>
                      <wp:extent cx="752475" cy="647700"/>
                      <wp:effectExtent l="0" t="5080" r="9525" b="13970"/>
                      <wp:wrapNone/>
                      <wp:docPr id="7" name="直接箭头连接符 7"/>
                      <wp:cNvGraphicFramePr/>
                      <a:graphic xmlns:a="http://schemas.openxmlformats.org/drawingml/2006/main">
                        <a:graphicData uri="http://schemas.microsoft.com/office/word/2010/wordprocessingShape">
                          <wps:wsp>
                            <wps:cNvCnPr/>
                            <wps:spPr>
                              <a:xfrm flipH="1">
                                <a:off x="4608830" y="3964305"/>
                                <a:ext cx="752475" cy="647700"/>
                              </a:xfrm>
                              <a:prstGeom prst="straightConnector1">
                                <a:avLst/>
                              </a:prstGeom>
                              <a:ln w="28575">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36.2pt;margin-top:75.75pt;height:51pt;width:59.25pt;z-index:251659264;mso-width-relative:page;mso-height-relative:page;" filled="f" stroked="t" coordsize="21600,21600" o:gfxdata="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cc/J4&#10;2QAAAAsBAAAPAAAAAAAAAAEAIAAAACIAAABkcnMvZG93bnJldi54bWxQSwECFAAUAAAACACHTuJA&#10;san+qSACAAD5AwAADgAAAAAAAAABACAAAAAoAQAAZHJzL2Uyb0RvYy54bWxQSwUGAAAAAAYABgBZ&#10;AQAAugUAAAAA&#10;">
                      <v:fill on="f" focussize="0,0"/>
                      <v:stroke weight="2.25pt" color="#FF0000 [3204]" miterlimit="8" joinstyle="miter" endarrow="open"/>
                      <v:imagedata o:title=""/>
                      <o:lock v:ext="edit" aspectratio="f"/>
                    </v:shape>
                  </w:pict>
                </mc:Fallback>
              </mc:AlternateContent>
            </w:r>
            <w:r>
              <w:rPr>
                <w:color w:val="auto"/>
              </w:rPr>
              <w:drawing>
                <wp:inline distT="0" distB="0" distL="114300" distR="114300">
                  <wp:extent cx="4982845" cy="3521710"/>
                  <wp:effectExtent l="0" t="0" r="8255" b="254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4982845" cy="3521710"/>
                          </a:xfrm>
                          <a:prstGeom prst="rect">
                            <a:avLst/>
                          </a:prstGeom>
                          <a:noFill/>
                          <a:ln>
                            <a:noFill/>
                          </a:ln>
                        </pic:spPr>
                      </pic:pic>
                    </a:graphicData>
                  </a:graphic>
                </wp:inline>
              </w:drawing>
            </w:r>
          </w:p>
          <w:p w14:paraId="0ACF1EDF">
            <w:pPr>
              <w:pStyle w:val="17"/>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bCs/>
                <w:color w:val="auto"/>
                <w:szCs w:val="21"/>
              </w:rPr>
            </w:pPr>
            <w:r>
              <w:rPr>
                <w:rFonts w:hint="eastAsia"/>
                <w:color w:val="auto"/>
              </w:rPr>
              <w:t>图</w:t>
            </w:r>
            <w:r>
              <w:rPr>
                <w:rFonts w:hint="eastAsia"/>
                <w:color w:val="auto"/>
                <w:lang w:val="en-US" w:eastAsia="zh-CN"/>
              </w:rPr>
              <w:t>1</w:t>
            </w:r>
            <w:r>
              <w:rPr>
                <w:rFonts w:hint="eastAsia"/>
                <w:color w:val="auto"/>
              </w:rPr>
              <w:t>-1  项目与云南省主体功能区划位置关系图</w:t>
            </w:r>
          </w:p>
          <w:p w14:paraId="59A726A6">
            <w:pPr>
              <w:spacing w:line="360" w:lineRule="auto"/>
              <w:ind w:firstLine="482"/>
              <w:jc w:val="left"/>
              <w:rPr>
                <w:rFonts w:hint="default" w:eastAsia="宋体"/>
                <w:b w:val="0"/>
                <w:bCs/>
                <w:color w:val="auto"/>
                <w:lang w:val="en-US" w:eastAsia="zh-CN"/>
              </w:rPr>
            </w:pPr>
            <w:r>
              <w:rPr>
                <w:rFonts w:hint="eastAsia"/>
                <w:b w:val="0"/>
                <w:bCs/>
                <w:color w:val="auto"/>
                <w:lang w:val="en-US" w:eastAsia="zh-CN"/>
              </w:rPr>
              <w:t>项目为</w:t>
            </w:r>
            <w:r>
              <w:rPr>
                <w:color w:val="auto"/>
              </w:rPr>
              <w:t>重庆至昆明高速铁路</w:t>
            </w:r>
            <w:r>
              <w:rPr>
                <w:rFonts w:hint="eastAsia"/>
                <w:color w:val="auto"/>
              </w:rPr>
              <w:t>云贵段的临时用地</w:t>
            </w:r>
            <w:r>
              <w:rPr>
                <w:rFonts w:hint="eastAsia"/>
                <w:color w:val="auto"/>
                <w:lang w:val="en-US" w:eastAsia="zh-CN"/>
              </w:rPr>
              <w:t>轨枕场项目</w:t>
            </w:r>
            <w:r>
              <w:rPr>
                <w:rFonts w:hint="eastAsia"/>
                <w:color w:val="auto"/>
              </w:rPr>
              <w:t>，</w:t>
            </w:r>
            <w:r>
              <w:rPr>
                <w:rFonts w:hint="eastAsia"/>
                <w:color w:val="auto"/>
                <w:lang w:val="en-US" w:eastAsia="zh-CN"/>
              </w:rPr>
              <w:t>主要生产铁路轨枕，</w:t>
            </w:r>
            <w:r>
              <w:rPr>
                <w:rFonts w:hint="eastAsia"/>
                <w:color w:val="auto"/>
              </w:rPr>
              <w:t>该项目是</w:t>
            </w:r>
            <w:r>
              <w:rPr>
                <w:color w:val="auto"/>
              </w:rPr>
              <w:t>我国西南地区重要的铁路干线</w:t>
            </w:r>
            <w:r>
              <w:rPr>
                <w:rFonts w:hint="eastAsia"/>
                <w:color w:val="auto"/>
              </w:rPr>
              <w:t>，</w:t>
            </w:r>
            <w:r>
              <w:rPr>
                <w:rFonts w:hint="eastAsia"/>
                <w:color w:val="auto"/>
                <w:lang w:val="en-US" w:eastAsia="zh-CN"/>
              </w:rPr>
              <w:t>对</w:t>
            </w:r>
            <w:r>
              <w:rPr>
                <w:rFonts w:hint="eastAsia"/>
                <w:color w:val="auto"/>
              </w:rPr>
              <w:t>保障</w:t>
            </w:r>
            <w:r>
              <w:rPr>
                <w:color w:val="auto"/>
              </w:rPr>
              <w:t>重庆至昆明高速铁路云贵段</w:t>
            </w:r>
            <w:r>
              <w:rPr>
                <w:rFonts w:hint="eastAsia"/>
                <w:color w:val="auto"/>
              </w:rPr>
              <w:t>的顺利建设</w:t>
            </w:r>
            <w:r>
              <w:rPr>
                <w:color w:val="auto"/>
              </w:rPr>
              <w:t>具有重要意义</w:t>
            </w:r>
            <w:r>
              <w:rPr>
                <w:rFonts w:hint="eastAsia"/>
                <w:color w:val="auto"/>
              </w:rPr>
              <w:t>。</w:t>
            </w:r>
            <w:r>
              <w:rPr>
                <w:rFonts w:hint="eastAsia" w:ascii="宋体" w:hAnsi="宋体" w:cs="宋体"/>
                <w:color w:val="auto"/>
                <w:lang w:bidi="ar"/>
              </w:rPr>
              <w:t>因此，项目与《云南省主体功能区规划》是相符的。</w:t>
            </w:r>
          </w:p>
          <w:p w14:paraId="7D4A4992">
            <w:pPr>
              <w:spacing w:line="360" w:lineRule="auto"/>
              <w:ind w:firstLine="482"/>
              <w:jc w:val="left"/>
              <w:rPr>
                <w:rFonts w:hint="eastAsia"/>
                <w:b w:val="0"/>
                <w:bCs/>
                <w:color w:val="auto"/>
              </w:rPr>
            </w:pPr>
            <w:r>
              <w:rPr>
                <w:rFonts w:hint="eastAsia"/>
                <w:b/>
                <w:color w:val="auto"/>
                <w:lang w:val="en-US" w:eastAsia="zh-CN"/>
              </w:rPr>
              <w:t>1.1.5与</w:t>
            </w:r>
            <w:r>
              <w:rPr>
                <w:rFonts w:hint="eastAsia"/>
                <w:b/>
                <w:bCs/>
                <w:color w:val="auto"/>
              </w:rPr>
              <w:t>《云南省生态功能区划》</w:t>
            </w:r>
            <w:r>
              <w:rPr>
                <w:rFonts w:hint="eastAsia"/>
                <w:b/>
                <w:bCs/>
                <w:color w:val="auto"/>
                <w:lang w:eastAsia="zh-CN"/>
              </w:rPr>
              <w:t>的符合性分析</w:t>
            </w:r>
          </w:p>
          <w:p w14:paraId="63B19FF6">
            <w:pPr>
              <w:spacing w:line="360" w:lineRule="auto"/>
              <w:ind w:firstLine="482"/>
              <w:jc w:val="left"/>
              <w:rPr>
                <w:rFonts w:hint="eastAsia" w:ascii="Times New Roman" w:hAnsi="Times New Roman" w:cs="Times New Roman"/>
                <w:b w:val="0"/>
                <w:bCs/>
                <w:color w:val="auto"/>
                <w:lang w:val="en-US" w:eastAsia="zh-CN"/>
              </w:rPr>
            </w:pPr>
            <w:r>
              <w:rPr>
                <w:rFonts w:hint="eastAsia" w:ascii="Times New Roman" w:hAnsi="Times New Roman" w:cs="Times New Roman"/>
                <w:b w:val="0"/>
                <w:bCs/>
                <w:color w:val="auto"/>
                <w:lang w:val="en-US" w:eastAsia="zh-CN"/>
              </w:rPr>
              <w:t>根据《云南省生态功能区划》，项目所在区域范围属于III1-10牛栏江上游丘原盆地水源涵养生态功能区。该区域主要生态特征以石灰岩丘原盆地地貌为主。降雨量1000-1200毫米，植被主要为云南松林和半湿润常绿阔叶林，土壤类型主要是红壤。主要生态问题是土地利用过度引起的土地退化，保护措施与发展方向为山地封山育林，提高森林覆盖，谷盆地区调整农业结构，推行清洁生产，保护农田生态环境，防止区域石漠化。</w:t>
            </w:r>
          </w:p>
          <w:p w14:paraId="5EDEFB0F">
            <w:pPr>
              <w:spacing w:line="360" w:lineRule="auto"/>
              <w:ind w:left="0" w:leftChars="0" w:firstLine="0" w:firstLineChars="0"/>
              <w:jc w:val="left"/>
              <w:rPr>
                <w:rFonts w:hint="eastAsia" w:eastAsia="宋体"/>
                <w:b w:val="0"/>
                <w:bCs/>
                <w:color w:val="auto"/>
                <w:lang w:eastAsia="zh-CN"/>
              </w:rPr>
            </w:pPr>
            <w:r>
              <w:rPr>
                <w:color w:val="auto"/>
                <w:sz w:val="24"/>
              </w:rPr>
              <mc:AlternateContent>
                <mc:Choice Requires="wps">
                  <w:drawing>
                    <wp:anchor distT="0" distB="0" distL="114300" distR="114300" simplePos="0" relativeHeight="251662336" behindDoc="0" locked="0" layoutInCell="1" allowOverlap="1">
                      <wp:simplePos x="0" y="0"/>
                      <wp:positionH relativeFrom="column">
                        <wp:posOffset>3455670</wp:posOffset>
                      </wp:positionH>
                      <wp:positionV relativeFrom="paragraph">
                        <wp:posOffset>1724660</wp:posOffset>
                      </wp:positionV>
                      <wp:extent cx="942975" cy="741045"/>
                      <wp:effectExtent l="0" t="11430" r="9525" b="9525"/>
                      <wp:wrapNone/>
                      <wp:docPr id="15" name="直接箭头连接符 15"/>
                      <wp:cNvGraphicFramePr/>
                      <a:graphic xmlns:a="http://schemas.openxmlformats.org/drawingml/2006/main">
                        <a:graphicData uri="http://schemas.microsoft.com/office/word/2010/wordprocessingShape">
                          <wps:wsp>
                            <wps:cNvCnPr/>
                            <wps:spPr>
                              <a:xfrm flipH="1">
                                <a:off x="4837430" y="4084320"/>
                                <a:ext cx="942975" cy="741045"/>
                              </a:xfrm>
                              <a:prstGeom prst="straightConnector1">
                                <a:avLst/>
                              </a:prstGeom>
                              <a:ln w="28575">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72.1pt;margin-top:135.8pt;height:58.35pt;width:74.25pt;z-index:251662336;mso-width-relative:page;mso-height-relative:page;" filled="f" stroked="t" coordsize="21600,21600" o:gfxdata="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AhHfm&#10;2gAAAAsBAAAPAAAAAAAAAAEAIAAAACIAAABkcnMvZG93bnJldi54bWxQSwECFAAUAAAACACHTuJA&#10;SDopOR8CAAD7AwAADgAAAAAAAAABACAAAAApAQAAZHJzL2Uyb0RvYy54bWxQSwUGAAAAAAYABgBZ&#10;AQAAugUAAAAA&#10;">
                      <v:fill on="f" focussize="0,0"/>
                      <v:stroke weight="2.25pt" color="#FF0000 [3204]" miterlimit="8" joinstyle="miter" endarrow="open"/>
                      <v:imagedata o:title=""/>
                      <o:lock v:ext="edit" aspectratio="f"/>
                    </v:shape>
                  </w:pict>
                </mc:Fallback>
              </mc:AlternateContent>
            </w:r>
            <w:r>
              <w:rPr>
                <w:color w:val="auto"/>
                <w:sz w:val="24"/>
              </w:rPr>
              <mc:AlternateContent>
                <mc:Choice Requires="wps">
                  <w:drawing>
                    <wp:anchor distT="0" distB="0" distL="114300" distR="114300" simplePos="0" relativeHeight="251664384" behindDoc="0" locked="0" layoutInCell="1" allowOverlap="1">
                      <wp:simplePos x="0" y="0"/>
                      <wp:positionH relativeFrom="column">
                        <wp:posOffset>4208145</wp:posOffset>
                      </wp:positionH>
                      <wp:positionV relativeFrom="paragraph">
                        <wp:posOffset>4424045</wp:posOffset>
                      </wp:positionV>
                      <wp:extent cx="876300" cy="114300"/>
                      <wp:effectExtent l="6350" t="6350" r="12700" b="12700"/>
                      <wp:wrapNone/>
                      <wp:docPr id="17" name="矩形 17"/>
                      <wp:cNvGraphicFramePr/>
                      <a:graphic xmlns:a="http://schemas.openxmlformats.org/drawingml/2006/main">
                        <a:graphicData uri="http://schemas.microsoft.com/office/word/2010/wordprocessingShape">
                          <wps:wsp>
                            <wps:cNvSpPr/>
                            <wps:spPr>
                              <a:xfrm>
                                <a:off x="5732780" y="6812280"/>
                                <a:ext cx="876300" cy="114300"/>
                              </a:xfrm>
                              <a:prstGeom prst="rect">
                                <a:avLst/>
                              </a:prstGeom>
                              <a:solidFill>
                                <a:srgbClr val="000000">
                                  <a:alpha val="0"/>
                                </a:srgbClr>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1.35pt;margin-top:348.35pt;height:9pt;width:69pt;z-index:251664384;v-text-anchor:middle;mso-width-relative:page;mso-height-relative:page;" fillcolor="#000000" filled="t" stroked="t" coordsize="21600,21600" o:gfxdata="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ml4t82QAAAAsBAAAPAAAA&#10;AAAAAAEAIAAAACIAAABkcnMvZG93bnJldi54bWxQSwECFAAUAAAACACHTuJAZavFp4YCAAAeBQAA&#10;DgAAAAAAAAABACAAAAAoAQAAZHJzL2Uyb0RvYy54bWxQSwUGAAAAAAYABgBZAQAAIAYAAAAA&#10;">
                      <v:fill on="t" opacity="0f" focussize="0,0"/>
                      <v:stroke weight="1pt" color="#FF0000 [2404]" miterlimit="8" joinstyle="miter"/>
                      <v:imagedata o:title=""/>
                      <o:lock v:ext="edit" aspectratio="f"/>
                    </v:rect>
                  </w:pict>
                </mc:Fallback>
              </mc:AlternateContent>
            </w:r>
            <w:r>
              <w:rPr>
                <w:color w:val="auto"/>
                <w:sz w:val="24"/>
              </w:rPr>
              <mc:AlternateContent>
                <mc:Choice Requires="wps">
                  <w:drawing>
                    <wp:anchor distT="0" distB="0" distL="114300" distR="114300" simplePos="0" relativeHeight="251663360" behindDoc="0" locked="0" layoutInCell="1" allowOverlap="1">
                      <wp:simplePos x="0" y="0"/>
                      <wp:positionH relativeFrom="column">
                        <wp:posOffset>4322445</wp:posOffset>
                      </wp:positionH>
                      <wp:positionV relativeFrom="paragraph">
                        <wp:posOffset>1562735</wp:posOffset>
                      </wp:positionV>
                      <wp:extent cx="757555" cy="116713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757555" cy="11671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F6D899">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eastAsia"/>
                                      <w:b w:val="0"/>
                                      <w:bCs w:val="0"/>
                                      <w:color w:val="FF0000"/>
                                      <w:sz w:val="18"/>
                                      <w:szCs w:val="18"/>
                                      <w:lang w:val="en-US" w:eastAsia="zh-CN"/>
                                    </w:rPr>
                                  </w:pPr>
                                  <w:r>
                                    <w:rPr>
                                      <w:rFonts w:hint="eastAsia"/>
                                      <w:b w:val="0"/>
                                      <w:bCs w:val="0"/>
                                      <w:color w:val="FF0000"/>
                                      <w:sz w:val="18"/>
                                      <w:szCs w:val="18"/>
                                      <w:lang w:val="en-US" w:eastAsia="zh-CN"/>
                                    </w:rPr>
                                    <w:t>项目位置</w:t>
                                  </w:r>
                                </w:p>
                                <w:p w14:paraId="54D02F08">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default" w:ascii="Times New Roman" w:hAnsi="Times New Roman" w:cs="Times New Roman"/>
                                      <w:b w:val="0"/>
                                      <w:bCs w:val="0"/>
                                      <w:color w:val="FF0000"/>
                                      <w:sz w:val="15"/>
                                      <w:szCs w:val="15"/>
                                      <w:lang w:val="en-US" w:eastAsia="zh-CN"/>
                                    </w:rPr>
                                  </w:pPr>
                                  <w:r>
                                    <w:rPr>
                                      <w:rFonts w:hint="eastAsia" w:ascii="Times New Roman" w:hAnsi="Times New Roman" w:cs="Times New Roman"/>
                                      <w:b w:val="0"/>
                                      <w:bCs w:val="0"/>
                                      <w:color w:val="FF0000"/>
                                      <w:sz w:val="15"/>
                                      <w:szCs w:val="15"/>
                                      <w:lang w:val="en-US" w:eastAsia="zh-CN"/>
                                    </w:rPr>
                                    <w:t>Ⅲ1-10：水源涵养生态功能区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0.35pt;margin-top:123.05pt;height:91.9pt;width:59.65pt;z-index:251663360;mso-width-relative:page;mso-height-relative:page;" filled="f" stroked="f" coordsize="21600,21600" o:gfxdata="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Ch6843AAAAAsBAAAPAAAAAAAAAAEAIAAAACIA&#10;AABkcnMvZG93bnJldi54bWxQSwECFAAUAAAACACHTuJAUHBsEj4CAABoBAAADgAAAAAAAAABACAA&#10;AAArAQAAZHJzL2Uyb0RvYy54bWxQSwUGAAAAAAYABgBZAQAA2wUAAAAA&#10;">
                      <v:fill on="f" focussize="0,0"/>
                      <v:stroke on="f" weight="0.5pt"/>
                      <v:imagedata o:title=""/>
                      <o:lock v:ext="edit" aspectratio="f"/>
                      <v:textbox>
                        <w:txbxContent>
                          <w:p w14:paraId="59F6D899">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eastAsia"/>
                                <w:b w:val="0"/>
                                <w:bCs w:val="0"/>
                                <w:color w:val="FF0000"/>
                                <w:sz w:val="18"/>
                                <w:szCs w:val="18"/>
                                <w:lang w:val="en-US" w:eastAsia="zh-CN"/>
                              </w:rPr>
                            </w:pPr>
                            <w:r>
                              <w:rPr>
                                <w:rFonts w:hint="eastAsia"/>
                                <w:b w:val="0"/>
                                <w:bCs w:val="0"/>
                                <w:color w:val="FF0000"/>
                                <w:sz w:val="18"/>
                                <w:szCs w:val="18"/>
                                <w:lang w:val="en-US" w:eastAsia="zh-CN"/>
                              </w:rPr>
                              <w:t>项目位置</w:t>
                            </w:r>
                          </w:p>
                          <w:p w14:paraId="54D02F08">
                            <w:pPr>
                              <w:keepNext w:val="0"/>
                              <w:keepLines w:val="0"/>
                              <w:pageBreakBefore w:val="0"/>
                              <w:widowControl w:val="0"/>
                              <w:kinsoku/>
                              <w:wordWrap/>
                              <w:overflowPunct/>
                              <w:topLinePunct w:val="0"/>
                              <w:bidi w:val="0"/>
                              <w:adjustRightInd/>
                              <w:snapToGrid/>
                              <w:spacing w:line="240" w:lineRule="auto"/>
                              <w:ind w:firstLine="0" w:firstLineChars="0"/>
                              <w:textAlignment w:val="auto"/>
                              <w:rPr>
                                <w:rFonts w:hint="default" w:ascii="Times New Roman" w:hAnsi="Times New Roman" w:cs="Times New Roman"/>
                                <w:b w:val="0"/>
                                <w:bCs w:val="0"/>
                                <w:color w:val="FF0000"/>
                                <w:sz w:val="15"/>
                                <w:szCs w:val="15"/>
                                <w:lang w:val="en-US" w:eastAsia="zh-CN"/>
                              </w:rPr>
                            </w:pPr>
                            <w:r>
                              <w:rPr>
                                <w:rFonts w:hint="eastAsia" w:ascii="Times New Roman" w:hAnsi="Times New Roman" w:cs="Times New Roman"/>
                                <w:b w:val="0"/>
                                <w:bCs w:val="0"/>
                                <w:color w:val="FF0000"/>
                                <w:sz w:val="15"/>
                                <w:szCs w:val="15"/>
                                <w:lang w:val="en-US" w:eastAsia="zh-CN"/>
                              </w:rPr>
                              <w:t>Ⅲ1-10：水源涵养生态功能区</w:t>
                            </w:r>
                          </w:p>
                        </w:txbxContent>
                      </v:textbox>
                    </v:shape>
                  </w:pict>
                </mc:Fallback>
              </mc:AlternateContent>
            </w:r>
            <w:r>
              <w:rPr>
                <w:color w:val="auto"/>
              </w:rPr>
              <w:drawing>
                <wp:inline distT="0" distB="0" distL="114300" distR="114300">
                  <wp:extent cx="5201285" cy="4960620"/>
                  <wp:effectExtent l="0" t="0" r="18415" b="1143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5"/>
                          <a:stretch>
                            <a:fillRect/>
                          </a:stretch>
                        </pic:blipFill>
                        <pic:spPr>
                          <a:xfrm>
                            <a:off x="0" y="0"/>
                            <a:ext cx="5201285" cy="4960620"/>
                          </a:xfrm>
                          <a:prstGeom prst="rect">
                            <a:avLst/>
                          </a:prstGeom>
                          <a:noFill/>
                          <a:ln>
                            <a:noFill/>
                          </a:ln>
                        </pic:spPr>
                      </pic:pic>
                    </a:graphicData>
                  </a:graphic>
                </wp:inline>
              </w:drawing>
            </w:r>
          </w:p>
          <w:p w14:paraId="6CDD9443">
            <w:pPr>
              <w:pStyle w:val="17"/>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auto"/>
              </w:rPr>
            </w:pPr>
            <w:r>
              <w:rPr>
                <w:rFonts w:hint="eastAsia"/>
                <w:color w:val="auto"/>
              </w:rPr>
              <w:t>图</w:t>
            </w:r>
            <w:r>
              <w:rPr>
                <w:rFonts w:hint="eastAsia"/>
                <w:color w:val="auto"/>
                <w:lang w:val="en-US" w:eastAsia="zh-CN"/>
              </w:rPr>
              <w:t>1</w:t>
            </w:r>
            <w:r>
              <w:rPr>
                <w:rFonts w:hint="eastAsia"/>
                <w:color w:val="auto"/>
              </w:rPr>
              <w:t>-2  项目与云南省生态功能区划位置关系图</w:t>
            </w:r>
          </w:p>
          <w:p w14:paraId="11E27EDE">
            <w:pPr>
              <w:spacing w:line="360" w:lineRule="auto"/>
              <w:ind w:firstLine="482"/>
              <w:jc w:val="left"/>
              <w:rPr>
                <w:rFonts w:hint="eastAsia"/>
                <w:b w:val="0"/>
                <w:bCs/>
                <w:color w:val="auto"/>
              </w:rPr>
            </w:pPr>
            <w:r>
              <w:rPr>
                <w:rFonts w:hint="eastAsia"/>
                <w:b w:val="0"/>
                <w:bCs/>
                <w:color w:val="auto"/>
              </w:rPr>
              <w:t>项目</w:t>
            </w:r>
            <w:r>
              <w:rPr>
                <w:rFonts w:hint="eastAsia"/>
                <w:b w:val="0"/>
                <w:bCs/>
                <w:color w:val="auto"/>
                <w:lang w:val="en-US" w:eastAsia="zh-CN"/>
              </w:rPr>
              <w:t>建设</w:t>
            </w:r>
            <w:r>
              <w:rPr>
                <w:rFonts w:hint="eastAsia"/>
                <w:b w:val="0"/>
                <w:bCs/>
                <w:color w:val="auto"/>
              </w:rPr>
              <w:t>采取水土保持措施，尽可能减小对生态的负面影响，项目服务期满后将全部拆除</w:t>
            </w:r>
            <w:r>
              <w:rPr>
                <w:rFonts w:hint="eastAsia"/>
                <w:b w:val="0"/>
                <w:bCs/>
                <w:color w:val="auto"/>
                <w:lang w:val="en-US" w:eastAsia="zh-CN"/>
              </w:rPr>
              <w:t>设施，</w:t>
            </w:r>
            <w:r>
              <w:rPr>
                <w:rFonts w:hint="eastAsia"/>
                <w:b w:val="0"/>
                <w:bCs/>
                <w:color w:val="auto"/>
              </w:rPr>
              <w:t>并</w:t>
            </w:r>
            <w:r>
              <w:rPr>
                <w:rFonts w:hint="eastAsia"/>
                <w:b w:val="0"/>
                <w:bCs/>
                <w:color w:val="auto"/>
                <w:lang w:val="en-US" w:eastAsia="zh-CN"/>
              </w:rPr>
              <w:t>对项目占地</w:t>
            </w:r>
            <w:r>
              <w:rPr>
                <w:rFonts w:hint="eastAsia"/>
                <w:b w:val="0"/>
                <w:bCs/>
                <w:color w:val="auto"/>
              </w:rPr>
              <w:t>进行土地复垦，不会加剧区域石漠化，对区域的环境影响较小。因此，项目建设符合《云南省生态功能区划》要求。</w:t>
            </w:r>
          </w:p>
          <w:p w14:paraId="36D38420">
            <w:pPr>
              <w:spacing w:line="360" w:lineRule="auto"/>
              <w:ind w:firstLine="482"/>
              <w:jc w:val="left"/>
              <w:rPr>
                <w:b/>
                <w:color w:val="auto"/>
              </w:rPr>
            </w:pPr>
            <w:r>
              <w:rPr>
                <w:rFonts w:hint="eastAsia"/>
                <w:b/>
                <w:color w:val="auto"/>
              </w:rPr>
              <w:t>1.1.</w:t>
            </w:r>
            <w:r>
              <w:rPr>
                <w:rFonts w:hint="eastAsia"/>
                <w:b/>
                <w:color w:val="auto"/>
                <w:lang w:val="en-US" w:eastAsia="zh-CN"/>
              </w:rPr>
              <w:t>6</w:t>
            </w:r>
            <w:r>
              <w:rPr>
                <w:rFonts w:hint="eastAsia"/>
                <w:b/>
                <w:color w:val="auto"/>
              </w:rPr>
              <w:t>与《中共中央国务院关于深入打好污染防治攻坚战的意见》</w:t>
            </w:r>
            <w:r>
              <w:rPr>
                <w:rFonts w:hint="eastAsia"/>
                <w:b/>
                <w:color w:val="auto"/>
                <w:lang w:eastAsia="zh-CN"/>
              </w:rPr>
              <w:t>（</w:t>
            </w:r>
            <w:r>
              <w:rPr>
                <w:rFonts w:hint="eastAsia"/>
                <w:b/>
                <w:color w:val="auto"/>
              </w:rPr>
              <w:t>2021年11月2日</w:t>
            </w:r>
            <w:r>
              <w:rPr>
                <w:rFonts w:hint="eastAsia"/>
                <w:b/>
                <w:color w:val="auto"/>
                <w:lang w:eastAsia="zh-CN"/>
              </w:rPr>
              <w:t>）</w:t>
            </w:r>
            <w:r>
              <w:rPr>
                <w:rFonts w:hint="eastAsia"/>
                <w:b/>
                <w:color w:val="auto"/>
              </w:rPr>
              <w:t>符合性分析</w:t>
            </w:r>
          </w:p>
          <w:p w14:paraId="1E6D99AA">
            <w:pPr>
              <w:pStyle w:val="29"/>
              <w:spacing w:before="24" w:after="24"/>
              <w:rPr>
                <w:rFonts w:hint="eastAsia"/>
                <w:color w:val="auto"/>
              </w:rPr>
            </w:pPr>
            <w:r>
              <w:rPr>
                <w:color w:val="auto"/>
              </w:rPr>
              <w:t>表</w:t>
            </w:r>
            <w:r>
              <w:rPr>
                <w:rFonts w:hint="eastAsia"/>
                <w:color w:val="auto"/>
                <w:lang w:val="en-US" w:eastAsia="zh-CN"/>
              </w:rPr>
              <w:t xml:space="preserve">1-4 </w:t>
            </w:r>
            <w:r>
              <w:rPr>
                <w:color w:val="auto"/>
              </w:rPr>
              <w:t xml:space="preserve"> </w:t>
            </w:r>
            <w:r>
              <w:rPr>
                <w:rFonts w:hint="eastAsia"/>
                <w:color w:val="auto"/>
              </w:rPr>
              <w:t>《中共中央国务院关于深入打好污染防治攻坚战的意见》相符</w:t>
            </w:r>
          </w:p>
          <w:p w14:paraId="6C5DC1B0">
            <w:pPr>
              <w:pStyle w:val="29"/>
              <w:spacing w:before="24" w:after="24"/>
              <w:rPr>
                <w:rFonts w:hint="eastAsia"/>
                <w:bCs/>
                <w:color w:val="auto"/>
                <w:kern w:val="0"/>
              </w:rPr>
            </w:pPr>
            <w:r>
              <w:rPr>
                <w:rFonts w:hint="eastAsia"/>
                <w:color w:val="auto"/>
              </w:rPr>
              <w:t>性分析</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7"/>
              <w:gridCol w:w="2703"/>
              <w:gridCol w:w="783"/>
            </w:tblGrid>
            <w:tr w14:paraId="1F6E5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72" w:type="dxa"/>
                  <w:noWrap w:val="0"/>
                  <w:vAlign w:val="center"/>
                </w:tcPr>
                <w:p w14:paraId="383266B5">
                  <w:pPr>
                    <w:pStyle w:val="28"/>
                    <w:rPr>
                      <w:rFonts w:hint="eastAsia"/>
                      <w:b/>
                      <w:bCs/>
                      <w:color w:val="auto"/>
                    </w:rPr>
                  </w:pPr>
                  <w:r>
                    <w:rPr>
                      <w:b/>
                      <w:bCs/>
                      <w:color w:val="auto"/>
                    </w:rPr>
                    <w:t>要求</w:t>
                  </w:r>
                </w:p>
              </w:tc>
              <w:tc>
                <w:tcPr>
                  <w:tcW w:w="2746" w:type="dxa"/>
                  <w:noWrap w:val="0"/>
                  <w:vAlign w:val="center"/>
                </w:tcPr>
                <w:p w14:paraId="77A05D1E">
                  <w:pPr>
                    <w:pStyle w:val="28"/>
                    <w:rPr>
                      <w:rFonts w:hint="eastAsia"/>
                      <w:b/>
                      <w:bCs/>
                      <w:color w:val="auto"/>
                    </w:rPr>
                  </w:pPr>
                  <w:r>
                    <w:rPr>
                      <w:b/>
                      <w:bCs/>
                      <w:color w:val="auto"/>
                    </w:rPr>
                    <w:t>本</w:t>
                  </w:r>
                  <w:r>
                    <w:rPr>
                      <w:b/>
                      <w:bCs/>
                      <w:color w:val="auto"/>
                      <w:spacing w:val="-1"/>
                    </w:rPr>
                    <w:t>项目情况</w:t>
                  </w:r>
                </w:p>
              </w:tc>
              <w:tc>
                <w:tcPr>
                  <w:tcW w:w="791" w:type="dxa"/>
                  <w:noWrap w:val="0"/>
                  <w:vAlign w:val="center"/>
                </w:tcPr>
                <w:p w14:paraId="338BF999">
                  <w:pPr>
                    <w:pStyle w:val="28"/>
                    <w:rPr>
                      <w:rFonts w:hint="eastAsia"/>
                      <w:b/>
                      <w:bCs/>
                      <w:color w:val="auto"/>
                    </w:rPr>
                  </w:pPr>
                  <w:r>
                    <w:rPr>
                      <w:b/>
                      <w:bCs/>
                      <w:color w:val="auto"/>
                    </w:rPr>
                    <w:t>符合</w:t>
                  </w:r>
                  <w:r>
                    <w:rPr>
                      <w:b/>
                      <w:bCs/>
                      <w:color w:val="auto"/>
                      <w:spacing w:val="-1"/>
                    </w:rPr>
                    <w:t>性</w:t>
                  </w:r>
                </w:p>
              </w:tc>
            </w:tr>
            <w:tr w14:paraId="5B1F0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2" w:type="dxa"/>
                  <w:noWrap w:val="0"/>
                  <w:vAlign w:val="center"/>
                </w:tcPr>
                <w:p w14:paraId="7EE38356">
                  <w:pPr>
                    <w:pStyle w:val="28"/>
                    <w:jc w:val="both"/>
                    <w:rPr>
                      <w:rFonts w:hint="eastAsia"/>
                      <w:color w:val="auto"/>
                    </w:rPr>
                  </w:pPr>
                  <w:r>
                    <w:rPr>
                      <w:rFonts w:hint="eastAsia"/>
                      <w:color w:val="auto"/>
                    </w:rPr>
                    <w:t>坚决遏制高耗能高排放项目盲目发展。严把高耗能高排放项目准入关口，严格落实污染物排放区域削减要求，对不符合规定的项目坚决停批停建。依法依规淘汰落后产能和化解过剩产能。推动高炉－转炉长流程炼钢转型为电炉短流程炼钢。重点区域严禁新增钢铁、焦化、水泥熟料、平板玻璃、电解铝、氧化铝、煤化工产能，合理控制煤制油气产能规模，严控新增炼油产能。</w:t>
                  </w:r>
                </w:p>
              </w:tc>
              <w:tc>
                <w:tcPr>
                  <w:tcW w:w="2746" w:type="dxa"/>
                  <w:noWrap w:val="0"/>
                  <w:vAlign w:val="center"/>
                </w:tcPr>
                <w:p w14:paraId="2A519892">
                  <w:pPr>
                    <w:pStyle w:val="28"/>
                    <w:jc w:val="both"/>
                    <w:rPr>
                      <w:rFonts w:hint="eastAsia"/>
                      <w:color w:val="auto"/>
                    </w:rPr>
                  </w:pPr>
                  <w:r>
                    <w:rPr>
                      <w:rFonts w:hint="eastAsia"/>
                      <w:color w:val="auto"/>
                    </w:rPr>
                    <w:t>本项目属于C3021水泥制品制造项目，不属于高污染、高环境风险产品，不属于钢铁、焦化、水泥熟料、平板玻璃、电解铝、氧化铝、煤化工等高污染的项目。</w:t>
                  </w:r>
                </w:p>
              </w:tc>
              <w:tc>
                <w:tcPr>
                  <w:tcW w:w="791" w:type="dxa"/>
                  <w:noWrap w:val="0"/>
                  <w:vAlign w:val="center"/>
                </w:tcPr>
                <w:p w14:paraId="07FFAA20">
                  <w:pPr>
                    <w:pStyle w:val="28"/>
                    <w:rPr>
                      <w:color w:val="auto"/>
                    </w:rPr>
                  </w:pPr>
                  <w:r>
                    <w:rPr>
                      <w:rFonts w:hint="eastAsia"/>
                      <w:color w:val="auto"/>
                    </w:rPr>
                    <w:t>符合</w:t>
                  </w:r>
                </w:p>
              </w:tc>
            </w:tr>
            <w:tr w14:paraId="071C2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2" w:type="dxa"/>
                  <w:noWrap w:val="0"/>
                  <w:vAlign w:val="center"/>
                </w:tcPr>
                <w:p w14:paraId="5C08832C">
                  <w:pPr>
                    <w:pStyle w:val="28"/>
                    <w:jc w:val="both"/>
                    <w:rPr>
                      <w:rFonts w:hint="eastAsia"/>
                      <w:color w:val="auto"/>
                    </w:rPr>
                  </w:pPr>
                  <w:r>
                    <w:rPr>
                      <w:rFonts w:hint="eastAsia"/>
                      <w:color w:val="auto"/>
                    </w:rPr>
                    <w:t>推进清洁生产和能源资源节约高效利用。引导重点行业深入实施清洁生产改造，依法开展自愿性清洁生产评价认证。大力推行绿色制造，构建资源循环利用体系。推动煤炭等化石能源清洁高效利用。加强重点领域节能，提高能源使用效率。实施国家节水行动，强化农业节水增效、工业节水减排、城镇节水降损。推进污水资源化利用和海水淡化规模化利用。</w:t>
                  </w:r>
                </w:p>
              </w:tc>
              <w:tc>
                <w:tcPr>
                  <w:tcW w:w="2746" w:type="dxa"/>
                  <w:noWrap w:val="0"/>
                  <w:vAlign w:val="center"/>
                </w:tcPr>
                <w:p w14:paraId="3CAEAF47">
                  <w:pPr>
                    <w:pStyle w:val="28"/>
                    <w:jc w:val="both"/>
                    <w:rPr>
                      <w:rFonts w:hint="eastAsia"/>
                      <w:color w:val="auto"/>
                    </w:rPr>
                  </w:pPr>
                  <w:r>
                    <w:rPr>
                      <w:rFonts w:hint="eastAsia"/>
                      <w:color w:val="auto"/>
                    </w:rPr>
                    <w:t>本项目不涉及煤炭等化石能源。本项目无生产废水排放，生产废水经沉淀后回用。</w:t>
                  </w:r>
                </w:p>
              </w:tc>
              <w:tc>
                <w:tcPr>
                  <w:tcW w:w="791" w:type="dxa"/>
                  <w:noWrap w:val="0"/>
                  <w:vAlign w:val="center"/>
                </w:tcPr>
                <w:p w14:paraId="4099B3DE">
                  <w:pPr>
                    <w:pStyle w:val="28"/>
                    <w:rPr>
                      <w:color w:val="auto"/>
                    </w:rPr>
                  </w:pPr>
                  <w:r>
                    <w:rPr>
                      <w:rFonts w:hint="eastAsia"/>
                      <w:color w:val="auto"/>
                    </w:rPr>
                    <w:t>符合</w:t>
                  </w:r>
                </w:p>
              </w:tc>
            </w:tr>
            <w:tr w14:paraId="5DA84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2" w:type="dxa"/>
                  <w:noWrap w:val="0"/>
                  <w:vAlign w:val="center"/>
                </w:tcPr>
                <w:p w14:paraId="49766EC3">
                  <w:pPr>
                    <w:pStyle w:val="28"/>
                    <w:rPr>
                      <w:rFonts w:hint="eastAsia"/>
                      <w:color w:val="auto"/>
                    </w:rPr>
                  </w:pPr>
                  <w:r>
                    <w:rPr>
                      <w:rFonts w:hint="eastAsia"/>
                      <w:color w:val="auto"/>
                    </w:rPr>
                    <w:t>加强大气面源和噪声污染治理。强化施工、道路、堆场、裸露地面等扬尘管控，加强城市保洁和清扫。加大餐饮油烟污染、恶臭异味治理力度。</w:t>
                  </w:r>
                </w:p>
              </w:tc>
              <w:tc>
                <w:tcPr>
                  <w:tcW w:w="2746" w:type="dxa"/>
                  <w:noWrap w:val="0"/>
                  <w:vAlign w:val="center"/>
                </w:tcPr>
                <w:p w14:paraId="715A77D0">
                  <w:pPr>
                    <w:pStyle w:val="28"/>
                    <w:jc w:val="both"/>
                    <w:rPr>
                      <w:rFonts w:hint="eastAsia"/>
                      <w:color w:val="auto"/>
                    </w:rPr>
                  </w:pPr>
                  <w:r>
                    <w:rPr>
                      <w:rFonts w:hint="eastAsia"/>
                      <w:color w:val="auto"/>
                    </w:rPr>
                    <w:t>本项目生产车间密闭，生产线配套建设收尘设施；施工期按照“六个百分之百”，将对扬尘做到良好的管控管理。</w:t>
                  </w:r>
                </w:p>
              </w:tc>
              <w:tc>
                <w:tcPr>
                  <w:tcW w:w="791" w:type="dxa"/>
                  <w:noWrap w:val="0"/>
                  <w:vAlign w:val="center"/>
                </w:tcPr>
                <w:p w14:paraId="22577166">
                  <w:pPr>
                    <w:pStyle w:val="28"/>
                    <w:rPr>
                      <w:color w:val="auto"/>
                    </w:rPr>
                  </w:pPr>
                  <w:r>
                    <w:rPr>
                      <w:rFonts w:hint="eastAsia"/>
                      <w:color w:val="auto"/>
                    </w:rPr>
                    <w:t>符合</w:t>
                  </w:r>
                </w:p>
              </w:tc>
            </w:tr>
          </w:tbl>
          <w:p w14:paraId="1E8B23C8">
            <w:pPr>
              <w:ind w:firstLine="482"/>
              <w:rPr>
                <w:b/>
                <w:bCs/>
                <w:color w:val="auto"/>
              </w:rPr>
            </w:pPr>
            <w:bookmarkStart w:id="2" w:name="_Toc52894038"/>
            <w:r>
              <w:rPr>
                <w:rFonts w:hint="eastAsia"/>
                <w:b/>
                <w:bCs/>
                <w:color w:val="auto"/>
              </w:rPr>
              <w:t>1.1.</w:t>
            </w:r>
            <w:r>
              <w:rPr>
                <w:rFonts w:hint="eastAsia"/>
                <w:b/>
                <w:bCs/>
                <w:color w:val="auto"/>
                <w:lang w:val="en-US" w:eastAsia="zh-CN"/>
              </w:rPr>
              <w:t>7</w:t>
            </w:r>
            <w:r>
              <w:rPr>
                <w:b/>
                <w:bCs/>
                <w:color w:val="auto"/>
              </w:rPr>
              <w:t>与《长江经济带发展负面清单指南》（试行，2022年版）符合性分析</w:t>
            </w:r>
            <w:bookmarkEnd w:id="2"/>
          </w:p>
          <w:p w14:paraId="152530EE">
            <w:pPr>
              <w:spacing w:line="360" w:lineRule="auto"/>
              <w:ind w:firstLine="480"/>
              <w:rPr>
                <w:color w:val="auto"/>
                <w:kern w:val="0"/>
              </w:rPr>
            </w:pPr>
            <w:r>
              <w:rPr>
                <w:color w:val="auto"/>
                <w:kern w:val="0"/>
              </w:rPr>
              <w:t>为认真落实长江保护法，进一步完善长江经济带负面清单管理制度体系，推动长江经济带发展领导小组办公室于2022年1月19日印发</w:t>
            </w:r>
            <w:bookmarkStart w:id="3" w:name="_Hlk105605180"/>
            <w:r>
              <w:rPr>
                <w:color w:val="auto"/>
                <w:kern w:val="0"/>
              </w:rPr>
              <w:t>《长江经济带发展负面清单指南（试行，2022年版）》（长江办</w:t>
            </w:r>
            <w:r>
              <w:rPr>
                <w:rFonts w:hint="eastAsia" w:ascii="微软雅黑" w:hAnsi="微软雅黑" w:eastAsia="微软雅黑" w:cs="微软雅黑"/>
                <w:color w:val="auto"/>
                <w:kern w:val="0"/>
                <w:lang w:eastAsia="zh-CN"/>
              </w:rPr>
              <w:t>〔</w:t>
            </w:r>
            <w:r>
              <w:rPr>
                <w:color w:val="auto"/>
                <w:kern w:val="0"/>
              </w:rPr>
              <w:t>2022</w:t>
            </w:r>
            <w:r>
              <w:rPr>
                <w:rFonts w:hint="eastAsia" w:ascii="微软雅黑" w:hAnsi="微软雅黑" w:eastAsia="微软雅黑" w:cs="微软雅黑"/>
                <w:color w:val="auto"/>
                <w:kern w:val="0"/>
                <w:lang w:eastAsia="zh-CN"/>
              </w:rPr>
              <w:t>〕</w:t>
            </w:r>
            <w:r>
              <w:rPr>
                <w:color w:val="auto"/>
                <w:kern w:val="0"/>
              </w:rPr>
              <w:t>7号）</w:t>
            </w:r>
            <w:bookmarkEnd w:id="3"/>
            <w:r>
              <w:rPr>
                <w:color w:val="auto"/>
                <w:kern w:val="0"/>
              </w:rPr>
              <w:t>。根据对照分析，项目所属行业、选址和污染排放等均符合有关要求。</w:t>
            </w:r>
          </w:p>
          <w:p w14:paraId="7D8F1E97">
            <w:pPr>
              <w:pStyle w:val="29"/>
              <w:spacing w:before="24" w:after="24"/>
              <w:rPr>
                <w:color w:val="auto"/>
              </w:rPr>
            </w:pPr>
            <w:r>
              <w:rPr>
                <w:color w:val="auto"/>
              </w:rPr>
              <w:t>表</w:t>
            </w:r>
            <w:r>
              <w:rPr>
                <w:rFonts w:hint="eastAsia"/>
                <w:color w:val="auto"/>
                <w:lang w:val="en-US" w:eastAsia="zh-CN"/>
              </w:rPr>
              <w:t xml:space="preserve">1-5 </w:t>
            </w:r>
            <w:r>
              <w:rPr>
                <w:color w:val="auto"/>
              </w:rPr>
              <w:t xml:space="preserve"> 项目与《长江经济带发展负面清单指南》（试行，2022年版）对照分析</w:t>
            </w:r>
          </w:p>
          <w:tbl>
            <w:tblPr>
              <w:tblStyle w:val="2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8"/>
              <w:gridCol w:w="2215"/>
              <w:gridCol w:w="968"/>
            </w:tblGrid>
            <w:tr w14:paraId="07D81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blHeader/>
              </w:trPr>
              <w:tc>
                <w:tcPr>
                  <w:tcW w:w="3050" w:type="pct"/>
                  <w:noWrap w:val="0"/>
                  <w:vAlign w:val="center"/>
                </w:tcPr>
                <w:p w14:paraId="076B7E2C">
                  <w:pPr>
                    <w:pStyle w:val="28"/>
                    <w:rPr>
                      <w:b/>
                      <w:bCs/>
                      <w:color w:val="auto"/>
                    </w:rPr>
                  </w:pPr>
                  <w:r>
                    <w:rPr>
                      <w:b/>
                      <w:bCs/>
                      <w:color w:val="auto"/>
                    </w:rPr>
                    <w:t>清单指南</w:t>
                  </w:r>
                </w:p>
              </w:tc>
              <w:tc>
                <w:tcPr>
                  <w:tcW w:w="1357" w:type="pct"/>
                  <w:noWrap w:val="0"/>
                  <w:vAlign w:val="center"/>
                </w:tcPr>
                <w:p w14:paraId="66F70769">
                  <w:pPr>
                    <w:pStyle w:val="28"/>
                    <w:rPr>
                      <w:b/>
                      <w:bCs/>
                      <w:color w:val="auto"/>
                    </w:rPr>
                  </w:pPr>
                  <w:r>
                    <w:rPr>
                      <w:b/>
                      <w:bCs/>
                      <w:color w:val="auto"/>
                    </w:rPr>
                    <w:t>本项目情况</w:t>
                  </w:r>
                </w:p>
              </w:tc>
              <w:tc>
                <w:tcPr>
                  <w:tcW w:w="593" w:type="pct"/>
                  <w:noWrap w:val="0"/>
                  <w:vAlign w:val="center"/>
                </w:tcPr>
                <w:p w14:paraId="3B7A1BC1">
                  <w:pPr>
                    <w:pStyle w:val="28"/>
                    <w:rPr>
                      <w:b/>
                      <w:bCs/>
                      <w:color w:val="auto"/>
                    </w:rPr>
                  </w:pPr>
                  <w:r>
                    <w:rPr>
                      <w:b/>
                      <w:bCs/>
                      <w:color w:val="auto"/>
                    </w:rPr>
                    <w:t>符合性</w:t>
                  </w:r>
                </w:p>
              </w:tc>
            </w:tr>
            <w:tr w14:paraId="2C152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3050" w:type="pct"/>
                  <w:noWrap w:val="0"/>
                  <w:vAlign w:val="center"/>
                </w:tcPr>
                <w:p w14:paraId="3C182196">
                  <w:pPr>
                    <w:pStyle w:val="28"/>
                    <w:rPr>
                      <w:color w:val="auto"/>
                    </w:rPr>
                  </w:pPr>
                  <w:r>
                    <w:rPr>
                      <w:color w:val="auto"/>
                    </w:rPr>
                    <w:t>1.禁止在自然保护区核心区、缓冲区的岸线和河段范围内投资建设旅游和生产经营项目。禁止在风景名胜区核心景区的岸线和河段范围内投资建设与风景名胜资源保护无关的项目。</w:t>
                  </w:r>
                </w:p>
              </w:tc>
              <w:tc>
                <w:tcPr>
                  <w:tcW w:w="1357" w:type="pct"/>
                  <w:noWrap w:val="0"/>
                  <w:vAlign w:val="center"/>
                </w:tcPr>
                <w:p w14:paraId="722D56C9">
                  <w:pPr>
                    <w:pStyle w:val="28"/>
                    <w:jc w:val="both"/>
                    <w:rPr>
                      <w:color w:val="auto"/>
                    </w:rPr>
                  </w:pPr>
                  <w:r>
                    <w:rPr>
                      <w:color w:val="auto"/>
                    </w:rPr>
                    <w:t>本项目不涉及自然保护区、风景名胜区。</w:t>
                  </w:r>
                </w:p>
              </w:tc>
              <w:tc>
                <w:tcPr>
                  <w:tcW w:w="593" w:type="pct"/>
                  <w:noWrap w:val="0"/>
                  <w:vAlign w:val="center"/>
                </w:tcPr>
                <w:p w14:paraId="677197F9">
                  <w:pPr>
                    <w:pStyle w:val="28"/>
                    <w:rPr>
                      <w:color w:val="auto"/>
                    </w:rPr>
                  </w:pPr>
                  <w:r>
                    <w:rPr>
                      <w:color w:val="auto"/>
                    </w:rPr>
                    <w:t>符合</w:t>
                  </w:r>
                </w:p>
              </w:tc>
            </w:tr>
            <w:tr w14:paraId="46CC7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3050" w:type="pct"/>
                  <w:noWrap w:val="0"/>
                  <w:vAlign w:val="center"/>
                </w:tcPr>
                <w:p w14:paraId="563E7577">
                  <w:pPr>
                    <w:pStyle w:val="28"/>
                    <w:rPr>
                      <w:color w:val="auto"/>
                    </w:rPr>
                  </w:pPr>
                  <w:r>
                    <w:rPr>
                      <w:color w:val="auto"/>
                    </w:rPr>
                    <w:t>2．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357" w:type="pct"/>
                  <w:noWrap w:val="0"/>
                  <w:vAlign w:val="center"/>
                </w:tcPr>
                <w:p w14:paraId="140A6D62">
                  <w:pPr>
                    <w:pStyle w:val="28"/>
                    <w:jc w:val="both"/>
                    <w:rPr>
                      <w:color w:val="auto"/>
                    </w:rPr>
                  </w:pPr>
                  <w:r>
                    <w:rPr>
                      <w:color w:val="auto"/>
                    </w:rPr>
                    <w:t>本项目选址和施工不涉及河湖岸线，不涉及禁止开发活动。</w:t>
                  </w:r>
                </w:p>
              </w:tc>
              <w:tc>
                <w:tcPr>
                  <w:tcW w:w="593" w:type="pct"/>
                  <w:noWrap w:val="0"/>
                  <w:vAlign w:val="center"/>
                </w:tcPr>
                <w:p w14:paraId="10C12179">
                  <w:pPr>
                    <w:pStyle w:val="28"/>
                    <w:rPr>
                      <w:color w:val="auto"/>
                    </w:rPr>
                  </w:pPr>
                  <w:r>
                    <w:rPr>
                      <w:color w:val="auto"/>
                    </w:rPr>
                    <w:t>符合</w:t>
                  </w:r>
                </w:p>
              </w:tc>
            </w:tr>
            <w:tr w14:paraId="372D5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3050" w:type="pct"/>
                  <w:noWrap w:val="0"/>
                  <w:vAlign w:val="center"/>
                </w:tcPr>
                <w:p w14:paraId="7409D1BB">
                  <w:pPr>
                    <w:pStyle w:val="28"/>
                    <w:rPr>
                      <w:color w:val="auto"/>
                    </w:rPr>
                  </w:pPr>
                  <w:r>
                    <w:rPr>
                      <w:color w:val="auto"/>
                    </w:rPr>
                    <w:t>3．禁止未经许可在长江干支流及湖泊新设、改设或扩大排污口。</w:t>
                  </w:r>
                </w:p>
              </w:tc>
              <w:tc>
                <w:tcPr>
                  <w:tcW w:w="1357" w:type="pct"/>
                  <w:noWrap w:val="0"/>
                  <w:vAlign w:val="center"/>
                </w:tcPr>
                <w:p w14:paraId="28E9E9B8">
                  <w:pPr>
                    <w:pStyle w:val="28"/>
                    <w:jc w:val="both"/>
                    <w:rPr>
                      <w:color w:val="auto"/>
                    </w:rPr>
                  </w:pPr>
                  <w:r>
                    <w:rPr>
                      <w:color w:val="auto"/>
                    </w:rPr>
                    <w:t>本项目不</w:t>
                  </w:r>
                  <w:r>
                    <w:rPr>
                      <w:rFonts w:hint="eastAsia"/>
                      <w:color w:val="auto"/>
                      <w:lang w:eastAsia="zh-CN"/>
                    </w:rPr>
                    <w:t>设置</w:t>
                  </w:r>
                  <w:r>
                    <w:rPr>
                      <w:color w:val="auto"/>
                    </w:rPr>
                    <w:t>排污口。</w:t>
                  </w:r>
                </w:p>
              </w:tc>
              <w:tc>
                <w:tcPr>
                  <w:tcW w:w="593" w:type="pct"/>
                  <w:noWrap w:val="0"/>
                  <w:vAlign w:val="center"/>
                </w:tcPr>
                <w:p w14:paraId="3FD18EDD">
                  <w:pPr>
                    <w:pStyle w:val="28"/>
                    <w:rPr>
                      <w:color w:val="auto"/>
                    </w:rPr>
                  </w:pPr>
                  <w:r>
                    <w:rPr>
                      <w:color w:val="auto"/>
                    </w:rPr>
                    <w:t>符合</w:t>
                  </w:r>
                </w:p>
              </w:tc>
            </w:tr>
            <w:tr w14:paraId="15AC2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3050" w:type="pct"/>
                  <w:noWrap w:val="0"/>
                  <w:vAlign w:val="center"/>
                </w:tcPr>
                <w:p w14:paraId="373F23BF">
                  <w:pPr>
                    <w:pStyle w:val="28"/>
                    <w:rPr>
                      <w:color w:val="auto"/>
                    </w:rPr>
                  </w:pPr>
                  <w:r>
                    <w:rPr>
                      <w:color w:val="auto"/>
                    </w:rPr>
                    <w:t>4．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357" w:type="pct"/>
                  <w:noWrap w:val="0"/>
                  <w:vAlign w:val="center"/>
                </w:tcPr>
                <w:p w14:paraId="0408B133">
                  <w:pPr>
                    <w:pStyle w:val="28"/>
                    <w:jc w:val="both"/>
                    <w:rPr>
                      <w:color w:val="auto"/>
                    </w:rPr>
                  </w:pPr>
                  <w:r>
                    <w:rPr>
                      <w:color w:val="auto"/>
                    </w:rPr>
                    <w:t>本项目不涉及清单禁止的活动。</w:t>
                  </w:r>
                </w:p>
              </w:tc>
              <w:tc>
                <w:tcPr>
                  <w:tcW w:w="593" w:type="pct"/>
                  <w:noWrap w:val="0"/>
                  <w:vAlign w:val="center"/>
                </w:tcPr>
                <w:p w14:paraId="7F5ED2AF">
                  <w:pPr>
                    <w:pStyle w:val="28"/>
                    <w:rPr>
                      <w:color w:val="auto"/>
                    </w:rPr>
                  </w:pPr>
                  <w:r>
                    <w:rPr>
                      <w:color w:val="auto"/>
                    </w:rPr>
                    <w:t>符合</w:t>
                  </w:r>
                </w:p>
              </w:tc>
            </w:tr>
            <w:tr w14:paraId="40813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3050" w:type="pct"/>
                  <w:noWrap w:val="0"/>
                  <w:vAlign w:val="center"/>
                </w:tcPr>
                <w:p w14:paraId="4EF31315">
                  <w:pPr>
                    <w:pStyle w:val="28"/>
                    <w:rPr>
                      <w:color w:val="auto"/>
                    </w:rPr>
                  </w:pPr>
                  <w:r>
                    <w:rPr>
                      <w:color w:val="auto"/>
                    </w:rPr>
                    <w:t>5.禁止在合规园区外新建、扩建钢铁、石化、化工、焦化、建材、有色、制浆造纸等高污染项目。</w:t>
                  </w:r>
                </w:p>
              </w:tc>
              <w:tc>
                <w:tcPr>
                  <w:tcW w:w="1357" w:type="pct"/>
                  <w:noWrap w:val="0"/>
                  <w:vAlign w:val="center"/>
                </w:tcPr>
                <w:p w14:paraId="1B21A3AD">
                  <w:pPr>
                    <w:pStyle w:val="28"/>
                    <w:jc w:val="both"/>
                    <w:rPr>
                      <w:color w:val="auto"/>
                    </w:rPr>
                  </w:pPr>
                  <w:r>
                    <w:rPr>
                      <w:color w:val="auto"/>
                    </w:rPr>
                    <w:t>本项目不属于清单禁止的高污染项目。</w:t>
                  </w:r>
                </w:p>
              </w:tc>
              <w:tc>
                <w:tcPr>
                  <w:tcW w:w="593" w:type="pct"/>
                  <w:noWrap w:val="0"/>
                  <w:vAlign w:val="center"/>
                </w:tcPr>
                <w:p w14:paraId="5DAB51D9">
                  <w:pPr>
                    <w:pStyle w:val="28"/>
                    <w:rPr>
                      <w:color w:val="auto"/>
                    </w:rPr>
                  </w:pPr>
                  <w:r>
                    <w:rPr>
                      <w:color w:val="auto"/>
                    </w:rPr>
                    <w:t>符合</w:t>
                  </w:r>
                </w:p>
              </w:tc>
            </w:tr>
            <w:tr w14:paraId="39431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3050" w:type="pct"/>
                  <w:noWrap w:val="0"/>
                  <w:vAlign w:val="center"/>
                </w:tcPr>
                <w:p w14:paraId="65384123">
                  <w:pPr>
                    <w:pStyle w:val="28"/>
                    <w:rPr>
                      <w:color w:val="auto"/>
                    </w:rPr>
                  </w:pPr>
                  <w:r>
                    <w:rPr>
                      <w:color w:val="auto"/>
                    </w:rPr>
                    <w:t>6.禁止新建、扩建不符合国家石化、现代煤化工等产业布局规划的项目。</w:t>
                  </w:r>
                </w:p>
              </w:tc>
              <w:tc>
                <w:tcPr>
                  <w:tcW w:w="1357" w:type="pct"/>
                  <w:noWrap w:val="0"/>
                  <w:vAlign w:val="center"/>
                </w:tcPr>
                <w:p w14:paraId="0CBFAAAD">
                  <w:pPr>
                    <w:pStyle w:val="28"/>
                    <w:jc w:val="both"/>
                    <w:rPr>
                      <w:color w:val="auto"/>
                    </w:rPr>
                  </w:pPr>
                  <w:r>
                    <w:rPr>
                      <w:color w:val="auto"/>
                    </w:rPr>
                    <w:t>本项目不涉及清单禁止的活动。</w:t>
                  </w:r>
                </w:p>
              </w:tc>
              <w:tc>
                <w:tcPr>
                  <w:tcW w:w="593" w:type="pct"/>
                  <w:noWrap w:val="0"/>
                  <w:vAlign w:val="center"/>
                </w:tcPr>
                <w:p w14:paraId="7A39119E">
                  <w:pPr>
                    <w:pStyle w:val="28"/>
                    <w:rPr>
                      <w:color w:val="auto"/>
                    </w:rPr>
                  </w:pPr>
                  <w:r>
                    <w:rPr>
                      <w:color w:val="auto"/>
                    </w:rPr>
                    <w:t>符合</w:t>
                  </w:r>
                </w:p>
              </w:tc>
            </w:tr>
            <w:tr w14:paraId="6DC44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3050" w:type="pct"/>
                  <w:noWrap w:val="0"/>
                  <w:vAlign w:val="center"/>
                </w:tcPr>
                <w:p w14:paraId="417A2299">
                  <w:pPr>
                    <w:pStyle w:val="28"/>
                    <w:rPr>
                      <w:color w:val="auto"/>
                    </w:rPr>
                  </w:pPr>
                  <w:r>
                    <w:rPr>
                      <w:color w:val="auto"/>
                    </w:rPr>
                    <w:t>7．禁止新建、扩建法律法规和相关政策明令禁止的落后产能项目。禁止新建、扩建不符合国家产能置换要求的严重过剩产能行业的项目。禁止新建、扩建不符合要求的高耗能高排放项目。</w:t>
                  </w:r>
                </w:p>
              </w:tc>
              <w:tc>
                <w:tcPr>
                  <w:tcW w:w="1357" w:type="pct"/>
                  <w:noWrap w:val="0"/>
                  <w:vAlign w:val="center"/>
                </w:tcPr>
                <w:p w14:paraId="2E64D768">
                  <w:pPr>
                    <w:pStyle w:val="28"/>
                    <w:jc w:val="both"/>
                    <w:rPr>
                      <w:color w:val="auto"/>
                    </w:rPr>
                  </w:pPr>
                  <w:r>
                    <w:rPr>
                      <w:color w:val="auto"/>
                    </w:rPr>
                    <w:t>本项目符合法律法规和相关政策要求。</w:t>
                  </w:r>
                </w:p>
              </w:tc>
              <w:tc>
                <w:tcPr>
                  <w:tcW w:w="593" w:type="pct"/>
                  <w:noWrap w:val="0"/>
                  <w:vAlign w:val="center"/>
                </w:tcPr>
                <w:p w14:paraId="6E4F386E">
                  <w:pPr>
                    <w:pStyle w:val="28"/>
                    <w:rPr>
                      <w:color w:val="auto"/>
                    </w:rPr>
                  </w:pPr>
                  <w:r>
                    <w:rPr>
                      <w:color w:val="auto"/>
                    </w:rPr>
                    <w:t>符合</w:t>
                  </w:r>
                </w:p>
              </w:tc>
            </w:tr>
          </w:tbl>
          <w:p w14:paraId="26447B9F">
            <w:pPr>
              <w:ind w:firstLine="482"/>
              <w:rPr>
                <w:b/>
                <w:bCs/>
                <w:color w:val="auto"/>
              </w:rPr>
            </w:pPr>
            <w:r>
              <w:rPr>
                <w:rFonts w:hint="eastAsia"/>
                <w:b/>
                <w:bCs/>
                <w:color w:val="auto"/>
              </w:rPr>
              <w:t>1.1.</w:t>
            </w:r>
            <w:r>
              <w:rPr>
                <w:rFonts w:hint="eastAsia"/>
                <w:b/>
                <w:bCs/>
                <w:color w:val="auto"/>
                <w:lang w:val="en-US" w:eastAsia="zh-CN"/>
              </w:rPr>
              <w:t>8</w:t>
            </w:r>
            <w:r>
              <w:rPr>
                <w:b/>
                <w:bCs/>
                <w:color w:val="auto"/>
              </w:rPr>
              <w:t>与《云南省长江经济带发展负面清单指南实施细则（试行）》符合性分析</w:t>
            </w:r>
          </w:p>
          <w:p w14:paraId="5CCCAD6B">
            <w:pPr>
              <w:ind w:firstLine="480"/>
              <w:rPr>
                <w:color w:val="auto"/>
                <w:kern w:val="0"/>
              </w:rPr>
            </w:pPr>
            <w:r>
              <w:rPr>
                <w:color w:val="auto"/>
                <w:kern w:val="0"/>
              </w:rPr>
              <w:t>本项目选址位于</w:t>
            </w:r>
            <w:r>
              <w:rPr>
                <w:rFonts w:hint="eastAsia"/>
                <w:color w:val="auto"/>
              </w:rPr>
              <w:t>昆明市寻甸回族彝族自治县仁德街道</w:t>
            </w:r>
            <w:r>
              <w:rPr>
                <w:color w:val="auto"/>
                <w:kern w:val="0"/>
              </w:rPr>
              <w:t>，建设</w:t>
            </w:r>
            <w:r>
              <w:rPr>
                <w:rFonts w:hint="eastAsia"/>
                <w:color w:val="auto"/>
                <w:kern w:val="0"/>
              </w:rPr>
              <w:t>铁路轨枕</w:t>
            </w:r>
            <w:r>
              <w:rPr>
                <w:color w:val="auto"/>
                <w:kern w:val="0"/>
              </w:rPr>
              <w:t>生产项目，属于水泥制品生产项目，不直接向外环境排放废水，选址不涉及生态保护红线、永久基本农田、自然保护区、水产种质资源保护区、饮用水保护区、风景名胜区、国家湿地公园，选址不属于《云南省长江经济带发展负面清单指南实施细则（试行）》禁止的各类功能区、保护区，项目性质不属于该清单禁止的建设项目，项目的实施符合《云南省长江经济带发展负面清单指南实施细则（试行）》的有关要求。</w:t>
            </w:r>
          </w:p>
          <w:p w14:paraId="10655D04">
            <w:pPr>
              <w:pStyle w:val="29"/>
              <w:spacing w:before="24" w:after="24"/>
              <w:rPr>
                <w:color w:val="auto"/>
              </w:rPr>
            </w:pPr>
            <w:r>
              <w:rPr>
                <w:color w:val="auto"/>
              </w:rPr>
              <w:t>表</w:t>
            </w:r>
            <w:r>
              <w:rPr>
                <w:rFonts w:hint="eastAsia"/>
                <w:color w:val="auto"/>
                <w:lang w:val="en-US" w:eastAsia="zh-CN"/>
              </w:rPr>
              <w:t xml:space="preserve">1-6 </w:t>
            </w:r>
            <w:r>
              <w:rPr>
                <w:color w:val="auto"/>
              </w:rPr>
              <w:t xml:space="preserve"> 项目与《云南省长江经济带发展负面清单指南实施细则（试行）》对照分析表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92"/>
              <w:gridCol w:w="1874"/>
              <w:gridCol w:w="1297"/>
            </w:tblGrid>
            <w:tr w14:paraId="3A3C6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058" w:type="pct"/>
                  <w:noWrap w:val="0"/>
                  <w:vAlign w:val="center"/>
                </w:tcPr>
                <w:p w14:paraId="19BBAC5D">
                  <w:pPr>
                    <w:pStyle w:val="28"/>
                    <w:rPr>
                      <w:b/>
                      <w:bCs/>
                      <w:color w:val="auto"/>
                    </w:rPr>
                  </w:pPr>
                  <w:r>
                    <w:rPr>
                      <w:b/>
                      <w:bCs/>
                      <w:color w:val="auto"/>
                    </w:rPr>
                    <w:t>清单指南要求</w:t>
                  </w:r>
                </w:p>
              </w:tc>
              <w:tc>
                <w:tcPr>
                  <w:tcW w:w="1148" w:type="pct"/>
                  <w:noWrap w:val="0"/>
                  <w:vAlign w:val="center"/>
                </w:tcPr>
                <w:p w14:paraId="28AF1EFD">
                  <w:pPr>
                    <w:pStyle w:val="28"/>
                    <w:rPr>
                      <w:b/>
                      <w:bCs/>
                      <w:color w:val="auto"/>
                    </w:rPr>
                  </w:pPr>
                  <w:r>
                    <w:rPr>
                      <w:b/>
                      <w:bCs/>
                      <w:color w:val="auto"/>
                    </w:rPr>
                    <w:t>本项目情况</w:t>
                  </w:r>
                </w:p>
              </w:tc>
              <w:tc>
                <w:tcPr>
                  <w:tcW w:w="794" w:type="pct"/>
                  <w:noWrap w:val="0"/>
                  <w:vAlign w:val="center"/>
                </w:tcPr>
                <w:p w14:paraId="2262643E">
                  <w:pPr>
                    <w:pStyle w:val="28"/>
                    <w:rPr>
                      <w:b/>
                      <w:bCs/>
                      <w:color w:val="auto"/>
                    </w:rPr>
                  </w:pPr>
                  <w:r>
                    <w:rPr>
                      <w:b/>
                      <w:bCs/>
                      <w:color w:val="auto"/>
                    </w:rPr>
                    <w:t>符合性判定</w:t>
                  </w:r>
                </w:p>
              </w:tc>
            </w:tr>
            <w:tr w14:paraId="60651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58" w:type="pct"/>
                  <w:noWrap w:val="0"/>
                  <w:vAlign w:val="center"/>
                </w:tcPr>
                <w:p w14:paraId="6250F8F0">
                  <w:pPr>
                    <w:pStyle w:val="28"/>
                    <w:rPr>
                      <w:rFonts w:ascii="宋体" w:hAnsi="宋体" w:cs="宋体"/>
                      <w:color w:val="auto"/>
                      <w:spacing w:val="-2"/>
                      <w:szCs w:val="21"/>
                    </w:rPr>
                  </w:pPr>
                  <w:r>
                    <w:rPr>
                      <w:rFonts w:ascii="宋体" w:hAnsi="宋体" w:cs="宋体"/>
                      <w:color w:val="auto"/>
                      <w:spacing w:val="-2"/>
                      <w:szCs w:val="21"/>
                    </w:rPr>
                    <w:t>一、禁止建设不符合全国和省级港口布局规划以及港口总体规划的码头项目。</w:t>
                  </w:r>
                </w:p>
              </w:tc>
              <w:tc>
                <w:tcPr>
                  <w:tcW w:w="1148" w:type="pct"/>
                  <w:noWrap w:val="0"/>
                  <w:vAlign w:val="center"/>
                </w:tcPr>
                <w:p w14:paraId="27E73114">
                  <w:pPr>
                    <w:pStyle w:val="28"/>
                    <w:jc w:val="both"/>
                    <w:rPr>
                      <w:rFonts w:ascii="宋体" w:hAnsi="宋体" w:cs="宋体"/>
                      <w:color w:val="auto"/>
                      <w:spacing w:val="-2"/>
                      <w:szCs w:val="21"/>
                    </w:rPr>
                  </w:pPr>
                  <w:r>
                    <w:rPr>
                      <w:rFonts w:ascii="宋体" w:hAnsi="宋体" w:cs="宋体"/>
                      <w:color w:val="auto"/>
                      <w:spacing w:val="-2"/>
                      <w:szCs w:val="21"/>
                    </w:rPr>
                    <w:t>本项目不属于码头项目。</w:t>
                  </w:r>
                </w:p>
              </w:tc>
              <w:tc>
                <w:tcPr>
                  <w:tcW w:w="794" w:type="pct"/>
                  <w:noWrap w:val="0"/>
                  <w:vAlign w:val="center"/>
                </w:tcPr>
                <w:p w14:paraId="16269AFF">
                  <w:pPr>
                    <w:pStyle w:val="28"/>
                    <w:rPr>
                      <w:rFonts w:ascii="宋体" w:hAnsi="宋体" w:cs="宋体"/>
                      <w:color w:val="auto"/>
                      <w:spacing w:val="-2"/>
                      <w:szCs w:val="21"/>
                    </w:rPr>
                  </w:pPr>
                  <w:r>
                    <w:rPr>
                      <w:rFonts w:ascii="宋体" w:hAnsi="宋体" w:cs="宋体"/>
                      <w:color w:val="auto"/>
                      <w:spacing w:val="-2"/>
                      <w:szCs w:val="21"/>
                    </w:rPr>
                    <w:t>符合</w:t>
                  </w:r>
                </w:p>
              </w:tc>
            </w:tr>
            <w:tr w14:paraId="24736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58" w:type="pct"/>
                  <w:noWrap w:val="0"/>
                  <w:vAlign w:val="center"/>
                </w:tcPr>
                <w:p w14:paraId="1F869811">
                  <w:pPr>
                    <w:pStyle w:val="28"/>
                    <w:rPr>
                      <w:rFonts w:ascii="宋体" w:hAnsi="宋体" w:cs="宋体"/>
                      <w:color w:val="auto"/>
                      <w:spacing w:val="-2"/>
                      <w:szCs w:val="21"/>
                    </w:rPr>
                  </w:pPr>
                  <w:r>
                    <w:rPr>
                      <w:rFonts w:ascii="宋体" w:hAnsi="宋体" w:cs="宋体"/>
                      <w:color w:val="auto"/>
                      <w:spacing w:val="-2"/>
                      <w:szCs w:val="21"/>
                    </w:rPr>
                    <w:t>二、禁止在生态保护红线范围内投资建设项目，生态保护红线内、自然保护地核心保护区原则上禁止人为活动</w:t>
                  </w:r>
                  <w:r>
                    <w:rPr>
                      <w:rFonts w:hint="eastAsia" w:ascii="宋体" w:hAnsi="宋体" w:cs="宋体"/>
                      <w:color w:val="auto"/>
                      <w:spacing w:val="-2"/>
                      <w:szCs w:val="21"/>
                      <w:lang w:eastAsia="zh-CN"/>
                    </w:rPr>
                    <w:t>；</w:t>
                  </w:r>
                  <w:r>
                    <w:rPr>
                      <w:rFonts w:ascii="宋体" w:hAnsi="宋体" w:cs="宋体"/>
                      <w:color w:val="auto"/>
                      <w:spacing w:val="-2"/>
                      <w:szCs w:val="21"/>
                    </w:rPr>
                    <w:t>其他区域严格禁止开发性、生产性建设活动。除国家重大战略资源勘查项目、生态保护修复和环境治理项目、重大基础设施项目、军事国防项目以及农牧民基本生产生活等必要的民生项目以外的项目。生态保护红线原则上按禁止开发区域的要求进行管理外，仅允许对生态功能不造成破坏的有限人为活动。</w:t>
                  </w:r>
                </w:p>
              </w:tc>
              <w:tc>
                <w:tcPr>
                  <w:tcW w:w="1148" w:type="pct"/>
                  <w:noWrap w:val="0"/>
                  <w:vAlign w:val="center"/>
                </w:tcPr>
                <w:p w14:paraId="15564E55">
                  <w:pPr>
                    <w:pStyle w:val="28"/>
                    <w:jc w:val="both"/>
                    <w:rPr>
                      <w:rFonts w:ascii="宋体" w:hAnsi="宋体" w:cs="宋体"/>
                      <w:color w:val="auto"/>
                      <w:spacing w:val="-2"/>
                      <w:szCs w:val="21"/>
                    </w:rPr>
                  </w:pPr>
                  <w:r>
                    <w:rPr>
                      <w:rFonts w:ascii="宋体" w:hAnsi="宋体" w:cs="宋体"/>
                      <w:color w:val="auto"/>
                      <w:spacing w:val="-2"/>
                      <w:szCs w:val="21"/>
                    </w:rPr>
                    <w:t>项目位于</w:t>
                  </w:r>
                  <w:r>
                    <w:rPr>
                      <w:rFonts w:hint="eastAsia"/>
                      <w:color w:val="auto"/>
                      <w:szCs w:val="21"/>
                    </w:rPr>
                    <w:t>云南省昆明市寻甸回族彝族自治县仁德街道</w:t>
                  </w:r>
                  <w:r>
                    <w:rPr>
                      <w:rFonts w:ascii="宋体" w:hAnsi="宋体" w:cs="宋体"/>
                      <w:color w:val="auto"/>
                      <w:spacing w:val="-2"/>
                      <w:szCs w:val="21"/>
                    </w:rPr>
                    <w:t>，</w:t>
                  </w:r>
                  <w:r>
                    <w:rPr>
                      <w:rFonts w:hint="eastAsia"/>
                      <w:color w:val="auto"/>
                    </w:rPr>
                    <w:t>根据寻甸县自然资源局于2023年11月9日出具的三区三线占用情况的复函（详见附件</w:t>
                  </w:r>
                  <w:r>
                    <w:rPr>
                      <w:rFonts w:hint="eastAsia"/>
                      <w:color w:val="auto"/>
                      <w:lang w:val="en-US" w:eastAsia="zh-CN"/>
                    </w:rPr>
                    <w:t>8</w:t>
                  </w:r>
                  <w:r>
                    <w:rPr>
                      <w:rFonts w:hint="eastAsia"/>
                      <w:color w:val="auto"/>
                    </w:rPr>
                    <w:t>）</w:t>
                  </w:r>
                  <w:r>
                    <w:rPr>
                      <w:rFonts w:ascii="宋体" w:hAnsi="宋体" w:cs="宋体"/>
                      <w:color w:val="auto"/>
                      <w:spacing w:val="-2"/>
                      <w:szCs w:val="21"/>
                    </w:rPr>
                    <w:t>不涉及生态保护红线。</w:t>
                  </w:r>
                </w:p>
              </w:tc>
              <w:tc>
                <w:tcPr>
                  <w:tcW w:w="794" w:type="pct"/>
                  <w:noWrap w:val="0"/>
                  <w:vAlign w:val="center"/>
                </w:tcPr>
                <w:p w14:paraId="6EE77F83">
                  <w:pPr>
                    <w:pStyle w:val="28"/>
                    <w:rPr>
                      <w:rFonts w:ascii="宋体" w:hAnsi="宋体" w:cs="宋体"/>
                      <w:color w:val="auto"/>
                      <w:spacing w:val="-2"/>
                      <w:szCs w:val="21"/>
                    </w:rPr>
                  </w:pPr>
                  <w:r>
                    <w:rPr>
                      <w:rFonts w:ascii="宋体" w:hAnsi="宋体" w:cs="宋体"/>
                      <w:color w:val="auto"/>
                      <w:spacing w:val="-2"/>
                      <w:szCs w:val="21"/>
                    </w:rPr>
                    <w:t>符合</w:t>
                  </w:r>
                </w:p>
              </w:tc>
            </w:tr>
            <w:tr w14:paraId="5FAF4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58" w:type="pct"/>
                  <w:noWrap w:val="0"/>
                  <w:vAlign w:val="center"/>
                </w:tcPr>
                <w:p w14:paraId="0284C86A">
                  <w:pPr>
                    <w:pStyle w:val="28"/>
                    <w:rPr>
                      <w:rFonts w:ascii="宋体" w:hAnsi="宋体" w:cs="宋体"/>
                      <w:color w:val="auto"/>
                      <w:spacing w:val="-2"/>
                      <w:szCs w:val="21"/>
                    </w:rPr>
                  </w:pPr>
                  <w:r>
                    <w:rPr>
                      <w:rFonts w:ascii="宋体" w:hAnsi="宋体" w:cs="宋体"/>
                      <w:color w:val="auto"/>
                      <w:spacing w:val="-2"/>
                      <w:szCs w:val="21"/>
                    </w:rPr>
                    <w:t>三、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除国家明确支持的重大建设项目、军事国防类项目、交通类项目、能源类项目、水利类项目、国务院投资主管部门或国务院投资主管部门会同有关部门支持和认可的交通、能源、水</w:t>
                  </w:r>
                  <w:r>
                    <w:rPr>
                      <w:rFonts w:hint="eastAsia" w:ascii="宋体" w:hAnsi="宋体" w:cs="宋体"/>
                      <w:color w:val="auto"/>
                      <w:spacing w:val="-2"/>
                      <w:szCs w:val="21"/>
                      <w:lang w:eastAsia="zh-CN"/>
                    </w:rPr>
                    <w:t>利等</w:t>
                  </w:r>
                  <w:r>
                    <w:rPr>
                      <w:rFonts w:ascii="宋体" w:hAnsi="宋体" w:cs="宋体"/>
                      <w:color w:val="auto"/>
                      <w:spacing w:val="-2"/>
                      <w:szCs w:val="21"/>
                    </w:rPr>
                    <w:t>基础设施项目外,禁止在永久基本农田范围内投资建设项目。重大建设项目选址确实难以避让永久基本农田的，需在可行性研究阶段，对占用的必要性、合理性和补划方案的可行性进行严格论证，按照“数量不减、质量不降、布局稳定”的要求进行补划，报自然资源部用地预审，依法依规办理农用地转用和土地征收，和法定程序修改相应的国土空间规划用途。</w:t>
                  </w:r>
                </w:p>
              </w:tc>
              <w:tc>
                <w:tcPr>
                  <w:tcW w:w="1148" w:type="pct"/>
                  <w:noWrap w:val="0"/>
                  <w:vAlign w:val="center"/>
                </w:tcPr>
                <w:p w14:paraId="7CD7ADE0">
                  <w:pPr>
                    <w:pStyle w:val="28"/>
                    <w:jc w:val="both"/>
                    <w:rPr>
                      <w:rFonts w:ascii="宋体" w:hAnsi="宋体" w:cs="宋体"/>
                      <w:color w:val="auto"/>
                      <w:spacing w:val="-2"/>
                      <w:szCs w:val="21"/>
                    </w:rPr>
                  </w:pPr>
                  <w:r>
                    <w:rPr>
                      <w:rFonts w:ascii="宋体" w:hAnsi="宋体" w:cs="宋体"/>
                      <w:color w:val="auto"/>
                      <w:spacing w:val="-2"/>
                      <w:szCs w:val="21"/>
                    </w:rPr>
                    <w:t>项目选址和施工不涉及河湖岸线，不涉及永久基本农田，不涉及禁止开发活动。</w:t>
                  </w:r>
                </w:p>
              </w:tc>
              <w:tc>
                <w:tcPr>
                  <w:tcW w:w="794" w:type="pct"/>
                  <w:noWrap w:val="0"/>
                  <w:vAlign w:val="center"/>
                </w:tcPr>
                <w:p w14:paraId="1FDA4835">
                  <w:pPr>
                    <w:pStyle w:val="28"/>
                    <w:rPr>
                      <w:rFonts w:ascii="宋体" w:hAnsi="宋体" w:cs="宋体"/>
                      <w:color w:val="auto"/>
                      <w:spacing w:val="-2"/>
                      <w:szCs w:val="21"/>
                    </w:rPr>
                  </w:pPr>
                  <w:r>
                    <w:rPr>
                      <w:rFonts w:ascii="宋体" w:hAnsi="宋体" w:cs="宋体"/>
                      <w:color w:val="auto"/>
                      <w:spacing w:val="-2"/>
                      <w:szCs w:val="21"/>
                    </w:rPr>
                    <w:t>符合</w:t>
                  </w:r>
                </w:p>
              </w:tc>
            </w:tr>
            <w:tr w14:paraId="27DA9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58" w:type="pct"/>
                  <w:noWrap w:val="0"/>
                  <w:vAlign w:val="center"/>
                </w:tcPr>
                <w:p w14:paraId="14D802E1">
                  <w:pPr>
                    <w:pStyle w:val="28"/>
                    <w:rPr>
                      <w:rFonts w:ascii="宋体" w:hAnsi="宋体" w:cs="宋体"/>
                      <w:color w:val="auto"/>
                      <w:spacing w:val="-2"/>
                      <w:szCs w:val="21"/>
                    </w:rPr>
                  </w:pPr>
                  <w:r>
                    <w:rPr>
                      <w:rFonts w:ascii="宋体" w:hAnsi="宋体" w:cs="宋体"/>
                      <w:color w:val="auto"/>
                      <w:spacing w:val="-2"/>
                      <w:szCs w:val="21"/>
                    </w:rPr>
                    <w:t>四、禁止在《全国重要江河湖泊水功能区划》划定的河段及湖泊保护区、保留区内投资建设不利于水资源及自然生态保护的项目。禁止在金沙江、长江一级支流建设除党中央、国务院、国家投资主管部门、省级有关部门批复同意以外的过江基础设施项目</w:t>
                  </w:r>
                  <w:r>
                    <w:rPr>
                      <w:rFonts w:hint="eastAsia" w:ascii="宋体" w:hAnsi="宋体" w:cs="宋体"/>
                      <w:color w:val="auto"/>
                      <w:spacing w:val="-2"/>
                      <w:szCs w:val="21"/>
                      <w:lang w:eastAsia="zh-CN"/>
                    </w:rPr>
                    <w:t>；</w:t>
                  </w:r>
                  <w:r>
                    <w:rPr>
                      <w:rFonts w:ascii="宋体" w:hAnsi="宋体" w:cs="宋体"/>
                      <w:color w:val="auto"/>
                      <w:spacing w:val="-2"/>
                      <w:szCs w:val="21"/>
                    </w:rPr>
                    <w:t>禁止未经许可在长江流域、九大高原湖泊流域新设、改设或扩大排污口，除入河（海）排污口命名与编码规则</w:t>
                  </w:r>
                  <w:r>
                    <w:rPr>
                      <w:rFonts w:hint="eastAsia" w:ascii="宋体" w:hAnsi="宋体" w:cs="宋体"/>
                      <w:color w:val="auto"/>
                      <w:spacing w:val="-2"/>
                      <w:szCs w:val="21"/>
                      <w:lang w:eastAsia="zh-CN"/>
                    </w:rPr>
                    <w:t>（</w:t>
                  </w:r>
                  <w:r>
                    <w:rPr>
                      <w:rFonts w:hint="default" w:ascii="Times New Roman" w:hAnsi="Times New Roman" w:cs="Times New Roman"/>
                      <w:color w:val="auto"/>
                      <w:spacing w:val="-2"/>
                      <w:szCs w:val="21"/>
                    </w:rPr>
                    <w:t>HJ1235-2021</w:t>
                  </w:r>
                  <w:r>
                    <w:rPr>
                      <w:rFonts w:ascii="宋体" w:hAnsi="宋体" w:cs="宋体"/>
                      <w:color w:val="auto"/>
                      <w:spacing w:val="-2"/>
                      <w:szCs w:val="21"/>
                    </w:rPr>
                    <w:t>）规定的第四类“其他排口”外。禁止在水产种质资源保护区内新建排污口，以及从事围湖造田、围湖造地或围填海工程。</w:t>
                  </w:r>
                </w:p>
              </w:tc>
              <w:tc>
                <w:tcPr>
                  <w:tcW w:w="1148" w:type="pct"/>
                  <w:noWrap w:val="0"/>
                  <w:vAlign w:val="center"/>
                </w:tcPr>
                <w:p w14:paraId="28B0BAA2">
                  <w:pPr>
                    <w:pStyle w:val="28"/>
                    <w:jc w:val="both"/>
                    <w:rPr>
                      <w:rFonts w:ascii="宋体" w:hAnsi="宋体" w:cs="宋体"/>
                      <w:color w:val="auto"/>
                      <w:spacing w:val="-2"/>
                      <w:szCs w:val="21"/>
                    </w:rPr>
                  </w:pPr>
                  <w:r>
                    <w:rPr>
                      <w:rFonts w:ascii="宋体" w:hAnsi="宋体" w:cs="宋体"/>
                      <w:color w:val="auto"/>
                      <w:spacing w:val="-2"/>
                      <w:szCs w:val="21"/>
                    </w:rPr>
                    <w:t>本项目选址、经营活动范围和环境影响范围不涉及禁止区域，废水处理后循环使用，不排放。</w:t>
                  </w:r>
                </w:p>
              </w:tc>
              <w:tc>
                <w:tcPr>
                  <w:tcW w:w="794" w:type="pct"/>
                  <w:noWrap w:val="0"/>
                  <w:vAlign w:val="center"/>
                </w:tcPr>
                <w:p w14:paraId="568D1E59">
                  <w:pPr>
                    <w:pStyle w:val="28"/>
                    <w:rPr>
                      <w:rFonts w:ascii="宋体" w:hAnsi="宋体" w:cs="宋体"/>
                      <w:color w:val="auto"/>
                      <w:spacing w:val="-2"/>
                      <w:szCs w:val="21"/>
                    </w:rPr>
                  </w:pPr>
                  <w:r>
                    <w:rPr>
                      <w:rFonts w:ascii="宋体" w:hAnsi="宋体" w:cs="宋体"/>
                      <w:color w:val="auto"/>
                      <w:spacing w:val="-2"/>
                      <w:szCs w:val="21"/>
                    </w:rPr>
                    <w:t>符合</w:t>
                  </w:r>
                </w:p>
              </w:tc>
            </w:tr>
            <w:tr w14:paraId="69621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58" w:type="pct"/>
                  <w:noWrap w:val="0"/>
                  <w:vAlign w:val="center"/>
                </w:tcPr>
                <w:p w14:paraId="6907A867">
                  <w:pPr>
                    <w:pStyle w:val="28"/>
                    <w:rPr>
                      <w:rFonts w:ascii="宋体" w:hAnsi="宋体" w:cs="宋体"/>
                      <w:color w:val="auto"/>
                      <w:spacing w:val="-2"/>
                      <w:szCs w:val="21"/>
                    </w:rPr>
                  </w:pPr>
                  <w:r>
                    <w:rPr>
                      <w:rFonts w:ascii="宋体" w:hAnsi="宋体" w:cs="宋体"/>
                      <w:color w:val="auto"/>
                      <w:spacing w:val="-2"/>
                      <w:szCs w:val="21"/>
                    </w:rPr>
                    <w:t>五、禁止在金沙江、赤水河、乌江</w:t>
                  </w:r>
                  <w:r>
                    <w:rPr>
                      <w:rFonts w:hint="eastAsia" w:ascii="宋体" w:hAnsi="宋体" w:cs="宋体"/>
                      <w:color w:val="auto"/>
                      <w:spacing w:val="-2"/>
                      <w:szCs w:val="21"/>
                      <w:lang w:eastAsia="zh-CN"/>
                    </w:rPr>
                    <w:t>河</w:t>
                  </w:r>
                  <w:r>
                    <w:rPr>
                      <w:rFonts w:ascii="宋体" w:hAnsi="宋体" w:cs="宋体"/>
                      <w:color w:val="auto"/>
                      <w:spacing w:val="-2"/>
                      <w:szCs w:val="21"/>
                    </w:rPr>
                    <w:t>等水生动植物自然保护区、水产种质资源保护区长江流域禁捕水域开展天然渔业资源生产性捕捞。禁止开（围）垦、填埋或者排干湿地</w:t>
                  </w:r>
                  <w:r>
                    <w:rPr>
                      <w:rFonts w:hint="eastAsia" w:ascii="宋体" w:hAnsi="宋体" w:cs="宋体"/>
                      <w:color w:val="auto"/>
                      <w:spacing w:val="-2"/>
                      <w:szCs w:val="21"/>
                      <w:lang w:eastAsia="zh-CN"/>
                    </w:rPr>
                    <w:t>；</w:t>
                  </w:r>
                  <w:r>
                    <w:rPr>
                      <w:rFonts w:ascii="宋体" w:hAnsi="宋体" w:cs="宋体"/>
                      <w:color w:val="auto"/>
                      <w:spacing w:val="-2"/>
                      <w:szCs w:val="21"/>
                    </w:rPr>
                    <w:t>禁止截断湿地水源、挖沙、采矿、引入外来物种</w:t>
                  </w:r>
                  <w:r>
                    <w:rPr>
                      <w:rFonts w:hint="eastAsia" w:ascii="宋体" w:hAnsi="宋体" w:cs="宋体"/>
                      <w:color w:val="auto"/>
                      <w:spacing w:val="-2"/>
                      <w:szCs w:val="21"/>
                      <w:lang w:eastAsia="zh-CN"/>
                    </w:rPr>
                    <w:t>；</w:t>
                  </w:r>
                  <w:r>
                    <w:rPr>
                      <w:rFonts w:ascii="宋体" w:hAnsi="宋体" w:cs="宋体"/>
                      <w:color w:val="auto"/>
                      <w:spacing w:val="-2"/>
                      <w:szCs w:val="21"/>
                    </w:rPr>
                    <w:t>禁止擅自放牧、捕捞、取土、取水、排污、放生；禁止其他破坏湿地及其生态功能的活动。</w:t>
                  </w:r>
                </w:p>
              </w:tc>
              <w:tc>
                <w:tcPr>
                  <w:tcW w:w="1148" w:type="pct"/>
                  <w:noWrap w:val="0"/>
                  <w:vAlign w:val="center"/>
                </w:tcPr>
                <w:p w14:paraId="145F2FA7">
                  <w:pPr>
                    <w:pStyle w:val="28"/>
                    <w:jc w:val="both"/>
                    <w:rPr>
                      <w:rFonts w:ascii="宋体" w:hAnsi="宋体" w:cs="宋体"/>
                      <w:color w:val="auto"/>
                      <w:spacing w:val="-2"/>
                      <w:szCs w:val="21"/>
                    </w:rPr>
                  </w:pPr>
                  <w:r>
                    <w:rPr>
                      <w:rFonts w:ascii="宋体" w:hAnsi="宋体" w:cs="宋体"/>
                      <w:color w:val="auto"/>
                      <w:spacing w:val="-2"/>
                      <w:szCs w:val="21"/>
                    </w:rPr>
                    <w:t>本项目选址、经营活动范围和环境影响范围不涉及自然保护区、水产种质资源保护区、湿地。</w:t>
                  </w:r>
                </w:p>
              </w:tc>
              <w:tc>
                <w:tcPr>
                  <w:tcW w:w="794" w:type="pct"/>
                  <w:noWrap w:val="0"/>
                  <w:vAlign w:val="center"/>
                </w:tcPr>
                <w:p w14:paraId="0E265825">
                  <w:pPr>
                    <w:pStyle w:val="28"/>
                    <w:rPr>
                      <w:rFonts w:ascii="宋体" w:hAnsi="宋体" w:cs="宋体"/>
                      <w:color w:val="auto"/>
                      <w:spacing w:val="-2"/>
                      <w:szCs w:val="21"/>
                    </w:rPr>
                  </w:pPr>
                  <w:r>
                    <w:rPr>
                      <w:rFonts w:ascii="宋体" w:hAnsi="宋体" w:cs="宋体"/>
                      <w:color w:val="auto"/>
                      <w:spacing w:val="-2"/>
                      <w:szCs w:val="21"/>
                    </w:rPr>
                    <w:t>符合</w:t>
                  </w:r>
                </w:p>
              </w:tc>
            </w:tr>
            <w:tr w14:paraId="76748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58" w:type="pct"/>
                  <w:noWrap w:val="0"/>
                  <w:vAlign w:val="center"/>
                </w:tcPr>
                <w:p w14:paraId="659D405F">
                  <w:pPr>
                    <w:pStyle w:val="28"/>
                    <w:rPr>
                      <w:rFonts w:ascii="宋体" w:hAnsi="宋体" w:cs="宋体"/>
                      <w:color w:val="auto"/>
                      <w:spacing w:val="-2"/>
                      <w:szCs w:val="21"/>
                    </w:rPr>
                  </w:pPr>
                  <w:r>
                    <w:rPr>
                      <w:rFonts w:ascii="宋体" w:hAnsi="宋体" w:cs="宋体"/>
                      <w:color w:val="auto"/>
                      <w:spacing w:val="-2"/>
                      <w:szCs w:val="21"/>
                    </w:rPr>
                    <w:t>六、禁止在金沙江干流岸线3公里、长江（金沙江</w:t>
                  </w:r>
                  <w:r>
                    <w:rPr>
                      <w:rFonts w:hint="eastAsia" w:ascii="宋体" w:hAnsi="宋体" w:cs="宋体"/>
                      <w:color w:val="auto"/>
                      <w:spacing w:val="-2"/>
                      <w:szCs w:val="21"/>
                      <w:lang w:eastAsia="zh-CN"/>
                    </w:rPr>
                    <w:t>）</w:t>
                  </w:r>
                  <w:r>
                    <w:rPr>
                      <w:rFonts w:ascii="宋体" w:hAnsi="宋体" w:cs="宋体"/>
                      <w:color w:val="auto"/>
                      <w:spacing w:val="-2"/>
                      <w:szCs w:val="21"/>
                    </w:rPr>
                    <w:t>一级支流岸线1公里范围内新建、改建、扩建尾矿库、冶炼渣库和磷石膏库，以提升安全、生态环境保护水平为目的的改建除外。</w:t>
                  </w:r>
                </w:p>
              </w:tc>
              <w:tc>
                <w:tcPr>
                  <w:tcW w:w="1148" w:type="pct"/>
                  <w:noWrap w:val="0"/>
                  <w:vAlign w:val="center"/>
                </w:tcPr>
                <w:p w14:paraId="5DC951C7">
                  <w:pPr>
                    <w:pStyle w:val="28"/>
                    <w:jc w:val="both"/>
                    <w:rPr>
                      <w:rFonts w:ascii="宋体" w:hAnsi="宋体" w:cs="宋体"/>
                      <w:color w:val="auto"/>
                      <w:spacing w:val="-2"/>
                      <w:szCs w:val="21"/>
                    </w:rPr>
                  </w:pPr>
                  <w:r>
                    <w:rPr>
                      <w:rFonts w:ascii="宋体" w:hAnsi="宋体" w:cs="宋体"/>
                      <w:color w:val="auto"/>
                      <w:spacing w:val="-2"/>
                      <w:szCs w:val="21"/>
                    </w:rPr>
                    <w:t>本项目不在禁止实施的项目类型之列。</w:t>
                  </w:r>
                </w:p>
              </w:tc>
              <w:tc>
                <w:tcPr>
                  <w:tcW w:w="794" w:type="pct"/>
                  <w:noWrap w:val="0"/>
                  <w:vAlign w:val="center"/>
                </w:tcPr>
                <w:p w14:paraId="3504A728">
                  <w:pPr>
                    <w:pStyle w:val="28"/>
                    <w:rPr>
                      <w:rFonts w:ascii="宋体" w:hAnsi="宋体" w:cs="宋体"/>
                      <w:color w:val="auto"/>
                      <w:spacing w:val="-2"/>
                      <w:szCs w:val="21"/>
                    </w:rPr>
                  </w:pPr>
                  <w:r>
                    <w:rPr>
                      <w:rFonts w:ascii="宋体" w:hAnsi="宋体" w:cs="宋体"/>
                      <w:color w:val="auto"/>
                      <w:spacing w:val="-2"/>
                      <w:szCs w:val="21"/>
                    </w:rPr>
                    <w:t>符合</w:t>
                  </w:r>
                </w:p>
              </w:tc>
            </w:tr>
            <w:tr w14:paraId="383C0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58" w:type="pct"/>
                  <w:noWrap w:val="0"/>
                  <w:vAlign w:val="center"/>
                </w:tcPr>
                <w:p w14:paraId="2DAC8D06">
                  <w:pPr>
                    <w:pStyle w:val="28"/>
                    <w:rPr>
                      <w:rFonts w:ascii="宋体" w:hAnsi="宋体" w:cs="宋体"/>
                      <w:color w:val="auto"/>
                      <w:spacing w:val="-2"/>
                      <w:szCs w:val="21"/>
                    </w:rPr>
                  </w:pPr>
                  <w:r>
                    <w:rPr>
                      <w:rFonts w:ascii="宋体" w:hAnsi="宋体" w:cs="宋体"/>
                      <w:color w:val="auto"/>
                      <w:spacing w:val="-2"/>
                      <w:szCs w:val="21"/>
                    </w:rPr>
                    <w:t>七、禁止在合规园区外新建、扩建钢铁、石化、化工、焦化、建材、有色、制浆造纸等高污染项目。禁止新增钢铁、水泥、平板玻璃等行业建设产能，确有必要建设的，应按规定实施产能等量或减量置换。</w:t>
                  </w:r>
                </w:p>
              </w:tc>
              <w:tc>
                <w:tcPr>
                  <w:tcW w:w="1148" w:type="pct"/>
                  <w:noWrap w:val="0"/>
                  <w:vAlign w:val="center"/>
                </w:tcPr>
                <w:p w14:paraId="5525A220">
                  <w:pPr>
                    <w:pStyle w:val="28"/>
                    <w:jc w:val="both"/>
                    <w:rPr>
                      <w:rFonts w:ascii="宋体" w:hAnsi="宋体" w:cs="宋体"/>
                      <w:color w:val="auto"/>
                      <w:spacing w:val="-2"/>
                      <w:szCs w:val="21"/>
                    </w:rPr>
                  </w:pPr>
                  <w:r>
                    <w:rPr>
                      <w:rFonts w:ascii="宋体" w:hAnsi="宋体" w:cs="宋体"/>
                      <w:color w:val="auto"/>
                      <w:spacing w:val="-2"/>
                      <w:szCs w:val="21"/>
                    </w:rPr>
                    <w:t>项目不属于禁止的高污染项目。</w:t>
                  </w:r>
                </w:p>
              </w:tc>
              <w:tc>
                <w:tcPr>
                  <w:tcW w:w="794" w:type="pct"/>
                  <w:noWrap w:val="0"/>
                  <w:vAlign w:val="center"/>
                </w:tcPr>
                <w:p w14:paraId="53D4D3BD">
                  <w:pPr>
                    <w:pStyle w:val="28"/>
                    <w:rPr>
                      <w:rFonts w:ascii="宋体" w:hAnsi="宋体" w:cs="宋体"/>
                      <w:color w:val="auto"/>
                      <w:spacing w:val="-2"/>
                      <w:szCs w:val="21"/>
                    </w:rPr>
                  </w:pPr>
                  <w:r>
                    <w:rPr>
                      <w:rFonts w:ascii="宋体" w:hAnsi="宋体" w:cs="宋体"/>
                      <w:color w:val="auto"/>
                      <w:spacing w:val="-2"/>
                      <w:szCs w:val="21"/>
                    </w:rPr>
                    <w:t>符合</w:t>
                  </w:r>
                </w:p>
              </w:tc>
            </w:tr>
            <w:tr w14:paraId="064A2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58" w:type="pct"/>
                  <w:noWrap w:val="0"/>
                  <w:vAlign w:val="center"/>
                </w:tcPr>
                <w:p w14:paraId="698560DC">
                  <w:pPr>
                    <w:pStyle w:val="28"/>
                    <w:rPr>
                      <w:rFonts w:ascii="宋体" w:hAnsi="宋体" w:cs="宋体"/>
                      <w:color w:val="auto"/>
                      <w:spacing w:val="-2"/>
                      <w:szCs w:val="21"/>
                    </w:rPr>
                  </w:pPr>
                  <w:r>
                    <w:rPr>
                      <w:rFonts w:ascii="宋体" w:hAnsi="宋体" w:cs="宋体"/>
                      <w:color w:val="auto"/>
                      <w:spacing w:val="-2"/>
                      <w:szCs w:val="21"/>
                    </w:rPr>
                    <w:t>八、禁止新建、扩建不符合国家石化、现代煤化工等产业布局规划的项目。禁止列入《云南省城镇人口密集区危险化学品生产企业搬迁改造名单》的搬迁改造企业在原址新建、扩建危险化学品生产项目，加强搬迁入园、关闭退出企业腾退土地污染风险管控和治理修复，确保腾退土地符合规划用地土壤环境质量标准。</w:t>
                  </w:r>
                </w:p>
              </w:tc>
              <w:tc>
                <w:tcPr>
                  <w:tcW w:w="1148" w:type="pct"/>
                  <w:noWrap w:val="0"/>
                  <w:vAlign w:val="center"/>
                </w:tcPr>
                <w:p w14:paraId="544BC645">
                  <w:pPr>
                    <w:pStyle w:val="28"/>
                    <w:jc w:val="both"/>
                    <w:rPr>
                      <w:rFonts w:ascii="宋体" w:hAnsi="宋体" w:cs="宋体"/>
                      <w:color w:val="auto"/>
                      <w:spacing w:val="-2"/>
                      <w:szCs w:val="21"/>
                    </w:rPr>
                  </w:pPr>
                  <w:r>
                    <w:rPr>
                      <w:rFonts w:ascii="宋体" w:hAnsi="宋体" w:cs="宋体"/>
                      <w:color w:val="auto"/>
                      <w:spacing w:val="-2"/>
                      <w:szCs w:val="21"/>
                    </w:rPr>
                    <w:t>本项目不在禁止实施的项目类型之列。</w:t>
                  </w:r>
                </w:p>
              </w:tc>
              <w:tc>
                <w:tcPr>
                  <w:tcW w:w="794" w:type="pct"/>
                  <w:noWrap w:val="0"/>
                  <w:vAlign w:val="center"/>
                </w:tcPr>
                <w:p w14:paraId="4E4FA3DF">
                  <w:pPr>
                    <w:pStyle w:val="28"/>
                    <w:rPr>
                      <w:rFonts w:ascii="宋体" w:hAnsi="宋体" w:cs="宋体"/>
                      <w:color w:val="auto"/>
                      <w:spacing w:val="-2"/>
                      <w:szCs w:val="21"/>
                    </w:rPr>
                  </w:pPr>
                  <w:r>
                    <w:rPr>
                      <w:rFonts w:ascii="宋体" w:hAnsi="宋体" w:cs="宋体"/>
                      <w:color w:val="auto"/>
                      <w:spacing w:val="-2"/>
                      <w:szCs w:val="21"/>
                    </w:rPr>
                    <w:t>符合</w:t>
                  </w:r>
                </w:p>
              </w:tc>
            </w:tr>
            <w:tr w14:paraId="32189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58" w:type="pct"/>
                  <w:noWrap w:val="0"/>
                  <w:vAlign w:val="center"/>
                </w:tcPr>
                <w:p w14:paraId="178DB2B9">
                  <w:pPr>
                    <w:pStyle w:val="28"/>
                    <w:rPr>
                      <w:rFonts w:ascii="宋体" w:hAnsi="宋体" w:cs="宋体"/>
                      <w:color w:val="auto"/>
                      <w:spacing w:val="-2"/>
                      <w:szCs w:val="21"/>
                    </w:rPr>
                  </w:pPr>
                  <w:r>
                    <w:rPr>
                      <w:rFonts w:ascii="宋体" w:hAnsi="宋体" w:cs="宋体"/>
                      <w:color w:val="auto"/>
                      <w:spacing w:val="-2"/>
                      <w:szCs w:val="21"/>
                    </w:rPr>
                    <w:t>九、禁止新建、扩建法律法规和相关政策明令禁止的落后产能项目，依法依规淘汰不符合要求的电石炉及开放式电石炉、无化产回收的单一炼焦生产设施，依法依规淘汰不符合要求的硫铁矿制酸、硫磺制酸、黄磷生产、有钙焙烧铬化合物生产装置和有机—无机复混肥料、过磷酸钙和钙镁磷肥生产线。禁止新建、扩建不符合国家产能置换要求的严重过剩产能行业的项目。禁止新建、扩建不符合要求的高耗能高排放项目。禁止建设高毒高残留以及对环境影响大的农药原药生产装置，严格控制尿素、磷铵、电石、焦炭、黄磷、烧碱、纯碱、聚氯乙烯等行业新增产能。</w:t>
                  </w:r>
                </w:p>
              </w:tc>
              <w:tc>
                <w:tcPr>
                  <w:tcW w:w="1148" w:type="pct"/>
                  <w:noWrap w:val="0"/>
                  <w:vAlign w:val="center"/>
                </w:tcPr>
                <w:p w14:paraId="18E26BA0">
                  <w:pPr>
                    <w:pStyle w:val="28"/>
                    <w:jc w:val="both"/>
                    <w:rPr>
                      <w:rFonts w:ascii="宋体" w:hAnsi="宋体" w:cs="宋体"/>
                      <w:color w:val="auto"/>
                      <w:spacing w:val="-2"/>
                      <w:szCs w:val="21"/>
                    </w:rPr>
                  </w:pPr>
                  <w:r>
                    <w:rPr>
                      <w:rFonts w:ascii="宋体" w:hAnsi="宋体" w:cs="宋体"/>
                      <w:color w:val="auto"/>
                      <w:spacing w:val="-2"/>
                      <w:szCs w:val="21"/>
                    </w:rPr>
                    <w:t>本项目不在禁止实施的项目类型之列。</w:t>
                  </w:r>
                </w:p>
              </w:tc>
              <w:tc>
                <w:tcPr>
                  <w:tcW w:w="794" w:type="pct"/>
                  <w:noWrap w:val="0"/>
                  <w:vAlign w:val="center"/>
                </w:tcPr>
                <w:p w14:paraId="62ABCBEF">
                  <w:pPr>
                    <w:pStyle w:val="28"/>
                    <w:rPr>
                      <w:rFonts w:ascii="宋体" w:hAnsi="宋体" w:cs="宋体"/>
                      <w:color w:val="auto"/>
                      <w:spacing w:val="-2"/>
                      <w:szCs w:val="21"/>
                    </w:rPr>
                  </w:pPr>
                  <w:r>
                    <w:rPr>
                      <w:rFonts w:ascii="宋体" w:hAnsi="宋体" w:cs="宋体"/>
                      <w:color w:val="auto"/>
                      <w:spacing w:val="-2"/>
                      <w:szCs w:val="21"/>
                    </w:rPr>
                    <w:t>符合</w:t>
                  </w:r>
                </w:p>
              </w:tc>
            </w:tr>
          </w:tbl>
          <w:p w14:paraId="126831B5">
            <w:pPr>
              <w:ind w:firstLine="482"/>
              <w:rPr>
                <w:b/>
                <w:bCs/>
                <w:color w:val="auto"/>
              </w:rPr>
            </w:pPr>
            <w:r>
              <w:rPr>
                <w:b/>
                <w:bCs/>
                <w:color w:val="auto"/>
              </w:rPr>
              <w:t>1.</w:t>
            </w:r>
            <w:r>
              <w:rPr>
                <w:rFonts w:hint="eastAsia"/>
                <w:b/>
                <w:bCs/>
                <w:color w:val="auto"/>
              </w:rPr>
              <w:t>1.</w:t>
            </w:r>
            <w:r>
              <w:rPr>
                <w:rFonts w:hint="eastAsia"/>
                <w:b/>
                <w:bCs/>
                <w:color w:val="auto"/>
                <w:lang w:val="en-US" w:eastAsia="zh-CN"/>
              </w:rPr>
              <w:t>9</w:t>
            </w:r>
            <w:r>
              <w:rPr>
                <w:b/>
                <w:bCs/>
                <w:color w:val="auto"/>
              </w:rPr>
              <w:t>与《中华人民共和国河道管理条例》的符合性分析</w:t>
            </w:r>
          </w:p>
          <w:p w14:paraId="0E9985BD">
            <w:pPr>
              <w:pStyle w:val="32"/>
              <w:ind w:firstLine="480"/>
              <w:rPr>
                <w:color w:val="auto"/>
              </w:rPr>
            </w:pPr>
            <w:r>
              <w:rPr>
                <w:color w:val="auto"/>
              </w:rPr>
              <w:t>本项目与</w:t>
            </w:r>
            <w:r>
              <w:rPr>
                <w:color w:val="auto"/>
                <w:szCs w:val="24"/>
              </w:rPr>
              <w:t>《中华人民共和国河道管理条例》</w:t>
            </w:r>
            <w:r>
              <w:rPr>
                <w:color w:val="auto"/>
              </w:rPr>
              <w:t>相符性分析见</w:t>
            </w:r>
            <w:r>
              <w:rPr>
                <w:rFonts w:hint="eastAsia"/>
                <w:color w:val="auto"/>
              </w:rPr>
              <w:t>下</w:t>
            </w:r>
            <w:r>
              <w:rPr>
                <w:color w:val="auto"/>
              </w:rPr>
              <w:t>表</w:t>
            </w:r>
            <w:r>
              <w:rPr>
                <w:rFonts w:hint="eastAsia"/>
                <w:color w:val="auto"/>
              </w:rPr>
              <w:t>：</w:t>
            </w:r>
          </w:p>
          <w:p w14:paraId="648B4F11">
            <w:pPr>
              <w:pStyle w:val="29"/>
              <w:spacing w:before="24" w:after="24"/>
              <w:rPr>
                <w:color w:val="auto"/>
              </w:rPr>
            </w:pPr>
            <w:r>
              <w:rPr>
                <w:color w:val="auto"/>
              </w:rPr>
              <w:t>表</w:t>
            </w:r>
            <w:r>
              <w:rPr>
                <w:rFonts w:hint="eastAsia"/>
                <w:color w:val="auto"/>
                <w:lang w:val="en-US" w:eastAsia="zh-CN"/>
              </w:rPr>
              <w:t>1-7</w:t>
            </w:r>
            <w:r>
              <w:rPr>
                <w:color w:val="auto"/>
              </w:rPr>
              <w:t xml:space="preserve">  项目与《中华人民共和国河道管理条例》对照分析</w:t>
            </w:r>
          </w:p>
          <w:tbl>
            <w:tblPr>
              <w:tblStyle w:val="20"/>
              <w:tblW w:w="495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618"/>
              <w:gridCol w:w="2778"/>
              <w:gridCol w:w="695"/>
            </w:tblGrid>
            <w:tr w14:paraId="78771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9" w:hRule="atLeast"/>
                <w:tblHeader/>
                <w:jc w:val="center"/>
              </w:trPr>
              <w:tc>
                <w:tcPr>
                  <w:tcW w:w="2854" w:type="pct"/>
                  <w:noWrap w:val="0"/>
                  <w:vAlign w:val="center"/>
                </w:tcPr>
                <w:p w14:paraId="524D3B91">
                  <w:pPr>
                    <w:autoSpaceDE w:val="0"/>
                    <w:autoSpaceDN w:val="0"/>
                    <w:spacing w:line="240" w:lineRule="auto"/>
                    <w:ind w:firstLine="0" w:firstLineChars="0"/>
                    <w:jc w:val="center"/>
                    <w:rPr>
                      <w:b/>
                      <w:bCs/>
                      <w:color w:val="auto"/>
                      <w:sz w:val="21"/>
                      <w:szCs w:val="21"/>
                    </w:rPr>
                  </w:pPr>
                  <w:r>
                    <w:rPr>
                      <w:b/>
                      <w:bCs/>
                      <w:color w:val="auto"/>
                      <w:sz w:val="21"/>
                      <w:szCs w:val="21"/>
                    </w:rPr>
                    <w:t>中华人民共和国河道管理条例相关要求</w:t>
                  </w:r>
                </w:p>
              </w:tc>
              <w:tc>
                <w:tcPr>
                  <w:tcW w:w="1717" w:type="pct"/>
                  <w:noWrap w:val="0"/>
                  <w:vAlign w:val="center"/>
                </w:tcPr>
                <w:p w14:paraId="55EFAB91">
                  <w:pPr>
                    <w:autoSpaceDE w:val="0"/>
                    <w:autoSpaceDN w:val="0"/>
                    <w:spacing w:line="240" w:lineRule="auto"/>
                    <w:ind w:firstLine="0" w:firstLineChars="0"/>
                    <w:jc w:val="center"/>
                    <w:rPr>
                      <w:b/>
                      <w:bCs/>
                      <w:color w:val="auto"/>
                      <w:sz w:val="21"/>
                      <w:szCs w:val="21"/>
                      <w:lang w:eastAsia="en-US"/>
                    </w:rPr>
                  </w:pPr>
                  <w:r>
                    <w:rPr>
                      <w:b/>
                      <w:bCs/>
                      <w:color w:val="auto"/>
                      <w:sz w:val="21"/>
                      <w:szCs w:val="21"/>
                      <w:lang w:eastAsia="en-US"/>
                    </w:rPr>
                    <w:t>本项目实际建设情况</w:t>
                  </w:r>
                </w:p>
              </w:tc>
              <w:tc>
                <w:tcPr>
                  <w:tcW w:w="429" w:type="pct"/>
                  <w:noWrap w:val="0"/>
                  <w:vAlign w:val="center"/>
                </w:tcPr>
                <w:p w14:paraId="36B24E00">
                  <w:pPr>
                    <w:autoSpaceDE w:val="0"/>
                    <w:autoSpaceDN w:val="0"/>
                    <w:spacing w:line="240" w:lineRule="auto"/>
                    <w:ind w:firstLine="0" w:firstLineChars="0"/>
                    <w:jc w:val="center"/>
                    <w:rPr>
                      <w:b/>
                      <w:bCs/>
                      <w:color w:val="auto"/>
                      <w:sz w:val="21"/>
                      <w:szCs w:val="21"/>
                      <w:lang w:eastAsia="en-US"/>
                    </w:rPr>
                  </w:pPr>
                  <w:r>
                    <w:rPr>
                      <w:b/>
                      <w:bCs/>
                      <w:color w:val="auto"/>
                      <w:sz w:val="21"/>
                      <w:szCs w:val="21"/>
                    </w:rPr>
                    <w:t>符合性</w:t>
                  </w:r>
                </w:p>
              </w:tc>
            </w:tr>
            <w:tr w14:paraId="1A3D0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6" w:hRule="atLeast"/>
                <w:jc w:val="center"/>
              </w:trPr>
              <w:tc>
                <w:tcPr>
                  <w:tcW w:w="2854" w:type="pct"/>
                  <w:noWrap w:val="0"/>
                  <w:vAlign w:val="center"/>
                </w:tcPr>
                <w:p w14:paraId="69C2231C">
                  <w:pPr>
                    <w:autoSpaceDE w:val="0"/>
                    <w:autoSpaceDN w:val="0"/>
                    <w:spacing w:line="240" w:lineRule="auto"/>
                    <w:ind w:firstLine="0" w:firstLineChars="0"/>
                    <w:jc w:val="center"/>
                    <w:rPr>
                      <w:color w:val="auto"/>
                      <w:kern w:val="0"/>
                      <w:sz w:val="21"/>
                      <w:szCs w:val="21"/>
                    </w:rPr>
                  </w:pPr>
                  <w:r>
                    <w:rPr>
                      <w:color w:val="auto"/>
                      <w:kern w:val="0"/>
                      <w:sz w:val="21"/>
                      <w:szCs w:val="21"/>
                    </w:rPr>
                    <w:t>第十六条</w:t>
                  </w:r>
                </w:p>
                <w:p w14:paraId="429942E9">
                  <w:pPr>
                    <w:spacing w:line="240" w:lineRule="auto"/>
                    <w:ind w:firstLine="0" w:firstLineChars="0"/>
                    <w:jc w:val="center"/>
                    <w:rPr>
                      <w:color w:val="auto"/>
                      <w:sz w:val="21"/>
                      <w:szCs w:val="21"/>
                    </w:rPr>
                  </w:pPr>
                  <w:r>
                    <w:rPr>
                      <w:color w:val="auto"/>
                      <w:kern w:val="0"/>
                      <w:sz w:val="21"/>
                      <w:szCs w:val="21"/>
                    </w:rPr>
                    <w:t>城镇建设和发展不得占用河道滩地。城镇规划的临河界限，由河道主管机关会同城镇规划等有关部门确定。沿河城镇在编制和审查城镇规划时，应当事先征求河道主管机关的意见。</w:t>
                  </w:r>
                </w:p>
              </w:tc>
              <w:tc>
                <w:tcPr>
                  <w:tcW w:w="1717" w:type="pct"/>
                  <w:noWrap w:val="0"/>
                  <w:vAlign w:val="center"/>
                </w:tcPr>
                <w:p w14:paraId="3B0AA6E5">
                  <w:pPr>
                    <w:autoSpaceDE w:val="0"/>
                    <w:autoSpaceDN w:val="0"/>
                    <w:spacing w:line="240" w:lineRule="auto"/>
                    <w:ind w:firstLine="0" w:firstLineChars="0"/>
                    <w:jc w:val="center"/>
                    <w:rPr>
                      <w:color w:val="auto"/>
                      <w:sz w:val="21"/>
                      <w:szCs w:val="21"/>
                    </w:rPr>
                  </w:pPr>
                  <w:r>
                    <w:rPr>
                      <w:color w:val="auto"/>
                      <w:sz w:val="21"/>
                      <w:szCs w:val="21"/>
                    </w:rPr>
                    <w:t>本项目不占用河道滩地。</w:t>
                  </w:r>
                </w:p>
              </w:tc>
              <w:tc>
                <w:tcPr>
                  <w:tcW w:w="429" w:type="pct"/>
                  <w:noWrap w:val="0"/>
                  <w:vAlign w:val="center"/>
                </w:tcPr>
                <w:p w14:paraId="439521AE">
                  <w:pPr>
                    <w:autoSpaceDE w:val="0"/>
                    <w:autoSpaceDN w:val="0"/>
                    <w:spacing w:line="240" w:lineRule="auto"/>
                    <w:ind w:firstLine="0" w:firstLineChars="0"/>
                    <w:jc w:val="center"/>
                    <w:rPr>
                      <w:color w:val="auto"/>
                      <w:sz w:val="21"/>
                      <w:szCs w:val="21"/>
                    </w:rPr>
                  </w:pPr>
                  <w:r>
                    <w:rPr>
                      <w:color w:val="auto"/>
                      <w:sz w:val="21"/>
                      <w:szCs w:val="21"/>
                    </w:rPr>
                    <w:t>符合</w:t>
                  </w:r>
                </w:p>
              </w:tc>
            </w:tr>
            <w:tr w14:paraId="7D243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6" w:hRule="atLeast"/>
                <w:jc w:val="center"/>
              </w:trPr>
              <w:tc>
                <w:tcPr>
                  <w:tcW w:w="2854" w:type="pct"/>
                  <w:noWrap w:val="0"/>
                  <w:vAlign w:val="center"/>
                </w:tcPr>
                <w:p w14:paraId="61472FC7">
                  <w:pPr>
                    <w:spacing w:line="240" w:lineRule="auto"/>
                    <w:ind w:firstLine="0" w:firstLineChars="0"/>
                    <w:jc w:val="center"/>
                    <w:rPr>
                      <w:color w:val="auto"/>
                      <w:sz w:val="21"/>
                      <w:szCs w:val="21"/>
                    </w:rPr>
                  </w:pPr>
                  <w:r>
                    <w:rPr>
                      <w:color w:val="auto"/>
                      <w:sz w:val="21"/>
                      <w:szCs w:val="21"/>
                    </w:rPr>
                    <w:t>第二十</w:t>
                  </w:r>
                  <w:r>
                    <w:rPr>
                      <w:rFonts w:hint="eastAsia"/>
                      <w:color w:val="auto"/>
                      <w:sz w:val="21"/>
                      <w:szCs w:val="21"/>
                      <w:lang w:val="en-US" w:eastAsia="zh-CN"/>
                    </w:rPr>
                    <w:t>五</w:t>
                  </w:r>
                  <w:r>
                    <w:rPr>
                      <w:color w:val="auto"/>
                      <w:sz w:val="21"/>
                      <w:szCs w:val="21"/>
                    </w:rPr>
                    <w:t>条</w:t>
                  </w:r>
                </w:p>
                <w:p w14:paraId="08C4FB3F">
                  <w:pPr>
                    <w:spacing w:line="240" w:lineRule="auto"/>
                    <w:ind w:firstLine="0" w:firstLineChars="0"/>
                    <w:jc w:val="center"/>
                    <w:rPr>
                      <w:rFonts w:hint="eastAsia"/>
                      <w:color w:val="auto"/>
                      <w:sz w:val="21"/>
                      <w:szCs w:val="21"/>
                    </w:rPr>
                  </w:pPr>
                  <w:r>
                    <w:rPr>
                      <w:rFonts w:hint="eastAsia"/>
                      <w:color w:val="auto"/>
                      <w:sz w:val="21"/>
                      <w:szCs w:val="21"/>
                    </w:rPr>
                    <w:t>在河道管理范围内进行下列活动，必须报经河道主管机关批准；涉及其他部门的，由河道主管机关会同有关部门批准：</w:t>
                  </w:r>
                </w:p>
                <w:p w14:paraId="0CDD3B76">
                  <w:pPr>
                    <w:spacing w:line="240" w:lineRule="auto"/>
                    <w:ind w:firstLine="0" w:firstLineChars="0"/>
                    <w:jc w:val="both"/>
                    <w:rPr>
                      <w:rFonts w:hint="eastAsia"/>
                      <w:color w:val="auto"/>
                      <w:sz w:val="21"/>
                      <w:szCs w:val="21"/>
                    </w:rPr>
                  </w:pPr>
                  <w:r>
                    <w:rPr>
                      <w:rFonts w:hint="eastAsia"/>
                      <w:color w:val="auto"/>
                      <w:sz w:val="21"/>
                      <w:szCs w:val="21"/>
                    </w:rPr>
                    <w:t>（一）采砂、取土、淘金、弃置砂石或者淤泥；</w:t>
                  </w:r>
                </w:p>
                <w:p w14:paraId="25C7A043">
                  <w:pPr>
                    <w:spacing w:line="240" w:lineRule="auto"/>
                    <w:ind w:firstLine="0" w:firstLineChars="0"/>
                    <w:jc w:val="both"/>
                    <w:rPr>
                      <w:rFonts w:hint="eastAsia"/>
                      <w:color w:val="auto"/>
                      <w:sz w:val="21"/>
                      <w:szCs w:val="21"/>
                    </w:rPr>
                  </w:pPr>
                  <w:r>
                    <w:rPr>
                      <w:rFonts w:hint="eastAsia"/>
                      <w:color w:val="auto"/>
                      <w:sz w:val="21"/>
                      <w:szCs w:val="21"/>
                    </w:rPr>
                    <w:t>（二）爆破、钻探、挖筑鱼塘；</w:t>
                  </w:r>
                </w:p>
                <w:p w14:paraId="5C3DC869">
                  <w:pPr>
                    <w:spacing w:line="240" w:lineRule="auto"/>
                    <w:ind w:firstLine="0" w:firstLineChars="0"/>
                    <w:jc w:val="both"/>
                    <w:rPr>
                      <w:rFonts w:hint="eastAsia"/>
                      <w:color w:val="auto"/>
                      <w:sz w:val="21"/>
                      <w:szCs w:val="21"/>
                    </w:rPr>
                  </w:pPr>
                  <w:r>
                    <w:rPr>
                      <w:rFonts w:hint="eastAsia"/>
                      <w:color w:val="auto"/>
                      <w:sz w:val="21"/>
                      <w:szCs w:val="21"/>
                    </w:rPr>
                    <w:t>（三）在河道滩地存放物料、修建厂房或者其他建筑设施；</w:t>
                  </w:r>
                </w:p>
                <w:p w14:paraId="535929B0">
                  <w:pPr>
                    <w:spacing w:line="240" w:lineRule="auto"/>
                    <w:ind w:firstLine="0" w:firstLineChars="0"/>
                    <w:jc w:val="both"/>
                    <w:rPr>
                      <w:color w:val="auto"/>
                      <w:sz w:val="21"/>
                      <w:szCs w:val="21"/>
                    </w:rPr>
                  </w:pPr>
                  <w:r>
                    <w:rPr>
                      <w:rFonts w:hint="eastAsia"/>
                      <w:color w:val="auto"/>
                      <w:sz w:val="21"/>
                      <w:szCs w:val="21"/>
                    </w:rPr>
                    <w:t>（四）在河道滩地开采地下资源及进行考古发掘。</w:t>
                  </w:r>
                </w:p>
              </w:tc>
              <w:tc>
                <w:tcPr>
                  <w:tcW w:w="1717" w:type="pct"/>
                  <w:noWrap w:val="0"/>
                  <w:vAlign w:val="center"/>
                </w:tcPr>
                <w:p w14:paraId="7CE9F2D1">
                  <w:pPr>
                    <w:autoSpaceDE w:val="0"/>
                    <w:autoSpaceDN w:val="0"/>
                    <w:spacing w:line="240" w:lineRule="auto"/>
                    <w:ind w:firstLine="0" w:firstLineChars="0"/>
                    <w:jc w:val="both"/>
                    <w:rPr>
                      <w:rFonts w:hint="default" w:eastAsia="宋体"/>
                      <w:color w:val="auto"/>
                      <w:sz w:val="21"/>
                      <w:szCs w:val="21"/>
                      <w:lang w:val="en-US" w:eastAsia="zh-CN"/>
                    </w:rPr>
                  </w:pPr>
                  <w:r>
                    <w:rPr>
                      <w:rFonts w:hint="eastAsia"/>
                      <w:color w:val="auto"/>
                      <w:sz w:val="21"/>
                      <w:szCs w:val="21"/>
                      <w:lang w:val="en-US" w:eastAsia="zh-CN"/>
                    </w:rPr>
                    <w:t>本项目不属于采砂、取土、淘金、弃置砂石或淤泥项目；不属于爆破、钻探、挖铸鱼塘项目；项目位置不处于河道滩地；不属于开采地下资源及考古发掘项目。</w:t>
                  </w:r>
                </w:p>
              </w:tc>
              <w:tc>
                <w:tcPr>
                  <w:tcW w:w="429" w:type="pct"/>
                  <w:noWrap w:val="0"/>
                  <w:vAlign w:val="center"/>
                </w:tcPr>
                <w:p w14:paraId="574905A6">
                  <w:pPr>
                    <w:autoSpaceDE w:val="0"/>
                    <w:autoSpaceDN w:val="0"/>
                    <w:spacing w:line="240" w:lineRule="auto"/>
                    <w:ind w:firstLine="0" w:firstLineChars="0"/>
                    <w:jc w:val="center"/>
                    <w:rPr>
                      <w:color w:val="auto"/>
                      <w:sz w:val="21"/>
                      <w:szCs w:val="21"/>
                    </w:rPr>
                  </w:pPr>
                </w:p>
              </w:tc>
            </w:tr>
            <w:tr w14:paraId="190E6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6" w:hRule="atLeast"/>
                <w:jc w:val="center"/>
              </w:trPr>
              <w:tc>
                <w:tcPr>
                  <w:tcW w:w="2854" w:type="pct"/>
                  <w:noWrap w:val="0"/>
                  <w:vAlign w:val="center"/>
                </w:tcPr>
                <w:p w14:paraId="162C8C8A">
                  <w:pPr>
                    <w:spacing w:line="240" w:lineRule="auto"/>
                    <w:ind w:firstLine="0" w:firstLineChars="0"/>
                    <w:jc w:val="center"/>
                    <w:rPr>
                      <w:color w:val="auto"/>
                      <w:sz w:val="21"/>
                      <w:szCs w:val="21"/>
                    </w:rPr>
                  </w:pPr>
                  <w:r>
                    <w:rPr>
                      <w:color w:val="auto"/>
                      <w:sz w:val="21"/>
                      <w:szCs w:val="21"/>
                    </w:rPr>
                    <w:t>第二十六条</w:t>
                  </w:r>
                </w:p>
                <w:p w14:paraId="453D8FCE">
                  <w:pPr>
                    <w:spacing w:line="240" w:lineRule="auto"/>
                    <w:ind w:firstLine="0" w:firstLineChars="0"/>
                    <w:jc w:val="center"/>
                    <w:rPr>
                      <w:color w:val="auto"/>
                      <w:sz w:val="21"/>
                      <w:szCs w:val="21"/>
                    </w:rPr>
                  </w:pPr>
                  <w:r>
                    <w:rPr>
                      <w:color w:val="auto"/>
                      <w:sz w:val="21"/>
                      <w:szCs w:val="21"/>
                    </w:rPr>
                    <w:t>根据堤防的重要程度、堤基土质条件等，河道主管机关报经县级以上人民政府批准，可以在河道管理范围的相连地域划定堤防安全保护区。在堤防安全保护区内，禁止进行打井、钻探、爆破、挖筑鱼塘、采石、取土等危害堤防安全的活动。</w:t>
                  </w:r>
                </w:p>
              </w:tc>
              <w:tc>
                <w:tcPr>
                  <w:tcW w:w="1717" w:type="pct"/>
                  <w:noWrap w:val="0"/>
                  <w:vAlign w:val="center"/>
                </w:tcPr>
                <w:p w14:paraId="65F50B60">
                  <w:pPr>
                    <w:autoSpaceDE w:val="0"/>
                    <w:autoSpaceDN w:val="0"/>
                    <w:spacing w:line="240" w:lineRule="auto"/>
                    <w:ind w:firstLine="0" w:firstLineChars="0"/>
                    <w:jc w:val="both"/>
                    <w:rPr>
                      <w:color w:val="auto"/>
                      <w:sz w:val="21"/>
                      <w:szCs w:val="21"/>
                    </w:rPr>
                  </w:pPr>
                  <w:r>
                    <w:rPr>
                      <w:color w:val="auto"/>
                      <w:sz w:val="21"/>
                      <w:szCs w:val="21"/>
                    </w:rPr>
                    <w:t>本项目不进行打井、钻探、爆破、挖筑鱼塘、采石、取土等危害堤防安全的活动。</w:t>
                  </w:r>
                </w:p>
              </w:tc>
              <w:tc>
                <w:tcPr>
                  <w:tcW w:w="429" w:type="pct"/>
                  <w:noWrap w:val="0"/>
                  <w:vAlign w:val="center"/>
                </w:tcPr>
                <w:p w14:paraId="10526088">
                  <w:pPr>
                    <w:autoSpaceDE w:val="0"/>
                    <w:autoSpaceDN w:val="0"/>
                    <w:spacing w:line="240" w:lineRule="auto"/>
                    <w:ind w:firstLine="0" w:firstLineChars="0"/>
                    <w:jc w:val="center"/>
                    <w:rPr>
                      <w:color w:val="auto"/>
                      <w:sz w:val="21"/>
                      <w:szCs w:val="21"/>
                    </w:rPr>
                  </w:pPr>
                  <w:r>
                    <w:rPr>
                      <w:color w:val="auto"/>
                      <w:sz w:val="21"/>
                      <w:szCs w:val="21"/>
                    </w:rPr>
                    <w:t>符合</w:t>
                  </w:r>
                </w:p>
              </w:tc>
            </w:tr>
            <w:tr w14:paraId="52D59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6" w:hRule="atLeast"/>
                <w:jc w:val="center"/>
              </w:trPr>
              <w:tc>
                <w:tcPr>
                  <w:tcW w:w="2854" w:type="pct"/>
                  <w:noWrap w:val="0"/>
                  <w:vAlign w:val="center"/>
                </w:tcPr>
                <w:p w14:paraId="61AD5C57">
                  <w:pPr>
                    <w:spacing w:line="240" w:lineRule="auto"/>
                    <w:ind w:firstLine="0" w:firstLineChars="0"/>
                    <w:jc w:val="center"/>
                    <w:rPr>
                      <w:color w:val="auto"/>
                      <w:sz w:val="21"/>
                      <w:szCs w:val="21"/>
                    </w:rPr>
                  </w:pPr>
                  <w:r>
                    <w:rPr>
                      <w:color w:val="auto"/>
                      <w:sz w:val="21"/>
                      <w:szCs w:val="21"/>
                    </w:rPr>
                    <w:t>第三十二条</w:t>
                  </w:r>
                </w:p>
                <w:p w14:paraId="312E5558">
                  <w:pPr>
                    <w:spacing w:line="240" w:lineRule="auto"/>
                    <w:ind w:firstLine="0" w:firstLineChars="0"/>
                    <w:jc w:val="center"/>
                    <w:rPr>
                      <w:color w:val="auto"/>
                      <w:sz w:val="21"/>
                      <w:szCs w:val="21"/>
                    </w:rPr>
                  </w:pPr>
                  <w:r>
                    <w:rPr>
                      <w:color w:val="auto"/>
                      <w:sz w:val="21"/>
                      <w:szCs w:val="21"/>
                    </w:rPr>
                    <w:t>山区河道有山体滑坡、崩岸、泥石流等自然灾害的河段，河道主管机关应当会同地质、交通等部门加强监测。在上述河段，禁止从事开山采石、采矿、开荒等危及山体稳定的活动。</w:t>
                  </w:r>
                </w:p>
              </w:tc>
              <w:tc>
                <w:tcPr>
                  <w:tcW w:w="1717" w:type="pct"/>
                  <w:noWrap w:val="0"/>
                  <w:vAlign w:val="center"/>
                </w:tcPr>
                <w:p w14:paraId="4DF9ECCB">
                  <w:pPr>
                    <w:autoSpaceDE w:val="0"/>
                    <w:autoSpaceDN w:val="0"/>
                    <w:spacing w:line="240" w:lineRule="auto"/>
                    <w:ind w:firstLine="0" w:firstLineChars="0"/>
                    <w:jc w:val="both"/>
                    <w:rPr>
                      <w:color w:val="auto"/>
                      <w:sz w:val="21"/>
                      <w:szCs w:val="21"/>
                    </w:rPr>
                  </w:pPr>
                  <w:r>
                    <w:rPr>
                      <w:color w:val="auto"/>
                      <w:sz w:val="21"/>
                      <w:szCs w:val="21"/>
                    </w:rPr>
                    <w:t>本项目不进行开山采石、采矿、开荒等危及山体稳定的活动。</w:t>
                  </w:r>
                </w:p>
              </w:tc>
              <w:tc>
                <w:tcPr>
                  <w:tcW w:w="429" w:type="pct"/>
                  <w:noWrap w:val="0"/>
                  <w:vAlign w:val="center"/>
                </w:tcPr>
                <w:p w14:paraId="05DFF5B8">
                  <w:pPr>
                    <w:autoSpaceDE w:val="0"/>
                    <w:autoSpaceDN w:val="0"/>
                    <w:spacing w:line="240" w:lineRule="auto"/>
                    <w:ind w:firstLine="0" w:firstLineChars="0"/>
                    <w:jc w:val="center"/>
                    <w:rPr>
                      <w:color w:val="auto"/>
                      <w:sz w:val="21"/>
                      <w:szCs w:val="21"/>
                    </w:rPr>
                  </w:pPr>
                  <w:r>
                    <w:rPr>
                      <w:color w:val="auto"/>
                      <w:sz w:val="21"/>
                      <w:szCs w:val="21"/>
                    </w:rPr>
                    <w:t>符合</w:t>
                  </w:r>
                </w:p>
              </w:tc>
            </w:tr>
          </w:tbl>
          <w:p w14:paraId="7C799C4F">
            <w:pPr>
              <w:ind w:firstLine="482"/>
              <w:rPr>
                <w:b/>
                <w:bCs/>
                <w:color w:val="auto"/>
              </w:rPr>
            </w:pPr>
            <w:r>
              <w:rPr>
                <w:b/>
                <w:bCs/>
                <w:color w:val="auto"/>
              </w:rPr>
              <w:t>1.</w:t>
            </w:r>
            <w:r>
              <w:rPr>
                <w:rFonts w:hint="eastAsia"/>
                <w:b/>
                <w:bCs/>
                <w:color w:val="auto"/>
              </w:rPr>
              <w:t>1.</w:t>
            </w:r>
            <w:r>
              <w:rPr>
                <w:rFonts w:hint="eastAsia"/>
                <w:b/>
                <w:bCs/>
                <w:color w:val="auto"/>
                <w:lang w:val="en-US" w:eastAsia="zh-CN"/>
              </w:rPr>
              <w:t>10</w:t>
            </w:r>
            <w:r>
              <w:rPr>
                <w:b/>
                <w:bCs/>
                <w:color w:val="auto"/>
              </w:rPr>
              <w:t>与《云南省“十四五”生态环境保护规划》的符合性分析</w:t>
            </w:r>
          </w:p>
          <w:p w14:paraId="025046B3">
            <w:pPr>
              <w:ind w:firstLine="480"/>
              <w:rPr>
                <w:color w:val="auto"/>
              </w:rPr>
            </w:pPr>
            <w:r>
              <w:rPr>
                <w:color w:val="auto"/>
              </w:rPr>
              <w:t>2022年4月8日云南省生态环境厅印发了《云南省“十四五”生态环境保护规划》（云环发〔2022〕13号），规划指出，“十四五”期间深化“三水”统筹，全面改善水生态环境质量，建立地上地下、水岸统筹的水生态环境治理制度，以水生态为核心，统筹水资源利用、水生态保护和水环境治理，污染减排与生态扩容两手发力，“保好水”“治差水”，持续推进水污染防治攻坚行动，大力推进“美丽河湖”保护与建设，努力实现</w:t>
            </w:r>
            <w:r>
              <w:rPr>
                <w:rFonts w:hint="eastAsia"/>
                <w:color w:val="auto"/>
                <w:lang w:eastAsia="zh-CN"/>
              </w:rPr>
              <w:t>“</w:t>
            </w:r>
            <w:r>
              <w:rPr>
                <w:rFonts w:hint="eastAsia"/>
                <w:color w:val="auto"/>
              </w:rPr>
              <w:t>牛栏江（寻甸段）水环境保护规划（2011~2030）</w:t>
            </w:r>
            <w:r>
              <w:rPr>
                <w:rFonts w:hint="eastAsia"/>
                <w:color w:val="auto"/>
                <w:lang w:eastAsia="zh-CN"/>
              </w:rPr>
              <w:t>”</w:t>
            </w:r>
            <w:r>
              <w:rPr>
                <w:color w:val="auto"/>
              </w:rPr>
              <w:t>。与本项目有关的规划内容摘录如下表。</w:t>
            </w:r>
          </w:p>
          <w:p w14:paraId="336C4291">
            <w:pPr>
              <w:pStyle w:val="29"/>
              <w:spacing w:before="24" w:after="24"/>
              <w:rPr>
                <w:color w:val="auto"/>
                <w:szCs w:val="21"/>
              </w:rPr>
            </w:pPr>
            <w:r>
              <w:rPr>
                <w:color w:val="auto"/>
              </w:rPr>
              <w:t>表</w:t>
            </w:r>
            <w:r>
              <w:rPr>
                <w:rFonts w:hint="eastAsia"/>
                <w:color w:val="auto"/>
                <w:lang w:val="en-US" w:eastAsia="zh-CN"/>
              </w:rPr>
              <w:t>1-8</w:t>
            </w:r>
            <w:r>
              <w:rPr>
                <w:color w:val="auto"/>
              </w:rPr>
              <w:t xml:space="preserve">  项目与云南省“十四五”生态环境保护规划对照分析</w:t>
            </w:r>
          </w:p>
          <w:tbl>
            <w:tblPr>
              <w:tblStyle w:val="20"/>
              <w:tblW w:w="495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618"/>
              <w:gridCol w:w="2778"/>
              <w:gridCol w:w="695"/>
            </w:tblGrid>
            <w:tr w14:paraId="143EF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9" w:hRule="atLeast"/>
                <w:tblHeader/>
                <w:jc w:val="center"/>
              </w:trPr>
              <w:tc>
                <w:tcPr>
                  <w:tcW w:w="2854" w:type="pct"/>
                  <w:noWrap w:val="0"/>
                  <w:vAlign w:val="center"/>
                </w:tcPr>
                <w:p w14:paraId="71E28E2A">
                  <w:pPr>
                    <w:autoSpaceDE w:val="0"/>
                    <w:autoSpaceDN w:val="0"/>
                    <w:spacing w:line="240" w:lineRule="auto"/>
                    <w:ind w:firstLine="0" w:firstLineChars="0"/>
                    <w:jc w:val="center"/>
                    <w:rPr>
                      <w:b/>
                      <w:bCs/>
                      <w:color w:val="auto"/>
                      <w:sz w:val="21"/>
                      <w:szCs w:val="21"/>
                    </w:rPr>
                  </w:pPr>
                  <w:r>
                    <w:rPr>
                      <w:b/>
                      <w:bCs/>
                      <w:color w:val="auto"/>
                      <w:sz w:val="21"/>
                      <w:szCs w:val="21"/>
                    </w:rPr>
                    <w:t>云南省“十四五”生态环境保护规划相关要求</w:t>
                  </w:r>
                </w:p>
              </w:tc>
              <w:tc>
                <w:tcPr>
                  <w:tcW w:w="1717" w:type="pct"/>
                  <w:noWrap w:val="0"/>
                  <w:vAlign w:val="center"/>
                </w:tcPr>
                <w:p w14:paraId="06438B56">
                  <w:pPr>
                    <w:autoSpaceDE w:val="0"/>
                    <w:autoSpaceDN w:val="0"/>
                    <w:spacing w:line="240" w:lineRule="auto"/>
                    <w:ind w:firstLine="0" w:firstLineChars="0"/>
                    <w:jc w:val="center"/>
                    <w:rPr>
                      <w:b/>
                      <w:bCs/>
                      <w:color w:val="auto"/>
                      <w:sz w:val="21"/>
                      <w:szCs w:val="21"/>
                      <w:lang w:eastAsia="en-US"/>
                    </w:rPr>
                  </w:pPr>
                  <w:r>
                    <w:rPr>
                      <w:b/>
                      <w:bCs/>
                      <w:color w:val="auto"/>
                      <w:sz w:val="21"/>
                      <w:szCs w:val="21"/>
                      <w:lang w:eastAsia="en-US"/>
                    </w:rPr>
                    <w:t>本项目实际建设情况</w:t>
                  </w:r>
                </w:p>
              </w:tc>
              <w:tc>
                <w:tcPr>
                  <w:tcW w:w="429" w:type="pct"/>
                  <w:noWrap w:val="0"/>
                  <w:vAlign w:val="center"/>
                </w:tcPr>
                <w:p w14:paraId="597A9877">
                  <w:pPr>
                    <w:autoSpaceDE w:val="0"/>
                    <w:autoSpaceDN w:val="0"/>
                    <w:spacing w:line="240" w:lineRule="auto"/>
                    <w:ind w:firstLine="0" w:firstLineChars="0"/>
                    <w:jc w:val="center"/>
                    <w:rPr>
                      <w:b/>
                      <w:bCs/>
                      <w:color w:val="auto"/>
                      <w:sz w:val="21"/>
                      <w:szCs w:val="21"/>
                      <w:lang w:eastAsia="en-US"/>
                    </w:rPr>
                  </w:pPr>
                  <w:r>
                    <w:rPr>
                      <w:b/>
                      <w:bCs/>
                      <w:color w:val="auto"/>
                      <w:sz w:val="21"/>
                      <w:szCs w:val="21"/>
                    </w:rPr>
                    <w:t>符合性</w:t>
                  </w:r>
                </w:p>
              </w:tc>
            </w:tr>
            <w:tr w14:paraId="57062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6" w:hRule="atLeast"/>
                <w:jc w:val="center"/>
              </w:trPr>
              <w:tc>
                <w:tcPr>
                  <w:tcW w:w="2854" w:type="pct"/>
                  <w:noWrap w:val="0"/>
                  <w:vAlign w:val="center"/>
                </w:tcPr>
                <w:p w14:paraId="6A3BEA8B">
                  <w:pPr>
                    <w:spacing w:line="240" w:lineRule="auto"/>
                    <w:ind w:firstLine="0" w:firstLineChars="0"/>
                    <w:jc w:val="center"/>
                    <w:rPr>
                      <w:color w:val="auto"/>
                      <w:sz w:val="21"/>
                      <w:szCs w:val="21"/>
                    </w:rPr>
                  </w:pPr>
                  <w:r>
                    <w:rPr>
                      <w:color w:val="auto"/>
                      <w:sz w:val="21"/>
                      <w:szCs w:val="21"/>
                    </w:rPr>
                    <w:t>强化“三水”统筹管理，强化用水定额管理，实施差别化管控措施，加快落实主要领域用水指标考核。增加生态用水保障，促进水生态修复，确保水环境质量只能更好、不能变坏。</w:t>
                  </w:r>
                  <w:r>
                    <w:rPr>
                      <w:rFonts w:hint="eastAsia"/>
                      <w:color w:val="auto"/>
                      <w:sz w:val="21"/>
                      <w:szCs w:val="21"/>
                      <w:lang w:eastAsia="zh-CN"/>
                    </w:rPr>
                    <w:t>持续削减</w:t>
                  </w:r>
                  <w:r>
                    <w:rPr>
                      <w:color w:val="auto"/>
                      <w:sz w:val="21"/>
                      <w:szCs w:val="21"/>
                    </w:rPr>
                    <w:t>化学需氧量和氨氮等主要水污染物排放总量，根据水生态环境保护需求，对重点流域设置总磷、总氮等总量控制因子，因地制宜加强总磷、总氮排放控制。</w:t>
                  </w:r>
                </w:p>
              </w:tc>
              <w:tc>
                <w:tcPr>
                  <w:tcW w:w="1717" w:type="pct"/>
                  <w:noWrap w:val="0"/>
                  <w:vAlign w:val="center"/>
                </w:tcPr>
                <w:p w14:paraId="4E93C4F1">
                  <w:pPr>
                    <w:autoSpaceDE w:val="0"/>
                    <w:autoSpaceDN w:val="0"/>
                    <w:spacing w:line="240" w:lineRule="auto"/>
                    <w:ind w:firstLine="0" w:firstLineChars="0"/>
                    <w:jc w:val="center"/>
                    <w:rPr>
                      <w:color w:val="auto"/>
                      <w:sz w:val="21"/>
                      <w:szCs w:val="21"/>
                    </w:rPr>
                  </w:pPr>
                  <w:r>
                    <w:rPr>
                      <w:color w:val="auto"/>
                      <w:sz w:val="21"/>
                      <w:szCs w:val="21"/>
                    </w:rPr>
                    <w:t>项目为</w:t>
                  </w:r>
                  <w:r>
                    <w:rPr>
                      <w:rFonts w:hint="eastAsia"/>
                      <w:color w:val="auto"/>
                      <w:sz w:val="21"/>
                      <w:szCs w:val="21"/>
                    </w:rPr>
                    <w:t>铁路轨枕</w:t>
                  </w:r>
                  <w:r>
                    <w:rPr>
                      <w:color w:val="auto"/>
                      <w:sz w:val="21"/>
                      <w:szCs w:val="21"/>
                    </w:rPr>
                    <w:t>生产项目，废水</w:t>
                  </w:r>
                  <w:r>
                    <w:rPr>
                      <w:rFonts w:hint="eastAsia"/>
                      <w:color w:val="auto"/>
                      <w:sz w:val="21"/>
                      <w:szCs w:val="21"/>
                      <w:lang w:val="en-US" w:eastAsia="zh-CN"/>
                    </w:rPr>
                    <w:t>均</w:t>
                  </w:r>
                  <w:r>
                    <w:rPr>
                      <w:color w:val="auto"/>
                      <w:sz w:val="21"/>
                      <w:szCs w:val="21"/>
                    </w:rPr>
                    <w:t>不外排。对生态用水影响较小。</w:t>
                  </w:r>
                </w:p>
              </w:tc>
              <w:tc>
                <w:tcPr>
                  <w:tcW w:w="429" w:type="pct"/>
                  <w:noWrap w:val="0"/>
                  <w:vAlign w:val="center"/>
                </w:tcPr>
                <w:p w14:paraId="76A42F9F">
                  <w:pPr>
                    <w:autoSpaceDE w:val="0"/>
                    <w:autoSpaceDN w:val="0"/>
                    <w:spacing w:line="240" w:lineRule="auto"/>
                    <w:ind w:firstLine="0" w:firstLineChars="0"/>
                    <w:jc w:val="center"/>
                    <w:rPr>
                      <w:color w:val="auto"/>
                      <w:sz w:val="21"/>
                      <w:szCs w:val="21"/>
                    </w:rPr>
                  </w:pPr>
                  <w:r>
                    <w:rPr>
                      <w:color w:val="auto"/>
                      <w:sz w:val="21"/>
                      <w:szCs w:val="21"/>
                    </w:rPr>
                    <w:t>符合</w:t>
                  </w:r>
                </w:p>
              </w:tc>
            </w:tr>
            <w:tr w14:paraId="42D2C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6" w:hRule="atLeast"/>
                <w:jc w:val="center"/>
              </w:trPr>
              <w:tc>
                <w:tcPr>
                  <w:tcW w:w="2854" w:type="pct"/>
                  <w:noWrap w:val="0"/>
                  <w:vAlign w:val="center"/>
                </w:tcPr>
                <w:p w14:paraId="7F0423C5">
                  <w:pPr>
                    <w:spacing w:line="240" w:lineRule="auto"/>
                    <w:ind w:firstLine="0" w:firstLineChars="0"/>
                    <w:jc w:val="center"/>
                    <w:rPr>
                      <w:color w:val="auto"/>
                      <w:sz w:val="21"/>
                      <w:szCs w:val="21"/>
                    </w:rPr>
                  </w:pPr>
                  <w:r>
                    <w:rPr>
                      <w:color w:val="auto"/>
                      <w:sz w:val="21"/>
                      <w:szCs w:val="21"/>
                    </w:rPr>
                    <w:t>加强湿地恢复与建设。对长江流域、九大高原湖泊周边的湿地公园、自然保护区等重点区域，开展天然湿地恢复与建设。根据水生态环境质量改善需要，在污水处理厂下游、支流入干流口、河湖入口、重点点源排放口等关键节点建设人工湿地，提升水质，确保重要河湖水生态安全。</w:t>
                  </w:r>
                </w:p>
              </w:tc>
              <w:tc>
                <w:tcPr>
                  <w:tcW w:w="1717" w:type="pct"/>
                  <w:noWrap w:val="0"/>
                  <w:vAlign w:val="center"/>
                </w:tcPr>
                <w:p w14:paraId="2C1F8306">
                  <w:pPr>
                    <w:autoSpaceDE w:val="0"/>
                    <w:autoSpaceDN w:val="0"/>
                    <w:spacing w:line="240" w:lineRule="auto"/>
                    <w:ind w:firstLine="0" w:firstLineChars="0"/>
                    <w:jc w:val="center"/>
                    <w:rPr>
                      <w:color w:val="auto"/>
                      <w:sz w:val="21"/>
                      <w:szCs w:val="21"/>
                    </w:rPr>
                  </w:pPr>
                  <w:r>
                    <w:rPr>
                      <w:color w:val="auto"/>
                      <w:sz w:val="21"/>
                      <w:szCs w:val="21"/>
                    </w:rPr>
                    <w:t>项目区域不涉及湿地。</w:t>
                  </w:r>
                </w:p>
              </w:tc>
              <w:tc>
                <w:tcPr>
                  <w:tcW w:w="429" w:type="pct"/>
                  <w:noWrap w:val="0"/>
                  <w:vAlign w:val="center"/>
                </w:tcPr>
                <w:p w14:paraId="0463B51E">
                  <w:pPr>
                    <w:autoSpaceDE w:val="0"/>
                    <w:autoSpaceDN w:val="0"/>
                    <w:spacing w:line="240" w:lineRule="auto"/>
                    <w:ind w:firstLine="0" w:firstLineChars="0"/>
                    <w:jc w:val="center"/>
                    <w:rPr>
                      <w:color w:val="auto"/>
                      <w:sz w:val="21"/>
                      <w:szCs w:val="21"/>
                    </w:rPr>
                  </w:pPr>
                  <w:r>
                    <w:rPr>
                      <w:color w:val="auto"/>
                      <w:sz w:val="21"/>
                      <w:szCs w:val="21"/>
                    </w:rPr>
                    <w:t>符合</w:t>
                  </w:r>
                </w:p>
              </w:tc>
            </w:tr>
            <w:tr w14:paraId="6CFFC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6" w:hRule="atLeast"/>
                <w:jc w:val="center"/>
              </w:trPr>
              <w:tc>
                <w:tcPr>
                  <w:tcW w:w="2854" w:type="pct"/>
                  <w:noWrap w:val="0"/>
                  <w:vAlign w:val="center"/>
                </w:tcPr>
                <w:p w14:paraId="475C8F59">
                  <w:pPr>
                    <w:spacing w:line="240" w:lineRule="auto"/>
                    <w:ind w:firstLine="0" w:firstLineChars="0"/>
                    <w:jc w:val="center"/>
                    <w:rPr>
                      <w:color w:val="auto"/>
                      <w:sz w:val="21"/>
                      <w:szCs w:val="21"/>
                    </w:rPr>
                  </w:pPr>
                  <w:r>
                    <w:rPr>
                      <w:color w:val="auto"/>
                      <w:sz w:val="21"/>
                      <w:szCs w:val="21"/>
                    </w:rPr>
                    <w:t>工业污染源防治工程。推进城市建成区内现有钢铁、有色金属、造纸、印染、原料药制造、化工等污染较重的企业有序搬迁改造或依法关闭。实施重点流域重点行业氮磷排放总量控制，持续开展畜牧业、农副食品加工业、食品制造业、纺织工业、造纸业等其他氮磷排放重点行业企业超标整治工作。</w:t>
                  </w:r>
                </w:p>
              </w:tc>
              <w:tc>
                <w:tcPr>
                  <w:tcW w:w="1717" w:type="pct"/>
                  <w:noWrap w:val="0"/>
                  <w:vAlign w:val="center"/>
                </w:tcPr>
                <w:p w14:paraId="789485E1">
                  <w:pPr>
                    <w:autoSpaceDE w:val="0"/>
                    <w:autoSpaceDN w:val="0"/>
                    <w:spacing w:line="240" w:lineRule="auto"/>
                    <w:ind w:firstLine="0" w:firstLineChars="0"/>
                    <w:jc w:val="center"/>
                    <w:rPr>
                      <w:color w:val="auto"/>
                      <w:sz w:val="21"/>
                      <w:szCs w:val="21"/>
                    </w:rPr>
                  </w:pPr>
                  <w:r>
                    <w:rPr>
                      <w:color w:val="auto"/>
                      <w:sz w:val="21"/>
                      <w:szCs w:val="21"/>
                    </w:rPr>
                    <w:t>本项目属于</w:t>
                  </w:r>
                  <w:r>
                    <w:rPr>
                      <w:rFonts w:hint="eastAsia"/>
                      <w:color w:val="auto"/>
                      <w:sz w:val="21"/>
                      <w:szCs w:val="21"/>
                    </w:rPr>
                    <w:t>铁路轨枕</w:t>
                  </w:r>
                  <w:r>
                    <w:rPr>
                      <w:color w:val="auto"/>
                      <w:sz w:val="21"/>
                      <w:szCs w:val="21"/>
                    </w:rPr>
                    <w:t>生产项目，废水不外排。</w:t>
                  </w:r>
                </w:p>
              </w:tc>
              <w:tc>
                <w:tcPr>
                  <w:tcW w:w="429" w:type="pct"/>
                  <w:noWrap w:val="0"/>
                  <w:vAlign w:val="center"/>
                </w:tcPr>
                <w:p w14:paraId="798D613A">
                  <w:pPr>
                    <w:autoSpaceDE w:val="0"/>
                    <w:autoSpaceDN w:val="0"/>
                    <w:spacing w:line="240" w:lineRule="auto"/>
                    <w:ind w:firstLine="0" w:firstLineChars="0"/>
                    <w:jc w:val="center"/>
                    <w:rPr>
                      <w:color w:val="auto"/>
                      <w:sz w:val="21"/>
                      <w:szCs w:val="21"/>
                    </w:rPr>
                  </w:pPr>
                  <w:r>
                    <w:rPr>
                      <w:rFonts w:hint="eastAsia"/>
                      <w:color w:val="auto"/>
                      <w:sz w:val="21"/>
                      <w:szCs w:val="21"/>
                    </w:rPr>
                    <w:t>符合</w:t>
                  </w:r>
                </w:p>
              </w:tc>
            </w:tr>
          </w:tbl>
          <w:p w14:paraId="27DBD10C">
            <w:pPr>
              <w:ind w:firstLine="480"/>
              <w:rPr>
                <w:color w:val="auto"/>
                <w:kern w:val="0"/>
                <w:lang w:bidi="ar"/>
              </w:rPr>
            </w:pPr>
            <w:r>
              <w:rPr>
                <w:color w:val="auto"/>
                <w:kern w:val="0"/>
                <w:lang w:bidi="ar"/>
              </w:rPr>
              <w:t>根据对照分析，项目符合《云南省“十四五”生态环境保护规划》。</w:t>
            </w:r>
          </w:p>
          <w:p w14:paraId="35436EC5">
            <w:pPr>
              <w:pStyle w:val="31"/>
              <w:ind w:firstLine="482"/>
              <w:rPr>
                <w:b/>
                <w:bCs/>
                <w:color w:val="auto"/>
                <w:szCs w:val="24"/>
                <w:shd w:val="clear" w:color="auto" w:fill="FFFFFF"/>
              </w:rPr>
            </w:pPr>
            <w:r>
              <w:rPr>
                <w:b/>
                <w:bCs/>
                <w:color w:val="auto"/>
                <w:szCs w:val="24"/>
                <w:lang w:bidi="ar"/>
              </w:rPr>
              <w:t>1.1.</w:t>
            </w:r>
            <w:r>
              <w:rPr>
                <w:rFonts w:hint="eastAsia"/>
                <w:b/>
                <w:bCs/>
                <w:color w:val="auto"/>
                <w:szCs w:val="24"/>
                <w:lang w:val="en-US" w:eastAsia="zh-CN" w:bidi="ar"/>
              </w:rPr>
              <w:t>11</w:t>
            </w:r>
            <w:r>
              <w:rPr>
                <w:b/>
                <w:bCs/>
                <w:color w:val="auto"/>
                <w:szCs w:val="24"/>
                <w:lang w:bidi="ar"/>
              </w:rPr>
              <w:t>与</w:t>
            </w:r>
            <w:r>
              <w:rPr>
                <w:b/>
                <w:bCs/>
                <w:color w:val="auto"/>
                <w:szCs w:val="24"/>
                <w:shd w:val="clear" w:color="auto" w:fill="FFFFFF"/>
              </w:rPr>
              <w:t>《昆明市河道管理条例》的符合性分析</w:t>
            </w:r>
          </w:p>
          <w:p w14:paraId="12F236BD">
            <w:pPr>
              <w:ind w:firstLine="480"/>
              <w:rPr>
                <w:color w:val="auto"/>
                <w:kern w:val="0"/>
                <w:lang w:bidi="ar"/>
              </w:rPr>
            </w:pPr>
            <w:r>
              <w:rPr>
                <w:color w:val="auto"/>
                <w:kern w:val="0"/>
                <w:lang w:bidi="ar"/>
              </w:rPr>
              <w:t>《昆明市河道管理条例》于2010年2月24日昆明市第十二届人民代表大会常务委员会第三十一次会议审议通过，并于2010年3月26日云南省第十一届人民代表大会常务委员会第十六次会议批准。现予公布，自2010年5月1日起施行。</w:t>
            </w:r>
          </w:p>
          <w:p w14:paraId="041D40E8">
            <w:pPr>
              <w:pStyle w:val="18"/>
              <w:ind w:firstLine="480" w:firstLineChars="200"/>
              <w:rPr>
                <w:color w:val="auto"/>
                <w:sz w:val="24"/>
                <w:szCs w:val="24"/>
                <w:lang w:bidi="ar"/>
              </w:rPr>
            </w:pPr>
            <w:r>
              <w:rPr>
                <w:rFonts w:hint="eastAsia"/>
                <w:color w:val="auto"/>
                <w:sz w:val="24"/>
                <w:szCs w:val="24"/>
                <w:lang w:bidi="ar"/>
              </w:rPr>
              <w:t>项目与</w:t>
            </w:r>
            <w:r>
              <w:rPr>
                <w:color w:val="auto"/>
                <w:sz w:val="24"/>
                <w:szCs w:val="24"/>
                <w:lang w:bidi="ar"/>
              </w:rPr>
              <w:t>《昆明市河道管理条例》</w:t>
            </w:r>
            <w:r>
              <w:rPr>
                <w:rFonts w:hint="eastAsia"/>
                <w:color w:val="auto"/>
                <w:sz w:val="24"/>
                <w:szCs w:val="24"/>
                <w:lang w:bidi="ar"/>
              </w:rPr>
              <w:t>的符合性分析见下表：</w:t>
            </w:r>
          </w:p>
          <w:p w14:paraId="296A5E85">
            <w:pPr>
              <w:pStyle w:val="18"/>
              <w:snapToGrid/>
              <w:spacing w:before="0" w:after="0"/>
              <w:ind w:right="0" w:firstLine="0" w:firstLineChars="0"/>
              <w:jc w:val="center"/>
              <w:rPr>
                <w:b/>
                <w:bCs/>
                <w:color w:val="auto"/>
                <w:szCs w:val="21"/>
              </w:rPr>
            </w:pPr>
            <w:r>
              <w:rPr>
                <w:rFonts w:hint="eastAsia"/>
                <w:b/>
                <w:bCs/>
                <w:color w:val="auto"/>
                <w:szCs w:val="21"/>
                <w:lang w:bidi="ar"/>
              </w:rPr>
              <w:t>表</w:t>
            </w:r>
            <w:r>
              <w:rPr>
                <w:rFonts w:hint="eastAsia"/>
                <w:b/>
                <w:bCs/>
                <w:color w:val="auto"/>
                <w:szCs w:val="21"/>
                <w:lang w:val="en-US" w:eastAsia="zh-CN" w:bidi="ar"/>
              </w:rPr>
              <w:t>1-9</w:t>
            </w:r>
            <w:r>
              <w:rPr>
                <w:b/>
                <w:bCs/>
                <w:color w:val="auto"/>
                <w:szCs w:val="21"/>
                <w:lang w:bidi="ar"/>
              </w:rPr>
              <w:t xml:space="preserve">  </w:t>
            </w:r>
            <w:r>
              <w:rPr>
                <w:b/>
                <w:bCs/>
                <w:color w:val="auto"/>
                <w:szCs w:val="21"/>
              </w:rPr>
              <w:t>项目与</w:t>
            </w:r>
            <w:r>
              <w:rPr>
                <w:rFonts w:hint="eastAsia"/>
                <w:b/>
                <w:bCs/>
                <w:color w:val="auto"/>
                <w:szCs w:val="21"/>
              </w:rPr>
              <w:t>《昆明市河道管理条例》</w:t>
            </w:r>
            <w:r>
              <w:rPr>
                <w:b/>
                <w:bCs/>
                <w:color w:val="auto"/>
                <w:szCs w:val="21"/>
              </w:rPr>
              <w:t>对照分析</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
              <w:gridCol w:w="3207"/>
              <w:gridCol w:w="3026"/>
              <w:gridCol w:w="1055"/>
            </w:tblGrid>
            <w:tr w14:paraId="3B6A1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pct"/>
                  <w:noWrap w:val="0"/>
                  <w:vAlign w:val="center"/>
                </w:tcPr>
                <w:p w14:paraId="51DE89D4">
                  <w:pPr>
                    <w:pStyle w:val="18"/>
                    <w:snapToGrid/>
                    <w:spacing w:before="0" w:after="0"/>
                    <w:ind w:right="0" w:firstLine="0" w:firstLineChars="0"/>
                    <w:jc w:val="center"/>
                    <w:rPr>
                      <w:rFonts w:hint="eastAsia"/>
                      <w:color w:val="auto"/>
                      <w:szCs w:val="21"/>
                      <w:lang w:bidi="ar"/>
                    </w:rPr>
                  </w:pPr>
                  <w:r>
                    <w:rPr>
                      <w:rFonts w:hint="eastAsia"/>
                      <w:color w:val="auto"/>
                      <w:szCs w:val="21"/>
                      <w:lang w:bidi="ar"/>
                    </w:rPr>
                    <w:t>序号</w:t>
                  </w:r>
                </w:p>
              </w:tc>
              <w:tc>
                <w:tcPr>
                  <w:tcW w:w="1964" w:type="pct"/>
                  <w:noWrap w:val="0"/>
                  <w:vAlign w:val="center"/>
                </w:tcPr>
                <w:p w14:paraId="0331F799">
                  <w:pPr>
                    <w:pStyle w:val="18"/>
                    <w:snapToGrid/>
                    <w:spacing w:before="0" w:after="0"/>
                    <w:ind w:right="0" w:firstLine="0" w:firstLineChars="0"/>
                    <w:jc w:val="center"/>
                    <w:rPr>
                      <w:rFonts w:hint="eastAsia"/>
                      <w:color w:val="auto"/>
                      <w:szCs w:val="21"/>
                      <w:lang w:bidi="ar"/>
                    </w:rPr>
                  </w:pPr>
                  <w:r>
                    <w:rPr>
                      <w:rFonts w:hint="eastAsia"/>
                      <w:color w:val="auto"/>
                      <w:szCs w:val="21"/>
                      <w:lang w:bidi="ar"/>
                    </w:rPr>
                    <w:t>管理条例</w:t>
                  </w:r>
                </w:p>
              </w:tc>
              <w:tc>
                <w:tcPr>
                  <w:tcW w:w="1853" w:type="pct"/>
                  <w:noWrap w:val="0"/>
                  <w:vAlign w:val="center"/>
                </w:tcPr>
                <w:p w14:paraId="7BDB22A3">
                  <w:pPr>
                    <w:pStyle w:val="18"/>
                    <w:snapToGrid/>
                    <w:spacing w:before="0" w:after="0"/>
                    <w:ind w:right="0" w:firstLine="0" w:firstLineChars="0"/>
                    <w:jc w:val="center"/>
                    <w:rPr>
                      <w:rFonts w:hint="eastAsia"/>
                      <w:color w:val="auto"/>
                      <w:szCs w:val="21"/>
                      <w:lang w:bidi="ar"/>
                    </w:rPr>
                  </w:pPr>
                  <w:r>
                    <w:rPr>
                      <w:rFonts w:hint="eastAsia"/>
                      <w:color w:val="auto"/>
                      <w:szCs w:val="21"/>
                      <w:lang w:bidi="ar"/>
                    </w:rPr>
                    <w:t>本项目情况</w:t>
                  </w:r>
                </w:p>
              </w:tc>
              <w:tc>
                <w:tcPr>
                  <w:tcW w:w="646" w:type="pct"/>
                  <w:noWrap w:val="0"/>
                  <w:vAlign w:val="center"/>
                </w:tcPr>
                <w:p w14:paraId="37BDA620">
                  <w:pPr>
                    <w:pStyle w:val="18"/>
                    <w:snapToGrid/>
                    <w:spacing w:before="0" w:after="0"/>
                    <w:ind w:right="0" w:firstLine="0" w:firstLineChars="0"/>
                    <w:jc w:val="center"/>
                    <w:rPr>
                      <w:rFonts w:hint="eastAsia"/>
                      <w:color w:val="auto"/>
                      <w:szCs w:val="21"/>
                      <w:lang w:bidi="ar"/>
                    </w:rPr>
                  </w:pPr>
                  <w:r>
                    <w:rPr>
                      <w:rFonts w:hint="eastAsia"/>
                      <w:color w:val="auto"/>
                      <w:szCs w:val="21"/>
                      <w:lang w:bidi="ar"/>
                    </w:rPr>
                    <w:t>符合性</w:t>
                  </w:r>
                </w:p>
              </w:tc>
            </w:tr>
            <w:tr w14:paraId="70BC5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pct"/>
                  <w:noWrap w:val="0"/>
                  <w:vAlign w:val="center"/>
                </w:tcPr>
                <w:p w14:paraId="6E0D52FF">
                  <w:pPr>
                    <w:pStyle w:val="18"/>
                    <w:snapToGrid/>
                    <w:spacing w:before="0" w:after="0"/>
                    <w:ind w:right="0" w:firstLine="0" w:firstLineChars="0"/>
                    <w:jc w:val="center"/>
                    <w:rPr>
                      <w:rFonts w:hint="eastAsia"/>
                      <w:color w:val="auto"/>
                      <w:szCs w:val="21"/>
                      <w:lang w:bidi="ar"/>
                    </w:rPr>
                  </w:pPr>
                  <w:r>
                    <w:rPr>
                      <w:rFonts w:hint="eastAsia"/>
                      <w:color w:val="auto"/>
                      <w:szCs w:val="21"/>
                      <w:lang w:bidi="ar"/>
                    </w:rPr>
                    <w:t>1</w:t>
                  </w:r>
                </w:p>
              </w:tc>
              <w:tc>
                <w:tcPr>
                  <w:tcW w:w="1964" w:type="pct"/>
                  <w:noWrap w:val="0"/>
                  <w:vAlign w:val="center"/>
                </w:tcPr>
                <w:p w14:paraId="02D42AA3">
                  <w:pPr>
                    <w:pStyle w:val="18"/>
                    <w:snapToGrid/>
                    <w:spacing w:before="0" w:after="0"/>
                    <w:ind w:right="0" w:firstLine="0" w:firstLineChars="0"/>
                    <w:rPr>
                      <w:rFonts w:hint="eastAsia"/>
                      <w:color w:val="auto"/>
                      <w:szCs w:val="21"/>
                      <w:lang w:bidi="ar"/>
                    </w:rPr>
                  </w:pPr>
                  <w:r>
                    <w:rPr>
                      <w:rFonts w:hint="eastAsia"/>
                      <w:color w:val="auto"/>
                      <w:szCs w:val="21"/>
                      <w:lang w:bidi="ar"/>
                    </w:rPr>
                    <w:t>第二十二条 在河道保护范围内禁止下列行为：</w:t>
                  </w:r>
                </w:p>
                <w:p w14:paraId="67A41EE4">
                  <w:pPr>
                    <w:pStyle w:val="18"/>
                    <w:snapToGrid/>
                    <w:spacing w:before="0" w:after="0"/>
                    <w:ind w:right="0" w:firstLine="0" w:firstLineChars="0"/>
                    <w:rPr>
                      <w:rFonts w:hint="eastAsia"/>
                      <w:color w:val="auto"/>
                      <w:szCs w:val="21"/>
                      <w:lang w:bidi="ar"/>
                    </w:rPr>
                  </w:pPr>
                  <w:r>
                    <w:rPr>
                      <w:color w:val="auto"/>
                      <w:szCs w:val="21"/>
                      <w:lang w:bidi="ar"/>
                    </w:rPr>
                    <w:fldChar w:fldCharType="begin"/>
                  </w:r>
                  <w:r>
                    <w:rPr>
                      <w:color w:val="auto"/>
                      <w:szCs w:val="21"/>
                      <w:lang w:bidi="ar"/>
                    </w:rPr>
                    <w:instrText xml:space="preserve"> </w:instrText>
                  </w:r>
                  <w:r>
                    <w:rPr>
                      <w:rFonts w:hint="eastAsia"/>
                      <w:color w:val="auto"/>
                      <w:szCs w:val="21"/>
                      <w:lang w:bidi="ar"/>
                    </w:rPr>
                    <w:instrText xml:space="preserve">= 1 \* GB3</w:instrText>
                  </w:r>
                  <w:r>
                    <w:rPr>
                      <w:color w:val="auto"/>
                      <w:szCs w:val="21"/>
                      <w:lang w:bidi="ar"/>
                    </w:rPr>
                    <w:instrText xml:space="preserve"> </w:instrText>
                  </w:r>
                  <w:r>
                    <w:rPr>
                      <w:color w:val="auto"/>
                      <w:szCs w:val="21"/>
                      <w:lang w:bidi="ar"/>
                    </w:rPr>
                    <w:fldChar w:fldCharType="separate"/>
                  </w:r>
                  <w:r>
                    <w:rPr>
                      <w:rFonts w:hint="eastAsia"/>
                      <w:color w:val="auto"/>
                      <w:szCs w:val="21"/>
                      <w:lang w:bidi="ar"/>
                    </w:rPr>
                    <w:t>①</w:t>
                  </w:r>
                  <w:r>
                    <w:rPr>
                      <w:color w:val="auto"/>
                      <w:szCs w:val="21"/>
                      <w:lang w:bidi="ar"/>
                    </w:rPr>
                    <w:fldChar w:fldCharType="end"/>
                  </w:r>
                  <w:r>
                    <w:rPr>
                      <w:rFonts w:hint="eastAsia"/>
                      <w:color w:val="auto"/>
                      <w:szCs w:val="21"/>
                      <w:lang w:bidi="ar"/>
                    </w:rPr>
                    <w:t>建设排放氮、磷等污染物的工业项目以及污染环境、破坏生态平衡和自然景观的其他项目；</w:t>
                  </w:r>
                </w:p>
                <w:p w14:paraId="1F7B1BD1">
                  <w:pPr>
                    <w:pStyle w:val="18"/>
                    <w:snapToGrid/>
                    <w:spacing w:before="0" w:after="0"/>
                    <w:ind w:right="0" w:firstLine="0" w:firstLineChars="0"/>
                    <w:rPr>
                      <w:color w:val="auto"/>
                      <w:szCs w:val="21"/>
                      <w:lang w:bidi="ar"/>
                    </w:rPr>
                  </w:pPr>
                  <w:r>
                    <w:rPr>
                      <w:color w:val="auto"/>
                      <w:szCs w:val="21"/>
                      <w:lang w:bidi="ar"/>
                    </w:rPr>
                    <w:fldChar w:fldCharType="begin"/>
                  </w:r>
                  <w:r>
                    <w:rPr>
                      <w:color w:val="auto"/>
                      <w:szCs w:val="21"/>
                      <w:lang w:bidi="ar"/>
                    </w:rPr>
                    <w:instrText xml:space="preserve"> </w:instrText>
                  </w:r>
                  <w:r>
                    <w:rPr>
                      <w:rFonts w:hint="eastAsia"/>
                      <w:color w:val="auto"/>
                      <w:szCs w:val="21"/>
                      <w:lang w:bidi="ar"/>
                    </w:rPr>
                    <w:instrText xml:space="preserve">= 2 \* GB3</w:instrText>
                  </w:r>
                  <w:r>
                    <w:rPr>
                      <w:color w:val="auto"/>
                      <w:szCs w:val="21"/>
                      <w:lang w:bidi="ar"/>
                    </w:rPr>
                    <w:instrText xml:space="preserve"> </w:instrText>
                  </w:r>
                  <w:r>
                    <w:rPr>
                      <w:color w:val="auto"/>
                      <w:szCs w:val="21"/>
                      <w:lang w:bidi="ar"/>
                    </w:rPr>
                    <w:fldChar w:fldCharType="separate"/>
                  </w:r>
                  <w:r>
                    <w:rPr>
                      <w:rFonts w:hint="eastAsia"/>
                      <w:color w:val="auto"/>
                      <w:szCs w:val="21"/>
                      <w:lang w:bidi="ar"/>
                    </w:rPr>
                    <w:t>②</w:t>
                  </w:r>
                  <w:r>
                    <w:rPr>
                      <w:color w:val="auto"/>
                      <w:szCs w:val="21"/>
                      <w:lang w:bidi="ar"/>
                    </w:rPr>
                    <w:fldChar w:fldCharType="end"/>
                  </w:r>
                  <w:r>
                    <w:rPr>
                      <w:rFonts w:hint="eastAsia"/>
                      <w:color w:val="auto"/>
                      <w:szCs w:val="21"/>
                      <w:lang w:bidi="ar"/>
                    </w:rPr>
                    <w:t>倾倒、扔弃、堆放、储存、掩埋废弃物和其他污染物；</w:t>
                  </w:r>
                </w:p>
                <w:p w14:paraId="4AEEF862">
                  <w:pPr>
                    <w:pStyle w:val="18"/>
                    <w:snapToGrid/>
                    <w:spacing w:before="0" w:after="0"/>
                    <w:ind w:right="0" w:firstLine="0" w:firstLineChars="0"/>
                    <w:rPr>
                      <w:rFonts w:hint="eastAsia"/>
                      <w:color w:val="auto"/>
                      <w:szCs w:val="21"/>
                      <w:lang w:bidi="ar"/>
                    </w:rPr>
                  </w:pPr>
                  <w:r>
                    <w:rPr>
                      <w:color w:val="auto"/>
                      <w:szCs w:val="21"/>
                      <w:lang w:bidi="ar"/>
                    </w:rPr>
                    <w:fldChar w:fldCharType="begin"/>
                  </w:r>
                  <w:r>
                    <w:rPr>
                      <w:color w:val="auto"/>
                      <w:szCs w:val="21"/>
                      <w:lang w:bidi="ar"/>
                    </w:rPr>
                    <w:instrText xml:space="preserve"> </w:instrText>
                  </w:r>
                  <w:r>
                    <w:rPr>
                      <w:rFonts w:hint="eastAsia"/>
                      <w:color w:val="auto"/>
                      <w:szCs w:val="21"/>
                      <w:lang w:bidi="ar"/>
                    </w:rPr>
                    <w:instrText xml:space="preserve">= 3 \* GB3</w:instrText>
                  </w:r>
                  <w:r>
                    <w:rPr>
                      <w:color w:val="auto"/>
                      <w:szCs w:val="21"/>
                      <w:lang w:bidi="ar"/>
                    </w:rPr>
                    <w:instrText xml:space="preserve"> </w:instrText>
                  </w:r>
                  <w:r>
                    <w:rPr>
                      <w:color w:val="auto"/>
                      <w:szCs w:val="21"/>
                      <w:lang w:bidi="ar"/>
                    </w:rPr>
                    <w:fldChar w:fldCharType="separate"/>
                  </w:r>
                  <w:r>
                    <w:rPr>
                      <w:rFonts w:hint="eastAsia"/>
                      <w:color w:val="auto"/>
                      <w:szCs w:val="21"/>
                      <w:lang w:bidi="ar"/>
                    </w:rPr>
                    <w:t>③</w:t>
                  </w:r>
                  <w:r>
                    <w:rPr>
                      <w:color w:val="auto"/>
                      <w:szCs w:val="21"/>
                      <w:lang w:bidi="ar"/>
                    </w:rPr>
                    <w:fldChar w:fldCharType="end"/>
                  </w:r>
                  <w:r>
                    <w:rPr>
                      <w:rFonts w:hint="eastAsia"/>
                      <w:color w:val="auto"/>
                      <w:szCs w:val="21"/>
                      <w:lang w:bidi="ar"/>
                    </w:rPr>
                    <w:t>向河道排放污水；</w:t>
                  </w:r>
                </w:p>
                <w:p w14:paraId="64E705E2">
                  <w:pPr>
                    <w:pStyle w:val="18"/>
                    <w:snapToGrid/>
                    <w:spacing w:before="0" w:after="0"/>
                    <w:ind w:right="0" w:firstLine="0" w:firstLineChars="0"/>
                    <w:rPr>
                      <w:rFonts w:hint="eastAsia"/>
                      <w:color w:val="auto"/>
                      <w:szCs w:val="21"/>
                      <w:lang w:bidi="ar"/>
                    </w:rPr>
                  </w:pPr>
                  <w:r>
                    <w:rPr>
                      <w:color w:val="auto"/>
                      <w:szCs w:val="21"/>
                      <w:lang w:bidi="ar"/>
                    </w:rPr>
                    <w:fldChar w:fldCharType="begin"/>
                  </w:r>
                  <w:r>
                    <w:rPr>
                      <w:color w:val="auto"/>
                      <w:szCs w:val="21"/>
                      <w:lang w:bidi="ar"/>
                    </w:rPr>
                    <w:instrText xml:space="preserve"> </w:instrText>
                  </w:r>
                  <w:r>
                    <w:rPr>
                      <w:rFonts w:hint="eastAsia"/>
                      <w:color w:val="auto"/>
                      <w:szCs w:val="21"/>
                      <w:lang w:bidi="ar"/>
                    </w:rPr>
                    <w:instrText xml:space="preserve">= 4 \* GB3</w:instrText>
                  </w:r>
                  <w:r>
                    <w:rPr>
                      <w:color w:val="auto"/>
                      <w:szCs w:val="21"/>
                      <w:lang w:bidi="ar"/>
                    </w:rPr>
                    <w:instrText xml:space="preserve"> </w:instrText>
                  </w:r>
                  <w:r>
                    <w:rPr>
                      <w:color w:val="auto"/>
                      <w:szCs w:val="21"/>
                      <w:lang w:bidi="ar"/>
                    </w:rPr>
                    <w:fldChar w:fldCharType="separate"/>
                  </w:r>
                  <w:r>
                    <w:rPr>
                      <w:rFonts w:hint="eastAsia"/>
                      <w:color w:val="auto"/>
                      <w:szCs w:val="21"/>
                      <w:lang w:bidi="ar"/>
                    </w:rPr>
                    <w:t>④</w:t>
                  </w:r>
                  <w:r>
                    <w:rPr>
                      <w:color w:val="auto"/>
                      <w:szCs w:val="21"/>
                      <w:lang w:bidi="ar"/>
                    </w:rPr>
                    <w:fldChar w:fldCharType="end"/>
                  </w:r>
                  <w:r>
                    <w:rPr>
                      <w:rFonts w:hint="eastAsia"/>
                      <w:color w:val="auto"/>
                      <w:szCs w:val="21"/>
                      <w:lang w:bidi="ar"/>
                    </w:rPr>
                    <w:t>毁林开垦或者违法占用林地资源，盗伐、滥伐护堤林、护岸林；</w:t>
                  </w:r>
                </w:p>
                <w:p w14:paraId="0FB330D5">
                  <w:pPr>
                    <w:pStyle w:val="18"/>
                    <w:snapToGrid/>
                    <w:spacing w:before="0" w:after="0"/>
                    <w:ind w:right="0" w:firstLine="0" w:firstLineChars="0"/>
                    <w:rPr>
                      <w:rFonts w:hint="eastAsia"/>
                      <w:color w:val="auto"/>
                      <w:szCs w:val="21"/>
                      <w:lang w:bidi="ar"/>
                    </w:rPr>
                  </w:pPr>
                  <w:r>
                    <w:rPr>
                      <w:color w:val="auto"/>
                      <w:szCs w:val="21"/>
                      <w:lang w:bidi="ar"/>
                    </w:rPr>
                    <w:fldChar w:fldCharType="begin"/>
                  </w:r>
                  <w:r>
                    <w:rPr>
                      <w:color w:val="auto"/>
                      <w:szCs w:val="21"/>
                      <w:lang w:bidi="ar"/>
                    </w:rPr>
                    <w:instrText xml:space="preserve"> </w:instrText>
                  </w:r>
                  <w:r>
                    <w:rPr>
                      <w:rFonts w:hint="eastAsia"/>
                      <w:color w:val="auto"/>
                      <w:szCs w:val="21"/>
                      <w:lang w:bidi="ar"/>
                    </w:rPr>
                    <w:instrText xml:space="preserve">= 5 \* GB3</w:instrText>
                  </w:r>
                  <w:r>
                    <w:rPr>
                      <w:color w:val="auto"/>
                      <w:szCs w:val="21"/>
                      <w:lang w:bidi="ar"/>
                    </w:rPr>
                    <w:instrText xml:space="preserve"> </w:instrText>
                  </w:r>
                  <w:r>
                    <w:rPr>
                      <w:color w:val="auto"/>
                      <w:szCs w:val="21"/>
                      <w:lang w:bidi="ar"/>
                    </w:rPr>
                    <w:fldChar w:fldCharType="separate"/>
                  </w:r>
                  <w:r>
                    <w:rPr>
                      <w:rFonts w:hint="eastAsia"/>
                      <w:color w:val="auto"/>
                      <w:szCs w:val="21"/>
                      <w:lang w:bidi="ar"/>
                    </w:rPr>
                    <w:t>⑤</w:t>
                  </w:r>
                  <w:r>
                    <w:rPr>
                      <w:color w:val="auto"/>
                      <w:szCs w:val="21"/>
                      <w:lang w:bidi="ar"/>
                    </w:rPr>
                    <w:fldChar w:fldCharType="end"/>
                  </w:r>
                  <w:r>
                    <w:rPr>
                      <w:rFonts w:hint="eastAsia"/>
                      <w:color w:val="auto"/>
                      <w:szCs w:val="21"/>
                      <w:lang w:bidi="ar"/>
                    </w:rPr>
                    <w:t>爆破、打井、采石、取土等影响河势稳定、危害河岸堤防安全和妨碍行洪的活动</w:t>
                  </w:r>
                </w:p>
              </w:tc>
              <w:tc>
                <w:tcPr>
                  <w:tcW w:w="1853" w:type="pct"/>
                  <w:noWrap w:val="0"/>
                  <w:vAlign w:val="center"/>
                </w:tcPr>
                <w:p w14:paraId="2A4F59D6">
                  <w:pPr>
                    <w:pStyle w:val="18"/>
                    <w:snapToGrid/>
                    <w:spacing w:before="0" w:after="0"/>
                    <w:ind w:right="0" w:firstLine="0" w:firstLineChars="0"/>
                    <w:rPr>
                      <w:color w:val="auto"/>
                      <w:szCs w:val="21"/>
                      <w:lang w:bidi="ar"/>
                    </w:rPr>
                  </w:pPr>
                  <w:r>
                    <w:rPr>
                      <w:rFonts w:hint="eastAsia"/>
                      <w:color w:val="auto"/>
                      <w:szCs w:val="21"/>
                      <w:lang w:bidi="ar"/>
                    </w:rPr>
                    <w:t>本项目的建设不占用河道。</w:t>
                  </w:r>
                </w:p>
                <w:p w14:paraId="39D6457E">
                  <w:pPr>
                    <w:pStyle w:val="18"/>
                    <w:snapToGrid/>
                    <w:spacing w:before="0" w:after="0"/>
                    <w:ind w:right="0" w:firstLine="0" w:firstLineChars="0"/>
                    <w:rPr>
                      <w:rFonts w:ascii="宋体" w:hAnsi="宋体" w:cs="宋体"/>
                      <w:color w:val="auto"/>
                    </w:rPr>
                  </w:pPr>
                  <w:r>
                    <w:rPr>
                      <w:color w:val="auto"/>
                      <w:szCs w:val="21"/>
                      <w:lang w:bidi="ar"/>
                    </w:rPr>
                    <w:fldChar w:fldCharType="begin"/>
                  </w:r>
                  <w:r>
                    <w:rPr>
                      <w:color w:val="auto"/>
                      <w:szCs w:val="21"/>
                      <w:lang w:bidi="ar"/>
                    </w:rPr>
                    <w:instrText xml:space="preserve"> </w:instrText>
                  </w:r>
                  <w:r>
                    <w:rPr>
                      <w:rFonts w:hint="eastAsia"/>
                      <w:color w:val="auto"/>
                      <w:szCs w:val="21"/>
                      <w:lang w:bidi="ar"/>
                    </w:rPr>
                    <w:instrText xml:space="preserve">= 1 \* GB3</w:instrText>
                  </w:r>
                  <w:r>
                    <w:rPr>
                      <w:color w:val="auto"/>
                      <w:szCs w:val="21"/>
                      <w:lang w:bidi="ar"/>
                    </w:rPr>
                    <w:instrText xml:space="preserve"> </w:instrText>
                  </w:r>
                  <w:r>
                    <w:rPr>
                      <w:color w:val="auto"/>
                      <w:szCs w:val="21"/>
                      <w:lang w:bidi="ar"/>
                    </w:rPr>
                    <w:fldChar w:fldCharType="separate"/>
                  </w:r>
                  <w:r>
                    <w:rPr>
                      <w:rFonts w:hint="eastAsia"/>
                      <w:color w:val="auto"/>
                      <w:szCs w:val="21"/>
                      <w:lang w:bidi="ar"/>
                    </w:rPr>
                    <w:t>①</w:t>
                  </w:r>
                  <w:r>
                    <w:rPr>
                      <w:color w:val="auto"/>
                      <w:szCs w:val="21"/>
                      <w:lang w:bidi="ar"/>
                    </w:rPr>
                    <w:fldChar w:fldCharType="end"/>
                  </w:r>
                  <w:r>
                    <w:rPr>
                      <w:rFonts w:hint="eastAsia"/>
                      <w:color w:val="auto"/>
                      <w:szCs w:val="21"/>
                      <w:lang w:bidi="ar"/>
                    </w:rPr>
                    <w:t>本项目为铁路轨枕生产项目，不排放氮、磷等污染物，</w:t>
                  </w:r>
                  <w:r>
                    <w:rPr>
                      <w:rFonts w:hint="eastAsia"/>
                      <w:color w:val="auto"/>
                    </w:rPr>
                    <w:t>经现场踏勘，项目区植被现状多为农作物玉米、烤烟等，无</w:t>
                  </w:r>
                  <w:r>
                    <w:rPr>
                      <w:rFonts w:ascii="宋体" w:hAnsi="宋体" w:cs="宋体"/>
                      <w:color w:val="auto"/>
                    </w:rPr>
                    <w:t>保护野生动植物</w:t>
                  </w:r>
                  <w:r>
                    <w:rPr>
                      <w:rFonts w:hint="eastAsia" w:ascii="宋体" w:hAnsi="宋体" w:cs="宋体"/>
                      <w:color w:val="auto"/>
                    </w:rPr>
                    <w:t>，不会</w:t>
                  </w:r>
                  <w:r>
                    <w:rPr>
                      <w:rFonts w:hint="eastAsia"/>
                      <w:color w:val="auto"/>
                    </w:rPr>
                    <w:t>破坏生态平衡和自然景观</w:t>
                  </w:r>
                  <w:r>
                    <w:rPr>
                      <w:rFonts w:hint="eastAsia" w:ascii="宋体" w:hAnsi="宋体" w:cs="宋体"/>
                      <w:color w:val="auto"/>
                    </w:rPr>
                    <w:t>。</w:t>
                  </w:r>
                </w:p>
                <w:p w14:paraId="16CDEB50">
                  <w:pPr>
                    <w:pStyle w:val="18"/>
                    <w:snapToGrid/>
                    <w:spacing w:before="0" w:after="0"/>
                    <w:ind w:right="0" w:firstLine="0" w:firstLineChars="0"/>
                    <w:rPr>
                      <w:color w:val="auto"/>
                      <w:szCs w:val="21"/>
                      <w:lang w:bidi="ar"/>
                    </w:rPr>
                  </w:pPr>
                  <w:r>
                    <w:rPr>
                      <w:color w:val="auto"/>
                      <w:szCs w:val="21"/>
                      <w:lang w:bidi="ar"/>
                    </w:rPr>
                    <w:fldChar w:fldCharType="begin"/>
                  </w:r>
                  <w:r>
                    <w:rPr>
                      <w:color w:val="auto"/>
                      <w:szCs w:val="21"/>
                      <w:lang w:bidi="ar"/>
                    </w:rPr>
                    <w:instrText xml:space="preserve"> </w:instrText>
                  </w:r>
                  <w:r>
                    <w:rPr>
                      <w:rFonts w:hint="eastAsia"/>
                      <w:color w:val="auto"/>
                      <w:szCs w:val="21"/>
                      <w:lang w:bidi="ar"/>
                    </w:rPr>
                    <w:instrText xml:space="preserve">= 2 \* GB3</w:instrText>
                  </w:r>
                  <w:r>
                    <w:rPr>
                      <w:color w:val="auto"/>
                      <w:szCs w:val="21"/>
                      <w:lang w:bidi="ar"/>
                    </w:rPr>
                    <w:instrText xml:space="preserve"> </w:instrText>
                  </w:r>
                  <w:r>
                    <w:rPr>
                      <w:color w:val="auto"/>
                      <w:szCs w:val="21"/>
                      <w:lang w:bidi="ar"/>
                    </w:rPr>
                    <w:fldChar w:fldCharType="separate"/>
                  </w:r>
                  <w:r>
                    <w:rPr>
                      <w:rFonts w:hint="eastAsia"/>
                      <w:color w:val="auto"/>
                      <w:szCs w:val="21"/>
                      <w:lang w:bidi="ar"/>
                    </w:rPr>
                    <w:t>②</w:t>
                  </w:r>
                  <w:r>
                    <w:rPr>
                      <w:color w:val="auto"/>
                      <w:szCs w:val="21"/>
                      <w:lang w:bidi="ar"/>
                    </w:rPr>
                    <w:fldChar w:fldCharType="end"/>
                  </w:r>
                  <w:r>
                    <w:rPr>
                      <w:rFonts w:hint="eastAsia"/>
                      <w:color w:val="auto"/>
                      <w:szCs w:val="21"/>
                      <w:lang w:bidi="ar"/>
                    </w:rPr>
                    <w:t>本项目固废处理率为100%，不倾倒、扔弃、堆放、储存、掩埋废弃物和其他污染物。</w:t>
                  </w:r>
                </w:p>
                <w:p w14:paraId="37B57EDB">
                  <w:pPr>
                    <w:pStyle w:val="18"/>
                    <w:snapToGrid/>
                    <w:spacing w:before="0" w:after="0"/>
                    <w:ind w:right="0" w:firstLine="0" w:firstLineChars="0"/>
                    <w:rPr>
                      <w:rFonts w:hint="eastAsia"/>
                      <w:color w:val="auto"/>
                      <w:szCs w:val="21"/>
                    </w:rPr>
                  </w:pPr>
                  <w:r>
                    <w:rPr>
                      <w:color w:val="auto"/>
                      <w:szCs w:val="21"/>
                      <w:lang w:bidi="ar"/>
                    </w:rPr>
                    <w:fldChar w:fldCharType="begin"/>
                  </w:r>
                  <w:r>
                    <w:rPr>
                      <w:color w:val="auto"/>
                      <w:szCs w:val="21"/>
                      <w:lang w:bidi="ar"/>
                    </w:rPr>
                    <w:instrText xml:space="preserve"> </w:instrText>
                  </w:r>
                  <w:r>
                    <w:rPr>
                      <w:rFonts w:hint="eastAsia"/>
                      <w:color w:val="auto"/>
                      <w:szCs w:val="21"/>
                      <w:lang w:bidi="ar"/>
                    </w:rPr>
                    <w:instrText xml:space="preserve">= 3 \* GB3</w:instrText>
                  </w:r>
                  <w:r>
                    <w:rPr>
                      <w:color w:val="auto"/>
                      <w:szCs w:val="21"/>
                      <w:lang w:bidi="ar"/>
                    </w:rPr>
                    <w:instrText xml:space="preserve"> </w:instrText>
                  </w:r>
                  <w:r>
                    <w:rPr>
                      <w:color w:val="auto"/>
                      <w:szCs w:val="21"/>
                      <w:lang w:bidi="ar"/>
                    </w:rPr>
                    <w:fldChar w:fldCharType="separate"/>
                  </w:r>
                  <w:r>
                    <w:rPr>
                      <w:rFonts w:hint="eastAsia"/>
                      <w:color w:val="auto"/>
                      <w:szCs w:val="21"/>
                      <w:lang w:bidi="ar"/>
                    </w:rPr>
                    <w:t>③</w:t>
                  </w:r>
                  <w:r>
                    <w:rPr>
                      <w:color w:val="auto"/>
                      <w:szCs w:val="21"/>
                      <w:lang w:bidi="ar"/>
                    </w:rPr>
                    <w:fldChar w:fldCharType="end"/>
                  </w:r>
                  <w:r>
                    <w:rPr>
                      <w:rFonts w:hint="eastAsia"/>
                      <w:color w:val="auto"/>
                      <w:szCs w:val="21"/>
                      <w:lang w:val="en-US" w:eastAsia="zh-CN" w:bidi="ar"/>
                    </w:rPr>
                    <w:t>本项目</w:t>
                  </w:r>
                  <w:r>
                    <w:rPr>
                      <w:rFonts w:hint="eastAsia"/>
                      <w:color w:val="auto"/>
                    </w:rPr>
                    <w:t>生产废水</w:t>
                  </w:r>
                  <w:r>
                    <w:rPr>
                      <w:rFonts w:hint="eastAsia"/>
                      <w:color w:val="auto"/>
                      <w:lang w:val="en-US" w:eastAsia="zh-CN"/>
                    </w:rPr>
                    <w:t>主要为试验区废水、锅炉清净水、搅拌机清洗废水及罐车清洗废水</w:t>
                  </w:r>
                  <w:r>
                    <w:rPr>
                      <w:rFonts w:hint="eastAsia"/>
                      <w:color w:val="auto"/>
                    </w:rPr>
                    <w:t>，</w:t>
                  </w:r>
                  <w:r>
                    <w:rPr>
                      <w:rFonts w:hint="eastAsia"/>
                      <w:color w:val="auto"/>
                      <w:lang w:val="en-US" w:eastAsia="zh-CN"/>
                    </w:rPr>
                    <w:t>其中搅拌机清洗废水及锅炉清净水排入四级沉淀池处理后回用于混凝土搅拌；试验区废水排入三级沉淀池处理后回用于混凝土搅拌；罐车清洗废水排入五级沉淀池处理后回用于混凝土搅拌，生产废水均用于混凝土搅拌，不外排。</w:t>
                  </w:r>
                  <w:r>
                    <w:rPr>
                      <w:rFonts w:hint="eastAsia"/>
                      <w:color w:val="auto"/>
                    </w:rPr>
                    <w:t>食堂废水经</w:t>
                  </w:r>
                  <w:r>
                    <w:rPr>
                      <w:rFonts w:hint="eastAsia"/>
                      <w:color w:val="auto"/>
                      <w:lang w:val="en-US" w:eastAsia="zh-CN"/>
                    </w:rPr>
                    <w:t>油水分离器</w:t>
                  </w:r>
                  <w:r>
                    <w:rPr>
                      <w:rFonts w:hint="eastAsia"/>
                      <w:color w:val="auto"/>
                    </w:rPr>
                    <w:t>预处理后</w:t>
                  </w:r>
                  <w:r>
                    <w:rPr>
                      <w:rFonts w:hint="eastAsia"/>
                      <w:color w:val="auto"/>
                      <w:lang w:val="en-US" w:eastAsia="zh-CN"/>
                    </w:rPr>
                    <w:t>排入2#化粪池（15m</w:t>
                  </w:r>
                  <w:r>
                    <w:rPr>
                      <w:rFonts w:hint="eastAsia"/>
                      <w:color w:val="auto"/>
                      <w:vertAlign w:val="superscript"/>
                      <w:lang w:val="en-US" w:eastAsia="zh-CN"/>
                    </w:rPr>
                    <w:t>3</w:t>
                  </w:r>
                  <w:r>
                    <w:rPr>
                      <w:rFonts w:hint="eastAsia"/>
                      <w:color w:val="auto"/>
                      <w:lang w:val="en-US" w:eastAsia="zh-CN"/>
                    </w:rPr>
                    <w:t>）中处理后委托</w:t>
                  </w:r>
                  <w:r>
                    <w:rPr>
                      <w:rFonts w:hint="eastAsia"/>
                      <w:color w:val="auto"/>
                      <w:szCs w:val="21"/>
                      <w:lang w:val="en-US" w:eastAsia="zh-CN"/>
                    </w:rPr>
                    <w:t>昆明洁龙保洁服务有限公司</w:t>
                  </w:r>
                  <w:r>
                    <w:rPr>
                      <w:color w:val="auto"/>
                      <w:szCs w:val="21"/>
                    </w:rPr>
                    <w:t>定期</w:t>
                  </w:r>
                  <w:r>
                    <w:rPr>
                      <w:rFonts w:hint="eastAsia"/>
                      <w:color w:val="auto"/>
                      <w:szCs w:val="21"/>
                    </w:rPr>
                    <w:t>清掏</w:t>
                  </w:r>
                  <w:r>
                    <w:rPr>
                      <w:rFonts w:hint="eastAsia"/>
                      <w:color w:val="auto"/>
                      <w:lang w:val="en-US" w:eastAsia="zh-CN"/>
                    </w:rPr>
                    <w:t>；</w:t>
                  </w:r>
                  <w:r>
                    <w:rPr>
                      <w:rFonts w:hint="eastAsia"/>
                      <w:color w:val="auto"/>
                    </w:rPr>
                    <w:t>其他生活污水</w:t>
                  </w:r>
                  <w:r>
                    <w:rPr>
                      <w:rFonts w:hint="eastAsia"/>
                      <w:color w:val="auto"/>
                      <w:lang w:val="en-US" w:eastAsia="zh-CN"/>
                    </w:rPr>
                    <w:t>排</w:t>
                  </w:r>
                  <w:r>
                    <w:rPr>
                      <w:rFonts w:hint="eastAsia"/>
                      <w:color w:val="auto"/>
                    </w:rPr>
                    <w:t>入</w:t>
                  </w:r>
                  <w:r>
                    <w:rPr>
                      <w:rFonts w:hint="eastAsia"/>
                      <w:color w:val="auto"/>
                      <w:lang w:val="en-US" w:eastAsia="zh-CN"/>
                    </w:rPr>
                    <w:t>1#化粪池（30m</w:t>
                  </w:r>
                  <w:r>
                    <w:rPr>
                      <w:rFonts w:hint="eastAsia"/>
                      <w:color w:val="auto"/>
                      <w:vertAlign w:val="superscript"/>
                      <w:lang w:val="en-US" w:eastAsia="zh-CN"/>
                    </w:rPr>
                    <w:t>3</w:t>
                  </w:r>
                  <w:r>
                    <w:rPr>
                      <w:rFonts w:hint="eastAsia"/>
                      <w:color w:val="auto"/>
                      <w:lang w:val="en-US" w:eastAsia="zh-CN"/>
                    </w:rPr>
                    <w:t>）处理后委托</w:t>
                  </w:r>
                  <w:r>
                    <w:rPr>
                      <w:rFonts w:hint="eastAsia"/>
                      <w:color w:val="auto"/>
                      <w:szCs w:val="21"/>
                      <w:lang w:val="en-US" w:eastAsia="zh-CN"/>
                    </w:rPr>
                    <w:t>昆明洁龙保洁服务有限公司</w:t>
                  </w:r>
                  <w:r>
                    <w:rPr>
                      <w:color w:val="auto"/>
                      <w:szCs w:val="21"/>
                    </w:rPr>
                    <w:t>定期</w:t>
                  </w:r>
                  <w:r>
                    <w:rPr>
                      <w:rFonts w:hint="eastAsia"/>
                      <w:color w:val="auto"/>
                      <w:szCs w:val="21"/>
                    </w:rPr>
                    <w:t>清掏</w:t>
                  </w:r>
                </w:p>
                <w:p w14:paraId="4E0A9721">
                  <w:pPr>
                    <w:pStyle w:val="18"/>
                    <w:snapToGrid/>
                    <w:spacing w:before="0" w:after="0"/>
                    <w:ind w:right="0" w:firstLine="0" w:firstLineChars="0"/>
                    <w:rPr>
                      <w:color w:val="auto"/>
                      <w:szCs w:val="21"/>
                      <w:lang w:bidi="ar"/>
                    </w:rPr>
                  </w:pPr>
                  <w:r>
                    <w:rPr>
                      <w:color w:val="auto"/>
                    </w:rPr>
                    <w:fldChar w:fldCharType="begin"/>
                  </w:r>
                  <w:r>
                    <w:rPr>
                      <w:color w:val="auto"/>
                    </w:rPr>
                    <w:instrText xml:space="preserve"> </w:instrText>
                  </w:r>
                  <w:r>
                    <w:rPr>
                      <w:rFonts w:hint="eastAsia"/>
                      <w:color w:val="auto"/>
                    </w:rPr>
                    <w:instrText xml:space="preserve">= 4 \* GB3</w:instrText>
                  </w:r>
                  <w:r>
                    <w:rPr>
                      <w:color w:val="auto"/>
                    </w:rPr>
                    <w:instrText xml:space="preserve"> </w:instrText>
                  </w:r>
                  <w:r>
                    <w:rPr>
                      <w:color w:val="auto"/>
                    </w:rPr>
                    <w:fldChar w:fldCharType="separate"/>
                  </w:r>
                  <w:r>
                    <w:rPr>
                      <w:rFonts w:hint="eastAsia"/>
                      <w:color w:val="auto"/>
                    </w:rPr>
                    <w:t>④</w:t>
                  </w:r>
                  <w:r>
                    <w:rPr>
                      <w:color w:val="auto"/>
                    </w:rPr>
                    <w:fldChar w:fldCharType="end"/>
                  </w:r>
                  <w:r>
                    <w:rPr>
                      <w:rFonts w:hint="eastAsia"/>
                      <w:color w:val="auto"/>
                      <w:szCs w:val="21"/>
                      <w:lang w:bidi="ar"/>
                    </w:rPr>
                    <w:t>本项目为铁路轨枕生产项目，不毁林开垦或者违法占用林地资源，盗伐、滥伐护堤林、护岸林。</w:t>
                  </w:r>
                </w:p>
                <w:p w14:paraId="1796AC9B">
                  <w:pPr>
                    <w:pStyle w:val="18"/>
                    <w:snapToGrid/>
                    <w:spacing w:before="0" w:after="0"/>
                    <w:ind w:right="0" w:firstLine="0" w:firstLineChars="0"/>
                    <w:rPr>
                      <w:rFonts w:hint="eastAsia"/>
                      <w:color w:val="auto"/>
                      <w:szCs w:val="21"/>
                      <w:lang w:bidi="ar"/>
                    </w:rPr>
                  </w:pPr>
                  <w:r>
                    <w:rPr>
                      <w:color w:val="auto"/>
                      <w:szCs w:val="21"/>
                      <w:lang w:bidi="ar"/>
                    </w:rPr>
                    <w:fldChar w:fldCharType="begin"/>
                  </w:r>
                  <w:r>
                    <w:rPr>
                      <w:color w:val="auto"/>
                      <w:szCs w:val="21"/>
                      <w:lang w:bidi="ar"/>
                    </w:rPr>
                    <w:instrText xml:space="preserve"> </w:instrText>
                  </w:r>
                  <w:r>
                    <w:rPr>
                      <w:rFonts w:hint="eastAsia"/>
                      <w:color w:val="auto"/>
                      <w:szCs w:val="21"/>
                      <w:lang w:bidi="ar"/>
                    </w:rPr>
                    <w:instrText xml:space="preserve">= 5 \* GB3</w:instrText>
                  </w:r>
                  <w:r>
                    <w:rPr>
                      <w:color w:val="auto"/>
                      <w:szCs w:val="21"/>
                      <w:lang w:bidi="ar"/>
                    </w:rPr>
                    <w:instrText xml:space="preserve"> </w:instrText>
                  </w:r>
                  <w:r>
                    <w:rPr>
                      <w:color w:val="auto"/>
                      <w:szCs w:val="21"/>
                      <w:lang w:bidi="ar"/>
                    </w:rPr>
                    <w:fldChar w:fldCharType="separate"/>
                  </w:r>
                  <w:r>
                    <w:rPr>
                      <w:rFonts w:hint="eastAsia"/>
                      <w:color w:val="auto"/>
                      <w:szCs w:val="21"/>
                      <w:lang w:bidi="ar"/>
                    </w:rPr>
                    <w:t>⑤</w:t>
                  </w:r>
                  <w:r>
                    <w:rPr>
                      <w:color w:val="auto"/>
                      <w:szCs w:val="21"/>
                      <w:lang w:bidi="ar"/>
                    </w:rPr>
                    <w:fldChar w:fldCharType="end"/>
                  </w:r>
                  <w:r>
                    <w:rPr>
                      <w:rFonts w:hint="eastAsia"/>
                      <w:color w:val="auto"/>
                      <w:szCs w:val="21"/>
                      <w:lang w:bidi="ar"/>
                    </w:rPr>
                    <w:t>本项目不进行爆破、打井、采石、取土，不会影响河势稳定、危害河岸堤防安全和妨碍行洪的活动。</w:t>
                  </w:r>
                </w:p>
              </w:tc>
              <w:tc>
                <w:tcPr>
                  <w:tcW w:w="646" w:type="pct"/>
                  <w:noWrap w:val="0"/>
                  <w:vAlign w:val="center"/>
                </w:tcPr>
                <w:p w14:paraId="7A9CAB01">
                  <w:pPr>
                    <w:pStyle w:val="18"/>
                    <w:snapToGrid/>
                    <w:spacing w:before="0" w:after="0"/>
                    <w:ind w:right="0" w:firstLine="0" w:firstLineChars="0"/>
                    <w:jc w:val="center"/>
                    <w:rPr>
                      <w:rFonts w:hint="eastAsia"/>
                      <w:color w:val="auto"/>
                      <w:szCs w:val="21"/>
                      <w:lang w:bidi="ar"/>
                    </w:rPr>
                  </w:pPr>
                  <w:r>
                    <w:rPr>
                      <w:rFonts w:hint="eastAsia"/>
                      <w:color w:val="auto"/>
                      <w:szCs w:val="21"/>
                      <w:lang w:bidi="ar"/>
                    </w:rPr>
                    <w:t>符合</w:t>
                  </w:r>
                </w:p>
              </w:tc>
            </w:tr>
            <w:tr w14:paraId="6FE32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pct"/>
                  <w:noWrap w:val="0"/>
                  <w:vAlign w:val="center"/>
                </w:tcPr>
                <w:p w14:paraId="764667D0">
                  <w:pPr>
                    <w:pStyle w:val="18"/>
                    <w:snapToGrid/>
                    <w:spacing w:before="0" w:after="0"/>
                    <w:ind w:right="0" w:firstLine="0" w:firstLineChars="0"/>
                    <w:jc w:val="center"/>
                    <w:rPr>
                      <w:rFonts w:hint="eastAsia"/>
                      <w:color w:val="auto"/>
                      <w:szCs w:val="21"/>
                      <w:lang w:bidi="ar"/>
                    </w:rPr>
                  </w:pPr>
                  <w:r>
                    <w:rPr>
                      <w:rFonts w:hint="eastAsia"/>
                      <w:color w:val="auto"/>
                      <w:szCs w:val="21"/>
                      <w:lang w:bidi="ar"/>
                    </w:rPr>
                    <w:t>2</w:t>
                  </w:r>
                </w:p>
              </w:tc>
              <w:tc>
                <w:tcPr>
                  <w:tcW w:w="1964" w:type="pct"/>
                  <w:noWrap w:val="0"/>
                  <w:vAlign w:val="center"/>
                </w:tcPr>
                <w:p w14:paraId="3C97E0B7">
                  <w:pPr>
                    <w:pStyle w:val="18"/>
                    <w:snapToGrid/>
                    <w:spacing w:before="0" w:after="0"/>
                    <w:ind w:right="0" w:firstLine="0" w:firstLineChars="0"/>
                    <w:jc w:val="center"/>
                    <w:rPr>
                      <w:rFonts w:hint="eastAsia"/>
                      <w:color w:val="auto"/>
                      <w:szCs w:val="21"/>
                      <w:lang w:bidi="ar"/>
                    </w:rPr>
                  </w:pPr>
                  <w:r>
                    <w:rPr>
                      <w:rFonts w:ascii="Arial" w:hAnsi="Arial" w:cs="Arial"/>
                      <w:color w:val="auto"/>
                      <w:szCs w:val="21"/>
                      <w:shd w:val="clear" w:color="auto" w:fill="FFFFFF"/>
                    </w:rPr>
                    <w:t>第二十六条在城乡截污管网已覆盖的区域，不得设置入河排污口；未覆盖的区域，应当达标排放</w:t>
                  </w:r>
                </w:p>
              </w:tc>
              <w:tc>
                <w:tcPr>
                  <w:tcW w:w="1853" w:type="pct"/>
                  <w:noWrap w:val="0"/>
                  <w:vAlign w:val="center"/>
                </w:tcPr>
                <w:p w14:paraId="62EB9ACA">
                  <w:pPr>
                    <w:pStyle w:val="18"/>
                    <w:snapToGrid/>
                    <w:spacing w:before="0" w:after="0"/>
                    <w:ind w:right="0" w:firstLine="0" w:firstLineChars="0"/>
                    <w:jc w:val="both"/>
                    <w:rPr>
                      <w:rFonts w:hint="eastAsia"/>
                      <w:color w:val="auto"/>
                      <w:szCs w:val="21"/>
                      <w:lang w:bidi="ar"/>
                    </w:rPr>
                  </w:pPr>
                  <w:r>
                    <w:rPr>
                      <w:rFonts w:hint="eastAsia"/>
                      <w:color w:val="auto"/>
                      <w:szCs w:val="21"/>
                      <w:lang w:bidi="ar"/>
                    </w:rPr>
                    <w:t>本项目废水零排放，不设排污口。</w:t>
                  </w:r>
                </w:p>
              </w:tc>
              <w:tc>
                <w:tcPr>
                  <w:tcW w:w="646" w:type="pct"/>
                  <w:noWrap w:val="0"/>
                  <w:vAlign w:val="center"/>
                </w:tcPr>
                <w:p w14:paraId="0C244983">
                  <w:pPr>
                    <w:pStyle w:val="18"/>
                    <w:snapToGrid/>
                    <w:spacing w:before="0" w:after="0"/>
                    <w:ind w:right="0" w:firstLine="0" w:firstLineChars="0"/>
                    <w:jc w:val="center"/>
                    <w:rPr>
                      <w:rFonts w:hint="eastAsia"/>
                      <w:color w:val="auto"/>
                      <w:szCs w:val="21"/>
                      <w:lang w:bidi="ar"/>
                    </w:rPr>
                  </w:pPr>
                  <w:r>
                    <w:rPr>
                      <w:rFonts w:hint="eastAsia"/>
                      <w:color w:val="auto"/>
                      <w:szCs w:val="21"/>
                      <w:lang w:bidi="ar"/>
                    </w:rPr>
                    <w:t>符合</w:t>
                  </w:r>
                </w:p>
              </w:tc>
            </w:tr>
          </w:tbl>
          <w:p w14:paraId="68D56859">
            <w:pPr>
              <w:pStyle w:val="31"/>
              <w:ind w:firstLine="482"/>
              <w:rPr>
                <w:b/>
                <w:bCs/>
                <w:color w:val="auto"/>
                <w:szCs w:val="24"/>
                <w:lang w:bidi="ar"/>
              </w:rPr>
            </w:pPr>
            <w:r>
              <w:rPr>
                <w:b/>
                <w:bCs/>
                <w:color w:val="auto"/>
                <w:szCs w:val="24"/>
                <w:lang w:bidi="ar"/>
              </w:rPr>
              <w:t>1.1.</w:t>
            </w:r>
            <w:r>
              <w:rPr>
                <w:rFonts w:hint="eastAsia"/>
                <w:b/>
                <w:bCs/>
                <w:color w:val="auto"/>
                <w:szCs w:val="24"/>
                <w:lang w:val="en-US" w:eastAsia="zh-CN" w:bidi="ar"/>
              </w:rPr>
              <w:t>12</w:t>
            </w:r>
            <w:r>
              <w:rPr>
                <w:b/>
                <w:bCs/>
                <w:color w:val="auto"/>
                <w:szCs w:val="24"/>
                <w:lang w:bidi="ar"/>
              </w:rPr>
              <w:t>与</w:t>
            </w:r>
            <w:r>
              <w:rPr>
                <w:rFonts w:hint="eastAsia"/>
                <w:b/>
                <w:bCs/>
                <w:color w:val="auto"/>
              </w:rPr>
              <w:t>《云南省牛栏江保护条例》的符合性分析</w:t>
            </w:r>
          </w:p>
          <w:p w14:paraId="4C29BA72">
            <w:pPr>
              <w:pStyle w:val="6"/>
              <w:keepNext w:val="0"/>
              <w:keepLines w:val="0"/>
              <w:pageBreakBefore w:val="0"/>
              <w:widowControl/>
              <w:kinsoku/>
              <w:wordWrap/>
              <w:overflowPunct/>
              <w:topLinePunct w:val="0"/>
              <w:autoSpaceDE/>
              <w:autoSpaceDN/>
              <w:bidi w:val="0"/>
              <w:adjustRightInd/>
              <w:snapToGrid w:val="0"/>
              <w:spacing w:before="0" w:after="0" w:line="360" w:lineRule="auto"/>
              <w:ind w:right="113" w:firstLine="480"/>
              <w:textAlignment w:val="auto"/>
              <w:rPr>
                <w:color w:val="auto"/>
                <w:sz w:val="24"/>
                <w:szCs w:val="24"/>
                <w:lang w:val="zh-CN"/>
              </w:rPr>
            </w:pPr>
            <w:r>
              <w:rPr>
                <w:color w:val="auto"/>
                <w:sz w:val="24"/>
                <w:szCs w:val="24"/>
              </w:rPr>
              <w:t>项目位于</w:t>
            </w:r>
            <w:r>
              <w:rPr>
                <w:color w:val="auto"/>
                <w:sz w:val="24"/>
                <w:szCs w:val="24"/>
                <w:lang w:val="zh-CN"/>
              </w:rPr>
              <w:t>《云南省牛栏江保护条例》</w:t>
            </w:r>
            <w:r>
              <w:rPr>
                <w:rFonts w:hint="eastAsia"/>
                <w:color w:val="auto"/>
                <w:sz w:val="24"/>
                <w:szCs w:val="24"/>
              </w:rPr>
              <w:t>划定的牛栏江流域上游保护区中的</w:t>
            </w:r>
            <w:r>
              <w:rPr>
                <w:color w:val="auto"/>
                <w:sz w:val="24"/>
                <w:szCs w:val="24"/>
              </w:rPr>
              <w:t>水源保护核心区。</w:t>
            </w:r>
            <w:r>
              <w:rPr>
                <w:rFonts w:hint="eastAsia"/>
                <w:color w:val="auto"/>
                <w:sz w:val="24"/>
                <w:szCs w:val="24"/>
              </w:rPr>
              <w:t>项目与《云南省牛栏江保护条例》的相符性分析如下</w:t>
            </w:r>
            <w:r>
              <w:rPr>
                <w:color w:val="auto"/>
                <w:sz w:val="24"/>
                <w:szCs w:val="24"/>
                <w:lang w:val="zh-CN"/>
              </w:rPr>
              <w:t>。</w:t>
            </w:r>
          </w:p>
          <w:p w14:paraId="139D8226">
            <w:pPr>
              <w:pStyle w:val="26"/>
              <w:bidi w:val="0"/>
              <w:rPr>
                <w:rFonts w:hint="default" w:eastAsia="宋体"/>
                <w:color w:val="auto"/>
                <w:lang w:val="en-US" w:eastAsia="zh-CN"/>
              </w:rPr>
            </w:pPr>
            <w:r>
              <w:rPr>
                <w:rFonts w:hint="eastAsia"/>
                <w:b/>
                <w:bCs/>
                <w:color w:val="auto"/>
                <w:lang w:val="en-US" w:eastAsia="zh-CN"/>
              </w:rPr>
              <w:t>表1-10  项目与《</w:t>
            </w:r>
            <w:r>
              <w:rPr>
                <w:rFonts w:hint="eastAsia"/>
                <w:b/>
                <w:bCs/>
                <w:color w:val="auto"/>
              </w:rPr>
              <w:t>云南省牛栏江保护条例</w:t>
            </w:r>
            <w:r>
              <w:rPr>
                <w:rFonts w:hint="eastAsia"/>
                <w:b/>
                <w:bCs/>
                <w:color w:val="auto"/>
                <w:lang w:val="en-US" w:eastAsia="zh-CN"/>
              </w:rPr>
              <w:t>》</w:t>
            </w:r>
            <w:r>
              <w:rPr>
                <w:rFonts w:hint="eastAsia"/>
                <w:b/>
                <w:bCs/>
                <w:color w:val="auto"/>
              </w:rPr>
              <w:t>的符合性分析表</w:t>
            </w:r>
          </w:p>
          <w:tbl>
            <w:tblPr>
              <w:tblStyle w:val="2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
              <w:gridCol w:w="3377"/>
              <w:gridCol w:w="2801"/>
              <w:gridCol w:w="1095"/>
            </w:tblGrid>
            <w:tr w14:paraId="366F8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pct"/>
                  <w:shd w:val="clear" w:color="auto" w:fill="auto"/>
                  <w:noWrap w:val="0"/>
                  <w:vAlign w:val="center"/>
                </w:tcPr>
                <w:p w14:paraId="4B8DCC80">
                  <w:pPr>
                    <w:pStyle w:val="28"/>
                    <w:rPr>
                      <w:rFonts w:hint="eastAsia"/>
                      <w:b/>
                      <w:bCs/>
                      <w:color w:val="auto"/>
                    </w:rPr>
                  </w:pPr>
                  <w:r>
                    <w:rPr>
                      <w:rFonts w:hint="eastAsia"/>
                      <w:b/>
                      <w:bCs/>
                      <w:color w:val="auto"/>
                    </w:rPr>
                    <w:t>序号</w:t>
                  </w:r>
                </w:p>
              </w:tc>
              <w:tc>
                <w:tcPr>
                  <w:tcW w:w="2069" w:type="pct"/>
                  <w:shd w:val="clear" w:color="auto" w:fill="auto"/>
                  <w:noWrap w:val="0"/>
                  <w:vAlign w:val="center"/>
                </w:tcPr>
                <w:p w14:paraId="354085EF">
                  <w:pPr>
                    <w:pStyle w:val="28"/>
                    <w:rPr>
                      <w:rFonts w:hint="eastAsia"/>
                      <w:b/>
                      <w:bCs/>
                      <w:color w:val="auto"/>
                    </w:rPr>
                  </w:pPr>
                  <w:r>
                    <w:rPr>
                      <w:rFonts w:hint="eastAsia"/>
                      <w:b/>
                      <w:bCs/>
                      <w:color w:val="auto"/>
                    </w:rPr>
                    <w:t>禁止行为</w:t>
                  </w:r>
                </w:p>
              </w:tc>
              <w:tc>
                <w:tcPr>
                  <w:tcW w:w="1716" w:type="pct"/>
                  <w:shd w:val="clear" w:color="auto" w:fill="auto"/>
                  <w:noWrap w:val="0"/>
                  <w:vAlign w:val="center"/>
                </w:tcPr>
                <w:p w14:paraId="1DD9C755">
                  <w:pPr>
                    <w:pStyle w:val="28"/>
                    <w:rPr>
                      <w:rFonts w:hint="eastAsia"/>
                      <w:b/>
                      <w:bCs/>
                      <w:color w:val="auto"/>
                    </w:rPr>
                  </w:pPr>
                  <w:r>
                    <w:rPr>
                      <w:rFonts w:hint="eastAsia"/>
                      <w:b/>
                      <w:bCs/>
                      <w:color w:val="auto"/>
                    </w:rPr>
                    <w:t>本项目情况</w:t>
                  </w:r>
                </w:p>
              </w:tc>
              <w:tc>
                <w:tcPr>
                  <w:tcW w:w="671" w:type="pct"/>
                  <w:shd w:val="clear" w:color="auto" w:fill="auto"/>
                  <w:noWrap w:val="0"/>
                  <w:vAlign w:val="center"/>
                </w:tcPr>
                <w:p w14:paraId="0A49E6D6">
                  <w:pPr>
                    <w:pStyle w:val="28"/>
                    <w:rPr>
                      <w:rFonts w:hint="eastAsia"/>
                      <w:b/>
                      <w:bCs/>
                      <w:color w:val="auto"/>
                    </w:rPr>
                  </w:pPr>
                  <w:r>
                    <w:rPr>
                      <w:rFonts w:hint="eastAsia"/>
                      <w:b/>
                      <w:bCs/>
                      <w:color w:val="auto"/>
                    </w:rPr>
                    <w:t>符合性</w:t>
                  </w:r>
                </w:p>
              </w:tc>
            </w:tr>
            <w:tr w14:paraId="56EAC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pct"/>
                  <w:shd w:val="clear" w:color="auto" w:fill="auto"/>
                  <w:noWrap w:val="0"/>
                  <w:vAlign w:val="center"/>
                </w:tcPr>
                <w:p w14:paraId="0D5AD608">
                  <w:pPr>
                    <w:pStyle w:val="28"/>
                    <w:rPr>
                      <w:rFonts w:hint="eastAsia"/>
                      <w:color w:val="auto"/>
                    </w:rPr>
                  </w:pPr>
                  <w:r>
                    <w:rPr>
                      <w:rFonts w:hint="eastAsia"/>
                      <w:color w:val="auto"/>
                    </w:rPr>
                    <w:t>第三十二条</w:t>
                  </w:r>
                </w:p>
              </w:tc>
              <w:tc>
                <w:tcPr>
                  <w:tcW w:w="2069" w:type="pct"/>
                  <w:shd w:val="clear" w:color="auto" w:fill="auto"/>
                  <w:noWrap w:val="0"/>
                  <w:vAlign w:val="center"/>
                </w:tcPr>
                <w:p w14:paraId="6D22B224">
                  <w:pPr>
                    <w:pStyle w:val="28"/>
                    <w:rPr>
                      <w:rFonts w:hint="eastAsia"/>
                      <w:color w:val="auto"/>
                    </w:rPr>
                  </w:pPr>
                  <w:r>
                    <w:rPr>
                      <w:color w:val="auto"/>
                    </w:rPr>
                    <w:t>重</w:t>
                  </w:r>
                  <w:r>
                    <w:rPr>
                      <w:rFonts w:hint="eastAsia"/>
                      <w:color w:val="auto"/>
                    </w:rPr>
                    <w:t>点水源涵养区内禁止下列行为：</w:t>
                  </w:r>
                </w:p>
                <w:p w14:paraId="4D8EE8FC">
                  <w:pPr>
                    <w:pStyle w:val="28"/>
                    <w:numPr>
                      <w:ilvl w:val="0"/>
                      <w:numId w:val="1"/>
                    </w:numPr>
                    <w:rPr>
                      <w:rFonts w:hint="eastAsia"/>
                      <w:color w:val="auto"/>
                    </w:rPr>
                  </w:pPr>
                  <w:r>
                    <w:rPr>
                      <w:rFonts w:hint="eastAsia"/>
                      <w:color w:val="auto"/>
                    </w:rPr>
                    <w:t>盗伐、滥伐林木和破坏草地；</w:t>
                  </w:r>
                </w:p>
                <w:p w14:paraId="50CAC2CE">
                  <w:pPr>
                    <w:pStyle w:val="28"/>
                    <w:numPr>
                      <w:ilvl w:val="0"/>
                      <w:numId w:val="1"/>
                    </w:numPr>
                    <w:rPr>
                      <w:rFonts w:hint="eastAsia"/>
                      <w:color w:val="auto"/>
                    </w:rPr>
                  </w:pPr>
                  <w:r>
                    <w:rPr>
                      <w:rFonts w:hint="eastAsia"/>
                      <w:color w:val="auto"/>
                    </w:rPr>
                    <w:t>使用高毒、高残留农药；</w:t>
                  </w:r>
                </w:p>
                <w:p w14:paraId="0C39FD97">
                  <w:pPr>
                    <w:pStyle w:val="28"/>
                    <w:numPr>
                      <w:ilvl w:val="0"/>
                      <w:numId w:val="1"/>
                    </w:numPr>
                    <w:rPr>
                      <w:rFonts w:hint="eastAsia"/>
                      <w:color w:val="auto"/>
                    </w:rPr>
                  </w:pPr>
                  <w:r>
                    <w:rPr>
                      <w:rFonts w:hint="eastAsia"/>
                      <w:color w:val="auto"/>
                    </w:rPr>
                    <w:t>利用溶洞、渗井、渗坑、裂隙排放、倾倒含有毒有害物质的废水、废渣；</w:t>
                  </w:r>
                </w:p>
                <w:p w14:paraId="50A5255D">
                  <w:pPr>
                    <w:pStyle w:val="28"/>
                    <w:numPr>
                      <w:ilvl w:val="0"/>
                      <w:numId w:val="1"/>
                    </w:numPr>
                    <w:rPr>
                      <w:rFonts w:hint="eastAsia"/>
                      <w:color w:val="auto"/>
                    </w:rPr>
                  </w:pPr>
                  <w:r>
                    <w:rPr>
                      <w:rFonts w:hint="eastAsia"/>
                      <w:color w:val="auto"/>
                    </w:rPr>
                    <w:t>向水体排放废水、倾倒工业废渣、城镇垃圾或者其他废弃物；</w:t>
                  </w:r>
                </w:p>
                <w:p w14:paraId="4DFAC789">
                  <w:pPr>
                    <w:pStyle w:val="28"/>
                    <w:numPr>
                      <w:ilvl w:val="0"/>
                      <w:numId w:val="1"/>
                    </w:numPr>
                    <w:rPr>
                      <w:rFonts w:hint="eastAsia"/>
                      <w:color w:val="auto"/>
                    </w:rPr>
                  </w:pPr>
                  <w:r>
                    <w:rPr>
                      <w:rFonts w:hint="eastAsia"/>
                      <w:color w:val="auto"/>
                    </w:rPr>
                    <w:t>在江河、渠道、水库最高水位线以下的滩地、岸坡堆放、存贮固体废弃物或者其他污染物；</w:t>
                  </w:r>
                </w:p>
                <w:p w14:paraId="16C930FF">
                  <w:pPr>
                    <w:pStyle w:val="28"/>
                    <w:numPr>
                      <w:ilvl w:val="0"/>
                      <w:numId w:val="1"/>
                    </w:numPr>
                    <w:rPr>
                      <w:rFonts w:hint="eastAsia"/>
                      <w:color w:val="auto"/>
                    </w:rPr>
                  </w:pPr>
                  <w:r>
                    <w:rPr>
                      <w:rFonts w:hint="eastAsia"/>
                      <w:color w:val="auto"/>
                    </w:rPr>
                    <w:t>利用无防渗漏措施的沟渠、坑塘等输送或者存贮含有毒污染物的废水、含病原体的污水或者其他废弃物。</w:t>
                  </w:r>
                </w:p>
              </w:tc>
              <w:tc>
                <w:tcPr>
                  <w:tcW w:w="1716" w:type="pct"/>
                  <w:shd w:val="clear" w:color="auto" w:fill="auto"/>
                  <w:noWrap w:val="0"/>
                  <w:vAlign w:val="center"/>
                </w:tcPr>
                <w:p w14:paraId="7635AFE4">
                  <w:pPr>
                    <w:pStyle w:val="28"/>
                    <w:rPr>
                      <w:rFonts w:hint="default" w:eastAsia="宋体"/>
                      <w:color w:val="auto"/>
                      <w:lang w:val="en-US" w:eastAsia="zh-CN"/>
                    </w:rPr>
                  </w:pPr>
                  <w:r>
                    <w:rPr>
                      <w:rFonts w:hint="eastAsia"/>
                      <w:color w:val="auto"/>
                    </w:rPr>
                    <w:t>（一）项目主要为</w:t>
                  </w:r>
                  <w:r>
                    <w:rPr>
                      <w:rFonts w:hint="eastAsia"/>
                      <w:color w:val="auto"/>
                      <w:lang w:val="en-US" w:eastAsia="zh-CN"/>
                    </w:rPr>
                    <w:t>铁路轨枕生产项目</w:t>
                  </w:r>
                  <w:r>
                    <w:rPr>
                      <w:rFonts w:hint="eastAsia"/>
                      <w:color w:val="auto"/>
                    </w:rPr>
                    <w:t>，</w:t>
                  </w:r>
                  <w:r>
                    <w:rPr>
                      <w:rFonts w:hint="eastAsia"/>
                      <w:color w:val="auto"/>
                      <w:lang w:val="en-US" w:eastAsia="zh-CN"/>
                    </w:rPr>
                    <w:t>根据附件4中寻甸县林业和草原局出具选址意见“项目不涉及国家级耕地，符合林地保护利用规划”，项目施工期严格控制施工边界，禁止盗伐、滥伐林木和破坏草地。</w:t>
                  </w:r>
                </w:p>
                <w:p w14:paraId="625C7224">
                  <w:pPr>
                    <w:pStyle w:val="28"/>
                    <w:jc w:val="center"/>
                    <w:rPr>
                      <w:rFonts w:hint="eastAsia"/>
                      <w:color w:val="auto"/>
                    </w:rPr>
                  </w:pPr>
                  <w:r>
                    <w:rPr>
                      <w:rFonts w:hint="eastAsia"/>
                      <w:color w:val="auto"/>
                    </w:rPr>
                    <w:t>（二）项目主要为</w:t>
                  </w:r>
                  <w:r>
                    <w:rPr>
                      <w:rFonts w:hint="eastAsia"/>
                      <w:color w:val="auto"/>
                      <w:lang w:val="en-US" w:eastAsia="zh-CN"/>
                    </w:rPr>
                    <w:t>轨枕生产项目</w:t>
                  </w:r>
                  <w:r>
                    <w:rPr>
                      <w:rFonts w:hint="eastAsia"/>
                      <w:color w:val="auto"/>
                    </w:rPr>
                    <w:t>，不涉及使用高毒、高残留</w:t>
                  </w:r>
                  <w:r>
                    <w:rPr>
                      <w:rFonts w:hint="eastAsia"/>
                      <w:color w:val="auto"/>
                      <w:lang w:val="en-US" w:eastAsia="zh-CN"/>
                    </w:rPr>
                    <w:t>农</w:t>
                  </w:r>
                  <w:r>
                    <w:rPr>
                      <w:rFonts w:hint="eastAsia"/>
                      <w:color w:val="auto"/>
                    </w:rPr>
                    <w:t>药。</w:t>
                  </w:r>
                </w:p>
                <w:p w14:paraId="643C3539">
                  <w:pPr>
                    <w:pStyle w:val="28"/>
                    <w:rPr>
                      <w:rFonts w:hint="eastAsia"/>
                      <w:color w:val="auto"/>
                    </w:rPr>
                  </w:pPr>
                  <w:r>
                    <w:rPr>
                      <w:rFonts w:hint="eastAsia"/>
                      <w:color w:val="auto"/>
                    </w:rPr>
                    <w:t>（三）、（四）、（五）项目废水</w:t>
                  </w:r>
                  <w:r>
                    <w:rPr>
                      <w:rFonts w:hint="eastAsia"/>
                      <w:color w:val="auto"/>
                      <w:lang w:val="en-US" w:eastAsia="zh-CN"/>
                    </w:rPr>
                    <w:t>不</w:t>
                  </w:r>
                  <w:r>
                    <w:rPr>
                      <w:rFonts w:hint="eastAsia"/>
                      <w:color w:val="auto"/>
                    </w:rPr>
                    <w:t>外排，固废处置率100%。</w:t>
                  </w:r>
                </w:p>
                <w:p w14:paraId="5C7C60F7">
                  <w:pPr>
                    <w:pStyle w:val="28"/>
                    <w:rPr>
                      <w:rFonts w:hint="eastAsia"/>
                      <w:color w:val="auto"/>
                      <w:szCs w:val="21"/>
                    </w:rPr>
                  </w:pPr>
                  <w:r>
                    <w:rPr>
                      <w:rFonts w:hint="eastAsia"/>
                      <w:color w:val="auto"/>
                    </w:rPr>
                    <w:t>（六）项目采用分区防控措施，危废暂存间进行重点防渗，</w:t>
                  </w:r>
                  <w:r>
                    <w:rPr>
                      <w:rFonts w:hint="eastAsia"/>
                      <w:color w:val="auto"/>
                      <w:szCs w:val="21"/>
                    </w:rPr>
                    <w:t>危废暂存间等区域，防渗层为至少1m厚黏土层（渗透系数不大于10</w:t>
                  </w:r>
                  <w:r>
                    <w:rPr>
                      <w:rFonts w:hint="eastAsia"/>
                      <w:color w:val="auto"/>
                      <w:szCs w:val="21"/>
                      <w:vertAlign w:val="superscript"/>
                    </w:rPr>
                    <w:t>-7</w:t>
                  </w:r>
                  <w:r>
                    <w:rPr>
                      <w:rFonts w:hint="eastAsia"/>
                      <w:color w:val="auto"/>
                      <w:szCs w:val="21"/>
                    </w:rPr>
                    <w:t>cm/s），或至少2mm厚高密度聚乙烯膜等人工防渗材料（渗透系数不大于10</w:t>
                  </w:r>
                  <w:r>
                    <w:rPr>
                      <w:rFonts w:hint="eastAsia"/>
                      <w:color w:val="auto"/>
                      <w:szCs w:val="21"/>
                      <w:vertAlign w:val="superscript"/>
                    </w:rPr>
                    <w:t>-10</w:t>
                  </w:r>
                  <w:r>
                    <w:rPr>
                      <w:rFonts w:hint="eastAsia"/>
                      <w:color w:val="auto"/>
                      <w:szCs w:val="21"/>
                    </w:rPr>
                    <w:t>cm/s）</w:t>
                  </w:r>
                </w:p>
                <w:p w14:paraId="1A6BFB27">
                  <w:pPr>
                    <w:pStyle w:val="28"/>
                    <w:rPr>
                      <w:rFonts w:hint="eastAsia"/>
                      <w:color w:val="auto"/>
                    </w:rPr>
                  </w:pPr>
                  <w:r>
                    <w:rPr>
                      <w:rFonts w:hint="eastAsia"/>
                      <w:color w:val="auto"/>
                      <w:szCs w:val="21"/>
                    </w:rPr>
                    <w:t>化粪池、</w:t>
                  </w:r>
                  <w:r>
                    <w:rPr>
                      <w:rFonts w:hint="eastAsia"/>
                      <w:color w:val="auto"/>
                      <w:szCs w:val="21"/>
                      <w:lang w:val="en-US" w:eastAsia="zh-CN"/>
                    </w:rPr>
                    <w:t>三级沉淀池、</w:t>
                  </w:r>
                  <w:r>
                    <w:rPr>
                      <w:rFonts w:hint="eastAsia"/>
                      <w:color w:val="auto"/>
                      <w:szCs w:val="21"/>
                    </w:rPr>
                    <w:t>四级沉淀池、</w:t>
                  </w:r>
                  <w:r>
                    <w:rPr>
                      <w:rFonts w:hint="eastAsia"/>
                      <w:color w:val="auto"/>
                      <w:szCs w:val="21"/>
                      <w:lang w:val="en-US" w:eastAsia="zh-CN"/>
                    </w:rPr>
                    <w:t>五级沉淀池、</w:t>
                  </w:r>
                  <w:r>
                    <w:rPr>
                      <w:rFonts w:hint="eastAsia"/>
                      <w:color w:val="auto"/>
                      <w:szCs w:val="21"/>
                    </w:rPr>
                    <w:t>办公用房及厂区道路等</w:t>
                  </w:r>
                  <w:r>
                    <w:rPr>
                      <w:rFonts w:hint="eastAsia"/>
                      <w:color w:val="auto"/>
                      <w:szCs w:val="21"/>
                      <w:lang w:val="en-US" w:eastAsia="zh-CN"/>
                    </w:rPr>
                    <w:t>为</w:t>
                  </w:r>
                  <w:r>
                    <w:rPr>
                      <w:rFonts w:hint="eastAsia"/>
                      <w:color w:val="auto"/>
                      <w:szCs w:val="21"/>
                    </w:rPr>
                    <w:t>简单</w:t>
                  </w:r>
                  <w:r>
                    <w:rPr>
                      <w:rFonts w:hint="eastAsia"/>
                      <w:color w:val="auto"/>
                      <w:szCs w:val="21"/>
                      <w:lang w:eastAsia="zh-CN"/>
                    </w:rPr>
                    <w:t>防渗</w:t>
                  </w:r>
                  <w:r>
                    <w:rPr>
                      <w:rFonts w:hint="eastAsia"/>
                      <w:color w:val="auto"/>
                      <w:szCs w:val="21"/>
                    </w:rPr>
                    <w:t>区域，采用混凝土进行硬化处理。</w:t>
                  </w:r>
                </w:p>
              </w:tc>
              <w:tc>
                <w:tcPr>
                  <w:tcW w:w="671" w:type="pct"/>
                  <w:shd w:val="clear" w:color="auto" w:fill="auto"/>
                  <w:noWrap w:val="0"/>
                  <w:vAlign w:val="center"/>
                </w:tcPr>
                <w:p w14:paraId="4DC1D902">
                  <w:pPr>
                    <w:pStyle w:val="28"/>
                    <w:rPr>
                      <w:rFonts w:hint="eastAsia"/>
                      <w:color w:val="auto"/>
                    </w:rPr>
                  </w:pPr>
                  <w:r>
                    <w:rPr>
                      <w:rFonts w:hint="eastAsia"/>
                      <w:color w:val="auto"/>
                    </w:rPr>
                    <w:t>相符</w:t>
                  </w:r>
                </w:p>
              </w:tc>
            </w:tr>
            <w:tr w14:paraId="7036E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pct"/>
                  <w:shd w:val="clear" w:color="auto" w:fill="auto"/>
                  <w:noWrap w:val="0"/>
                  <w:vAlign w:val="center"/>
                </w:tcPr>
                <w:p w14:paraId="646A333C">
                  <w:pPr>
                    <w:pStyle w:val="28"/>
                    <w:rPr>
                      <w:rFonts w:hint="eastAsia"/>
                      <w:color w:val="auto"/>
                    </w:rPr>
                  </w:pPr>
                  <w:r>
                    <w:rPr>
                      <w:rFonts w:hint="eastAsia"/>
                      <w:color w:val="auto"/>
                    </w:rPr>
                    <w:t>第三十三条</w:t>
                  </w:r>
                </w:p>
              </w:tc>
              <w:tc>
                <w:tcPr>
                  <w:tcW w:w="2069" w:type="pct"/>
                  <w:shd w:val="clear" w:color="auto" w:fill="auto"/>
                  <w:noWrap w:val="0"/>
                  <w:vAlign w:val="center"/>
                </w:tcPr>
                <w:p w14:paraId="440D6EC5">
                  <w:pPr>
                    <w:pStyle w:val="28"/>
                    <w:rPr>
                      <w:rFonts w:hint="eastAsia"/>
                      <w:color w:val="auto"/>
                    </w:rPr>
                  </w:pPr>
                  <w:r>
                    <w:rPr>
                      <w:color w:val="auto"/>
                    </w:rPr>
                    <w:t>重</w:t>
                  </w:r>
                  <w:r>
                    <w:rPr>
                      <w:rFonts w:hint="eastAsia"/>
                      <w:color w:val="auto"/>
                    </w:rPr>
                    <w:t>点污染控制区内除重点水源涵养区禁止的行为外，还禁止下列行为：</w:t>
                  </w:r>
                </w:p>
                <w:p w14:paraId="193356DF">
                  <w:pPr>
                    <w:pStyle w:val="28"/>
                    <w:rPr>
                      <w:rFonts w:hint="eastAsia"/>
                      <w:color w:val="auto"/>
                    </w:rPr>
                  </w:pPr>
                  <w:r>
                    <w:rPr>
                      <w:rFonts w:hint="eastAsia"/>
                      <w:color w:val="auto"/>
                    </w:rPr>
                    <w:t>（一）新建、扩建工业园区；（二）新建、扩建重点水污染物排放的工业项目；</w:t>
                  </w:r>
                </w:p>
                <w:p w14:paraId="584210E5">
                  <w:pPr>
                    <w:pStyle w:val="28"/>
                    <w:rPr>
                      <w:rFonts w:hint="eastAsia"/>
                      <w:color w:val="auto"/>
                    </w:rPr>
                  </w:pPr>
                  <w:r>
                    <w:rPr>
                      <w:rFonts w:hint="eastAsia"/>
                      <w:color w:val="auto"/>
                    </w:rPr>
                    <w:t>（三）新建、改建、扩建经营性陵园、公墓。</w:t>
                  </w:r>
                </w:p>
              </w:tc>
              <w:tc>
                <w:tcPr>
                  <w:tcW w:w="1716" w:type="pct"/>
                  <w:shd w:val="clear" w:color="auto" w:fill="auto"/>
                  <w:noWrap w:val="0"/>
                  <w:vAlign w:val="center"/>
                </w:tcPr>
                <w:p w14:paraId="339A2F97">
                  <w:pPr>
                    <w:pStyle w:val="28"/>
                    <w:rPr>
                      <w:rFonts w:hint="eastAsia"/>
                      <w:color w:val="auto"/>
                    </w:rPr>
                  </w:pPr>
                  <w:r>
                    <w:rPr>
                      <w:rFonts w:hint="eastAsia"/>
                      <w:color w:val="auto"/>
                    </w:rPr>
                    <w:t>（一）项目主要为</w:t>
                  </w:r>
                  <w:r>
                    <w:rPr>
                      <w:rFonts w:hint="eastAsia"/>
                      <w:color w:val="auto"/>
                      <w:lang w:val="en-US" w:eastAsia="zh-CN"/>
                    </w:rPr>
                    <w:t>轨枕生产项目</w:t>
                  </w:r>
                  <w:r>
                    <w:rPr>
                      <w:rFonts w:hint="eastAsia"/>
                      <w:color w:val="auto"/>
                    </w:rPr>
                    <w:t>，不属于工业园区</w:t>
                  </w:r>
                  <w:r>
                    <w:rPr>
                      <w:rFonts w:hint="eastAsia"/>
                      <w:color w:val="auto"/>
                      <w:lang w:val="en-US" w:eastAsia="zh-CN"/>
                    </w:rPr>
                    <w:t>项目</w:t>
                  </w:r>
                  <w:r>
                    <w:rPr>
                      <w:rFonts w:hint="eastAsia"/>
                      <w:color w:val="auto"/>
                    </w:rPr>
                    <w:t>。</w:t>
                  </w:r>
                </w:p>
                <w:p w14:paraId="0A0AF79C">
                  <w:pPr>
                    <w:pStyle w:val="28"/>
                    <w:rPr>
                      <w:rFonts w:hint="eastAsia"/>
                      <w:color w:val="auto"/>
                      <w:szCs w:val="21"/>
                    </w:rPr>
                  </w:pPr>
                  <w:r>
                    <w:rPr>
                      <w:rFonts w:hint="eastAsia"/>
                      <w:color w:val="auto"/>
                    </w:rPr>
                    <w:t>（二）项</w:t>
                  </w:r>
                  <w:r>
                    <w:rPr>
                      <w:color w:val="auto"/>
                      <w:szCs w:val="21"/>
                    </w:rPr>
                    <w:t>目不属于重点水污染物排放工业项目</w:t>
                  </w:r>
                  <w:r>
                    <w:rPr>
                      <w:rFonts w:hint="eastAsia"/>
                      <w:color w:val="auto"/>
                      <w:szCs w:val="21"/>
                    </w:rPr>
                    <w:t>。</w:t>
                  </w:r>
                </w:p>
                <w:p w14:paraId="1B23ACC5">
                  <w:pPr>
                    <w:pStyle w:val="28"/>
                    <w:rPr>
                      <w:rFonts w:hint="eastAsia"/>
                      <w:color w:val="auto"/>
                      <w:szCs w:val="21"/>
                    </w:rPr>
                  </w:pPr>
                  <w:r>
                    <w:rPr>
                      <w:rFonts w:hint="eastAsia"/>
                      <w:color w:val="auto"/>
                      <w:szCs w:val="21"/>
                    </w:rPr>
                    <w:t>（三）项目不属于</w:t>
                  </w:r>
                  <w:r>
                    <w:rPr>
                      <w:rFonts w:hint="eastAsia"/>
                      <w:color w:val="auto"/>
                    </w:rPr>
                    <w:t>经营性陵园、公墓。</w:t>
                  </w:r>
                </w:p>
              </w:tc>
              <w:tc>
                <w:tcPr>
                  <w:tcW w:w="671" w:type="pct"/>
                  <w:shd w:val="clear" w:color="auto" w:fill="auto"/>
                  <w:noWrap w:val="0"/>
                  <w:vAlign w:val="center"/>
                </w:tcPr>
                <w:p w14:paraId="51558C07">
                  <w:pPr>
                    <w:pStyle w:val="28"/>
                    <w:rPr>
                      <w:rFonts w:hint="eastAsia"/>
                      <w:color w:val="auto"/>
                    </w:rPr>
                  </w:pPr>
                  <w:r>
                    <w:rPr>
                      <w:rFonts w:hint="eastAsia"/>
                      <w:color w:val="auto"/>
                    </w:rPr>
                    <w:t>相符</w:t>
                  </w:r>
                </w:p>
              </w:tc>
            </w:tr>
            <w:tr w14:paraId="0090A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pct"/>
                  <w:shd w:val="clear" w:color="auto" w:fill="auto"/>
                  <w:noWrap w:val="0"/>
                  <w:vAlign w:val="center"/>
                </w:tcPr>
                <w:p w14:paraId="2ECD1CFB">
                  <w:pPr>
                    <w:pStyle w:val="28"/>
                    <w:rPr>
                      <w:rFonts w:hint="eastAsia"/>
                      <w:color w:val="auto"/>
                    </w:rPr>
                  </w:pPr>
                  <w:r>
                    <w:rPr>
                      <w:rFonts w:hint="eastAsia"/>
                      <w:color w:val="auto"/>
                    </w:rPr>
                    <w:t>第三十四条</w:t>
                  </w:r>
                </w:p>
              </w:tc>
              <w:tc>
                <w:tcPr>
                  <w:tcW w:w="2069" w:type="pct"/>
                  <w:shd w:val="clear" w:color="auto" w:fill="auto"/>
                  <w:noWrap w:val="0"/>
                  <w:vAlign w:val="center"/>
                </w:tcPr>
                <w:p w14:paraId="48526232">
                  <w:pPr>
                    <w:pStyle w:val="28"/>
                    <w:rPr>
                      <w:rFonts w:hint="eastAsia"/>
                      <w:color w:val="auto"/>
                    </w:rPr>
                  </w:pPr>
                  <w:r>
                    <w:rPr>
                      <w:color w:val="auto"/>
                    </w:rPr>
                    <w:t>水</w:t>
                  </w:r>
                  <w:r>
                    <w:rPr>
                      <w:rFonts w:hint="eastAsia"/>
                      <w:color w:val="auto"/>
                    </w:rPr>
                    <w:t>源保护核心区内除重点污染控制区、重点水源涵养区禁止的行为外，还禁止下列行为：</w:t>
                  </w:r>
                </w:p>
                <w:p w14:paraId="0976FF02">
                  <w:pPr>
                    <w:pStyle w:val="28"/>
                    <w:rPr>
                      <w:color w:val="auto"/>
                    </w:rPr>
                  </w:pPr>
                  <w:r>
                    <w:rPr>
                      <w:rFonts w:hint="eastAsia"/>
                      <w:color w:val="auto"/>
                    </w:rPr>
                    <w:t>（一）新建、改建、扩建排污口；</w:t>
                  </w:r>
                </w:p>
                <w:p w14:paraId="0AE02B0B">
                  <w:pPr>
                    <w:pStyle w:val="28"/>
                    <w:rPr>
                      <w:rFonts w:hint="eastAsia"/>
                      <w:color w:val="auto"/>
                    </w:rPr>
                  </w:pPr>
                  <w:r>
                    <w:rPr>
                      <w:color w:val="auto"/>
                    </w:rPr>
                    <w:t>（</w:t>
                  </w:r>
                  <w:r>
                    <w:rPr>
                      <w:rFonts w:hint="eastAsia"/>
                      <w:color w:val="auto"/>
                    </w:rPr>
                    <w:t>二）围河造地、围垦河道；（三）围堰、围网、网箱养殖；</w:t>
                  </w:r>
                </w:p>
                <w:p w14:paraId="7F3327F9">
                  <w:pPr>
                    <w:pStyle w:val="28"/>
                    <w:rPr>
                      <w:rFonts w:hint="eastAsia"/>
                      <w:color w:val="auto"/>
                    </w:rPr>
                  </w:pPr>
                  <w:r>
                    <w:rPr>
                      <w:rFonts w:hint="eastAsia"/>
                      <w:color w:val="auto"/>
                    </w:rPr>
                    <w:t>（四）规模化畜禽养殖；</w:t>
                  </w:r>
                </w:p>
                <w:p w14:paraId="6F2D3546">
                  <w:pPr>
                    <w:pStyle w:val="28"/>
                    <w:rPr>
                      <w:rFonts w:hint="eastAsia"/>
                      <w:color w:val="auto"/>
                    </w:rPr>
                  </w:pPr>
                  <w:r>
                    <w:rPr>
                      <w:rFonts w:hint="eastAsia"/>
                      <w:color w:val="auto"/>
                    </w:rPr>
                    <w:t>（五）损毁水利、水文、科研、气象、测量、环境监测等设施设备；</w:t>
                  </w:r>
                </w:p>
                <w:p w14:paraId="2E55F9D9">
                  <w:pPr>
                    <w:pStyle w:val="28"/>
                    <w:rPr>
                      <w:rFonts w:hint="eastAsia"/>
                      <w:color w:val="auto"/>
                    </w:rPr>
                  </w:pPr>
                  <w:r>
                    <w:rPr>
                      <w:rFonts w:hint="eastAsia"/>
                      <w:color w:val="auto"/>
                    </w:rPr>
                    <w:t>（六）挖砂、采石、取土、采矿。</w:t>
                  </w:r>
                </w:p>
              </w:tc>
              <w:tc>
                <w:tcPr>
                  <w:tcW w:w="1716" w:type="pct"/>
                  <w:shd w:val="clear" w:color="auto" w:fill="auto"/>
                  <w:noWrap w:val="0"/>
                  <w:vAlign w:val="center"/>
                </w:tcPr>
                <w:p w14:paraId="31F25928">
                  <w:pPr>
                    <w:pStyle w:val="28"/>
                    <w:rPr>
                      <w:rFonts w:hint="eastAsia"/>
                      <w:color w:val="auto"/>
                    </w:rPr>
                  </w:pPr>
                  <w:r>
                    <w:rPr>
                      <w:rFonts w:hint="eastAsia"/>
                      <w:color w:val="auto"/>
                    </w:rPr>
                    <w:t>（一）</w:t>
                  </w:r>
                  <w:r>
                    <w:rPr>
                      <w:rFonts w:hint="eastAsia"/>
                      <w:color w:val="auto"/>
                      <w:lang w:val="en-US" w:eastAsia="zh-CN"/>
                    </w:rPr>
                    <w:t>项目生产废物经沉淀池收集后回用于混凝土搅拌，</w:t>
                  </w:r>
                  <w:r>
                    <w:rPr>
                      <w:rFonts w:hint="eastAsia"/>
                      <w:color w:val="auto"/>
                    </w:rPr>
                    <w:t>生活污水经化粪池处理后委托</w:t>
                  </w:r>
                  <w:r>
                    <w:rPr>
                      <w:rFonts w:hint="eastAsia"/>
                      <w:color w:val="auto"/>
                      <w:szCs w:val="21"/>
                      <w:lang w:val="en-US" w:eastAsia="zh-CN"/>
                    </w:rPr>
                    <w:t>昆明洁龙保洁服务有限公司</w:t>
                  </w:r>
                  <w:r>
                    <w:rPr>
                      <w:color w:val="auto"/>
                      <w:szCs w:val="21"/>
                    </w:rPr>
                    <w:t>定期</w:t>
                  </w:r>
                  <w:r>
                    <w:rPr>
                      <w:rFonts w:hint="eastAsia"/>
                      <w:color w:val="auto"/>
                      <w:szCs w:val="21"/>
                    </w:rPr>
                    <w:t>清掏</w:t>
                  </w:r>
                  <w:r>
                    <w:rPr>
                      <w:rFonts w:hint="eastAsia"/>
                      <w:color w:val="auto"/>
                    </w:rPr>
                    <w:t>，初期雨水</w:t>
                  </w:r>
                  <w:r>
                    <w:rPr>
                      <w:rFonts w:hint="eastAsia"/>
                      <w:color w:val="auto"/>
                      <w:lang w:val="en-US" w:eastAsia="zh-CN"/>
                    </w:rPr>
                    <w:t>经</w:t>
                  </w:r>
                  <w:r>
                    <w:rPr>
                      <w:rFonts w:hint="eastAsia"/>
                      <w:color w:val="auto"/>
                    </w:rPr>
                    <w:t>收集</w:t>
                  </w:r>
                  <w:r>
                    <w:rPr>
                      <w:rFonts w:hint="eastAsia"/>
                      <w:color w:val="auto"/>
                      <w:lang w:val="en-US" w:eastAsia="zh-CN"/>
                    </w:rPr>
                    <w:t>后回用于混凝土搅拌</w:t>
                  </w:r>
                  <w:r>
                    <w:rPr>
                      <w:rFonts w:hint="eastAsia"/>
                      <w:color w:val="auto"/>
                    </w:rPr>
                    <w:t>，项目无废水外排，不涉及新建、改建、扩建排污口。</w:t>
                  </w:r>
                </w:p>
                <w:p w14:paraId="4CEAC8FA">
                  <w:pPr>
                    <w:pStyle w:val="28"/>
                    <w:rPr>
                      <w:rFonts w:hint="eastAsia"/>
                      <w:color w:val="auto"/>
                    </w:rPr>
                  </w:pPr>
                  <w:r>
                    <w:rPr>
                      <w:rFonts w:hint="eastAsia"/>
                      <w:color w:val="auto"/>
                    </w:rPr>
                    <w:t>（二）项目不涉及围河造地、围垦河道。</w:t>
                  </w:r>
                </w:p>
                <w:p w14:paraId="4DDC35A6">
                  <w:pPr>
                    <w:pStyle w:val="28"/>
                    <w:rPr>
                      <w:rFonts w:hint="eastAsia"/>
                      <w:color w:val="auto"/>
                    </w:rPr>
                  </w:pPr>
                  <w:r>
                    <w:rPr>
                      <w:rFonts w:hint="eastAsia"/>
                      <w:color w:val="auto"/>
                    </w:rPr>
                    <w:t>（三）项目不涉及围堰、围网、网箱养殖。</w:t>
                  </w:r>
                </w:p>
                <w:p w14:paraId="43B28DF5">
                  <w:pPr>
                    <w:pStyle w:val="28"/>
                    <w:rPr>
                      <w:rFonts w:hint="eastAsia"/>
                      <w:color w:val="auto"/>
                    </w:rPr>
                  </w:pPr>
                  <w:r>
                    <w:rPr>
                      <w:rFonts w:hint="eastAsia"/>
                      <w:color w:val="auto"/>
                    </w:rPr>
                    <w:t>（四）项目不涉及畜禽养殖。</w:t>
                  </w:r>
                </w:p>
                <w:p w14:paraId="2D46C6C1">
                  <w:pPr>
                    <w:pStyle w:val="28"/>
                    <w:rPr>
                      <w:rFonts w:hint="eastAsia"/>
                      <w:color w:val="auto"/>
                    </w:rPr>
                  </w:pPr>
                  <w:r>
                    <w:rPr>
                      <w:rFonts w:hint="eastAsia"/>
                      <w:color w:val="auto"/>
                    </w:rPr>
                    <w:t>（五）项目严格控制施工边界，不会损毁水利、水文、科研、气象、测量、环境监测等设施设备。</w:t>
                  </w:r>
                </w:p>
                <w:p w14:paraId="7650A365">
                  <w:pPr>
                    <w:pStyle w:val="28"/>
                    <w:rPr>
                      <w:rFonts w:hint="default" w:eastAsia="宋体"/>
                      <w:color w:val="auto"/>
                      <w:lang w:val="en-US" w:eastAsia="zh-CN"/>
                    </w:rPr>
                  </w:pPr>
                  <w:r>
                    <w:rPr>
                      <w:rFonts w:hint="eastAsia"/>
                      <w:color w:val="auto"/>
                    </w:rPr>
                    <w:t>（六）项目不涉及挖砂、采石、采矿</w:t>
                  </w:r>
                  <w:r>
                    <w:rPr>
                      <w:rFonts w:hint="eastAsia"/>
                      <w:color w:val="auto"/>
                      <w:lang w:eastAsia="zh-CN"/>
                    </w:rPr>
                    <w:t>，</w:t>
                  </w:r>
                  <w:r>
                    <w:rPr>
                      <w:rFonts w:hint="eastAsia"/>
                      <w:color w:val="auto"/>
                      <w:lang w:val="en-US" w:eastAsia="zh-CN"/>
                    </w:rPr>
                    <w:t>项目区土石方用于回填项目低洼处，土石方挖填平衡。</w:t>
                  </w:r>
                </w:p>
              </w:tc>
              <w:tc>
                <w:tcPr>
                  <w:tcW w:w="671" w:type="pct"/>
                  <w:shd w:val="clear" w:color="auto" w:fill="auto"/>
                  <w:noWrap w:val="0"/>
                  <w:vAlign w:val="center"/>
                </w:tcPr>
                <w:p w14:paraId="20204594">
                  <w:pPr>
                    <w:pStyle w:val="28"/>
                    <w:rPr>
                      <w:rFonts w:hint="eastAsia"/>
                      <w:color w:val="auto"/>
                    </w:rPr>
                  </w:pPr>
                  <w:r>
                    <w:rPr>
                      <w:rFonts w:hint="eastAsia"/>
                      <w:color w:val="auto"/>
                    </w:rPr>
                    <w:t>相符</w:t>
                  </w:r>
                </w:p>
              </w:tc>
            </w:tr>
          </w:tbl>
          <w:p w14:paraId="33BAF5ED">
            <w:pPr>
              <w:pStyle w:val="31"/>
              <w:ind w:firstLine="482"/>
              <w:rPr>
                <w:b/>
                <w:bCs/>
                <w:color w:val="auto"/>
                <w:szCs w:val="24"/>
                <w:lang w:bidi="ar"/>
              </w:rPr>
            </w:pPr>
            <w:r>
              <w:rPr>
                <w:b/>
                <w:bCs/>
                <w:color w:val="auto"/>
                <w:szCs w:val="24"/>
                <w:lang w:bidi="ar"/>
              </w:rPr>
              <w:t>1.1.</w:t>
            </w:r>
            <w:r>
              <w:rPr>
                <w:rFonts w:hint="eastAsia"/>
                <w:b/>
                <w:bCs/>
                <w:color w:val="auto"/>
                <w:szCs w:val="24"/>
                <w:lang w:val="en-US" w:eastAsia="zh-CN" w:bidi="ar"/>
              </w:rPr>
              <w:t>13</w:t>
            </w:r>
            <w:r>
              <w:rPr>
                <w:b/>
                <w:bCs/>
                <w:color w:val="auto"/>
                <w:szCs w:val="24"/>
                <w:lang w:bidi="ar"/>
              </w:rPr>
              <w:t>与《牛栏江流域（昆明段）水污染防治工作方案》的</w:t>
            </w:r>
            <w:r>
              <w:rPr>
                <w:rFonts w:hint="eastAsia"/>
                <w:b/>
                <w:bCs/>
                <w:color w:val="auto"/>
                <w:szCs w:val="24"/>
                <w:lang w:bidi="ar"/>
              </w:rPr>
              <w:t>符合</w:t>
            </w:r>
            <w:r>
              <w:rPr>
                <w:b/>
                <w:bCs/>
                <w:color w:val="auto"/>
                <w:szCs w:val="24"/>
                <w:lang w:bidi="ar"/>
              </w:rPr>
              <w:t>性分析</w:t>
            </w:r>
          </w:p>
          <w:p w14:paraId="1F6E6F38">
            <w:pPr>
              <w:pStyle w:val="31"/>
              <w:ind w:firstLine="482"/>
              <w:rPr>
                <w:b/>
                <w:bCs/>
                <w:color w:val="auto"/>
                <w:szCs w:val="24"/>
                <w:lang w:bidi="ar"/>
              </w:rPr>
            </w:pPr>
            <w:r>
              <w:rPr>
                <w:rFonts w:hint="eastAsia"/>
                <w:color w:val="auto"/>
              </w:rPr>
              <w:t>项目与《牛栏江流域（昆明段）水污染防治工作方案》（昆政办〔2011〕33号）涉及条例的符合性分析见下表。</w:t>
            </w:r>
          </w:p>
          <w:p w14:paraId="717B7152">
            <w:pPr>
              <w:pStyle w:val="17"/>
              <w:ind w:left="0" w:leftChars="0" w:firstLine="0" w:firstLineChars="0"/>
              <w:jc w:val="center"/>
              <w:rPr>
                <w:color w:val="auto"/>
              </w:rPr>
            </w:pPr>
            <w:r>
              <w:rPr>
                <w:color w:val="auto"/>
              </w:rPr>
              <w:t>表1-</w:t>
            </w:r>
            <w:r>
              <w:rPr>
                <w:rFonts w:hint="eastAsia"/>
                <w:color w:val="auto"/>
                <w:lang w:val="en-US" w:eastAsia="zh-CN"/>
              </w:rPr>
              <w:t>11</w:t>
            </w:r>
            <w:r>
              <w:rPr>
                <w:color w:val="auto"/>
              </w:rPr>
              <w:t>项目与</w:t>
            </w:r>
            <w:r>
              <w:rPr>
                <w:rFonts w:hint="eastAsia"/>
                <w:color w:val="auto"/>
              </w:rPr>
              <w:t>《牛栏江流域（昆明段）水污染防治工作方案》（昆政办〔2011〕33号）的</w:t>
            </w:r>
            <w:r>
              <w:rPr>
                <w:color w:val="auto"/>
              </w:rPr>
              <w:t>符合性分析</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1"/>
              <w:gridCol w:w="3136"/>
              <w:gridCol w:w="3216"/>
              <w:gridCol w:w="977"/>
            </w:tblGrid>
            <w:tr w14:paraId="1527A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 w:type="pct"/>
                  <w:shd w:val="clear" w:color="auto" w:fill="auto"/>
                  <w:noWrap w:val="0"/>
                  <w:vAlign w:val="center"/>
                </w:tcPr>
                <w:p w14:paraId="411914C2">
                  <w:pPr>
                    <w:pStyle w:val="28"/>
                    <w:rPr>
                      <w:b/>
                      <w:bCs/>
                      <w:color w:val="auto"/>
                    </w:rPr>
                  </w:pPr>
                  <w:r>
                    <w:rPr>
                      <w:rFonts w:hint="eastAsia"/>
                      <w:b/>
                      <w:bCs/>
                      <w:color w:val="auto"/>
                    </w:rPr>
                    <w:t>序号</w:t>
                  </w:r>
                </w:p>
              </w:tc>
              <w:tc>
                <w:tcPr>
                  <w:tcW w:w="1921" w:type="pct"/>
                  <w:shd w:val="clear" w:color="auto" w:fill="auto"/>
                  <w:noWrap w:val="0"/>
                  <w:vAlign w:val="center"/>
                </w:tcPr>
                <w:p w14:paraId="411769FC">
                  <w:pPr>
                    <w:pStyle w:val="28"/>
                    <w:rPr>
                      <w:b/>
                      <w:bCs/>
                      <w:color w:val="auto"/>
                    </w:rPr>
                  </w:pPr>
                  <w:r>
                    <w:rPr>
                      <w:rFonts w:hint="eastAsia"/>
                      <w:b/>
                      <w:bCs/>
                      <w:color w:val="auto"/>
                    </w:rPr>
                    <w:t>工作方案涉及条例</w:t>
                  </w:r>
                </w:p>
              </w:tc>
              <w:tc>
                <w:tcPr>
                  <w:tcW w:w="1970" w:type="pct"/>
                  <w:shd w:val="clear" w:color="auto" w:fill="auto"/>
                  <w:noWrap w:val="0"/>
                  <w:vAlign w:val="center"/>
                </w:tcPr>
                <w:p w14:paraId="4EA3AB73">
                  <w:pPr>
                    <w:pStyle w:val="28"/>
                    <w:rPr>
                      <w:b/>
                      <w:bCs/>
                      <w:color w:val="auto"/>
                    </w:rPr>
                  </w:pPr>
                  <w:r>
                    <w:rPr>
                      <w:rFonts w:hint="eastAsia"/>
                      <w:b/>
                      <w:bCs/>
                      <w:color w:val="auto"/>
                    </w:rPr>
                    <w:t>本项目情况</w:t>
                  </w:r>
                </w:p>
              </w:tc>
              <w:tc>
                <w:tcPr>
                  <w:tcW w:w="598" w:type="pct"/>
                  <w:shd w:val="clear" w:color="auto" w:fill="auto"/>
                  <w:noWrap w:val="0"/>
                  <w:vAlign w:val="center"/>
                </w:tcPr>
                <w:p w14:paraId="4C631C76">
                  <w:pPr>
                    <w:pStyle w:val="28"/>
                    <w:rPr>
                      <w:b/>
                      <w:bCs/>
                      <w:color w:val="auto"/>
                    </w:rPr>
                  </w:pPr>
                  <w:r>
                    <w:rPr>
                      <w:rFonts w:hint="eastAsia"/>
                      <w:b/>
                      <w:bCs/>
                      <w:color w:val="auto"/>
                    </w:rPr>
                    <w:t>符合性</w:t>
                  </w:r>
                </w:p>
              </w:tc>
            </w:tr>
            <w:tr w14:paraId="12F44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 w:type="pct"/>
                  <w:shd w:val="clear" w:color="auto" w:fill="auto"/>
                  <w:noWrap w:val="0"/>
                  <w:vAlign w:val="center"/>
                </w:tcPr>
                <w:p w14:paraId="7AB80FEB">
                  <w:pPr>
                    <w:pStyle w:val="28"/>
                    <w:rPr>
                      <w:color w:val="auto"/>
                    </w:rPr>
                  </w:pPr>
                  <w:r>
                    <w:rPr>
                      <w:rFonts w:hint="eastAsia"/>
                      <w:color w:val="auto"/>
                    </w:rPr>
                    <w:t>1</w:t>
                  </w:r>
                </w:p>
              </w:tc>
              <w:tc>
                <w:tcPr>
                  <w:tcW w:w="1921" w:type="pct"/>
                  <w:shd w:val="clear" w:color="auto" w:fill="auto"/>
                  <w:noWrap w:val="0"/>
                  <w:vAlign w:val="center"/>
                </w:tcPr>
                <w:p w14:paraId="13CC34D4">
                  <w:pPr>
                    <w:pStyle w:val="28"/>
                    <w:rPr>
                      <w:color w:val="auto"/>
                    </w:rPr>
                  </w:pPr>
                  <w:r>
                    <w:rPr>
                      <w:rFonts w:hint="eastAsia"/>
                      <w:color w:val="auto"/>
                    </w:rPr>
                    <w:t>引导产业发展。合理规划布局产业发展方向。禁止新建不符合国家产业政策的工业项目。禁止在牛栏江流域（昆明段）新建高污染工业项目，包括污染严重的钢铁、冶炼、基础化工、农药、电镀、造纸制浆、制革、印染、磷化工、石棉制品、土硫磺、土磷肥和染料等企业和项目。对原有的该类企业实施逐步、有计划地搬迁和淘汰。</w:t>
                  </w:r>
                </w:p>
              </w:tc>
              <w:tc>
                <w:tcPr>
                  <w:tcW w:w="1970" w:type="pct"/>
                  <w:shd w:val="clear" w:color="auto" w:fill="auto"/>
                  <w:noWrap w:val="0"/>
                  <w:vAlign w:val="center"/>
                </w:tcPr>
                <w:p w14:paraId="26F60D8B">
                  <w:pPr>
                    <w:pStyle w:val="28"/>
                    <w:jc w:val="both"/>
                    <w:rPr>
                      <w:rFonts w:hint="eastAsia"/>
                      <w:color w:val="auto"/>
                    </w:rPr>
                  </w:pPr>
                  <w:r>
                    <w:rPr>
                      <w:rFonts w:hint="eastAsia"/>
                      <w:color w:val="auto"/>
                    </w:rPr>
                    <w:t>根据上文分析，本项目不属于限制类和淘汰类项目，视为允许类。且项目已经通过寻甸回族彝族自治县发展和改革局备案，项目代码：2309-530129-04-01-112150。因此本项目的建设符合国家产业政策的要求。</w:t>
                  </w:r>
                </w:p>
                <w:p w14:paraId="334C7009">
                  <w:pPr>
                    <w:pStyle w:val="28"/>
                    <w:jc w:val="both"/>
                    <w:rPr>
                      <w:rFonts w:hint="eastAsia"/>
                      <w:color w:val="auto"/>
                    </w:rPr>
                  </w:pPr>
                  <w:r>
                    <w:rPr>
                      <w:rFonts w:hint="eastAsia"/>
                      <w:color w:val="auto"/>
                    </w:rPr>
                    <w:t>项目</w:t>
                  </w:r>
                  <w:r>
                    <w:rPr>
                      <w:color w:val="auto"/>
                    </w:rPr>
                    <w:t>不属于牛栏江流域禁止的高污染项目</w:t>
                  </w:r>
                  <w:r>
                    <w:rPr>
                      <w:rFonts w:hint="eastAsia"/>
                      <w:color w:val="auto"/>
                    </w:rPr>
                    <w:t>。</w:t>
                  </w:r>
                </w:p>
              </w:tc>
              <w:tc>
                <w:tcPr>
                  <w:tcW w:w="598" w:type="pct"/>
                  <w:shd w:val="clear" w:color="auto" w:fill="auto"/>
                  <w:noWrap w:val="0"/>
                  <w:vAlign w:val="center"/>
                </w:tcPr>
                <w:p w14:paraId="136D2F64">
                  <w:pPr>
                    <w:pStyle w:val="28"/>
                    <w:rPr>
                      <w:color w:val="auto"/>
                    </w:rPr>
                  </w:pPr>
                  <w:r>
                    <w:rPr>
                      <w:rFonts w:hint="eastAsia"/>
                      <w:color w:val="auto"/>
                    </w:rPr>
                    <w:t>相符</w:t>
                  </w:r>
                </w:p>
              </w:tc>
            </w:tr>
            <w:tr w14:paraId="22CA2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 w:type="pct"/>
                  <w:shd w:val="clear" w:color="auto" w:fill="auto"/>
                  <w:noWrap w:val="0"/>
                  <w:vAlign w:val="center"/>
                </w:tcPr>
                <w:p w14:paraId="096D049D">
                  <w:pPr>
                    <w:pStyle w:val="28"/>
                    <w:rPr>
                      <w:color w:val="auto"/>
                    </w:rPr>
                  </w:pPr>
                  <w:r>
                    <w:rPr>
                      <w:rFonts w:hint="eastAsia"/>
                      <w:color w:val="auto"/>
                    </w:rPr>
                    <w:t>2</w:t>
                  </w:r>
                </w:p>
              </w:tc>
              <w:tc>
                <w:tcPr>
                  <w:tcW w:w="1921" w:type="pct"/>
                  <w:shd w:val="clear" w:color="auto" w:fill="auto"/>
                  <w:noWrap w:val="0"/>
                  <w:vAlign w:val="center"/>
                </w:tcPr>
                <w:p w14:paraId="58C428AA">
                  <w:pPr>
                    <w:pStyle w:val="28"/>
                    <w:rPr>
                      <w:color w:val="auto"/>
                    </w:rPr>
                  </w:pPr>
                  <w:r>
                    <w:rPr>
                      <w:rFonts w:hint="eastAsia"/>
                      <w:color w:val="auto"/>
                    </w:rPr>
                    <w:t>淘汰落后产能。组织对牛栏江流域（昆明段）的工业企业进行全面排查，按照《产业结构调整指导目录》（2005本）和《国务院关于进一步加强淘汰落后产能工作的通知》（国发〔2010〕7号）的要求，坚决取缔淘汰不符合国家产业政策的落后产能和工艺设备。</w:t>
                  </w:r>
                </w:p>
              </w:tc>
              <w:tc>
                <w:tcPr>
                  <w:tcW w:w="1970" w:type="pct"/>
                  <w:shd w:val="clear" w:color="auto" w:fill="auto"/>
                  <w:noWrap w:val="0"/>
                  <w:vAlign w:val="center"/>
                </w:tcPr>
                <w:p w14:paraId="1FF32286">
                  <w:pPr>
                    <w:pStyle w:val="28"/>
                    <w:rPr>
                      <w:color w:val="auto"/>
                    </w:rPr>
                  </w:pPr>
                  <w:r>
                    <w:rPr>
                      <w:rFonts w:hint="eastAsia"/>
                      <w:color w:val="auto"/>
                    </w:rPr>
                    <w:t>本项目</w:t>
                  </w:r>
                  <w:r>
                    <w:rPr>
                      <w:rFonts w:hint="eastAsia"/>
                      <w:color w:val="auto"/>
                      <w:lang w:val="en-US" w:eastAsia="zh-CN"/>
                    </w:rPr>
                    <w:t>不</w:t>
                  </w:r>
                  <w:r>
                    <w:rPr>
                      <w:rFonts w:hint="eastAsia"/>
                      <w:color w:val="auto"/>
                    </w:rPr>
                    <w:t>属于《产业结构调整指导目录（2024年本）》中的限制类和淘汰类项目，视为允许类。项目的建设符合国家和地方产业政策，项目</w:t>
                  </w:r>
                  <w:r>
                    <w:rPr>
                      <w:color w:val="auto"/>
                    </w:rPr>
                    <w:t>不属于牛栏江流域禁止的高污染项目</w:t>
                  </w:r>
                  <w:r>
                    <w:rPr>
                      <w:rFonts w:hint="eastAsia"/>
                      <w:color w:val="auto"/>
                    </w:rPr>
                    <w:t>。</w:t>
                  </w:r>
                </w:p>
              </w:tc>
              <w:tc>
                <w:tcPr>
                  <w:tcW w:w="598" w:type="pct"/>
                  <w:shd w:val="clear" w:color="auto" w:fill="auto"/>
                  <w:noWrap w:val="0"/>
                  <w:vAlign w:val="center"/>
                </w:tcPr>
                <w:p w14:paraId="7C367CBB">
                  <w:pPr>
                    <w:pStyle w:val="28"/>
                    <w:rPr>
                      <w:color w:val="auto"/>
                    </w:rPr>
                  </w:pPr>
                  <w:r>
                    <w:rPr>
                      <w:rFonts w:hint="eastAsia"/>
                      <w:color w:val="auto"/>
                    </w:rPr>
                    <w:t>相符</w:t>
                  </w:r>
                </w:p>
              </w:tc>
            </w:tr>
            <w:tr w14:paraId="10CB5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 w:type="pct"/>
                  <w:shd w:val="clear" w:color="auto" w:fill="auto"/>
                  <w:noWrap w:val="0"/>
                  <w:vAlign w:val="center"/>
                </w:tcPr>
                <w:p w14:paraId="4F35523C">
                  <w:pPr>
                    <w:pStyle w:val="28"/>
                    <w:rPr>
                      <w:color w:val="auto"/>
                    </w:rPr>
                  </w:pPr>
                  <w:r>
                    <w:rPr>
                      <w:rFonts w:hint="eastAsia"/>
                      <w:color w:val="auto"/>
                    </w:rPr>
                    <w:t>3</w:t>
                  </w:r>
                </w:p>
              </w:tc>
              <w:tc>
                <w:tcPr>
                  <w:tcW w:w="1921" w:type="pct"/>
                  <w:shd w:val="clear" w:color="auto" w:fill="auto"/>
                  <w:noWrap w:val="0"/>
                  <w:vAlign w:val="center"/>
                </w:tcPr>
                <w:p w14:paraId="1B0AED97">
                  <w:pPr>
                    <w:pStyle w:val="28"/>
                    <w:rPr>
                      <w:color w:val="auto"/>
                    </w:rPr>
                  </w:pPr>
                  <w:r>
                    <w:rPr>
                      <w:rFonts w:hint="eastAsia"/>
                      <w:color w:val="auto"/>
                    </w:rPr>
                    <w:t>持续开展清洁生产审核。新、改、扩建工业项目应采用先进的生产工艺和污染防治技术，其清洁生产水平应达到国家清洁生产标准中的国内先进水平；水源区内工业企业应于2012年底前全部实施清洁生产审核，并持续开展清洁生产工作，其清洁生产水平应达到清洁生产评价指标体系中“清洁生产企业”的要求。对牛栏江流域（昆明段）现有排放废水和废渣的重点工业企业实施强制性清洁生产审核，根据清洁生产审核结果进行限期整改，并通过验收，对未开展清洁生产审核工作的企业依法进行处罚。</w:t>
                  </w:r>
                </w:p>
              </w:tc>
              <w:tc>
                <w:tcPr>
                  <w:tcW w:w="1970" w:type="pct"/>
                  <w:shd w:val="clear" w:color="auto" w:fill="auto"/>
                  <w:noWrap w:val="0"/>
                  <w:vAlign w:val="center"/>
                </w:tcPr>
                <w:p w14:paraId="56CED8DA">
                  <w:pPr>
                    <w:pStyle w:val="28"/>
                    <w:rPr>
                      <w:rFonts w:hint="eastAsia"/>
                      <w:color w:val="auto"/>
                      <w:lang w:val="en-US" w:eastAsia="zh-CN"/>
                    </w:rPr>
                  </w:pPr>
                  <w:r>
                    <w:rPr>
                      <w:rFonts w:hint="eastAsia"/>
                      <w:color w:val="auto"/>
                      <w:lang w:val="en-US" w:eastAsia="zh-CN"/>
                    </w:rPr>
                    <w:t>项目运行后将开展清</w:t>
                  </w:r>
                </w:p>
                <w:p w14:paraId="327F5948">
                  <w:pPr>
                    <w:pStyle w:val="28"/>
                    <w:rPr>
                      <w:rFonts w:hint="default" w:eastAsia="宋体"/>
                      <w:color w:val="auto"/>
                      <w:lang w:val="en-US" w:eastAsia="zh-CN"/>
                    </w:rPr>
                  </w:pPr>
                  <w:r>
                    <w:rPr>
                      <w:rFonts w:hint="eastAsia"/>
                      <w:color w:val="auto"/>
                      <w:lang w:val="en-US" w:eastAsia="zh-CN"/>
                    </w:rPr>
                    <w:t>洁生产审核工作</w:t>
                  </w:r>
                </w:p>
              </w:tc>
              <w:tc>
                <w:tcPr>
                  <w:tcW w:w="598" w:type="pct"/>
                  <w:shd w:val="clear" w:color="auto" w:fill="auto"/>
                  <w:noWrap w:val="0"/>
                  <w:vAlign w:val="center"/>
                </w:tcPr>
                <w:p w14:paraId="0EA9E69F">
                  <w:pPr>
                    <w:pStyle w:val="28"/>
                    <w:rPr>
                      <w:color w:val="auto"/>
                    </w:rPr>
                  </w:pPr>
                  <w:r>
                    <w:rPr>
                      <w:rFonts w:hint="eastAsia"/>
                      <w:color w:val="auto"/>
                    </w:rPr>
                    <w:t>相符</w:t>
                  </w:r>
                </w:p>
              </w:tc>
            </w:tr>
            <w:tr w14:paraId="121B0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 w:type="pct"/>
                  <w:shd w:val="clear" w:color="auto" w:fill="auto"/>
                  <w:noWrap w:val="0"/>
                  <w:vAlign w:val="center"/>
                </w:tcPr>
                <w:p w14:paraId="64B87E87">
                  <w:pPr>
                    <w:pStyle w:val="28"/>
                    <w:rPr>
                      <w:color w:val="auto"/>
                    </w:rPr>
                  </w:pPr>
                  <w:r>
                    <w:rPr>
                      <w:rFonts w:hint="eastAsia"/>
                      <w:color w:val="auto"/>
                    </w:rPr>
                    <w:t>4</w:t>
                  </w:r>
                </w:p>
              </w:tc>
              <w:tc>
                <w:tcPr>
                  <w:tcW w:w="1921" w:type="pct"/>
                  <w:shd w:val="clear" w:color="auto" w:fill="auto"/>
                  <w:noWrap w:val="0"/>
                  <w:vAlign w:val="center"/>
                </w:tcPr>
                <w:p w14:paraId="67642B7E">
                  <w:pPr>
                    <w:pStyle w:val="28"/>
                    <w:rPr>
                      <w:color w:val="auto"/>
                    </w:rPr>
                  </w:pPr>
                  <w:r>
                    <w:rPr>
                      <w:rFonts w:hint="eastAsia"/>
                      <w:color w:val="auto"/>
                    </w:rPr>
                    <w:t>实现企业废水零排放。停止审批新增工业废水的项目。已有的合法工业企业应升级改造，于2011年12月31日前全面实现牛栏江流域（昆明段）工业废水零排放。</w:t>
                  </w:r>
                </w:p>
              </w:tc>
              <w:tc>
                <w:tcPr>
                  <w:tcW w:w="1970" w:type="pct"/>
                  <w:shd w:val="clear" w:color="auto" w:fill="auto"/>
                  <w:noWrap w:val="0"/>
                  <w:vAlign w:val="center"/>
                </w:tcPr>
                <w:p w14:paraId="1C8B4362">
                  <w:pPr>
                    <w:pStyle w:val="28"/>
                    <w:rPr>
                      <w:color w:val="auto"/>
                    </w:rPr>
                  </w:pPr>
                  <w:r>
                    <w:rPr>
                      <w:rFonts w:hint="eastAsia"/>
                      <w:color w:val="auto"/>
                    </w:rPr>
                    <w:t>项目废水不外排。</w:t>
                  </w:r>
                </w:p>
              </w:tc>
              <w:tc>
                <w:tcPr>
                  <w:tcW w:w="598" w:type="pct"/>
                  <w:shd w:val="clear" w:color="auto" w:fill="auto"/>
                  <w:noWrap w:val="0"/>
                  <w:vAlign w:val="center"/>
                </w:tcPr>
                <w:p w14:paraId="72277437">
                  <w:pPr>
                    <w:pStyle w:val="28"/>
                    <w:rPr>
                      <w:color w:val="auto"/>
                    </w:rPr>
                  </w:pPr>
                  <w:r>
                    <w:rPr>
                      <w:rFonts w:hint="eastAsia"/>
                      <w:color w:val="auto"/>
                    </w:rPr>
                    <w:t>相符</w:t>
                  </w:r>
                </w:p>
              </w:tc>
            </w:tr>
            <w:tr w14:paraId="17DD6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 w:type="pct"/>
                  <w:shd w:val="clear" w:color="auto" w:fill="auto"/>
                  <w:noWrap w:val="0"/>
                  <w:vAlign w:val="center"/>
                </w:tcPr>
                <w:p w14:paraId="281C38CE">
                  <w:pPr>
                    <w:pStyle w:val="28"/>
                    <w:rPr>
                      <w:color w:val="auto"/>
                    </w:rPr>
                  </w:pPr>
                  <w:r>
                    <w:rPr>
                      <w:rFonts w:hint="eastAsia"/>
                      <w:color w:val="auto"/>
                    </w:rPr>
                    <w:t>5</w:t>
                  </w:r>
                </w:p>
              </w:tc>
              <w:tc>
                <w:tcPr>
                  <w:tcW w:w="1921" w:type="pct"/>
                  <w:shd w:val="clear" w:color="auto" w:fill="auto"/>
                  <w:noWrap w:val="0"/>
                  <w:vAlign w:val="center"/>
                </w:tcPr>
                <w:p w14:paraId="41278802">
                  <w:pPr>
                    <w:pStyle w:val="28"/>
                    <w:rPr>
                      <w:color w:val="auto"/>
                    </w:rPr>
                  </w:pPr>
                  <w:r>
                    <w:rPr>
                      <w:rFonts w:hint="eastAsia"/>
                      <w:color w:val="auto"/>
                    </w:rPr>
                    <w:t>严格工业固体废弃物和危险废物管理，实现固体废弃物和危险废物安全处置。牛栏江流域（昆明段）所有排放固体废弃物和危险废物的企业，应按国家有关固体废弃物和危险废物安全处置的要求，对现有固体废弃物和危险废物堆场进行安全处置，特别是磷化工企业固体废弃物和危险废物的安全处置。新建固体废弃物和危险废物堆场必须达到国家有关固体废弃物和危险废物安全处置的要求。</w:t>
                  </w:r>
                </w:p>
              </w:tc>
              <w:tc>
                <w:tcPr>
                  <w:tcW w:w="1970" w:type="pct"/>
                  <w:shd w:val="clear" w:color="auto" w:fill="auto"/>
                  <w:noWrap w:val="0"/>
                  <w:vAlign w:val="center"/>
                </w:tcPr>
                <w:p w14:paraId="057D393C">
                  <w:pPr>
                    <w:pStyle w:val="28"/>
                    <w:jc w:val="both"/>
                    <w:rPr>
                      <w:rFonts w:hint="default" w:eastAsia="宋体"/>
                      <w:color w:val="auto"/>
                      <w:lang w:val="en-US" w:eastAsia="zh-CN"/>
                    </w:rPr>
                  </w:pPr>
                  <w:r>
                    <w:rPr>
                      <w:rFonts w:hint="eastAsia"/>
                      <w:color w:val="auto"/>
                      <w:lang w:val="en-US" w:eastAsia="zh-CN"/>
                    </w:rPr>
                    <w:t>项目固体废物处置率达100%，设有1个5m</w:t>
                  </w:r>
                  <w:r>
                    <w:rPr>
                      <w:rFonts w:hint="eastAsia"/>
                      <w:color w:val="auto"/>
                      <w:vertAlign w:val="superscript"/>
                      <w:lang w:val="en-US" w:eastAsia="zh-CN"/>
                    </w:rPr>
                    <w:t>2</w:t>
                  </w:r>
                  <w:r>
                    <w:rPr>
                      <w:rFonts w:hint="eastAsia"/>
                      <w:color w:val="auto"/>
                      <w:lang w:val="en-US" w:eastAsia="zh-CN"/>
                    </w:rPr>
                    <w:t>的危废暂存间，</w:t>
                  </w:r>
                  <w:r>
                    <w:rPr>
                      <w:rFonts w:hint="eastAsia"/>
                      <w:color w:val="auto"/>
                      <w:szCs w:val="21"/>
                    </w:rPr>
                    <w:t>危废暂存间严格按照《危险废物贮存污染控制标准》（GB18597-2023）的要求进行建设。</w:t>
                  </w:r>
                </w:p>
              </w:tc>
              <w:tc>
                <w:tcPr>
                  <w:tcW w:w="598" w:type="pct"/>
                  <w:shd w:val="clear" w:color="auto" w:fill="auto"/>
                  <w:noWrap w:val="0"/>
                  <w:vAlign w:val="center"/>
                </w:tcPr>
                <w:p w14:paraId="46513331">
                  <w:pPr>
                    <w:pStyle w:val="28"/>
                    <w:rPr>
                      <w:color w:val="auto"/>
                    </w:rPr>
                  </w:pPr>
                  <w:r>
                    <w:rPr>
                      <w:rFonts w:hint="eastAsia"/>
                      <w:color w:val="auto"/>
                    </w:rPr>
                    <w:t>相符</w:t>
                  </w:r>
                </w:p>
              </w:tc>
            </w:tr>
            <w:tr w14:paraId="6764B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 w:type="pct"/>
                  <w:shd w:val="clear" w:color="auto" w:fill="auto"/>
                  <w:noWrap w:val="0"/>
                  <w:vAlign w:val="center"/>
                </w:tcPr>
                <w:p w14:paraId="21493034">
                  <w:pPr>
                    <w:pStyle w:val="28"/>
                    <w:rPr>
                      <w:color w:val="auto"/>
                    </w:rPr>
                  </w:pPr>
                  <w:r>
                    <w:rPr>
                      <w:rFonts w:hint="eastAsia"/>
                      <w:color w:val="auto"/>
                    </w:rPr>
                    <w:t>6</w:t>
                  </w:r>
                </w:p>
              </w:tc>
              <w:tc>
                <w:tcPr>
                  <w:tcW w:w="1921" w:type="pct"/>
                  <w:shd w:val="clear" w:color="auto" w:fill="auto"/>
                  <w:noWrap w:val="0"/>
                  <w:vAlign w:val="center"/>
                </w:tcPr>
                <w:p w14:paraId="077448C9">
                  <w:pPr>
                    <w:pStyle w:val="28"/>
                    <w:rPr>
                      <w:rFonts w:hint="eastAsia"/>
                      <w:color w:val="auto"/>
                    </w:rPr>
                  </w:pPr>
                  <w:r>
                    <w:rPr>
                      <w:rFonts w:hint="eastAsia"/>
                      <w:color w:val="auto"/>
                    </w:rPr>
                    <w:t>制定不同风险源的应急处理处置方案，形成应对突发污染事故应急处理处置能力。</w:t>
                  </w:r>
                </w:p>
              </w:tc>
              <w:tc>
                <w:tcPr>
                  <w:tcW w:w="1970" w:type="pct"/>
                  <w:shd w:val="clear" w:color="auto" w:fill="auto"/>
                  <w:noWrap w:val="0"/>
                  <w:vAlign w:val="center"/>
                </w:tcPr>
                <w:p w14:paraId="20A6B6BE">
                  <w:pPr>
                    <w:pStyle w:val="28"/>
                    <w:rPr>
                      <w:rFonts w:hint="eastAsia"/>
                      <w:color w:val="auto"/>
                    </w:rPr>
                  </w:pPr>
                  <w:r>
                    <w:rPr>
                      <w:rFonts w:hint="eastAsia"/>
                      <w:color w:val="auto"/>
                    </w:rPr>
                    <w:t>环评要求建设单位根据</w:t>
                  </w:r>
                  <w:r>
                    <w:rPr>
                      <w:color w:val="auto"/>
                    </w:rPr>
                    <w:t>《突发环境事件应急管理办法》和《企业事业单位突发环境事件应急预案备案管理办法（试行）》编制切实可行的突发环境事件应急预案并提交</w:t>
                  </w:r>
                  <w:r>
                    <w:rPr>
                      <w:rFonts w:hint="eastAsia"/>
                      <w:color w:val="auto"/>
                    </w:rPr>
                    <w:t>昆明</w:t>
                  </w:r>
                  <w:r>
                    <w:rPr>
                      <w:color w:val="auto"/>
                    </w:rPr>
                    <w:t>市生态环境局</w:t>
                  </w:r>
                  <w:r>
                    <w:rPr>
                      <w:rFonts w:hint="eastAsia"/>
                      <w:color w:val="auto"/>
                    </w:rPr>
                    <w:t>嵩明</w:t>
                  </w:r>
                  <w:r>
                    <w:rPr>
                      <w:color w:val="auto"/>
                    </w:rPr>
                    <w:t>分局备案</w:t>
                  </w:r>
                  <w:r>
                    <w:rPr>
                      <w:rFonts w:hint="eastAsia"/>
                      <w:color w:val="auto"/>
                    </w:rPr>
                    <w:t>，定期演练。</w:t>
                  </w:r>
                </w:p>
              </w:tc>
              <w:tc>
                <w:tcPr>
                  <w:tcW w:w="598" w:type="pct"/>
                  <w:shd w:val="clear" w:color="auto" w:fill="auto"/>
                  <w:noWrap w:val="0"/>
                  <w:vAlign w:val="center"/>
                </w:tcPr>
                <w:p w14:paraId="63A4FD4B">
                  <w:pPr>
                    <w:pStyle w:val="28"/>
                    <w:rPr>
                      <w:color w:val="auto"/>
                    </w:rPr>
                  </w:pPr>
                  <w:r>
                    <w:rPr>
                      <w:rFonts w:hint="eastAsia"/>
                      <w:color w:val="auto"/>
                    </w:rPr>
                    <w:t>相符</w:t>
                  </w:r>
                </w:p>
              </w:tc>
            </w:tr>
            <w:tr w14:paraId="6B12A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 w:type="pct"/>
                  <w:shd w:val="clear" w:color="auto" w:fill="auto"/>
                  <w:noWrap w:val="0"/>
                  <w:vAlign w:val="center"/>
                </w:tcPr>
                <w:p w14:paraId="7AF5AE71">
                  <w:pPr>
                    <w:pStyle w:val="28"/>
                    <w:rPr>
                      <w:color w:val="auto"/>
                    </w:rPr>
                  </w:pPr>
                  <w:r>
                    <w:rPr>
                      <w:rFonts w:hint="eastAsia"/>
                      <w:color w:val="auto"/>
                    </w:rPr>
                    <w:t>7</w:t>
                  </w:r>
                </w:p>
              </w:tc>
              <w:tc>
                <w:tcPr>
                  <w:tcW w:w="1921" w:type="pct"/>
                  <w:shd w:val="clear" w:color="auto" w:fill="auto"/>
                  <w:noWrap w:val="0"/>
                  <w:vAlign w:val="center"/>
                </w:tcPr>
                <w:p w14:paraId="41DA0E5C">
                  <w:pPr>
                    <w:pStyle w:val="28"/>
                    <w:rPr>
                      <w:rFonts w:hint="eastAsia"/>
                      <w:color w:val="auto"/>
                    </w:rPr>
                  </w:pPr>
                  <w:r>
                    <w:rPr>
                      <w:rFonts w:hint="eastAsia"/>
                      <w:color w:val="auto"/>
                    </w:rPr>
                    <w:t>建立污染物总量控制机制。逐步削减氨氮、总磷、化学需氧量排放量，牛栏江流域（昆明段）氨氮、总磷、化学需氧量控制在规定范围内。新改扩建项目不得新增氨氮、总磷、化学需氧量排放量。</w:t>
                  </w:r>
                </w:p>
              </w:tc>
              <w:tc>
                <w:tcPr>
                  <w:tcW w:w="1970" w:type="pct"/>
                  <w:shd w:val="clear" w:color="auto" w:fill="auto"/>
                  <w:noWrap w:val="0"/>
                  <w:vAlign w:val="center"/>
                </w:tcPr>
                <w:p w14:paraId="6B2ACB67">
                  <w:pPr>
                    <w:pStyle w:val="28"/>
                    <w:rPr>
                      <w:color w:val="auto"/>
                    </w:rPr>
                  </w:pPr>
                  <w:r>
                    <w:rPr>
                      <w:rFonts w:hint="eastAsia"/>
                      <w:color w:val="auto"/>
                    </w:rPr>
                    <w:t>项目无废水外排，不设总量控制指标。</w:t>
                  </w:r>
                </w:p>
              </w:tc>
              <w:tc>
                <w:tcPr>
                  <w:tcW w:w="598" w:type="pct"/>
                  <w:shd w:val="clear" w:color="auto" w:fill="auto"/>
                  <w:noWrap w:val="0"/>
                  <w:vAlign w:val="center"/>
                </w:tcPr>
                <w:p w14:paraId="3240F1F0">
                  <w:pPr>
                    <w:pStyle w:val="28"/>
                    <w:rPr>
                      <w:color w:val="auto"/>
                    </w:rPr>
                  </w:pPr>
                  <w:r>
                    <w:rPr>
                      <w:rFonts w:hint="eastAsia"/>
                      <w:color w:val="auto"/>
                    </w:rPr>
                    <w:t>相符</w:t>
                  </w:r>
                </w:p>
              </w:tc>
            </w:tr>
          </w:tbl>
          <w:p w14:paraId="414D02D0">
            <w:pPr>
              <w:pStyle w:val="31"/>
              <w:ind w:firstLine="482"/>
              <w:rPr>
                <w:b/>
                <w:bCs/>
                <w:color w:val="auto"/>
                <w:szCs w:val="24"/>
                <w:lang w:bidi="ar"/>
              </w:rPr>
            </w:pPr>
          </w:p>
          <w:p w14:paraId="178ACB00">
            <w:pPr>
              <w:pStyle w:val="31"/>
              <w:ind w:firstLine="482"/>
              <w:rPr>
                <w:b/>
                <w:bCs/>
                <w:color w:val="auto"/>
                <w:szCs w:val="24"/>
                <w:shd w:val="clear" w:color="auto" w:fill="FFFFFF"/>
              </w:rPr>
            </w:pPr>
            <w:r>
              <w:rPr>
                <w:b/>
                <w:bCs/>
                <w:color w:val="auto"/>
                <w:szCs w:val="24"/>
                <w:lang w:bidi="ar"/>
              </w:rPr>
              <w:t>1.1.</w:t>
            </w:r>
            <w:r>
              <w:rPr>
                <w:rFonts w:hint="eastAsia"/>
                <w:b/>
                <w:bCs/>
                <w:color w:val="auto"/>
                <w:szCs w:val="24"/>
                <w:lang w:val="en-US" w:eastAsia="zh-CN" w:bidi="ar"/>
              </w:rPr>
              <w:t>14</w:t>
            </w:r>
            <w:r>
              <w:rPr>
                <w:b/>
                <w:bCs/>
                <w:color w:val="auto"/>
                <w:szCs w:val="24"/>
                <w:lang w:bidi="ar"/>
              </w:rPr>
              <w:t>与</w:t>
            </w:r>
            <w:r>
              <w:rPr>
                <w:rFonts w:hint="eastAsia"/>
                <w:b/>
                <w:bCs/>
                <w:color w:val="auto"/>
                <w:szCs w:val="24"/>
                <w:shd w:val="clear" w:color="auto" w:fill="FFFFFF"/>
              </w:rPr>
              <w:t>《昆明市“十四五”生态环境保护规划》</w:t>
            </w:r>
            <w:r>
              <w:rPr>
                <w:b/>
                <w:bCs/>
                <w:color w:val="auto"/>
                <w:szCs w:val="24"/>
                <w:shd w:val="clear" w:color="auto" w:fill="FFFFFF"/>
              </w:rPr>
              <w:t>的符合性分析</w:t>
            </w:r>
          </w:p>
          <w:p w14:paraId="229D27C5">
            <w:pPr>
              <w:ind w:firstLine="480"/>
              <w:rPr>
                <w:color w:val="auto"/>
              </w:rPr>
            </w:pPr>
            <w:r>
              <w:rPr>
                <w:rFonts w:hint="eastAsia"/>
                <w:color w:val="auto"/>
                <w:lang w:bidi="ar"/>
              </w:rPr>
              <w:t>项目与</w:t>
            </w:r>
            <w:r>
              <w:rPr>
                <w:rFonts w:hint="eastAsia"/>
                <w:color w:val="auto"/>
                <w:kern w:val="0"/>
                <w:lang w:bidi="ar"/>
              </w:rPr>
              <w:t>《昆明市“十四五”生态环境保护规划》</w:t>
            </w:r>
            <w:r>
              <w:rPr>
                <w:rFonts w:hint="eastAsia"/>
                <w:color w:val="auto"/>
                <w:lang w:bidi="ar"/>
              </w:rPr>
              <w:t>的符合性分析见下表：</w:t>
            </w:r>
          </w:p>
          <w:p w14:paraId="246412A7">
            <w:pPr>
              <w:pStyle w:val="18"/>
              <w:snapToGrid/>
              <w:spacing w:before="0" w:after="0"/>
              <w:ind w:right="0" w:firstLine="0" w:firstLineChars="0"/>
              <w:jc w:val="center"/>
              <w:rPr>
                <w:b/>
                <w:bCs/>
                <w:color w:val="auto"/>
                <w:szCs w:val="21"/>
              </w:rPr>
            </w:pPr>
            <w:r>
              <w:rPr>
                <w:rFonts w:hint="eastAsia"/>
                <w:b/>
                <w:bCs/>
                <w:color w:val="auto"/>
                <w:szCs w:val="21"/>
                <w:lang w:bidi="ar"/>
              </w:rPr>
              <w:t>表</w:t>
            </w:r>
            <w:r>
              <w:rPr>
                <w:rFonts w:hint="eastAsia"/>
                <w:b/>
                <w:bCs/>
                <w:color w:val="auto"/>
                <w:szCs w:val="21"/>
                <w:lang w:val="en-US" w:eastAsia="zh-CN" w:bidi="ar"/>
              </w:rPr>
              <w:t>1-12</w:t>
            </w:r>
            <w:r>
              <w:rPr>
                <w:b/>
                <w:bCs/>
                <w:color w:val="auto"/>
                <w:szCs w:val="21"/>
                <w:lang w:bidi="ar"/>
              </w:rPr>
              <w:t xml:space="preserve">  </w:t>
            </w:r>
            <w:r>
              <w:rPr>
                <w:b/>
                <w:bCs/>
                <w:color w:val="auto"/>
                <w:szCs w:val="21"/>
              </w:rPr>
              <w:t>项目与</w:t>
            </w:r>
            <w:r>
              <w:rPr>
                <w:rFonts w:hint="eastAsia"/>
                <w:b/>
                <w:bCs/>
                <w:color w:val="auto"/>
                <w:szCs w:val="21"/>
              </w:rPr>
              <w:t>《昆明市“十四五”生态环境保护规划》</w:t>
            </w:r>
            <w:r>
              <w:rPr>
                <w:b/>
                <w:bCs/>
                <w:color w:val="auto"/>
                <w:szCs w:val="21"/>
              </w:rPr>
              <w:t>对照分析</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
              <w:gridCol w:w="4894"/>
              <w:gridCol w:w="1339"/>
              <w:gridCol w:w="1055"/>
            </w:tblGrid>
            <w:tr w14:paraId="30E66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pct"/>
                  <w:noWrap w:val="0"/>
                  <w:vAlign w:val="center"/>
                </w:tcPr>
                <w:p w14:paraId="51FCCDFA">
                  <w:pPr>
                    <w:pStyle w:val="18"/>
                    <w:snapToGrid/>
                    <w:spacing w:before="0" w:after="0"/>
                    <w:ind w:right="0" w:firstLine="0" w:firstLineChars="0"/>
                    <w:jc w:val="center"/>
                    <w:rPr>
                      <w:rFonts w:hint="eastAsia"/>
                      <w:color w:val="auto"/>
                      <w:szCs w:val="21"/>
                      <w:lang w:bidi="ar"/>
                    </w:rPr>
                  </w:pPr>
                  <w:r>
                    <w:rPr>
                      <w:rFonts w:hint="eastAsia"/>
                      <w:color w:val="auto"/>
                      <w:szCs w:val="21"/>
                      <w:lang w:bidi="ar"/>
                    </w:rPr>
                    <w:t>序号</w:t>
                  </w:r>
                </w:p>
              </w:tc>
              <w:tc>
                <w:tcPr>
                  <w:tcW w:w="2997" w:type="pct"/>
                  <w:noWrap w:val="0"/>
                  <w:vAlign w:val="center"/>
                </w:tcPr>
                <w:p w14:paraId="64E667A3">
                  <w:pPr>
                    <w:pStyle w:val="18"/>
                    <w:snapToGrid/>
                    <w:spacing w:before="0" w:after="0"/>
                    <w:ind w:right="0" w:firstLine="0" w:firstLineChars="0"/>
                    <w:jc w:val="center"/>
                    <w:rPr>
                      <w:rFonts w:hint="eastAsia"/>
                      <w:color w:val="auto"/>
                      <w:szCs w:val="21"/>
                      <w:lang w:bidi="ar"/>
                    </w:rPr>
                  </w:pPr>
                  <w:r>
                    <w:rPr>
                      <w:rFonts w:hint="eastAsia"/>
                      <w:color w:val="auto"/>
                      <w:szCs w:val="21"/>
                      <w:lang w:bidi="ar"/>
                    </w:rPr>
                    <w:t>管理条例</w:t>
                  </w:r>
                </w:p>
              </w:tc>
              <w:tc>
                <w:tcPr>
                  <w:tcW w:w="820" w:type="pct"/>
                  <w:noWrap w:val="0"/>
                  <w:vAlign w:val="center"/>
                </w:tcPr>
                <w:p w14:paraId="29D22DCA">
                  <w:pPr>
                    <w:pStyle w:val="18"/>
                    <w:snapToGrid/>
                    <w:spacing w:before="0" w:after="0"/>
                    <w:ind w:right="0" w:firstLine="0" w:firstLineChars="0"/>
                    <w:jc w:val="center"/>
                    <w:rPr>
                      <w:rFonts w:hint="eastAsia"/>
                      <w:color w:val="auto"/>
                      <w:szCs w:val="21"/>
                      <w:lang w:bidi="ar"/>
                    </w:rPr>
                  </w:pPr>
                  <w:r>
                    <w:rPr>
                      <w:rFonts w:hint="eastAsia"/>
                      <w:color w:val="auto"/>
                      <w:szCs w:val="21"/>
                      <w:lang w:bidi="ar"/>
                    </w:rPr>
                    <w:t>本项目情况</w:t>
                  </w:r>
                </w:p>
              </w:tc>
              <w:tc>
                <w:tcPr>
                  <w:tcW w:w="646" w:type="pct"/>
                  <w:noWrap w:val="0"/>
                  <w:vAlign w:val="center"/>
                </w:tcPr>
                <w:p w14:paraId="6B7FED94">
                  <w:pPr>
                    <w:pStyle w:val="18"/>
                    <w:snapToGrid/>
                    <w:spacing w:before="0" w:after="0"/>
                    <w:ind w:right="0" w:firstLine="0" w:firstLineChars="0"/>
                    <w:jc w:val="center"/>
                    <w:rPr>
                      <w:rFonts w:hint="eastAsia"/>
                      <w:color w:val="auto"/>
                      <w:szCs w:val="21"/>
                      <w:lang w:bidi="ar"/>
                    </w:rPr>
                  </w:pPr>
                  <w:r>
                    <w:rPr>
                      <w:rFonts w:hint="eastAsia"/>
                      <w:color w:val="auto"/>
                      <w:szCs w:val="21"/>
                      <w:lang w:bidi="ar"/>
                    </w:rPr>
                    <w:t>符合性</w:t>
                  </w:r>
                </w:p>
              </w:tc>
            </w:tr>
            <w:tr w14:paraId="6BD61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pct"/>
                  <w:noWrap w:val="0"/>
                  <w:vAlign w:val="center"/>
                </w:tcPr>
                <w:p w14:paraId="4109D7EB">
                  <w:pPr>
                    <w:pStyle w:val="18"/>
                    <w:snapToGrid/>
                    <w:spacing w:before="0" w:after="0"/>
                    <w:ind w:right="0" w:firstLine="0" w:firstLineChars="0"/>
                    <w:jc w:val="center"/>
                    <w:rPr>
                      <w:rFonts w:hint="eastAsia"/>
                      <w:color w:val="auto"/>
                      <w:szCs w:val="21"/>
                      <w:lang w:bidi="ar"/>
                    </w:rPr>
                  </w:pPr>
                  <w:r>
                    <w:rPr>
                      <w:rFonts w:hint="eastAsia"/>
                      <w:color w:val="auto"/>
                      <w:szCs w:val="21"/>
                      <w:lang w:bidi="ar"/>
                    </w:rPr>
                    <w:t>1</w:t>
                  </w:r>
                </w:p>
              </w:tc>
              <w:tc>
                <w:tcPr>
                  <w:tcW w:w="2997" w:type="pct"/>
                  <w:noWrap w:val="0"/>
                  <w:vAlign w:val="center"/>
                </w:tcPr>
                <w:p w14:paraId="43D45453">
                  <w:pPr>
                    <w:pStyle w:val="18"/>
                    <w:snapToGrid/>
                    <w:spacing w:before="0" w:after="0"/>
                    <w:ind w:right="0" w:firstLine="0" w:firstLineChars="0"/>
                    <w:rPr>
                      <w:rFonts w:hint="eastAsia"/>
                      <w:color w:val="auto"/>
                      <w:szCs w:val="21"/>
                      <w:lang w:bidi="ar"/>
                    </w:rPr>
                  </w:pPr>
                  <w:r>
                    <w:rPr>
                      <w:rFonts w:hint="eastAsia"/>
                      <w:color w:val="auto"/>
                      <w:szCs w:val="21"/>
                      <w:lang w:bidi="ar"/>
                    </w:rPr>
                    <w:t>强化生态保护红线刚性约束，落实生态保护红线边界，依法依规严守生态保护红线。按照省市相关要求，开展勘界测定、埋设界桩界碑、设立标识标牌，完成勘界定标工作，保障红线落地。建立全市生态保护红线监控体系与评价考核制度，配合省级做好生态保护红线保护成效评价考核工作。建立生态保护红线监测网络和信息管理数据库，定期开展执法督查和评价，确保生态功能不降低、面积不减少、性质不改变、责任不改变。</w:t>
                  </w:r>
                </w:p>
              </w:tc>
              <w:tc>
                <w:tcPr>
                  <w:tcW w:w="820" w:type="pct"/>
                  <w:noWrap w:val="0"/>
                  <w:vAlign w:val="center"/>
                </w:tcPr>
                <w:p w14:paraId="5F87B47C">
                  <w:pPr>
                    <w:pStyle w:val="18"/>
                    <w:snapToGrid/>
                    <w:spacing w:before="0" w:after="0"/>
                    <w:ind w:right="0" w:firstLine="0" w:firstLineChars="0"/>
                    <w:rPr>
                      <w:rFonts w:hint="eastAsia"/>
                      <w:color w:val="auto"/>
                      <w:szCs w:val="21"/>
                      <w:lang w:bidi="ar"/>
                    </w:rPr>
                  </w:pPr>
                  <w:r>
                    <w:rPr>
                      <w:rFonts w:hint="eastAsia"/>
                      <w:color w:val="auto"/>
                      <w:szCs w:val="21"/>
                      <w:lang w:bidi="ar"/>
                    </w:rPr>
                    <w:t>根据寻甸县自然资源局出</w:t>
                  </w:r>
                  <w:r>
                    <w:rPr>
                      <w:rFonts w:hint="eastAsia"/>
                      <w:color w:val="auto"/>
                      <w:szCs w:val="21"/>
                      <w:lang w:eastAsia="zh-CN" w:bidi="ar"/>
                    </w:rPr>
                    <w:t>具</w:t>
                  </w:r>
                  <w:r>
                    <w:rPr>
                      <w:rFonts w:hint="eastAsia"/>
                      <w:color w:val="auto"/>
                      <w:szCs w:val="21"/>
                      <w:lang w:bidi="ar"/>
                    </w:rPr>
                    <w:t>的三区三线查询结果，本项目不涉及生态红线。</w:t>
                  </w:r>
                </w:p>
              </w:tc>
              <w:tc>
                <w:tcPr>
                  <w:tcW w:w="646" w:type="pct"/>
                  <w:noWrap w:val="0"/>
                  <w:vAlign w:val="center"/>
                </w:tcPr>
                <w:p w14:paraId="4CA0F450">
                  <w:pPr>
                    <w:pStyle w:val="18"/>
                    <w:snapToGrid/>
                    <w:spacing w:before="0" w:after="0"/>
                    <w:ind w:right="0" w:firstLine="0" w:firstLineChars="0"/>
                    <w:jc w:val="center"/>
                    <w:rPr>
                      <w:rFonts w:hint="eastAsia"/>
                      <w:color w:val="auto"/>
                      <w:szCs w:val="21"/>
                      <w:lang w:bidi="ar"/>
                    </w:rPr>
                  </w:pPr>
                  <w:r>
                    <w:rPr>
                      <w:rFonts w:hint="eastAsia"/>
                      <w:color w:val="auto"/>
                      <w:szCs w:val="21"/>
                      <w:lang w:bidi="ar"/>
                    </w:rPr>
                    <w:t>符合</w:t>
                  </w:r>
                </w:p>
              </w:tc>
            </w:tr>
            <w:tr w14:paraId="0BD6C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pct"/>
                  <w:noWrap w:val="0"/>
                  <w:vAlign w:val="center"/>
                </w:tcPr>
                <w:p w14:paraId="0C8327BC">
                  <w:pPr>
                    <w:pStyle w:val="18"/>
                    <w:snapToGrid/>
                    <w:spacing w:before="0" w:after="0"/>
                    <w:ind w:right="0" w:firstLine="0" w:firstLineChars="0"/>
                    <w:jc w:val="center"/>
                    <w:rPr>
                      <w:rFonts w:hint="eastAsia"/>
                      <w:color w:val="auto"/>
                      <w:szCs w:val="21"/>
                      <w:lang w:bidi="ar"/>
                    </w:rPr>
                  </w:pPr>
                  <w:r>
                    <w:rPr>
                      <w:rFonts w:hint="eastAsia"/>
                      <w:color w:val="auto"/>
                      <w:szCs w:val="21"/>
                      <w:lang w:bidi="ar"/>
                    </w:rPr>
                    <w:t>2</w:t>
                  </w:r>
                </w:p>
              </w:tc>
              <w:tc>
                <w:tcPr>
                  <w:tcW w:w="2997" w:type="pct"/>
                  <w:noWrap w:val="0"/>
                  <w:vAlign w:val="center"/>
                </w:tcPr>
                <w:p w14:paraId="49DBDB5E">
                  <w:pPr>
                    <w:pStyle w:val="18"/>
                    <w:snapToGrid/>
                    <w:spacing w:before="0" w:after="0"/>
                    <w:ind w:right="0" w:firstLine="0" w:firstLineChars="0"/>
                    <w:rPr>
                      <w:rFonts w:hint="eastAsia"/>
                      <w:color w:val="auto"/>
                      <w:szCs w:val="21"/>
                      <w:lang w:bidi="ar"/>
                    </w:rPr>
                  </w:pPr>
                  <w:r>
                    <w:rPr>
                      <w:rFonts w:hint="eastAsia"/>
                      <w:color w:val="auto"/>
                      <w:szCs w:val="21"/>
                      <w:lang w:bidi="ar"/>
                    </w:rPr>
                    <w:t>加强城市扬尘污染管控。严格落实城区施工过程“六个百分百”，推进建筑工地绿色施工。探索建立建筑施工场地在线监测监控体系，提升施工扬尘实时监控管理水平。加强道路扬尘污染控制，推进环卫清扫保洁作业管理。加强车辆密闭运输监督管理，对重点地区、重点路段的渣土运输车辆实施全面监控。</w:t>
                  </w:r>
                </w:p>
              </w:tc>
              <w:tc>
                <w:tcPr>
                  <w:tcW w:w="820" w:type="pct"/>
                  <w:noWrap w:val="0"/>
                  <w:vAlign w:val="center"/>
                </w:tcPr>
                <w:p w14:paraId="2A19DAAD">
                  <w:pPr>
                    <w:pStyle w:val="18"/>
                    <w:snapToGrid/>
                    <w:spacing w:before="0" w:after="0"/>
                    <w:ind w:right="0" w:firstLine="0" w:firstLineChars="0"/>
                    <w:rPr>
                      <w:rFonts w:hint="eastAsia"/>
                      <w:color w:val="auto"/>
                      <w:szCs w:val="21"/>
                      <w:lang w:bidi="ar"/>
                    </w:rPr>
                  </w:pPr>
                  <w:r>
                    <w:rPr>
                      <w:rFonts w:hint="eastAsia"/>
                      <w:color w:val="auto"/>
                      <w:szCs w:val="21"/>
                      <w:lang w:bidi="ar"/>
                    </w:rPr>
                    <w:t>根据落实本项目提出的环保措施，本项目废气均能够达标排放。</w:t>
                  </w:r>
                </w:p>
              </w:tc>
              <w:tc>
                <w:tcPr>
                  <w:tcW w:w="646" w:type="pct"/>
                  <w:noWrap w:val="0"/>
                  <w:vAlign w:val="center"/>
                </w:tcPr>
                <w:p w14:paraId="4D150463">
                  <w:pPr>
                    <w:pStyle w:val="18"/>
                    <w:snapToGrid/>
                    <w:spacing w:before="0" w:after="0"/>
                    <w:ind w:right="0" w:firstLine="0" w:firstLineChars="0"/>
                    <w:jc w:val="center"/>
                    <w:rPr>
                      <w:rFonts w:hint="eastAsia"/>
                      <w:color w:val="auto"/>
                      <w:szCs w:val="21"/>
                      <w:lang w:bidi="ar"/>
                    </w:rPr>
                  </w:pPr>
                  <w:r>
                    <w:rPr>
                      <w:rFonts w:hint="eastAsia"/>
                      <w:color w:val="auto"/>
                      <w:szCs w:val="21"/>
                      <w:lang w:bidi="ar"/>
                    </w:rPr>
                    <w:t>符合</w:t>
                  </w:r>
                </w:p>
              </w:tc>
            </w:tr>
            <w:tr w14:paraId="43576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 w:type="pct"/>
                  <w:noWrap w:val="0"/>
                  <w:vAlign w:val="center"/>
                </w:tcPr>
                <w:p w14:paraId="119D7950">
                  <w:pPr>
                    <w:pStyle w:val="18"/>
                    <w:snapToGrid/>
                    <w:spacing w:before="0" w:after="0"/>
                    <w:ind w:right="0" w:firstLine="0" w:firstLineChars="0"/>
                    <w:jc w:val="center"/>
                    <w:rPr>
                      <w:rFonts w:hint="eastAsia"/>
                      <w:color w:val="auto"/>
                      <w:szCs w:val="21"/>
                      <w:lang w:bidi="ar"/>
                    </w:rPr>
                  </w:pPr>
                  <w:r>
                    <w:rPr>
                      <w:rFonts w:hint="eastAsia"/>
                      <w:color w:val="auto"/>
                      <w:szCs w:val="21"/>
                      <w:lang w:bidi="ar"/>
                    </w:rPr>
                    <w:t>3</w:t>
                  </w:r>
                </w:p>
              </w:tc>
              <w:tc>
                <w:tcPr>
                  <w:tcW w:w="2997" w:type="pct"/>
                  <w:noWrap w:val="0"/>
                  <w:vAlign w:val="center"/>
                </w:tcPr>
                <w:p w14:paraId="57022904">
                  <w:pPr>
                    <w:pStyle w:val="18"/>
                    <w:snapToGrid/>
                    <w:spacing w:before="0" w:after="0"/>
                    <w:ind w:right="0" w:firstLine="0" w:firstLineChars="0"/>
                    <w:rPr>
                      <w:rFonts w:hint="eastAsia"/>
                      <w:color w:val="auto"/>
                      <w:szCs w:val="21"/>
                      <w:lang w:bidi="ar"/>
                    </w:rPr>
                  </w:pPr>
                  <w:r>
                    <w:rPr>
                      <w:rFonts w:hint="eastAsia"/>
                      <w:color w:val="auto"/>
                      <w:szCs w:val="21"/>
                      <w:lang w:bidi="ar"/>
                    </w:rPr>
                    <w:t>推进区域再生水循环利用。选取代表性区域作为开展再生水循环利用试点，建成效果好、可复制，具备推广价值的优秀试点，推动建设污染治理、循环利用、生态保护有机结合的综合治理体系。</w:t>
                  </w:r>
                </w:p>
              </w:tc>
              <w:tc>
                <w:tcPr>
                  <w:tcW w:w="820" w:type="pct"/>
                  <w:noWrap w:val="0"/>
                  <w:vAlign w:val="center"/>
                </w:tcPr>
                <w:p w14:paraId="41058C14">
                  <w:pPr>
                    <w:pStyle w:val="18"/>
                    <w:snapToGrid/>
                    <w:spacing w:before="0" w:after="0"/>
                    <w:ind w:right="0" w:firstLine="0" w:firstLineChars="0"/>
                    <w:rPr>
                      <w:rFonts w:hint="eastAsia"/>
                      <w:color w:val="auto"/>
                      <w:szCs w:val="21"/>
                      <w:lang w:bidi="ar"/>
                    </w:rPr>
                  </w:pPr>
                  <w:r>
                    <w:rPr>
                      <w:rFonts w:hint="eastAsia"/>
                      <w:color w:val="auto"/>
                      <w:szCs w:val="21"/>
                      <w:lang w:bidi="ar"/>
                    </w:rPr>
                    <w:t>本项目</w:t>
                  </w:r>
                  <w:r>
                    <w:rPr>
                      <w:rFonts w:hint="eastAsia"/>
                      <w:color w:val="auto"/>
                      <w:szCs w:val="21"/>
                      <w:lang w:val="en-US" w:eastAsia="zh-CN" w:bidi="ar"/>
                    </w:rPr>
                    <w:t>生产</w:t>
                  </w:r>
                  <w:r>
                    <w:rPr>
                      <w:rFonts w:hint="eastAsia"/>
                      <w:color w:val="auto"/>
                      <w:szCs w:val="21"/>
                      <w:lang w:bidi="ar"/>
                    </w:rPr>
                    <w:t>废水均循环使用，实现废水零排放。</w:t>
                  </w:r>
                </w:p>
              </w:tc>
              <w:tc>
                <w:tcPr>
                  <w:tcW w:w="646" w:type="pct"/>
                  <w:noWrap w:val="0"/>
                  <w:vAlign w:val="center"/>
                </w:tcPr>
                <w:p w14:paraId="6C70EC8F">
                  <w:pPr>
                    <w:pStyle w:val="18"/>
                    <w:snapToGrid/>
                    <w:spacing w:before="0" w:after="0"/>
                    <w:ind w:right="0" w:firstLine="0" w:firstLineChars="0"/>
                    <w:jc w:val="center"/>
                    <w:rPr>
                      <w:rFonts w:hint="eastAsia"/>
                      <w:color w:val="auto"/>
                      <w:szCs w:val="21"/>
                      <w:lang w:bidi="ar"/>
                    </w:rPr>
                  </w:pPr>
                  <w:r>
                    <w:rPr>
                      <w:rFonts w:hint="eastAsia"/>
                      <w:color w:val="auto"/>
                      <w:szCs w:val="21"/>
                      <w:lang w:bidi="ar"/>
                    </w:rPr>
                    <w:t>符合</w:t>
                  </w:r>
                </w:p>
              </w:tc>
            </w:tr>
          </w:tbl>
          <w:p w14:paraId="6C9DC158">
            <w:pPr>
              <w:ind w:firstLine="482"/>
              <w:rPr>
                <w:rFonts w:hint="eastAsia" w:ascii="Times New Roman" w:hAnsi="Times New Roman" w:cs="Times New Roman"/>
                <w:b/>
                <w:bCs/>
                <w:color w:val="auto"/>
              </w:rPr>
            </w:pPr>
            <w:r>
              <w:rPr>
                <w:rFonts w:hint="eastAsia" w:ascii="Times New Roman" w:hAnsi="Times New Roman" w:cs="Times New Roman"/>
                <w:b/>
                <w:bCs/>
                <w:color w:val="auto"/>
                <w:lang w:val="en-US" w:eastAsia="zh-CN"/>
              </w:rPr>
              <w:t>1.1.15</w:t>
            </w:r>
            <w:r>
              <w:rPr>
                <w:rFonts w:hint="eastAsia" w:ascii="Times New Roman" w:hAnsi="Times New Roman" w:cs="Times New Roman"/>
                <w:b/>
                <w:bCs/>
                <w:color w:val="auto"/>
              </w:rPr>
              <w:t>与</w:t>
            </w:r>
            <w:r>
              <w:rPr>
                <w:rFonts w:hint="eastAsia" w:ascii="Times New Roman" w:hAnsi="Times New Roman" w:cs="Times New Roman"/>
                <w:b/>
                <w:bCs/>
                <w:color w:val="auto"/>
                <w:lang w:eastAsia="zh-CN"/>
              </w:rPr>
              <w:t>《</w:t>
            </w:r>
            <w:r>
              <w:rPr>
                <w:rFonts w:hint="eastAsia" w:ascii="Times New Roman" w:hAnsi="Times New Roman" w:cs="Times New Roman"/>
                <w:b/>
                <w:bCs/>
                <w:color w:val="auto"/>
              </w:rPr>
              <w:t>关于新建重庆至昆明高速铁路环境影响报告书的批复</w:t>
            </w:r>
            <w:r>
              <w:rPr>
                <w:rFonts w:hint="eastAsia" w:ascii="Times New Roman" w:hAnsi="Times New Roman" w:cs="Times New Roman"/>
                <w:b/>
                <w:bCs/>
                <w:color w:val="auto"/>
                <w:lang w:eastAsia="zh-CN"/>
              </w:rPr>
              <w:t>》</w:t>
            </w:r>
            <w:r>
              <w:rPr>
                <w:rFonts w:hint="eastAsia" w:ascii="Times New Roman" w:hAnsi="Times New Roman" w:cs="Times New Roman"/>
                <w:b/>
                <w:bCs/>
                <w:color w:val="auto"/>
              </w:rPr>
              <w:t>（环审〔2020〕46号）</w:t>
            </w:r>
            <w:r>
              <w:rPr>
                <w:rFonts w:hint="eastAsia" w:ascii="Times New Roman" w:hAnsi="Times New Roman" w:cs="Times New Roman"/>
                <w:b/>
                <w:bCs/>
                <w:color w:val="auto"/>
                <w:lang w:eastAsia="zh-CN"/>
              </w:rPr>
              <w:t>的符合</w:t>
            </w:r>
            <w:r>
              <w:rPr>
                <w:rFonts w:hint="eastAsia" w:ascii="Times New Roman" w:hAnsi="Times New Roman" w:cs="Times New Roman"/>
                <w:b/>
                <w:bCs/>
                <w:color w:val="auto"/>
              </w:rPr>
              <w:t>性分析</w:t>
            </w:r>
          </w:p>
          <w:p w14:paraId="0DD22031">
            <w:pPr>
              <w:ind w:firstLine="482"/>
              <w:rPr>
                <w:rFonts w:hint="eastAsia"/>
                <w:color w:val="auto"/>
                <w:lang w:eastAsia="zh-CN"/>
              </w:rPr>
            </w:pPr>
            <w:r>
              <w:rPr>
                <w:color w:val="auto"/>
              </w:rPr>
              <w:t>重庆至昆明高速铁路于2020年4月3日取得生态环境部《关于新建重庆至昆明高速铁路环境影响报告书的批复》（环审〔2020〕46号），详见附件</w:t>
            </w:r>
            <w:r>
              <w:rPr>
                <w:rFonts w:hint="eastAsia"/>
                <w:color w:val="auto"/>
                <w:lang w:val="en-US" w:eastAsia="zh-CN"/>
              </w:rPr>
              <w:t>10</w:t>
            </w:r>
            <w:r>
              <w:rPr>
                <w:rFonts w:hint="eastAsia"/>
                <w:color w:val="auto"/>
                <w:lang w:eastAsia="zh-CN"/>
              </w:rPr>
              <w:t>。本项目属于重庆至昆明高速铁路云贵段的</w:t>
            </w:r>
            <w:r>
              <w:rPr>
                <w:rFonts w:hint="eastAsia"/>
                <w:color w:val="auto"/>
                <w:lang w:val="en-US" w:eastAsia="zh-CN"/>
              </w:rPr>
              <w:t>轨枕场</w:t>
            </w:r>
            <w:r>
              <w:rPr>
                <w:rFonts w:hint="eastAsia"/>
                <w:color w:val="auto"/>
                <w:lang w:eastAsia="zh-CN"/>
              </w:rPr>
              <w:t>临时用地项目，项目与《关于新建重庆至昆明高速铁路环境影响报告书的批复》（环审〔2020〕46号）中相关要求的符合性分析见下表。</w:t>
            </w:r>
          </w:p>
          <w:p w14:paraId="2DDD1BC9">
            <w:pPr>
              <w:pStyle w:val="43"/>
              <w:bidi w:val="0"/>
              <w:rPr>
                <w:rFonts w:hint="eastAsia"/>
                <w:color w:val="auto"/>
                <w:sz w:val="21"/>
                <w:szCs w:val="21"/>
                <w:lang w:eastAsia="zh-CN"/>
              </w:rPr>
            </w:pPr>
            <w:r>
              <w:rPr>
                <w:rFonts w:hint="eastAsia"/>
                <w:color w:val="auto"/>
                <w:sz w:val="21"/>
                <w:szCs w:val="21"/>
              </w:rPr>
              <w:t>表1-</w:t>
            </w:r>
            <w:r>
              <w:rPr>
                <w:rFonts w:hint="eastAsia"/>
                <w:color w:val="auto"/>
                <w:sz w:val="21"/>
                <w:szCs w:val="21"/>
                <w:lang w:val="en-US" w:eastAsia="zh-CN"/>
              </w:rPr>
              <w:t xml:space="preserve">13  </w:t>
            </w:r>
            <w:r>
              <w:rPr>
                <w:rFonts w:hint="eastAsia"/>
                <w:color w:val="auto"/>
                <w:sz w:val="21"/>
                <w:szCs w:val="21"/>
              </w:rPr>
              <w:t>与</w:t>
            </w:r>
            <w:r>
              <w:rPr>
                <w:rFonts w:hint="eastAsia"/>
                <w:color w:val="auto"/>
                <w:sz w:val="21"/>
                <w:szCs w:val="21"/>
                <w:lang w:eastAsia="zh-CN"/>
              </w:rPr>
              <w:t>《</w:t>
            </w:r>
            <w:r>
              <w:rPr>
                <w:rFonts w:hint="eastAsia"/>
                <w:color w:val="auto"/>
                <w:sz w:val="21"/>
                <w:szCs w:val="21"/>
              </w:rPr>
              <w:t>关于新建重庆至昆明高速铁路环境影响报告书的批复</w:t>
            </w:r>
            <w:r>
              <w:rPr>
                <w:rFonts w:hint="eastAsia"/>
                <w:color w:val="auto"/>
                <w:sz w:val="21"/>
                <w:szCs w:val="21"/>
                <w:lang w:eastAsia="zh-CN"/>
              </w:rPr>
              <w:t>》</w:t>
            </w:r>
          </w:p>
          <w:p w14:paraId="34282B8B">
            <w:pPr>
              <w:pStyle w:val="43"/>
              <w:bidi w:val="0"/>
              <w:rPr>
                <w:rFonts w:hint="eastAsia"/>
                <w:color w:val="auto"/>
                <w:sz w:val="21"/>
                <w:szCs w:val="21"/>
              </w:rPr>
            </w:pPr>
            <w:r>
              <w:rPr>
                <w:rFonts w:hint="eastAsia"/>
                <w:color w:val="auto"/>
                <w:sz w:val="21"/>
                <w:szCs w:val="21"/>
              </w:rPr>
              <w:t>（环审〔2020〕46号）</w:t>
            </w:r>
            <w:r>
              <w:rPr>
                <w:rFonts w:hint="eastAsia"/>
                <w:color w:val="auto"/>
                <w:sz w:val="21"/>
                <w:szCs w:val="21"/>
                <w:lang w:eastAsia="zh-CN"/>
              </w:rPr>
              <w:t>的符合</w:t>
            </w:r>
            <w:r>
              <w:rPr>
                <w:rFonts w:hint="eastAsia"/>
                <w:color w:val="auto"/>
                <w:sz w:val="21"/>
                <w:szCs w:val="21"/>
              </w:rPr>
              <w:t>性分析</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1"/>
              <w:gridCol w:w="3880"/>
              <w:gridCol w:w="2236"/>
              <w:gridCol w:w="1137"/>
            </w:tblGrid>
            <w:tr w14:paraId="53FE2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noWrap w:val="0"/>
                  <w:vAlign w:val="center"/>
                </w:tcPr>
                <w:p w14:paraId="4FC38426">
                  <w:pPr>
                    <w:pStyle w:val="9"/>
                    <w:adjustRightInd w:val="0"/>
                    <w:snapToGrid w:val="0"/>
                    <w:spacing w:line="240" w:lineRule="auto"/>
                    <w:ind w:left="0" w:leftChars="0" w:firstLine="0" w:firstLineChars="0"/>
                    <w:jc w:val="both"/>
                    <w:rPr>
                      <w:rFonts w:hint="eastAsia" w:ascii="Times New Roman" w:hAnsi="Times New Roman" w:eastAsia="宋体" w:cs="Courier New"/>
                      <w:b/>
                      <w:bCs/>
                      <w:color w:val="auto"/>
                      <w:lang w:eastAsia="zh-CN"/>
                    </w:rPr>
                  </w:pPr>
                  <w:r>
                    <w:rPr>
                      <w:rFonts w:hint="eastAsia" w:ascii="Times New Roman" w:hAnsi="Times New Roman" w:eastAsia="宋体" w:cs="Courier New"/>
                      <w:b/>
                      <w:bCs/>
                      <w:color w:val="auto"/>
                      <w:lang w:eastAsia="zh-CN"/>
                    </w:rPr>
                    <w:t>序号</w:t>
                  </w:r>
                </w:p>
              </w:tc>
              <w:tc>
                <w:tcPr>
                  <w:tcW w:w="3880" w:type="dxa"/>
                  <w:noWrap w:val="0"/>
                  <w:vAlign w:val="center"/>
                </w:tcPr>
                <w:p w14:paraId="20E8BC8D">
                  <w:pPr>
                    <w:pStyle w:val="9"/>
                    <w:adjustRightInd w:val="0"/>
                    <w:snapToGrid w:val="0"/>
                    <w:spacing w:line="240" w:lineRule="auto"/>
                    <w:rPr>
                      <w:rFonts w:hint="eastAsia" w:ascii="Times New Roman" w:hAnsi="Times New Roman" w:eastAsia="宋体" w:cs="Courier New"/>
                      <w:b/>
                      <w:bCs/>
                      <w:color w:val="auto"/>
                      <w:lang w:eastAsia="zh-CN"/>
                    </w:rPr>
                  </w:pPr>
                  <w:r>
                    <w:rPr>
                      <w:rFonts w:hint="eastAsia" w:ascii="Times New Roman" w:hAnsi="Times New Roman" w:eastAsia="宋体" w:cs="Courier New"/>
                      <w:b/>
                      <w:bCs/>
                      <w:color w:val="auto"/>
                      <w:lang w:eastAsia="zh-CN"/>
                    </w:rPr>
                    <w:t>批复要求（摘录）</w:t>
                  </w:r>
                </w:p>
              </w:tc>
              <w:tc>
                <w:tcPr>
                  <w:tcW w:w="2236" w:type="dxa"/>
                  <w:noWrap w:val="0"/>
                  <w:vAlign w:val="center"/>
                </w:tcPr>
                <w:p w14:paraId="3976A3BC">
                  <w:pPr>
                    <w:pStyle w:val="9"/>
                    <w:adjustRightInd w:val="0"/>
                    <w:snapToGrid w:val="0"/>
                    <w:spacing w:line="240" w:lineRule="auto"/>
                    <w:rPr>
                      <w:rFonts w:hint="eastAsia" w:ascii="Times New Roman" w:hAnsi="Times New Roman" w:eastAsia="宋体" w:cs="Courier New"/>
                      <w:b/>
                      <w:bCs/>
                      <w:color w:val="auto"/>
                      <w:lang w:eastAsia="zh-CN"/>
                    </w:rPr>
                  </w:pPr>
                  <w:r>
                    <w:rPr>
                      <w:rFonts w:hint="eastAsia" w:ascii="Times New Roman" w:hAnsi="Times New Roman" w:eastAsia="宋体" w:cs="Courier New"/>
                      <w:b/>
                      <w:bCs/>
                      <w:color w:val="auto"/>
                      <w:lang w:eastAsia="zh-CN"/>
                    </w:rPr>
                    <w:t>本项目情况</w:t>
                  </w:r>
                </w:p>
              </w:tc>
              <w:tc>
                <w:tcPr>
                  <w:tcW w:w="1137" w:type="dxa"/>
                  <w:noWrap w:val="0"/>
                  <w:vAlign w:val="center"/>
                </w:tcPr>
                <w:p w14:paraId="50F49D75">
                  <w:pPr>
                    <w:pStyle w:val="9"/>
                    <w:adjustRightInd w:val="0"/>
                    <w:snapToGrid w:val="0"/>
                    <w:spacing w:line="240" w:lineRule="auto"/>
                    <w:ind w:left="0" w:leftChars="0" w:firstLine="0" w:firstLineChars="0"/>
                    <w:jc w:val="center"/>
                    <w:rPr>
                      <w:rFonts w:hint="eastAsia" w:ascii="Times New Roman" w:hAnsi="Times New Roman" w:eastAsia="宋体" w:cs="Courier New"/>
                      <w:b/>
                      <w:bCs/>
                      <w:color w:val="auto"/>
                      <w:lang w:eastAsia="zh-CN"/>
                    </w:rPr>
                  </w:pPr>
                  <w:r>
                    <w:rPr>
                      <w:rFonts w:hint="eastAsia" w:ascii="Times New Roman" w:hAnsi="Times New Roman" w:eastAsia="宋体" w:cs="Courier New"/>
                      <w:b/>
                      <w:bCs/>
                      <w:color w:val="auto"/>
                      <w:lang w:eastAsia="zh-CN"/>
                    </w:rPr>
                    <w:t>符合性</w:t>
                  </w:r>
                </w:p>
              </w:tc>
            </w:tr>
            <w:tr w14:paraId="02F76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noWrap w:val="0"/>
                  <w:vAlign w:val="center"/>
                </w:tcPr>
                <w:p w14:paraId="3DA371B0">
                  <w:pPr>
                    <w:pStyle w:val="9"/>
                    <w:adjustRightInd w:val="0"/>
                    <w:snapToGrid w:val="0"/>
                    <w:spacing w:line="240" w:lineRule="auto"/>
                    <w:rPr>
                      <w:rFonts w:hint="eastAsia" w:ascii="Times New Roman" w:hAnsi="Times New Roman" w:eastAsia="宋体" w:cs="Courier New"/>
                      <w:b w:val="0"/>
                      <w:bCs w:val="0"/>
                      <w:color w:val="auto"/>
                      <w:lang w:val="en-US" w:eastAsia="zh-CN"/>
                    </w:rPr>
                  </w:pPr>
                  <w:r>
                    <w:rPr>
                      <w:rFonts w:hint="eastAsia" w:ascii="Times New Roman" w:hAnsi="Times New Roman" w:eastAsia="宋体" w:cs="Courier New"/>
                      <w:b w:val="0"/>
                      <w:bCs w:val="0"/>
                      <w:color w:val="auto"/>
                      <w:lang w:val="en-US" w:eastAsia="zh-CN"/>
                    </w:rPr>
                    <w:t>1</w:t>
                  </w:r>
                </w:p>
              </w:tc>
              <w:tc>
                <w:tcPr>
                  <w:tcW w:w="3880" w:type="dxa"/>
                  <w:noWrap w:val="0"/>
                  <w:vAlign w:val="center"/>
                </w:tcPr>
                <w:p w14:paraId="398F6E0C">
                  <w:pPr>
                    <w:pStyle w:val="9"/>
                    <w:adjustRightInd w:val="0"/>
                    <w:snapToGrid w:val="0"/>
                    <w:spacing w:line="240" w:lineRule="auto"/>
                    <w:ind w:left="0" w:leftChars="0" w:firstLine="0" w:firstLineChars="0"/>
                    <w:jc w:val="both"/>
                    <w:rPr>
                      <w:rFonts w:hint="eastAsia" w:ascii="Times New Roman" w:hAnsi="Times New Roman" w:eastAsia="宋体" w:cs="Courier New"/>
                      <w:b w:val="0"/>
                      <w:bCs w:val="0"/>
                      <w:color w:val="auto"/>
                    </w:rPr>
                  </w:pPr>
                  <w:r>
                    <w:rPr>
                      <w:rFonts w:hint="eastAsia" w:ascii="Times New Roman" w:hAnsi="Times New Roman" w:eastAsia="宋体" w:cs="Courier New"/>
                      <w:b w:val="0"/>
                      <w:bCs w:val="0"/>
                      <w:color w:val="auto"/>
                      <w:lang w:val="en-US" w:eastAsia="zh-CN"/>
                    </w:rPr>
                    <w:t>加强生态保护。着重做好生态敏感区的保护，下阶段应从生态环境保护角度进一步优化线路方案和施工方案，尽最大可能避让或减少占用生态敏感区和生态保护红线，不得在云南乌蒙山国家级自然保护区等仅以隧道穿越或桥梁跨越的生态敏感区内设置临时工程。进一步优化线路穿越云南省会泽待补鸡鸣山县级自然保护区及乌蒙峡谷省级地质公园的方式，尽量减少保护区域内桥墩、路基等地表工程和车站占地，通过采取优化施工方案及施工组织等措施，进一步减少保护区域内临时辅助工程及影响范围，并开展景观设计。针对中梁山、彭家等隧道周边植被开展监测，根据受影响程度采取必要的补救措施。针对涉及自然保护区、生态保护红线的路段，应依照相关法律法规和政策要求，向有关行政主管部门履行相关手续，否则不得在相关区域动工建设；应结合主要保护对象的保护要求和主管部门意见，进一步强化保护。</w:t>
                  </w:r>
                </w:p>
              </w:tc>
              <w:tc>
                <w:tcPr>
                  <w:tcW w:w="2236" w:type="dxa"/>
                  <w:noWrap w:val="0"/>
                  <w:vAlign w:val="center"/>
                </w:tcPr>
                <w:p w14:paraId="188A7F8D">
                  <w:pPr>
                    <w:pStyle w:val="9"/>
                    <w:adjustRightInd w:val="0"/>
                    <w:snapToGrid w:val="0"/>
                    <w:spacing w:line="240" w:lineRule="auto"/>
                    <w:ind w:left="0" w:leftChars="0" w:firstLine="0" w:firstLineChars="0"/>
                    <w:jc w:val="both"/>
                    <w:rPr>
                      <w:rFonts w:hint="eastAsia" w:ascii="Times New Roman" w:hAnsi="Times New Roman" w:eastAsia="宋体" w:cs="Courier New"/>
                      <w:b w:val="0"/>
                      <w:bCs w:val="0"/>
                      <w:color w:val="auto"/>
                      <w:lang w:eastAsia="zh-CN"/>
                    </w:rPr>
                  </w:pPr>
                  <w:r>
                    <w:rPr>
                      <w:rFonts w:hint="eastAsia" w:ascii="Times New Roman" w:hAnsi="Times New Roman" w:eastAsia="宋体" w:cs="Courier New"/>
                      <w:b w:val="0"/>
                      <w:bCs w:val="0"/>
                      <w:color w:val="auto"/>
                      <w:lang w:eastAsia="zh-CN"/>
                    </w:rPr>
                    <w:t>项目区</w:t>
                  </w:r>
                  <w:r>
                    <w:rPr>
                      <w:rFonts w:hint="eastAsia"/>
                      <w:color w:val="auto"/>
                      <w:lang w:eastAsia="zh-CN"/>
                    </w:rPr>
                    <w:t>不涉及</w:t>
                  </w:r>
                  <w:r>
                    <w:rPr>
                      <w:rFonts w:hint="eastAsia" w:ascii="Times New Roman" w:hAnsi="Times New Roman" w:eastAsia="宋体" w:cs="Courier New"/>
                      <w:b w:val="0"/>
                      <w:bCs w:val="0"/>
                      <w:color w:val="auto"/>
                      <w:lang w:val="en-US" w:eastAsia="zh-CN"/>
                    </w:rPr>
                    <w:t>自然保护区，不占用生态保护红线。</w:t>
                  </w:r>
                </w:p>
              </w:tc>
              <w:tc>
                <w:tcPr>
                  <w:tcW w:w="1137" w:type="dxa"/>
                  <w:noWrap w:val="0"/>
                  <w:vAlign w:val="center"/>
                </w:tcPr>
                <w:p w14:paraId="131968FC">
                  <w:pPr>
                    <w:pStyle w:val="9"/>
                    <w:adjustRightInd w:val="0"/>
                    <w:snapToGrid w:val="0"/>
                    <w:spacing w:line="240" w:lineRule="auto"/>
                    <w:rPr>
                      <w:rFonts w:hint="eastAsia" w:ascii="Times New Roman" w:hAnsi="Times New Roman" w:eastAsia="宋体" w:cs="Courier New"/>
                      <w:b w:val="0"/>
                      <w:bCs w:val="0"/>
                      <w:color w:val="auto"/>
                      <w:lang w:eastAsia="zh-CN"/>
                    </w:rPr>
                  </w:pPr>
                  <w:r>
                    <w:rPr>
                      <w:rFonts w:hint="eastAsia" w:ascii="Times New Roman" w:hAnsi="Times New Roman" w:eastAsia="宋体" w:cs="Courier New"/>
                      <w:b w:val="0"/>
                      <w:bCs w:val="0"/>
                      <w:color w:val="auto"/>
                      <w:lang w:eastAsia="zh-CN"/>
                    </w:rPr>
                    <w:t>相符</w:t>
                  </w:r>
                </w:p>
              </w:tc>
            </w:tr>
            <w:tr w14:paraId="4B522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noWrap w:val="0"/>
                  <w:vAlign w:val="center"/>
                </w:tcPr>
                <w:p w14:paraId="1B28FC09">
                  <w:pPr>
                    <w:pStyle w:val="9"/>
                    <w:adjustRightInd w:val="0"/>
                    <w:snapToGrid w:val="0"/>
                    <w:spacing w:line="240" w:lineRule="auto"/>
                    <w:rPr>
                      <w:rFonts w:hint="default" w:ascii="Times New Roman" w:hAnsi="Times New Roman" w:eastAsia="宋体" w:cs="Courier New"/>
                      <w:b w:val="0"/>
                      <w:bCs w:val="0"/>
                      <w:color w:val="auto"/>
                      <w:lang w:val="en-US" w:eastAsia="zh-CN"/>
                    </w:rPr>
                  </w:pPr>
                  <w:r>
                    <w:rPr>
                      <w:rFonts w:hint="eastAsia" w:ascii="Times New Roman" w:hAnsi="Times New Roman" w:eastAsia="宋体" w:cs="Courier New"/>
                      <w:b w:val="0"/>
                      <w:bCs w:val="0"/>
                      <w:color w:val="auto"/>
                      <w:lang w:val="en-US" w:eastAsia="zh-CN"/>
                    </w:rPr>
                    <w:t>2</w:t>
                  </w:r>
                </w:p>
              </w:tc>
              <w:tc>
                <w:tcPr>
                  <w:tcW w:w="3880" w:type="dxa"/>
                  <w:noWrap w:val="0"/>
                  <w:vAlign w:val="center"/>
                </w:tcPr>
                <w:p w14:paraId="10877CE7">
                  <w:pPr>
                    <w:pStyle w:val="9"/>
                    <w:adjustRightInd w:val="0"/>
                    <w:snapToGrid w:val="0"/>
                    <w:spacing w:line="240" w:lineRule="auto"/>
                    <w:ind w:left="0" w:leftChars="0" w:firstLine="0" w:firstLineChars="0"/>
                    <w:jc w:val="both"/>
                    <w:rPr>
                      <w:rFonts w:hint="eastAsia" w:ascii="Times New Roman" w:hAnsi="Times New Roman" w:eastAsia="宋体" w:cs="Courier New"/>
                      <w:b w:val="0"/>
                      <w:bCs w:val="0"/>
                      <w:color w:val="auto"/>
                      <w:lang w:val="en-US" w:eastAsia="zh-CN"/>
                    </w:rPr>
                  </w:pPr>
                  <w:r>
                    <w:rPr>
                      <w:rFonts w:hint="eastAsia" w:ascii="Times New Roman" w:hAnsi="Times New Roman" w:eastAsia="宋体" w:cs="Courier New"/>
                      <w:b w:val="0"/>
                      <w:bCs w:val="0"/>
                      <w:color w:val="auto"/>
                      <w:lang w:val="en-US" w:eastAsia="zh-CN"/>
                    </w:rPr>
                    <w:t>施工前开展动植物详细调查，针对发现的珍稀濒危动植物采取有效的保护措施，必要时，依法履行相关手续，并向我部报告。根据详细调查结果，进一步优化临时辅助工程选址，尽量在永久占地范围内布置，施工便道尽量利用既有道路，严格控制施工范围，尽量减少对植被和动物生境的占用和扰动。强化土石方调配和环境管理，加大综合利用力度，从源头减少弃渣；弃渣应运至规定的弃渣场，不得随意倾倒；科学设置弃渣场，尽量避开敏感区和地质灾害多发区域，优化设计，尽量减少占地和生态影响。采取先挡后弃、渣体防护、生态修复、加强监控等措施，防止水土流失和泥石流灾害等次生生态破坏。针对弃渣场、铺轨基地、箱梁预制场、轨枕预制场等占地面积较大的临时用地生态修复措施，开展环保专项设计。施工前剥离表土，单独堆存并回用，施工结束后及时对施工场地、取（弃）土场及沿线站场等实施生态修复，修复时选用本土物种，避免外来生物入侵。</w:t>
                  </w:r>
                </w:p>
              </w:tc>
              <w:tc>
                <w:tcPr>
                  <w:tcW w:w="2236" w:type="dxa"/>
                  <w:noWrap w:val="0"/>
                  <w:vAlign w:val="center"/>
                </w:tcPr>
                <w:p w14:paraId="76E3E619">
                  <w:pPr>
                    <w:pStyle w:val="9"/>
                    <w:adjustRightInd w:val="0"/>
                    <w:snapToGrid w:val="0"/>
                    <w:spacing w:line="240" w:lineRule="auto"/>
                    <w:ind w:left="0" w:leftChars="0" w:firstLine="0" w:firstLineChars="0"/>
                    <w:jc w:val="both"/>
                    <w:rPr>
                      <w:rFonts w:hint="eastAsia" w:ascii="Times New Roman" w:hAnsi="Times New Roman" w:eastAsia="宋体" w:cs="Courier New"/>
                      <w:b w:val="0"/>
                      <w:bCs w:val="0"/>
                      <w:color w:val="auto"/>
                      <w:lang w:eastAsia="zh-CN"/>
                    </w:rPr>
                  </w:pPr>
                  <w:r>
                    <w:rPr>
                      <w:rFonts w:hint="eastAsia" w:ascii="Times New Roman" w:hAnsi="Times New Roman" w:eastAsia="宋体" w:cs="Courier New"/>
                      <w:b w:val="0"/>
                      <w:bCs w:val="0"/>
                      <w:color w:val="auto"/>
                      <w:lang w:eastAsia="zh-CN"/>
                    </w:rPr>
                    <w:t>（</w:t>
                  </w:r>
                  <w:r>
                    <w:rPr>
                      <w:rFonts w:hint="eastAsia" w:ascii="Times New Roman" w:hAnsi="Times New Roman" w:eastAsia="宋体" w:cs="Courier New"/>
                      <w:b w:val="0"/>
                      <w:bCs w:val="0"/>
                      <w:color w:val="auto"/>
                      <w:lang w:val="en-US" w:eastAsia="zh-CN"/>
                    </w:rPr>
                    <w:t>1</w:t>
                  </w:r>
                  <w:r>
                    <w:rPr>
                      <w:rFonts w:hint="eastAsia" w:ascii="Times New Roman" w:hAnsi="Times New Roman" w:eastAsia="宋体" w:cs="Courier New"/>
                      <w:b w:val="0"/>
                      <w:bCs w:val="0"/>
                      <w:color w:val="auto"/>
                      <w:lang w:eastAsia="zh-CN"/>
                    </w:rPr>
                    <w:t>）根据调查，结合现有资料，项目区未发现重点保护野生植物、珍稀濒危植物和古树名木；未发现重点保护野生动物分布。</w:t>
                  </w:r>
                </w:p>
                <w:p w14:paraId="040C7A2E">
                  <w:pPr>
                    <w:pStyle w:val="9"/>
                    <w:adjustRightInd w:val="0"/>
                    <w:snapToGrid w:val="0"/>
                    <w:spacing w:line="240" w:lineRule="auto"/>
                    <w:ind w:left="0" w:leftChars="0" w:firstLine="0" w:firstLineChars="0"/>
                    <w:jc w:val="both"/>
                    <w:rPr>
                      <w:rFonts w:hint="eastAsia" w:ascii="Times New Roman" w:hAnsi="Times New Roman" w:eastAsia="宋体" w:cs="Courier New"/>
                      <w:b w:val="0"/>
                      <w:bCs w:val="0"/>
                      <w:color w:val="auto"/>
                      <w:lang w:eastAsia="zh-CN"/>
                    </w:rPr>
                  </w:pPr>
                  <w:r>
                    <w:rPr>
                      <w:rFonts w:hint="eastAsia" w:ascii="Times New Roman" w:hAnsi="Times New Roman" w:eastAsia="宋体" w:cs="Courier New"/>
                      <w:b w:val="0"/>
                      <w:bCs w:val="0"/>
                      <w:color w:val="auto"/>
                      <w:lang w:eastAsia="zh-CN"/>
                    </w:rPr>
                    <w:t>（</w:t>
                  </w:r>
                  <w:r>
                    <w:rPr>
                      <w:rFonts w:hint="eastAsia" w:ascii="Times New Roman" w:hAnsi="Times New Roman" w:eastAsia="宋体" w:cs="Courier New"/>
                      <w:b w:val="0"/>
                      <w:bCs w:val="0"/>
                      <w:color w:val="auto"/>
                      <w:lang w:val="en-US" w:eastAsia="zh-CN"/>
                    </w:rPr>
                    <w:t>2</w:t>
                  </w:r>
                  <w:r>
                    <w:rPr>
                      <w:rFonts w:hint="eastAsia" w:ascii="Times New Roman" w:hAnsi="Times New Roman" w:eastAsia="宋体" w:cs="Courier New"/>
                      <w:b w:val="0"/>
                      <w:bCs w:val="0"/>
                      <w:color w:val="auto"/>
                      <w:lang w:eastAsia="zh-CN"/>
                    </w:rPr>
                    <w:t>）项目用地全部位于项目占地范围内，均为临时占地。</w:t>
                  </w:r>
                </w:p>
                <w:p w14:paraId="76D9D74D">
                  <w:pPr>
                    <w:pStyle w:val="9"/>
                    <w:adjustRightInd w:val="0"/>
                    <w:snapToGrid w:val="0"/>
                    <w:spacing w:line="240" w:lineRule="auto"/>
                    <w:ind w:left="0" w:leftChars="0" w:firstLine="0" w:firstLineChars="0"/>
                    <w:jc w:val="both"/>
                    <w:rPr>
                      <w:rFonts w:hint="eastAsia" w:ascii="Times New Roman" w:hAnsi="Times New Roman" w:eastAsia="宋体" w:cs="Courier New"/>
                      <w:b w:val="0"/>
                      <w:bCs w:val="0"/>
                      <w:color w:val="auto"/>
                      <w:lang w:eastAsia="zh-CN"/>
                    </w:rPr>
                  </w:pPr>
                  <w:r>
                    <w:rPr>
                      <w:rFonts w:hint="eastAsia" w:ascii="Times New Roman" w:hAnsi="Times New Roman" w:eastAsia="宋体" w:cs="Courier New"/>
                      <w:b w:val="0"/>
                      <w:bCs w:val="0"/>
                      <w:color w:val="auto"/>
                      <w:lang w:eastAsia="zh-CN"/>
                    </w:rPr>
                    <w:t>（</w:t>
                  </w:r>
                  <w:r>
                    <w:rPr>
                      <w:rFonts w:hint="eastAsia" w:ascii="Times New Roman" w:hAnsi="Times New Roman" w:eastAsia="宋体" w:cs="Courier New"/>
                      <w:b w:val="0"/>
                      <w:bCs w:val="0"/>
                      <w:color w:val="auto"/>
                      <w:lang w:val="en-US" w:eastAsia="zh-CN"/>
                    </w:rPr>
                    <w:t>3</w:t>
                  </w:r>
                  <w:r>
                    <w:rPr>
                      <w:rFonts w:hint="eastAsia" w:ascii="Times New Roman" w:hAnsi="Times New Roman" w:eastAsia="宋体" w:cs="Courier New"/>
                      <w:b w:val="0"/>
                      <w:bCs w:val="0"/>
                      <w:color w:val="auto"/>
                      <w:lang w:eastAsia="zh-CN"/>
                    </w:rPr>
                    <w:t>）项目剥离表土</w:t>
                  </w:r>
                  <w:r>
                    <w:rPr>
                      <w:rFonts w:hint="eastAsia" w:cs="Courier New"/>
                      <w:b w:val="0"/>
                      <w:bCs w:val="0"/>
                      <w:color w:val="auto"/>
                      <w:lang w:val="en-US" w:eastAsia="zh-CN"/>
                    </w:rPr>
                    <w:t>区域</w:t>
                  </w:r>
                  <w:r>
                    <w:rPr>
                      <w:rFonts w:hint="eastAsia" w:ascii="Times New Roman" w:hAnsi="Times New Roman" w:eastAsia="宋体" w:cs="Courier New"/>
                      <w:b w:val="0"/>
                      <w:bCs w:val="0"/>
                      <w:color w:val="auto"/>
                      <w:lang w:eastAsia="zh-CN"/>
                    </w:rPr>
                    <w:t>待项目服务期满后用于土地复垦，土地复垦均采用本土物种，不会导</w:t>
                  </w:r>
                  <w:r>
                    <w:rPr>
                      <w:rFonts w:hint="eastAsia" w:cs="Courier New"/>
                      <w:b w:val="0"/>
                      <w:bCs w:val="0"/>
                      <w:color w:val="auto"/>
                      <w:lang w:eastAsia="zh-CN"/>
                    </w:rPr>
                    <w:t>致</w:t>
                  </w:r>
                  <w:r>
                    <w:rPr>
                      <w:rFonts w:hint="eastAsia" w:ascii="Times New Roman" w:hAnsi="Times New Roman" w:eastAsia="宋体" w:cs="Courier New"/>
                      <w:b w:val="0"/>
                      <w:bCs w:val="0"/>
                      <w:color w:val="auto"/>
                      <w:lang w:eastAsia="zh-CN"/>
                    </w:rPr>
                    <w:t>外来生物入侵。</w:t>
                  </w:r>
                </w:p>
              </w:tc>
              <w:tc>
                <w:tcPr>
                  <w:tcW w:w="1137" w:type="dxa"/>
                  <w:noWrap w:val="0"/>
                  <w:vAlign w:val="center"/>
                </w:tcPr>
                <w:p w14:paraId="33DC147F">
                  <w:pPr>
                    <w:pStyle w:val="9"/>
                    <w:adjustRightInd w:val="0"/>
                    <w:snapToGrid w:val="0"/>
                    <w:spacing w:line="240" w:lineRule="auto"/>
                    <w:rPr>
                      <w:rFonts w:hint="eastAsia" w:ascii="Times New Roman" w:hAnsi="Times New Roman" w:eastAsia="宋体" w:cs="Courier New"/>
                      <w:b w:val="0"/>
                      <w:bCs w:val="0"/>
                      <w:color w:val="auto"/>
                      <w:lang w:eastAsia="zh-CN"/>
                    </w:rPr>
                  </w:pPr>
                  <w:r>
                    <w:rPr>
                      <w:rFonts w:hint="eastAsia" w:ascii="Times New Roman" w:hAnsi="Times New Roman" w:eastAsia="宋体" w:cs="Courier New"/>
                      <w:b w:val="0"/>
                      <w:bCs w:val="0"/>
                      <w:color w:val="auto"/>
                      <w:lang w:eastAsia="zh-CN"/>
                    </w:rPr>
                    <w:t>相符</w:t>
                  </w:r>
                </w:p>
              </w:tc>
            </w:tr>
            <w:tr w14:paraId="01B47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noWrap w:val="0"/>
                  <w:vAlign w:val="center"/>
                </w:tcPr>
                <w:p w14:paraId="69F98B21">
                  <w:pPr>
                    <w:pStyle w:val="9"/>
                    <w:adjustRightInd w:val="0"/>
                    <w:snapToGrid w:val="0"/>
                    <w:spacing w:line="240" w:lineRule="auto"/>
                    <w:rPr>
                      <w:rFonts w:hint="eastAsia" w:ascii="Times New Roman" w:hAnsi="Times New Roman" w:eastAsia="宋体" w:cs="Courier New"/>
                      <w:b w:val="0"/>
                      <w:bCs w:val="0"/>
                      <w:color w:val="auto"/>
                      <w:lang w:val="en-US" w:eastAsia="zh-CN"/>
                    </w:rPr>
                  </w:pPr>
                  <w:r>
                    <w:rPr>
                      <w:rFonts w:hint="eastAsia" w:ascii="Times New Roman" w:hAnsi="Times New Roman" w:eastAsia="宋体" w:cs="Courier New"/>
                      <w:b w:val="0"/>
                      <w:bCs w:val="0"/>
                      <w:color w:val="auto"/>
                      <w:lang w:val="en-US" w:eastAsia="zh-CN"/>
                    </w:rPr>
                    <w:t>3</w:t>
                  </w:r>
                </w:p>
              </w:tc>
              <w:tc>
                <w:tcPr>
                  <w:tcW w:w="3880" w:type="dxa"/>
                  <w:noWrap w:val="0"/>
                  <w:vAlign w:val="center"/>
                </w:tcPr>
                <w:p w14:paraId="7EF42EE7">
                  <w:pPr>
                    <w:pStyle w:val="9"/>
                    <w:adjustRightInd w:val="0"/>
                    <w:snapToGrid w:val="0"/>
                    <w:spacing w:line="240" w:lineRule="auto"/>
                    <w:ind w:left="0" w:leftChars="0" w:firstLine="0" w:firstLineChars="0"/>
                    <w:jc w:val="both"/>
                    <w:rPr>
                      <w:rFonts w:hint="eastAsia" w:ascii="Times New Roman" w:hAnsi="Times New Roman" w:eastAsia="宋体" w:cs="Courier New"/>
                      <w:b w:val="0"/>
                      <w:bCs w:val="0"/>
                      <w:color w:val="auto"/>
                    </w:rPr>
                  </w:pPr>
                  <w:r>
                    <w:rPr>
                      <w:rFonts w:hint="eastAsia" w:ascii="Times New Roman" w:hAnsi="Times New Roman" w:eastAsia="宋体" w:cs="Courier New"/>
                      <w:b w:val="0"/>
                      <w:bCs w:val="0"/>
                      <w:color w:val="auto"/>
                      <w:lang w:val="en-US" w:eastAsia="zh-CN"/>
                    </w:rPr>
                    <w:t>强化水环境保护措施。针对穿越饮用水水源保护区、牛栏江流域Ⅱ类水体等敏感区域的路段，取消上游水库三水厂及五间圣水水厂等饮用水水源保护区内水中墩，下阶段应进一步减少杨家桥水库、杨叉沟饮用水水源保护区内路基和桥墩数量，设置路（桥）面径流收集系统。配合宜宾市人民政府落实宋家咀水库饮用水水源替代措施，居民供水得到保障且饮用水水源保护区撤销后，方可在相关区域施工。进一步优化调减敏感区域内临时辅助工程，原则上不在饮用水水源保护区内新建临时工程，取消毛家村水库饮用水水源保护区内5处施工营地和牛栏江流域上游保护区水源保护核心区内的临时工程和辅助坑道洞口，进一步优化或减少毛家村水库饮用水水源准保护区内临时工程。强化敏感区域施工期环境管理，涉水桥梁施工采取钢围堰并在枯水期进行，尽量减少施工废水产生量，严格落实敏感区域内施工废水处理后回用等措施，严禁向饮用水水源保护区、Ⅱ类水体内排污，牛栏江流域上游保护区内污水处置及排放还应当符合《云南省牛栏江保护条例》要求。</w:t>
                  </w:r>
                </w:p>
              </w:tc>
              <w:tc>
                <w:tcPr>
                  <w:tcW w:w="2236" w:type="dxa"/>
                  <w:noWrap w:val="0"/>
                  <w:vAlign w:val="center"/>
                </w:tcPr>
                <w:p w14:paraId="3FFF1552">
                  <w:pPr>
                    <w:pStyle w:val="9"/>
                    <w:adjustRightInd w:val="0"/>
                    <w:snapToGrid w:val="0"/>
                    <w:spacing w:line="240" w:lineRule="auto"/>
                    <w:ind w:left="0" w:leftChars="0" w:firstLine="0" w:firstLineChars="0"/>
                    <w:jc w:val="both"/>
                    <w:rPr>
                      <w:rFonts w:hint="default" w:ascii="Times New Roman" w:hAnsi="Times New Roman" w:eastAsia="宋体" w:cs="Courier New"/>
                      <w:b w:val="0"/>
                      <w:bCs w:val="0"/>
                      <w:color w:val="auto"/>
                      <w:lang w:val="en-US" w:eastAsia="zh-CN"/>
                    </w:rPr>
                  </w:pPr>
                  <w:r>
                    <w:rPr>
                      <w:rFonts w:hint="eastAsia" w:ascii="Times New Roman" w:hAnsi="Times New Roman" w:eastAsia="宋体" w:cs="Courier New"/>
                      <w:b w:val="0"/>
                      <w:bCs w:val="0"/>
                      <w:color w:val="auto"/>
                      <w:lang w:eastAsia="zh-CN"/>
                    </w:rPr>
                    <w:t>项目位于牛栏江流域上游保护区中的水源保护核心区，</w:t>
                  </w:r>
                  <w:r>
                    <w:rPr>
                      <w:rFonts w:hint="eastAsia" w:cs="Courier New"/>
                      <w:b w:val="0"/>
                      <w:bCs w:val="0"/>
                      <w:color w:val="auto"/>
                      <w:lang w:val="en-US" w:eastAsia="zh-CN"/>
                    </w:rPr>
                    <w:t>选址无更优方案，</w:t>
                  </w:r>
                  <w:r>
                    <w:rPr>
                      <w:rFonts w:hint="eastAsia" w:ascii="Times New Roman" w:hAnsi="Times New Roman" w:eastAsia="宋体" w:cs="Courier New"/>
                      <w:b w:val="0"/>
                      <w:bCs w:val="0"/>
                      <w:color w:val="auto"/>
                      <w:lang w:val="en-US" w:eastAsia="zh-CN"/>
                    </w:rPr>
                    <w:t>项目已取得</w:t>
                  </w:r>
                  <w:r>
                    <w:rPr>
                      <w:rFonts w:hint="eastAsia" w:cs="Courier New"/>
                      <w:b w:val="0"/>
                      <w:bCs w:val="0"/>
                      <w:color w:val="auto"/>
                      <w:lang w:val="en-US" w:eastAsia="zh-CN"/>
                    </w:rPr>
                    <w:t>寻甸</w:t>
                  </w:r>
                  <w:r>
                    <w:rPr>
                      <w:rFonts w:hint="eastAsia" w:ascii="Times New Roman" w:hAnsi="Times New Roman" w:eastAsia="宋体" w:cs="Courier New"/>
                      <w:b w:val="0"/>
                      <w:bCs w:val="0"/>
                      <w:color w:val="auto"/>
                      <w:lang w:eastAsia="zh-CN"/>
                    </w:rPr>
                    <w:t>县自然资源局、</w:t>
                  </w:r>
                  <w:r>
                    <w:rPr>
                      <w:rFonts w:hint="eastAsia" w:cs="Courier New"/>
                      <w:b w:val="0"/>
                      <w:bCs w:val="0"/>
                      <w:color w:val="auto"/>
                      <w:lang w:val="en-US" w:eastAsia="zh-CN"/>
                    </w:rPr>
                    <w:t>寻甸</w:t>
                  </w:r>
                  <w:r>
                    <w:rPr>
                      <w:rFonts w:hint="eastAsia" w:ascii="Times New Roman" w:hAnsi="Times New Roman" w:eastAsia="宋体" w:cs="Courier New"/>
                      <w:b w:val="0"/>
                      <w:bCs w:val="0"/>
                      <w:color w:val="auto"/>
                      <w:lang w:eastAsia="zh-CN"/>
                    </w:rPr>
                    <w:t>县林业和草原局、昆明市生态环境局</w:t>
                  </w:r>
                  <w:r>
                    <w:rPr>
                      <w:rFonts w:hint="eastAsia" w:cs="Courier New"/>
                      <w:b w:val="0"/>
                      <w:bCs w:val="0"/>
                      <w:color w:val="auto"/>
                      <w:lang w:val="en-US" w:eastAsia="zh-CN"/>
                    </w:rPr>
                    <w:t>寻甸</w:t>
                  </w:r>
                  <w:r>
                    <w:rPr>
                      <w:rFonts w:hint="eastAsia" w:ascii="Times New Roman" w:hAnsi="Times New Roman" w:eastAsia="宋体" w:cs="Courier New"/>
                      <w:b w:val="0"/>
                      <w:bCs w:val="0"/>
                      <w:color w:val="auto"/>
                      <w:lang w:eastAsia="zh-CN"/>
                    </w:rPr>
                    <w:t>分局等多部门同意选址的选址意见书</w:t>
                  </w:r>
                  <w:r>
                    <w:rPr>
                      <w:rFonts w:hint="eastAsia" w:cs="Courier New"/>
                      <w:b w:val="0"/>
                      <w:bCs w:val="0"/>
                      <w:color w:val="auto"/>
                      <w:lang w:eastAsia="zh-CN"/>
                    </w:rPr>
                    <w:t>（</w:t>
                  </w:r>
                  <w:r>
                    <w:rPr>
                      <w:rFonts w:hint="eastAsia" w:cs="Courier New"/>
                      <w:b w:val="0"/>
                      <w:bCs w:val="0"/>
                      <w:color w:val="auto"/>
                      <w:lang w:val="en-US" w:eastAsia="zh-CN"/>
                    </w:rPr>
                    <w:t>具体见附件4</w:t>
                  </w:r>
                  <w:r>
                    <w:rPr>
                      <w:rFonts w:hint="eastAsia" w:cs="Courier New"/>
                      <w:b w:val="0"/>
                      <w:bCs w:val="0"/>
                      <w:color w:val="auto"/>
                      <w:lang w:eastAsia="zh-CN"/>
                    </w:rPr>
                    <w:t>）。</w:t>
                  </w:r>
                  <w:r>
                    <w:rPr>
                      <w:rFonts w:hint="eastAsia" w:ascii="Times New Roman" w:hAnsi="Times New Roman" w:eastAsia="宋体" w:cs="Courier New"/>
                      <w:b w:val="0"/>
                      <w:bCs w:val="0"/>
                      <w:color w:val="auto"/>
                      <w:lang w:eastAsia="zh-CN"/>
                    </w:rPr>
                    <w:t>项目初期雨水收集后进入</w:t>
                  </w:r>
                  <w:r>
                    <w:rPr>
                      <w:rFonts w:hint="eastAsia" w:cs="Courier New"/>
                      <w:b w:val="0"/>
                      <w:bCs w:val="0"/>
                      <w:color w:val="auto"/>
                      <w:lang w:val="en-US" w:eastAsia="zh-CN"/>
                    </w:rPr>
                    <w:t>雨水收集池后回用于混凝土搅拌</w:t>
                  </w:r>
                  <w:r>
                    <w:rPr>
                      <w:rFonts w:hint="eastAsia" w:ascii="Times New Roman" w:hAnsi="Times New Roman" w:eastAsia="宋体" w:cs="Courier New"/>
                      <w:b w:val="0"/>
                      <w:bCs w:val="0"/>
                      <w:color w:val="auto"/>
                      <w:lang w:eastAsia="zh-CN"/>
                    </w:rPr>
                    <w:t>；</w:t>
                  </w:r>
                  <w:r>
                    <w:rPr>
                      <w:rFonts w:hint="eastAsia" w:cs="Courier New"/>
                      <w:b w:val="0"/>
                      <w:bCs w:val="0"/>
                      <w:color w:val="auto"/>
                      <w:lang w:val="en-US" w:eastAsia="zh-CN"/>
                    </w:rPr>
                    <w:t>项目区生产废水收集于沉淀池后回用于混凝土搅拌，生活污水排入化粪池处理，委托</w:t>
                  </w:r>
                  <w:r>
                    <w:rPr>
                      <w:rFonts w:hint="eastAsia"/>
                      <w:color w:val="auto"/>
                      <w:szCs w:val="21"/>
                      <w:lang w:val="en-US" w:eastAsia="zh-CN"/>
                    </w:rPr>
                    <w:t>昆明洁龙保洁服务有限公司</w:t>
                  </w:r>
                  <w:r>
                    <w:rPr>
                      <w:color w:val="auto"/>
                      <w:szCs w:val="21"/>
                    </w:rPr>
                    <w:t>定期</w:t>
                  </w:r>
                  <w:r>
                    <w:rPr>
                      <w:rFonts w:hint="eastAsia"/>
                      <w:color w:val="auto"/>
                      <w:szCs w:val="21"/>
                    </w:rPr>
                    <w:t>清掏</w:t>
                  </w:r>
                  <w:r>
                    <w:rPr>
                      <w:rFonts w:hint="eastAsia"/>
                      <w:color w:val="auto"/>
                      <w:szCs w:val="21"/>
                      <w:lang w:eastAsia="zh-CN"/>
                    </w:rPr>
                    <w:t>，</w:t>
                  </w:r>
                  <w:r>
                    <w:rPr>
                      <w:rFonts w:hint="eastAsia"/>
                      <w:color w:val="auto"/>
                      <w:szCs w:val="21"/>
                      <w:lang w:val="en-US" w:eastAsia="zh-CN"/>
                    </w:rPr>
                    <w:t>不外排，可</w:t>
                  </w:r>
                  <w:r>
                    <w:rPr>
                      <w:rFonts w:hint="eastAsia" w:ascii="Times New Roman" w:hAnsi="Times New Roman" w:eastAsia="宋体" w:cs="Courier New"/>
                      <w:b w:val="0"/>
                      <w:bCs w:val="0"/>
                      <w:color w:val="auto"/>
                      <w:lang w:eastAsia="zh-CN"/>
                    </w:rPr>
                    <w:t>满足</w:t>
                  </w:r>
                  <w:r>
                    <w:rPr>
                      <w:rFonts w:hint="eastAsia" w:ascii="Times New Roman" w:hAnsi="Times New Roman" w:eastAsia="宋体" w:cs="Courier New"/>
                      <w:b w:val="0"/>
                      <w:bCs w:val="0"/>
                      <w:color w:val="auto"/>
                      <w:lang w:val="en-US" w:eastAsia="zh-CN"/>
                    </w:rPr>
                    <w:t>《云南省牛栏江保护条例》的要求</w:t>
                  </w:r>
                  <w:r>
                    <w:rPr>
                      <w:rFonts w:hint="eastAsia" w:ascii="Times New Roman" w:hAnsi="Times New Roman" w:eastAsia="宋体" w:cs="Courier New"/>
                      <w:b w:val="0"/>
                      <w:bCs w:val="0"/>
                      <w:color w:val="auto"/>
                      <w:lang w:eastAsia="zh-CN"/>
                    </w:rPr>
                    <w:t>。</w:t>
                  </w:r>
                </w:p>
              </w:tc>
              <w:tc>
                <w:tcPr>
                  <w:tcW w:w="1137" w:type="dxa"/>
                  <w:noWrap w:val="0"/>
                  <w:vAlign w:val="center"/>
                </w:tcPr>
                <w:p w14:paraId="5C8CAF21">
                  <w:pPr>
                    <w:pStyle w:val="9"/>
                    <w:adjustRightInd w:val="0"/>
                    <w:snapToGrid w:val="0"/>
                    <w:spacing w:line="240" w:lineRule="auto"/>
                    <w:rPr>
                      <w:rFonts w:hint="eastAsia" w:ascii="Times New Roman" w:hAnsi="Times New Roman" w:eastAsia="宋体" w:cs="Courier New"/>
                      <w:b w:val="0"/>
                      <w:bCs w:val="0"/>
                      <w:color w:val="auto"/>
                      <w:lang w:eastAsia="zh-CN"/>
                    </w:rPr>
                  </w:pPr>
                  <w:r>
                    <w:rPr>
                      <w:rFonts w:hint="eastAsia" w:ascii="Times New Roman" w:hAnsi="Times New Roman" w:eastAsia="宋体" w:cs="Courier New"/>
                      <w:b w:val="0"/>
                      <w:bCs w:val="0"/>
                      <w:color w:val="auto"/>
                      <w:lang w:eastAsia="zh-CN"/>
                    </w:rPr>
                    <w:t>相符</w:t>
                  </w:r>
                </w:p>
              </w:tc>
            </w:tr>
            <w:tr w14:paraId="2F0E0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noWrap w:val="0"/>
                  <w:vAlign w:val="center"/>
                </w:tcPr>
                <w:p w14:paraId="342DDA14">
                  <w:pPr>
                    <w:pStyle w:val="9"/>
                    <w:adjustRightInd w:val="0"/>
                    <w:snapToGrid w:val="0"/>
                    <w:spacing w:line="240" w:lineRule="auto"/>
                    <w:rPr>
                      <w:rFonts w:hint="eastAsia" w:ascii="Times New Roman" w:hAnsi="Times New Roman" w:eastAsia="宋体" w:cs="Courier New"/>
                      <w:b w:val="0"/>
                      <w:bCs w:val="0"/>
                      <w:color w:val="auto"/>
                      <w:lang w:val="en-US" w:eastAsia="zh-CN"/>
                    </w:rPr>
                  </w:pPr>
                  <w:r>
                    <w:rPr>
                      <w:rFonts w:hint="eastAsia" w:ascii="Times New Roman" w:hAnsi="Times New Roman" w:eastAsia="宋体" w:cs="Courier New"/>
                      <w:b w:val="0"/>
                      <w:bCs w:val="0"/>
                      <w:color w:val="auto"/>
                      <w:lang w:val="en-US" w:eastAsia="zh-CN"/>
                    </w:rPr>
                    <w:t>4</w:t>
                  </w:r>
                </w:p>
              </w:tc>
              <w:tc>
                <w:tcPr>
                  <w:tcW w:w="3880" w:type="dxa"/>
                  <w:noWrap w:val="0"/>
                  <w:vAlign w:val="center"/>
                </w:tcPr>
                <w:p w14:paraId="370A2A1A">
                  <w:pPr>
                    <w:pStyle w:val="9"/>
                    <w:adjustRightInd w:val="0"/>
                    <w:snapToGrid w:val="0"/>
                    <w:spacing w:line="240" w:lineRule="auto"/>
                    <w:ind w:left="0" w:leftChars="0" w:firstLine="0" w:firstLineChars="0"/>
                    <w:jc w:val="both"/>
                    <w:rPr>
                      <w:rFonts w:hint="eastAsia" w:ascii="Times New Roman" w:hAnsi="Times New Roman" w:eastAsia="宋体" w:cs="Courier New"/>
                      <w:b w:val="0"/>
                      <w:bCs w:val="0"/>
                      <w:color w:val="auto"/>
                    </w:rPr>
                  </w:pPr>
                  <w:r>
                    <w:rPr>
                      <w:rFonts w:hint="eastAsia" w:ascii="Times New Roman" w:hAnsi="Times New Roman" w:eastAsia="宋体" w:cs="Courier New"/>
                      <w:b w:val="0"/>
                      <w:bCs w:val="0"/>
                      <w:color w:val="auto"/>
                      <w:lang w:val="en-US" w:eastAsia="zh-CN"/>
                    </w:rPr>
                    <w:t>施工期生产、生活废水经收集处理达标后，优先回用，剩余部分按照生态环境保护要求排放，泥浆废水处理后循环利用不外排。</w:t>
                  </w:r>
                </w:p>
                <w:p w14:paraId="49FD8139">
                  <w:pPr>
                    <w:pStyle w:val="9"/>
                    <w:adjustRightInd w:val="0"/>
                    <w:snapToGrid w:val="0"/>
                    <w:spacing w:line="240" w:lineRule="auto"/>
                    <w:ind w:left="0" w:leftChars="0" w:firstLine="0" w:firstLineChars="0"/>
                    <w:jc w:val="both"/>
                    <w:rPr>
                      <w:rFonts w:hint="eastAsia" w:ascii="Times New Roman" w:hAnsi="Times New Roman" w:eastAsia="宋体" w:cs="Courier New"/>
                      <w:b w:val="0"/>
                      <w:bCs w:val="0"/>
                      <w:color w:val="auto"/>
                    </w:rPr>
                  </w:pPr>
                  <w:r>
                    <w:rPr>
                      <w:rFonts w:hint="eastAsia" w:ascii="Times New Roman" w:hAnsi="Times New Roman" w:eastAsia="宋体" w:cs="Courier New"/>
                      <w:b w:val="0"/>
                      <w:bCs w:val="0"/>
                      <w:color w:val="auto"/>
                      <w:lang w:val="en-US" w:eastAsia="zh-CN"/>
                    </w:rPr>
                    <w:t>落实运营期污（废）水处理措施，车站污（废）水优先接入市政污水管网，不具备纳管条件的采用一体化污水处理设施处理后回用或达标排放。下阶段应结合站场污水量及当地气候条件等，优化站场污水处理设施的工艺设计，加强运营期运行维护管理，确保稳定运行。落实维修工区、污水处理设施、固废暂存场地等区域防渗措施，避免对地下水及土壤环境造成不利影响。隧道施工中加强超前地质预报，严格落实隧道涌水清污分流措施，尽可能减少隧道施工废水排放量，隧道施工废水处置后达标排放。对鲁甸等涉及饮用水水源保护区的隧道工程，应加强监测和监控，防止施工等对饮用水水源造成不利影响，编制环境应急预案，避免出现水污染事件，保障居民供水安全。</w:t>
                  </w:r>
                </w:p>
              </w:tc>
              <w:tc>
                <w:tcPr>
                  <w:tcW w:w="2236" w:type="dxa"/>
                  <w:noWrap w:val="0"/>
                  <w:vAlign w:val="center"/>
                </w:tcPr>
                <w:p w14:paraId="459872DB">
                  <w:pPr>
                    <w:pStyle w:val="9"/>
                    <w:adjustRightInd w:val="0"/>
                    <w:snapToGrid w:val="0"/>
                    <w:spacing w:line="240" w:lineRule="auto"/>
                    <w:ind w:left="0" w:leftChars="0" w:firstLine="0" w:firstLineChars="0"/>
                    <w:jc w:val="both"/>
                    <w:rPr>
                      <w:rFonts w:hint="eastAsia" w:ascii="Times New Roman" w:hAnsi="Times New Roman" w:eastAsia="宋体" w:cs="Courier New"/>
                      <w:b w:val="0"/>
                      <w:bCs w:val="0"/>
                      <w:color w:val="auto"/>
                      <w:lang w:val="en-US" w:eastAsia="zh-CN"/>
                    </w:rPr>
                  </w:pPr>
                  <w:r>
                    <w:rPr>
                      <w:rFonts w:hint="eastAsia" w:ascii="Times New Roman" w:hAnsi="Times New Roman" w:eastAsia="宋体" w:cs="Courier New"/>
                      <w:b w:val="0"/>
                      <w:bCs w:val="0"/>
                      <w:color w:val="auto"/>
                      <w:lang w:val="en-US" w:eastAsia="zh-CN"/>
                    </w:rPr>
                    <w:t>项目施工期雨水经</w:t>
                  </w:r>
                  <w:r>
                    <w:rPr>
                      <w:rFonts w:hint="eastAsia" w:cs="Courier New"/>
                      <w:b w:val="0"/>
                      <w:bCs w:val="0"/>
                      <w:color w:val="auto"/>
                      <w:lang w:val="en-US" w:eastAsia="zh-CN"/>
                    </w:rPr>
                    <w:t>沉淀池收集后</w:t>
                  </w:r>
                  <w:r>
                    <w:rPr>
                      <w:rFonts w:hint="eastAsia" w:ascii="Times New Roman" w:hAnsi="Times New Roman" w:eastAsia="宋体" w:cs="Courier New"/>
                      <w:b w:val="0"/>
                      <w:bCs w:val="0"/>
                      <w:color w:val="auto"/>
                      <w:lang w:val="en-US" w:eastAsia="zh-CN"/>
                    </w:rPr>
                    <w:t>，回用于道路洒水防尘</w:t>
                  </w:r>
                  <w:r>
                    <w:rPr>
                      <w:rFonts w:hint="eastAsia" w:cs="Courier New"/>
                      <w:b w:val="0"/>
                      <w:bCs w:val="0"/>
                      <w:color w:val="auto"/>
                      <w:lang w:val="en-US" w:eastAsia="zh-CN"/>
                    </w:rPr>
                    <w:t>，</w:t>
                  </w:r>
                  <w:r>
                    <w:rPr>
                      <w:rFonts w:hint="eastAsia" w:ascii="Times New Roman" w:hAnsi="Times New Roman" w:eastAsia="宋体" w:cs="Courier New"/>
                      <w:b w:val="0"/>
                      <w:bCs w:val="0"/>
                      <w:color w:val="auto"/>
                      <w:lang w:val="en-US" w:eastAsia="zh-CN"/>
                    </w:rPr>
                    <w:t>车辆机械冲洗等，施工机械和车辆清洗废水经排水沟排入临时隔油沉淀池，经沉淀处理后回用于道路洒水防尘、车辆机械冲洗等，施工人员洗手废水通过水桶收集后用于洒水降尘，不外排。</w:t>
                  </w:r>
                </w:p>
                <w:p w14:paraId="163B877B">
                  <w:pPr>
                    <w:pStyle w:val="9"/>
                    <w:adjustRightInd w:val="0"/>
                    <w:snapToGrid w:val="0"/>
                    <w:spacing w:line="240" w:lineRule="auto"/>
                    <w:ind w:left="0" w:leftChars="0" w:firstLine="0" w:firstLineChars="0"/>
                    <w:jc w:val="both"/>
                    <w:rPr>
                      <w:rFonts w:hint="eastAsia" w:ascii="Times New Roman" w:hAnsi="Times New Roman" w:eastAsia="宋体" w:cs="Courier New"/>
                      <w:b w:val="0"/>
                      <w:bCs w:val="0"/>
                      <w:color w:val="auto"/>
                      <w:lang w:val="en-US" w:eastAsia="zh-CN"/>
                    </w:rPr>
                  </w:pPr>
                  <w:r>
                    <w:rPr>
                      <w:rFonts w:hint="eastAsia" w:ascii="Times New Roman" w:hAnsi="Times New Roman" w:eastAsia="宋体" w:cs="Courier New"/>
                      <w:b w:val="0"/>
                      <w:bCs w:val="0"/>
                      <w:color w:val="auto"/>
                      <w:lang w:val="en-US" w:eastAsia="zh-CN"/>
                    </w:rPr>
                    <w:t>项目运营期初期雨水收集后进入</w:t>
                  </w:r>
                  <w:r>
                    <w:rPr>
                      <w:rFonts w:hint="eastAsia" w:cs="Courier New"/>
                      <w:b w:val="0"/>
                      <w:bCs w:val="0"/>
                      <w:color w:val="auto"/>
                      <w:lang w:val="en-US" w:eastAsia="zh-CN"/>
                    </w:rPr>
                    <w:t>雨水收集池</w:t>
                  </w:r>
                  <w:r>
                    <w:rPr>
                      <w:rFonts w:hint="eastAsia" w:ascii="Times New Roman" w:hAnsi="Times New Roman" w:eastAsia="宋体" w:cs="Courier New"/>
                      <w:b w:val="0"/>
                      <w:bCs w:val="0"/>
                      <w:color w:val="auto"/>
                      <w:lang w:val="en-US" w:eastAsia="zh-CN"/>
                    </w:rPr>
                    <w:t>，</w:t>
                  </w:r>
                  <w:r>
                    <w:rPr>
                      <w:rFonts w:hint="eastAsia" w:cs="Courier New"/>
                      <w:b w:val="0"/>
                      <w:bCs w:val="0"/>
                      <w:color w:val="auto"/>
                      <w:lang w:val="en-US" w:eastAsia="zh-CN"/>
                    </w:rPr>
                    <w:t>回用于混凝土搅拌</w:t>
                  </w:r>
                  <w:r>
                    <w:rPr>
                      <w:rFonts w:hint="eastAsia" w:ascii="Times New Roman" w:hAnsi="Times New Roman" w:eastAsia="宋体" w:cs="Courier New"/>
                      <w:b w:val="0"/>
                      <w:bCs w:val="0"/>
                      <w:color w:val="auto"/>
                      <w:lang w:val="en-US" w:eastAsia="zh-CN"/>
                    </w:rPr>
                    <w:t>；</w:t>
                  </w:r>
                  <w:r>
                    <w:rPr>
                      <w:rFonts w:hint="eastAsia" w:cs="Courier New"/>
                      <w:b w:val="0"/>
                      <w:bCs w:val="0"/>
                      <w:color w:val="auto"/>
                      <w:lang w:val="en-US" w:eastAsia="zh-CN"/>
                    </w:rPr>
                    <w:t>项目区生产废水收集于沉淀池后回用于混凝土搅拌，生活污水排入化粪池处理，委托</w:t>
                  </w:r>
                  <w:r>
                    <w:rPr>
                      <w:rFonts w:hint="eastAsia"/>
                      <w:color w:val="auto"/>
                      <w:szCs w:val="21"/>
                      <w:lang w:val="en-US" w:eastAsia="zh-CN"/>
                    </w:rPr>
                    <w:t>昆明洁龙保洁服务有限公司</w:t>
                  </w:r>
                  <w:r>
                    <w:rPr>
                      <w:color w:val="auto"/>
                      <w:szCs w:val="21"/>
                    </w:rPr>
                    <w:t>定期</w:t>
                  </w:r>
                  <w:r>
                    <w:rPr>
                      <w:rFonts w:hint="eastAsia"/>
                      <w:color w:val="auto"/>
                      <w:szCs w:val="21"/>
                    </w:rPr>
                    <w:t>清掏</w:t>
                  </w:r>
                  <w:r>
                    <w:rPr>
                      <w:rFonts w:hint="eastAsia"/>
                      <w:color w:val="auto"/>
                      <w:szCs w:val="21"/>
                      <w:lang w:eastAsia="zh-CN"/>
                    </w:rPr>
                    <w:t>，</w:t>
                  </w:r>
                  <w:r>
                    <w:rPr>
                      <w:rFonts w:hint="eastAsia"/>
                      <w:color w:val="auto"/>
                      <w:szCs w:val="21"/>
                      <w:lang w:val="en-US" w:eastAsia="zh-CN"/>
                    </w:rPr>
                    <w:t>不外排</w:t>
                  </w:r>
                  <w:r>
                    <w:rPr>
                      <w:rFonts w:hint="eastAsia" w:ascii="Times New Roman" w:hAnsi="Times New Roman" w:eastAsia="宋体" w:cs="Courier New"/>
                      <w:b w:val="0"/>
                      <w:bCs w:val="0"/>
                      <w:color w:val="auto"/>
                      <w:lang w:val="en-US" w:eastAsia="zh-CN"/>
                    </w:rPr>
                    <w:t>。</w:t>
                  </w:r>
                </w:p>
                <w:p w14:paraId="2359B083">
                  <w:pPr>
                    <w:pStyle w:val="9"/>
                    <w:adjustRightInd w:val="0"/>
                    <w:snapToGrid w:val="0"/>
                    <w:spacing w:line="240" w:lineRule="auto"/>
                    <w:ind w:left="0" w:leftChars="0" w:firstLine="0" w:firstLineChars="0"/>
                    <w:jc w:val="both"/>
                    <w:rPr>
                      <w:rFonts w:hint="eastAsia" w:ascii="Times New Roman" w:hAnsi="Times New Roman" w:eastAsia="宋体" w:cs="Courier New"/>
                      <w:b w:val="0"/>
                      <w:bCs w:val="0"/>
                      <w:color w:val="auto"/>
                      <w:lang w:val="en-US" w:eastAsia="zh-CN"/>
                    </w:rPr>
                  </w:pPr>
                  <w:r>
                    <w:rPr>
                      <w:rFonts w:hint="eastAsia" w:ascii="Times New Roman" w:hAnsi="Times New Roman" w:eastAsia="宋体" w:cs="Courier New"/>
                      <w:b w:val="0"/>
                      <w:bCs w:val="0"/>
                      <w:color w:val="auto"/>
                      <w:lang w:val="en-US" w:eastAsia="zh-CN"/>
                    </w:rPr>
                    <w:t>环评要求建设单位编制突发环境事件应急预案并备案及演练。</w:t>
                  </w:r>
                </w:p>
              </w:tc>
              <w:tc>
                <w:tcPr>
                  <w:tcW w:w="1137" w:type="dxa"/>
                  <w:noWrap w:val="0"/>
                  <w:vAlign w:val="center"/>
                </w:tcPr>
                <w:p w14:paraId="6989711A">
                  <w:pPr>
                    <w:pStyle w:val="9"/>
                    <w:adjustRightInd w:val="0"/>
                    <w:snapToGrid w:val="0"/>
                    <w:spacing w:line="240" w:lineRule="auto"/>
                    <w:rPr>
                      <w:rFonts w:hint="eastAsia" w:ascii="Times New Roman" w:hAnsi="Times New Roman" w:eastAsia="宋体" w:cs="Courier New"/>
                      <w:b w:val="0"/>
                      <w:bCs w:val="0"/>
                      <w:color w:val="auto"/>
                      <w:lang w:val="en-US" w:eastAsia="zh-CN"/>
                    </w:rPr>
                  </w:pPr>
                  <w:r>
                    <w:rPr>
                      <w:rFonts w:hint="eastAsia" w:ascii="Times New Roman" w:hAnsi="Times New Roman" w:eastAsia="宋体" w:cs="Courier New"/>
                      <w:b w:val="0"/>
                      <w:bCs w:val="0"/>
                      <w:color w:val="auto"/>
                      <w:lang w:val="en-US" w:eastAsia="zh-CN"/>
                    </w:rPr>
                    <w:t>相符</w:t>
                  </w:r>
                </w:p>
              </w:tc>
            </w:tr>
          </w:tbl>
          <w:p w14:paraId="30949449">
            <w:pPr>
              <w:ind w:firstLine="482"/>
              <w:rPr>
                <w:rFonts w:hint="eastAsia"/>
                <w:b/>
                <w:bCs/>
                <w:color w:val="auto"/>
                <w:lang w:eastAsia="zh-CN"/>
              </w:rPr>
            </w:pPr>
            <w:r>
              <w:rPr>
                <w:rFonts w:hint="eastAsia"/>
                <w:b w:val="0"/>
                <w:bCs w:val="0"/>
                <w:color w:val="auto"/>
                <w:lang w:eastAsia="zh-CN"/>
              </w:rPr>
              <w:t>根据上报分析，本项目满足《</w:t>
            </w:r>
            <w:r>
              <w:rPr>
                <w:rFonts w:hint="eastAsia"/>
                <w:b w:val="0"/>
                <w:bCs w:val="0"/>
                <w:color w:val="auto"/>
              </w:rPr>
              <w:t>关于新建重庆至昆明高速铁路环境影响报告书的批复</w:t>
            </w:r>
            <w:r>
              <w:rPr>
                <w:rFonts w:hint="eastAsia"/>
                <w:b w:val="0"/>
                <w:bCs w:val="0"/>
                <w:color w:val="auto"/>
                <w:lang w:eastAsia="zh-CN"/>
              </w:rPr>
              <w:t>》</w:t>
            </w:r>
            <w:r>
              <w:rPr>
                <w:rFonts w:hint="eastAsia"/>
                <w:b w:val="0"/>
                <w:bCs w:val="0"/>
                <w:color w:val="auto"/>
              </w:rPr>
              <w:t>（环审〔2020〕46号）</w:t>
            </w:r>
            <w:r>
              <w:rPr>
                <w:rFonts w:hint="eastAsia"/>
                <w:b w:val="0"/>
                <w:bCs w:val="0"/>
                <w:color w:val="auto"/>
                <w:lang w:eastAsia="zh-CN"/>
              </w:rPr>
              <w:t>提出的要求。</w:t>
            </w:r>
          </w:p>
          <w:p w14:paraId="63B62645">
            <w:pPr>
              <w:ind w:firstLine="482"/>
              <w:rPr>
                <w:b/>
                <w:bCs/>
                <w:color w:val="auto"/>
              </w:rPr>
            </w:pPr>
            <w:r>
              <w:rPr>
                <w:rFonts w:hint="eastAsia"/>
                <w:b/>
                <w:bCs/>
                <w:color w:val="auto"/>
              </w:rPr>
              <w:t>1.</w:t>
            </w:r>
            <w:r>
              <w:rPr>
                <w:rFonts w:hint="eastAsia"/>
                <w:b/>
                <w:bCs/>
                <w:color w:val="auto"/>
                <w:lang w:val="en-US" w:eastAsia="zh-CN"/>
              </w:rPr>
              <w:t>1.16</w:t>
            </w:r>
            <w:r>
              <w:rPr>
                <w:b/>
                <w:bCs/>
                <w:color w:val="auto"/>
              </w:rPr>
              <w:t>项目选址合理性分析</w:t>
            </w:r>
          </w:p>
          <w:p w14:paraId="1844E13F">
            <w:pPr>
              <w:pStyle w:val="4"/>
              <w:ind w:firstLine="480"/>
              <w:jc w:val="both"/>
              <w:rPr>
                <w:color w:val="auto"/>
                <w:szCs w:val="22"/>
              </w:rPr>
            </w:pPr>
            <w:r>
              <w:rPr>
                <w:color w:val="auto"/>
                <w:szCs w:val="22"/>
              </w:rPr>
              <w:t>本项目位于</w:t>
            </w:r>
            <w:r>
              <w:rPr>
                <w:rFonts w:hint="eastAsia"/>
                <w:color w:val="auto"/>
              </w:rPr>
              <w:t>云南省昆明市寻甸回族彝族自治县仁德街道</w:t>
            </w:r>
            <w:r>
              <w:rPr>
                <w:rFonts w:hint="eastAsia"/>
                <w:color w:val="auto"/>
                <w:szCs w:val="22"/>
              </w:rPr>
              <w:t>，项目</w:t>
            </w:r>
            <w:r>
              <w:rPr>
                <w:rFonts w:hint="eastAsia"/>
                <w:color w:val="auto"/>
              </w:rPr>
              <w:t>已取得自然资源、农业农村、林草、环境保护部门的选址意见，且本项目为临时用地项目，服务期限为四年，服务期限满后，将进行生态恢复。</w:t>
            </w:r>
            <w:r>
              <w:rPr>
                <w:rFonts w:hint="eastAsia"/>
                <w:color w:val="auto"/>
                <w:szCs w:val="22"/>
              </w:rPr>
              <w:t>项目建设符合“三线一单”要求，与生态环境保护相关法规及政策文件规定相符；</w:t>
            </w:r>
            <w:r>
              <w:rPr>
                <w:color w:val="auto"/>
                <w:szCs w:val="22"/>
              </w:rPr>
              <w:t>项目</w:t>
            </w:r>
            <w:r>
              <w:rPr>
                <w:rFonts w:hint="eastAsia"/>
                <w:color w:val="auto"/>
              </w:rPr>
              <w:t>寻甸县</w:t>
            </w:r>
            <w:r>
              <w:rPr>
                <w:color w:val="auto"/>
              </w:rPr>
              <w:t>自然资源局</w:t>
            </w:r>
            <w:r>
              <w:rPr>
                <w:rFonts w:hint="eastAsia"/>
                <w:color w:val="auto"/>
              </w:rPr>
              <w:t>2023年11月9日出具的“三区三线”查询证明（附件</w:t>
            </w:r>
            <w:r>
              <w:rPr>
                <w:rFonts w:hint="eastAsia"/>
                <w:color w:val="auto"/>
                <w:lang w:val="en-US" w:eastAsia="zh-CN"/>
              </w:rPr>
              <w:t>8</w:t>
            </w:r>
            <w:r>
              <w:rPr>
                <w:rFonts w:hint="eastAsia"/>
                <w:color w:val="auto"/>
              </w:rPr>
              <w:t>）</w:t>
            </w:r>
            <w:r>
              <w:rPr>
                <w:color w:val="auto"/>
              </w:rPr>
              <w:t>，</w:t>
            </w:r>
            <w:r>
              <w:rPr>
                <w:rFonts w:hint="eastAsia"/>
                <w:color w:val="auto"/>
              </w:rPr>
              <w:t>项目建设不</w:t>
            </w:r>
            <w:r>
              <w:rPr>
                <w:color w:val="auto"/>
              </w:rPr>
              <w:t>占用生态</w:t>
            </w:r>
            <w:r>
              <w:rPr>
                <w:rFonts w:hint="eastAsia"/>
                <w:color w:val="auto"/>
              </w:rPr>
              <w:t>保护</w:t>
            </w:r>
            <w:r>
              <w:rPr>
                <w:color w:val="auto"/>
              </w:rPr>
              <w:t>红线、</w:t>
            </w:r>
            <w:r>
              <w:rPr>
                <w:rFonts w:hint="eastAsia"/>
                <w:color w:val="auto"/>
              </w:rPr>
              <w:t>永久</w:t>
            </w:r>
            <w:r>
              <w:rPr>
                <w:color w:val="auto"/>
              </w:rPr>
              <w:t>基本农田</w:t>
            </w:r>
            <w:r>
              <w:rPr>
                <w:rFonts w:hint="eastAsia"/>
                <w:color w:val="auto"/>
              </w:rPr>
              <w:t>和城镇开发边界</w:t>
            </w:r>
            <w:r>
              <w:rPr>
                <w:color w:val="auto"/>
              </w:rPr>
              <w:t>。</w:t>
            </w:r>
            <w:r>
              <w:rPr>
                <w:rStyle w:val="25"/>
                <w:color w:val="auto"/>
                <w:sz w:val="24"/>
                <w:szCs w:val="24"/>
              </w:rPr>
              <w:t>项</w:t>
            </w:r>
            <w:r>
              <w:rPr>
                <w:color w:val="auto"/>
                <w:szCs w:val="24"/>
              </w:rPr>
              <w:t>目区最近地表水为项目区北侧约</w:t>
            </w:r>
            <w:r>
              <w:rPr>
                <w:rFonts w:hint="eastAsia"/>
                <w:color w:val="auto"/>
                <w:szCs w:val="24"/>
              </w:rPr>
              <w:t>50</w:t>
            </w:r>
            <w:r>
              <w:rPr>
                <w:color w:val="auto"/>
                <w:szCs w:val="24"/>
              </w:rPr>
              <w:t>m的</w:t>
            </w:r>
            <w:r>
              <w:rPr>
                <w:rFonts w:hint="eastAsia"/>
                <w:color w:val="auto"/>
                <w:szCs w:val="24"/>
              </w:rPr>
              <w:t>前进河</w:t>
            </w:r>
            <w:r>
              <w:rPr>
                <w:color w:val="auto"/>
                <w:szCs w:val="24"/>
              </w:rPr>
              <w:t>。</w:t>
            </w:r>
            <w:r>
              <w:rPr>
                <w:color w:val="auto"/>
                <w:szCs w:val="22"/>
              </w:rPr>
              <w:t>项目区</w:t>
            </w:r>
            <w:r>
              <w:rPr>
                <w:rFonts w:hint="eastAsia"/>
                <w:color w:val="auto"/>
                <w:szCs w:val="22"/>
              </w:rPr>
              <w:t>不</w:t>
            </w:r>
            <w:r>
              <w:rPr>
                <w:rFonts w:hint="eastAsia"/>
                <w:color w:val="auto"/>
                <w:szCs w:val="22"/>
                <w:lang w:eastAsia="zh-CN"/>
              </w:rPr>
              <w:t>涉及</w:t>
            </w:r>
            <w:r>
              <w:rPr>
                <w:color w:val="auto"/>
                <w:szCs w:val="22"/>
              </w:rPr>
              <w:t>自然保护区、风景名胜区、森林公园、地质公园，项目区</w:t>
            </w:r>
            <w:r>
              <w:rPr>
                <w:rFonts w:hint="eastAsia"/>
                <w:color w:val="auto"/>
                <w:szCs w:val="22"/>
              </w:rPr>
              <w:t>未发现</w:t>
            </w:r>
            <w:r>
              <w:rPr>
                <w:color w:val="auto"/>
                <w:szCs w:val="22"/>
              </w:rPr>
              <w:t>珍稀、濒危和国家保护野生动植物。项目所在区域环境状况较好，项目采取相应的治理措施后，污染物实现达标排放，对外界环境影响较小。项目所在区域基础设施较为完善，供电、供水、</w:t>
            </w:r>
            <w:r>
              <w:rPr>
                <w:color w:val="auto"/>
              </w:rPr>
              <w:t>交通</w:t>
            </w:r>
            <w:r>
              <w:rPr>
                <w:rFonts w:hint="eastAsia"/>
                <w:color w:val="auto"/>
              </w:rPr>
              <w:t>、</w:t>
            </w:r>
            <w:r>
              <w:rPr>
                <w:color w:val="auto"/>
                <w:szCs w:val="22"/>
              </w:rPr>
              <w:t>通信等均能满足项目生产要求。</w:t>
            </w:r>
            <w:r>
              <w:rPr>
                <w:rFonts w:hint="eastAsia"/>
                <w:color w:val="auto"/>
              </w:rPr>
              <w:t>项目与周围环境相容</w:t>
            </w:r>
            <w:r>
              <w:rPr>
                <w:bCs/>
                <w:color w:val="auto"/>
              </w:rPr>
              <w:t>，</w:t>
            </w:r>
            <w:r>
              <w:rPr>
                <w:color w:val="auto"/>
                <w:szCs w:val="22"/>
              </w:rPr>
              <w:t>项目选址无明显制约因素。</w:t>
            </w:r>
          </w:p>
          <w:p w14:paraId="2581DE5E">
            <w:pPr>
              <w:ind w:firstLine="480"/>
              <w:rPr>
                <w:color w:val="auto"/>
                <w:kern w:val="0"/>
              </w:rPr>
            </w:pPr>
            <w:r>
              <w:rPr>
                <w:rFonts w:hint="eastAsia"/>
                <w:color w:val="auto"/>
              </w:rPr>
              <w:t>综上，本项目选址合理。</w:t>
            </w:r>
          </w:p>
          <w:p w14:paraId="2FC382AC">
            <w:pPr>
              <w:pStyle w:val="18"/>
              <w:ind w:firstLine="210"/>
              <w:rPr>
                <w:color w:val="auto"/>
              </w:rPr>
            </w:pPr>
          </w:p>
          <w:p w14:paraId="7BBA3766">
            <w:pPr>
              <w:pStyle w:val="18"/>
              <w:ind w:firstLine="210"/>
              <w:rPr>
                <w:color w:val="auto"/>
              </w:rPr>
            </w:pPr>
          </w:p>
          <w:p w14:paraId="71B0C479">
            <w:pPr>
              <w:pStyle w:val="18"/>
              <w:ind w:firstLine="210"/>
              <w:rPr>
                <w:color w:val="auto"/>
              </w:rPr>
            </w:pPr>
          </w:p>
          <w:p w14:paraId="05253414">
            <w:pPr>
              <w:pStyle w:val="18"/>
              <w:ind w:firstLine="210"/>
              <w:rPr>
                <w:color w:val="auto"/>
              </w:rPr>
            </w:pPr>
          </w:p>
          <w:p w14:paraId="579F9BF5">
            <w:pPr>
              <w:pStyle w:val="18"/>
              <w:ind w:firstLine="210"/>
              <w:rPr>
                <w:color w:val="auto"/>
              </w:rPr>
            </w:pPr>
          </w:p>
          <w:p w14:paraId="0DBEE7F9">
            <w:pPr>
              <w:pStyle w:val="18"/>
              <w:ind w:firstLine="210"/>
              <w:rPr>
                <w:color w:val="auto"/>
              </w:rPr>
            </w:pPr>
          </w:p>
          <w:p w14:paraId="15B5BC47">
            <w:pPr>
              <w:pStyle w:val="18"/>
              <w:ind w:firstLine="210"/>
              <w:rPr>
                <w:color w:val="auto"/>
              </w:rPr>
            </w:pPr>
          </w:p>
          <w:p w14:paraId="22E30417">
            <w:pPr>
              <w:pStyle w:val="18"/>
              <w:ind w:firstLine="210"/>
              <w:rPr>
                <w:color w:val="auto"/>
              </w:rPr>
            </w:pPr>
          </w:p>
          <w:p w14:paraId="63D64456">
            <w:pPr>
              <w:pStyle w:val="18"/>
              <w:ind w:firstLine="210"/>
              <w:rPr>
                <w:color w:val="auto"/>
              </w:rPr>
            </w:pPr>
          </w:p>
          <w:p w14:paraId="14F8DC89">
            <w:pPr>
              <w:pStyle w:val="18"/>
              <w:ind w:firstLine="210"/>
              <w:rPr>
                <w:color w:val="auto"/>
              </w:rPr>
            </w:pPr>
          </w:p>
          <w:p w14:paraId="41C626EA">
            <w:pPr>
              <w:pStyle w:val="18"/>
              <w:ind w:firstLine="210"/>
              <w:rPr>
                <w:color w:val="auto"/>
              </w:rPr>
            </w:pPr>
          </w:p>
          <w:p w14:paraId="066BB89F">
            <w:pPr>
              <w:pStyle w:val="18"/>
              <w:ind w:firstLine="210"/>
              <w:rPr>
                <w:color w:val="auto"/>
              </w:rPr>
            </w:pPr>
          </w:p>
          <w:p w14:paraId="6DF2B005">
            <w:pPr>
              <w:pStyle w:val="18"/>
              <w:ind w:firstLine="210"/>
              <w:rPr>
                <w:color w:val="auto"/>
              </w:rPr>
            </w:pPr>
          </w:p>
          <w:p w14:paraId="620C2EB8">
            <w:pPr>
              <w:pStyle w:val="18"/>
              <w:ind w:firstLine="210"/>
              <w:rPr>
                <w:color w:val="auto"/>
              </w:rPr>
            </w:pPr>
          </w:p>
          <w:p w14:paraId="47DBEABD">
            <w:pPr>
              <w:pStyle w:val="18"/>
              <w:ind w:firstLine="210"/>
              <w:rPr>
                <w:color w:val="auto"/>
              </w:rPr>
            </w:pPr>
          </w:p>
          <w:p w14:paraId="4B7E1A7C">
            <w:pPr>
              <w:pStyle w:val="18"/>
              <w:ind w:firstLine="210"/>
              <w:rPr>
                <w:color w:val="auto"/>
              </w:rPr>
            </w:pPr>
          </w:p>
          <w:p w14:paraId="54B360FB">
            <w:pPr>
              <w:pStyle w:val="18"/>
              <w:ind w:firstLine="210"/>
              <w:rPr>
                <w:color w:val="auto"/>
              </w:rPr>
            </w:pPr>
          </w:p>
          <w:p w14:paraId="44DE4968">
            <w:pPr>
              <w:pStyle w:val="18"/>
              <w:ind w:firstLine="210"/>
              <w:rPr>
                <w:color w:val="auto"/>
              </w:rPr>
            </w:pPr>
          </w:p>
          <w:p w14:paraId="08E8E984">
            <w:pPr>
              <w:pStyle w:val="18"/>
              <w:ind w:firstLine="210"/>
              <w:rPr>
                <w:color w:val="auto"/>
              </w:rPr>
            </w:pPr>
          </w:p>
          <w:p w14:paraId="6D52413F">
            <w:pPr>
              <w:pStyle w:val="18"/>
              <w:ind w:firstLine="210"/>
              <w:rPr>
                <w:color w:val="auto"/>
              </w:rPr>
            </w:pPr>
          </w:p>
          <w:p w14:paraId="06177E4A">
            <w:pPr>
              <w:pStyle w:val="18"/>
              <w:ind w:firstLine="210"/>
              <w:rPr>
                <w:color w:val="auto"/>
              </w:rPr>
            </w:pPr>
          </w:p>
          <w:p w14:paraId="4A8D18E7">
            <w:pPr>
              <w:pStyle w:val="18"/>
              <w:ind w:firstLine="210"/>
              <w:rPr>
                <w:color w:val="auto"/>
              </w:rPr>
            </w:pPr>
          </w:p>
          <w:p w14:paraId="75F489CA">
            <w:pPr>
              <w:pStyle w:val="18"/>
              <w:ind w:firstLine="210"/>
              <w:rPr>
                <w:color w:val="auto"/>
              </w:rPr>
            </w:pPr>
          </w:p>
          <w:p w14:paraId="633B4A59">
            <w:pPr>
              <w:pStyle w:val="18"/>
              <w:ind w:firstLine="210"/>
              <w:rPr>
                <w:color w:val="auto"/>
              </w:rPr>
            </w:pPr>
          </w:p>
          <w:p w14:paraId="7EBD7604">
            <w:pPr>
              <w:pStyle w:val="18"/>
              <w:ind w:firstLine="210"/>
              <w:rPr>
                <w:color w:val="auto"/>
              </w:rPr>
            </w:pPr>
          </w:p>
          <w:p w14:paraId="7CA4C3AB">
            <w:pPr>
              <w:pStyle w:val="18"/>
              <w:ind w:firstLine="210"/>
              <w:rPr>
                <w:color w:val="auto"/>
              </w:rPr>
            </w:pPr>
          </w:p>
          <w:p w14:paraId="605424BA">
            <w:pPr>
              <w:pStyle w:val="18"/>
              <w:ind w:firstLine="210"/>
              <w:rPr>
                <w:color w:val="auto"/>
              </w:rPr>
            </w:pPr>
          </w:p>
          <w:p w14:paraId="67DC9B29">
            <w:pPr>
              <w:pStyle w:val="18"/>
              <w:ind w:firstLine="210"/>
              <w:rPr>
                <w:color w:val="auto"/>
              </w:rPr>
            </w:pPr>
          </w:p>
          <w:p w14:paraId="1DACF5BA">
            <w:pPr>
              <w:pStyle w:val="18"/>
              <w:ind w:firstLine="210"/>
              <w:rPr>
                <w:color w:val="auto"/>
              </w:rPr>
            </w:pPr>
          </w:p>
          <w:p w14:paraId="772CE80C">
            <w:pPr>
              <w:pStyle w:val="18"/>
              <w:ind w:firstLine="210"/>
              <w:rPr>
                <w:rFonts w:hint="eastAsia"/>
                <w:color w:val="auto"/>
              </w:rPr>
            </w:pPr>
          </w:p>
        </w:tc>
      </w:tr>
    </w:tbl>
    <w:p w14:paraId="612FC20E">
      <w:pPr>
        <w:ind w:firstLine="600"/>
        <w:outlineLvl w:val="0"/>
        <w:rPr>
          <w:rFonts w:eastAsia="黑体"/>
          <w:color w:val="auto"/>
          <w:sz w:val="30"/>
        </w:rPr>
        <w:sectPr>
          <w:footerReference r:id="rId11" w:type="default"/>
          <w:pgSz w:w="11906" w:h="16838"/>
          <w:pgMar w:top="1417" w:right="1417" w:bottom="1417" w:left="1417" w:header="851" w:footer="1077" w:gutter="0"/>
          <w:pgNumType w:fmt="decimal" w:start="1"/>
          <w:cols w:space="720" w:num="1"/>
          <w:docGrid w:linePitch="312" w:charSpace="0"/>
        </w:sectPr>
      </w:pPr>
    </w:p>
    <w:p w14:paraId="4A3BEFD5">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outlineLvl w:val="0"/>
        <w:rPr>
          <w:rFonts w:hint="eastAsia" w:ascii="宋体" w:hAnsi="宋体" w:eastAsia="宋体" w:cs="宋体"/>
          <w:b/>
          <w:bCs/>
          <w:snapToGrid w:val="0"/>
          <w:color w:val="auto"/>
          <w:sz w:val="30"/>
          <w:szCs w:val="30"/>
        </w:rPr>
      </w:pPr>
      <w:bookmarkStart w:id="4" w:name="_Toc150763275"/>
      <w:r>
        <w:rPr>
          <w:rFonts w:hint="eastAsia" w:ascii="宋体" w:hAnsi="宋体" w:eastAsia="宋体" w:cs="宋体"/>
          <w:b/>
          <w:bCs/>
          <w:snapToGrid w:val="0"/>
          <w:color w:val="auto"/>
          <w:sz w:val="30"/>
          <w:szCs w:val="30"/>
        </w:rPr>
        <w:t>二、建设项目工程分析</w:t>
      </w:r>
      <w:bookmarkEnd w:id="4"/>
    </w:p>
    <w:tbl>
      <w:tblPr>
        <w:tblStyle w:val="20"/>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340"/>
        <w:gridCol w:w="8725"/>
      </w:tblGrid>
      <w:tr w14:paraId="30DA110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269" w:hRule="atLeast"/>
          <w:jc w:val="center"/>
        </w:trPr>
        <w:tc>
          <w:tcPr>
            <w:tcW w:w="340" w:type="dxa"/>
            <w:noWrap w:val="0"/>
            <w:vAlign w:val="center"/>
          </w:tcPr>
          <w:p w14:paraId="540558C7">
            <w:pPr>
              <w:pStyle w:val="16"/>
              <w:adjustRightInd w:val="0"/>
              <w:snapToGrid w:val="0"/>
              <w:spacing w:before="0" w:beforeAutospacing="0" w:after="0" w:afterAutospacing="0"/>
              <w:ind w:firstLine="420"/>
              <w:jc w:val="center"/>
              <w:rPr>
                <w:rFonts w:cs="宋体"/>
                <w:color w:val="auto"/>
                <w:sz w:val="21"/>
                <w:szCs w:val="21"/>
              </w:rPr>
            </w:pPr>
            <w:r>
              <w:rPr>
                <w:rFonts w:hint="eastAsia" w:cs="宋体"/>
                <w:color w:val="auto"/>
                <w:sz w:val="21"/>
                <w:szCs w:val="21"/>
              </w:rPr>
              <w:t>建</w:t>
            </w:r>
            <w:r>
              <w:rPr>
                <w:rFonts w:hint="eastAsia" w:cs="宋体"/>
                <w:color w:val="auto"/>
                <w:sz w:val="21"/>
                <w:szCs w:val="21"/>
                <w:lang w:val="en-US" w:eastAsia="zh-CN"/>
              </w:rPr>
              <w:t>建</w:t>
            </w:r>
            <w:r>
              <w:rPr>
                <w:rFonts w:hint="eastAsia" w:cs="宋体"/>
                <w:color w:val="auto"/>
                <w:sz w:val="21"/>
                <w:szCs w:val="21"/>
              </w:rPr>
              <w:t>设内容</w:t>
            </w:r>
          </w:p>
        </w:tc>
        <w:tc>
          <w:tcPr>
            <w:tcW w:w="8725" w:type="dxa"/>
            <w:noWrap w:val="0"/>
            <w:vAlign w:val="top"/>
          </w:tcPr>
          <w:p w14:paraId="216D7728">
            <w:pPr>
              <w:spacing w:line="500" w:lineRule="exact"/>
              <w:ind w:firstLine="482"/>
              <w:rPr>
                <w:rFonts w:hint="eastAsia"/>
                <w:b/>
                <w:bCs/>
                <w:color w:val="auto"/>
              </w:rPr>
            </w:pPr>
            <w:r>
              <w:rPr>
                <w:rFonts w:hint="eastAsia"/>
                <w:b/>
                <w:bCs/>
                <w:color w:val="auto"/>
              </w:rPr>
              <w:t>2.1</w:t>
            </w:r>
            <w:r>
              <w:rPr>
                <w:b/>
                <w:bCs/>
                <w:color w:val="auto"/>
              </w:rPr>
              <w:t>项目建设背景及由来简述</w:t>
            </w:r>
          </w:p>
          <w:p w14:paraId="1045D07A">
            <w:pPr>
              <w:spacing w:line="500" w:lineRule="exact"/>
              <w:ind w:firstLine="480"/>
              <w:rPr>
                <w:rFonts w:hint="default"/>
                <w:color w:val="auto"/>
                <w:lang w:val="en-US" w:eastAsia="zh-CN"/>
              </w:rPr>
            </w:pPr>
            <w:r>
              <w:rPr>
                <w:rFonts w:hint="eastAsia"/>
                <w:color w:val="auto"/>
                <w:lang w:val="en-US" w:eastAsia="zh-CN"/>
              </w:rPr>
              <w:t>重庆至昆明高速铁路已于2019年9月6日取得《国家发展改革委办公厅关于新建重庆至昆明高速铁路可行性研究报告的批复》（发改基础〔2019〕1463号），详情见附件9，该项目于2020年4月3日取得生态环境部《关于新建重庆至昆明高速铁路环境影响报告书的批复》（环审〔2020〕46号），详情见附件10。本项目主要生产铁路枕轨，为新建重庆至昆明高速铁路项目的辅助配套临时工程。临时用地选址意见见附件4、《昆明市自然资源和规划局关于重庆至昆明高速铁路云贵段（寻甸）站前八标段第八批次临时用地的批复》（昆自然资规复</w:t>
            </w:r>
            <w:r>
              <w:rPr>
                <w:rFonts w:hint="default" w:ascii="Times New Roman" w:hAnsi="Times New Roman" w:eastAsia="微软雅黑" w:cs="Times New Roman"/>
                <w:color w:val="auto"/>
                <w:lang w:val="en-US" w:eastAsia="zh-CN"/>
              </w:rPr>
              <w:t>〔2024〕</w:t>
            </w:r>
            <w:r>
              <w:rPr>
                <w:rFonts w:hint="eastAsia"/>
                <w:color w:val="auto"/>
                <w:lang w:val="en-US" w:eastAsia="zh-CN"/>
              </w:rPr>
              <w:t>14号）见附件5。</w:t>
            </w:r>
          </w:p>
          <w:p w14:paraId="19768B60">
            <w:pPr>
              <w:spacing w:line="500" w:lineRule="exact"/>
              <w:ind w:firstLine="480"/>
              <w:rPr>
                <w:rFonts w:hint="eastAsia"/>
                <w:color w:val="auto"/>
              </w:rPr>
            </w:pPr>
            <w:r>
              <w:rPr>
                <w:rFonts w:hint="eastAsia"/>
                <w:color w:val="auto"/>
              </w:rPr>
              <w:t>因重庆-昆明高速铁路的建设施工需要用到铁路轨枕，考虑到成本和产品质量，中铁十六局集团有限公司决定自给自足，拟在云南省昆明市寻甸回族彝族自治县仁德街道投资200</w:t>
            </w:r>
            <w:r>
              <w:rPr>
                <w:rFonts w:hint="eastAsia"/>
                <w:color w:val="auto"/>
                <w:lang w:eastAsia="zh-CN"/>
              </w:rPr>
              <w:t>万元</w:t>
            </w:r>
            <w:r>
              <w:rPr>
                <w:rFonts w:hint="eastAsia"/>
                <w:color w:val="auto"/>
              </w:rPr>
              <w:t>建设重庆至昆明高速铁路云贵段（寻甸）站前八标段轨枕场临时用地项目，年产50.5万根轨枕，为重庆-昆明高速铁路建设节省了运距、时间和成本，并保证了产品质量。</w:t>
            </w:r>
          </w:p>
          <w:p w14:paraId="40A21248">
            <w:pPr>
              <w:spacing w:line="500" w:lineRule="exact"/>
              <w:ind w:firstLine="480"/>
              <w:rPr>
                <w:color w:val="auto"/>
              </w:rPr>
            </w:pPr>
            <w:r>
              <w:rPr>
                <w:rFonts w:hint="eastAsia"/>
                <w:color w:val="auto"/>
              </w:rPr>
              <w:t>根据《中华人民共和国环境保护法》、《中华人民共和国环境影响评价法》、《建设项目环境保护管理条例》以及其他有关建设项目环境保护管理的规定，本项目应进行环境影响评价。对照《建设项目环境影响评价分类管理名录》（2021年版），本项目属于二十七、非金属矿物制品业中的55、石膏、水泥制品及类似制品制造中的商品混凝土；砼结构构件制造；水泥制品制造类以及四十一、电力、热力生产和供应业中的 91、热力生产和供应工程（包括建设单位自建自用的供热工程），须编制环境影响报告表。受中铁十六局集团有限公司（以下简称“建设单位”）委托（委托书详见附件1），云南晨铭环境科技有限公司承担“重庆至昆明高速铁路云贵段（寻甸）站前八标段轨枕场临时用地项目”环境影响评价工作。接受委托后我公司组织有关人员进行现场踏勘、资料收集，在环境现状监测、工程分析基础上，按照建设项目环评导则、相关标准及规定，编制完成了《重庆至昆明高速铁路云贵段（寻甸）站前八标段轨枕场临时用地项目环境影响报告表》，供建设单位上报审查。</w:t>
            </w:r>
          </w:p>
          <w:p w14:paraId="0AF26367">
            <w:pPr>
              <w:ind w:firstLine="562"/>
              <w:rPr>
                <w:b/>
                <w:color w:val="auto"/>
                <w:sz w:val="28"/>
                <w:szCs w:val="28"/>
              </w:rPr>
            </w:pPr>
            <w:r>
              <w:rPr>
                <w:b/>
                <w:color w:val="auto"/>
                <w:sz w:val="28"/>
                <w:szCs w:val="28"/>
              </w:rPr>
              <w:t>2.2项目概况</w:t>
            </w:r>
          </w:p>
          <w:p w14:paraId="1DBAEA94">
            <w:pPr>
              <w:ind w:firstLine="482"/>
              <w:rPr>
                <w:b/>
                <w:color w:val="auto"/>
              </w:rPr>
            </w:pPr>
            <w:r>
              <w:rPr>
                <w:b/>
                <w:color w:val="auto"/>
              </w:rPr>
              <w:t>2.2.1项目基本情况</w:t>
            </w:r>
          </w:p>
          <w:p w14:paraId="637B4406">
            <w:pPr>
              <w:ind w:firstLine="480"/>
              <w:rPr>
                <w:bCs/>
                <w:color w:val="auto"/>
              </w:rPr>
            </w:pPr>
            <w:r>
              <w:rPr>
                <w:color w:val="auto"/>
              </w:rPr>
              <w:t>项目名称：</w:t>
            </w:r>
            <w:r>
              <w:rPr>
                <w:rFonts w:hint="eastAsia"/>
                <w:color w:val="auto"/>
              </w:rPr>
              <w:t>重庆至昆明高速铁路云贵段（寻甸）站前八标段轨枕场临时用地项目</w:t>
            </w:r>
          </w:p>
          <w:p w14:paraId="2EA70C8E">
            <w:pPr>
              <w:ind w:firstLine="480"/>
              <w:rPr>
                <w:bCs/>
                <w:color w:val="auto"/>
              </w:rPr>
            </w:pPr>
            <w:r>
              <w:rPr>
                <w:color w:val="auto"/>
              </w:rPr>
              <w:t>建设单位：</w:t>
            </w:r>
            <w:r>
              <w:rPr>
                <w:rFonts w:hint="eastAsia"/>
                <w:color w:val="auto"/>
              </w:rPr>
              <w:t>中铁十六局集团有限公司</w:t>
            </w:r>
          </w:p>
          <w:p w14:paraId="67C24C7D">
            <w:pPr>
              <w:ind w:firstLine="480"/>
              <w:rPr>
                <w:bCs/>
                <w:color w:val="auto"/>
              </w:rPr>
            </w:pPr>
            <w:r>
              <w:rPr>
                <w:color w:val="auto"/>
              </w:rPr>
              <w:t>建设性质：</w:t>
            </w:r>
            <w:r>
              <w:rPr>
                <w:bCs/>
                <w:color w:val="auto"/>
              </w:rPr>
              <w:t>新建</w:t>
            </w:r>
          </w:p>
          <w:p w14:paraId="44BF7FBE">
            <w:pPr>
              <w:ind w:firstLine="480"/>
              <w:jc w:val="left"/>
              <w:rPr>
                <w:color w:val="auto"/>
              </w:rPr>
            </w:pPr>
            <w:r>
              <w:rPr>
                <w:color w:val="auto"/>
              </w:rPr>
              <w:t>建设地点：</w:t>
            </w:r>
            <w:r>
              <w:rPr>
                <w:rFonts w:hint="eastAsia"/>
                <w:color w:val="auto"/>
              </w:rPr>
              <w:t>云南省昆明市寻甸回族彝族自治县仁德街道</w:t>
            </w:r>
            <w:r>
              <w:rPr>
                <w:rFonts w:hint="eastAsia"/>
                <w:bCs/>
                <w:color w:val="auto"/>
              </w:rPr>
              <w:t>，</w:t>
            </w:r>
            <w:r>
              <w:rPr>
                <w:rFonts w:hint="eastAsia"/>
                <w:color w:val="auto"/>
              </w:rPr>
              <w:t>中心坐标：</w:t>
            </w:r>
            <w:r>
              <w:rPr>
                <w:color w:val="auto"/>
              </w:rPr>
              <w:t>（103°17′33.282″，25°32′4.086″）</w:t>
            </w:r>
            <w:r>
              <w:rPr>
                <w:rFonts w:hint="eastAsia"/>
                <w:color w:val="auto"/>
              </w:rPr>
              <w:t>，项目地理位置见附图1</w:t>
            </w:r>
          </w:p>
          <w:p w14:paraId="27856AFB">
            <w:pPr>
              <w:ind w:firstLine="480"/>
              <w:rPr>
                <w:color w:val="auto"/>
                <w:vertAlign w:val="superscript"/>
              </w:rPr>
            </w:pPr>
            <w:r>
              <w:rPr>
                <w:rFonts w:hint="eastAsia"/>
                <w:bCs/>
                <w:color w:val="auto"/>
              </w:rPr>
              <w:t>用地面积</w:t>
            </w:r>
            <w:r>
              <w:rPr>
                <w:bCs/>
                <w:color w:val="auto"/>
              </w:rPr>
              <w:t>：</w:t>
            </w:r>
            <w:r>
              <w:rPr>
                <w:rFonts w:hint="eastAsia"/>
                <w:color w:val="auto"/>
              </w:rPr>
              <w:t>48849m</w:t>
            </w:r>
            <w:r>
              <w:rPr>
                <w:rFonts w:hint="eastAsia"/>
                <w:color w:val="auto"/>
                <w:vertAlign w:val="superscript"/>
              </w:rPr>
              <w:t>2</w:t>
            </w:r>
          </w:p>
          <w:p w14:paraId="09B9712E">
            <w:pPr>
              <w:ind w:firstLine="480"/>
              <w:rPr>
                <w:color w:val="auto"/>
              </w:rPr>
            </w:pPr>
            <w:r>
              <w:rPr>
                <w:color w:val="auto"/>
              </w:rPr>
              <w:t>建设规模：</w:t>
            </w:r>
            <w:r>
              <w:rPr>
                <w:rFonts w:hint="eastAsia"/>
                <w:color w:val="auto"/>
              </w:rPr>
              <w:t>年产50.5万根轨枕</w:t>
            </w:r>
          </w:p>
          <w:p w14:paraId="72E1CECC">
            <w:pPr>
              <w:ind w:firstLine="480"/>
              <w:rPr>
                <w:color w:val="auto"/>
              </w:rPr>
            </w:pPr>
            <w:r>
              <w:rPr>
                <w:rFonts w:hint="eastAsia"/>
                <w:color w:val="auto"/>
              </w:rPr>
              <w:t>服务范围：重庆至昆明高速铁路云贵段（寻甸）站前八标段。</w:t>
            </w:r>
          </w:p>
          <w:p w14:paraId="7601EEB1">
            <w:pPr>
              <w:ind w:firstLine="480"/>
              <w:rPr>
                <w:rFonts w:hint="eastAsia"/>
                <w:color w:val="auto"/>
              </w:rPr>
            </w:pPr>
            <w:r>
              <w:rPr>
                <w:rFonts w:hint="eastAsia"/>
                <w:color w:val="auto"/>
              </w:rPr>
              <w:t>服务时限：4年（2</w:t>
            </w:r>
            <w:r>
              <w:rPr>
                <w:color w:val="auto"/>
              </w:rPr>
              <w:t>023</w:t>
            </w:r>
            <w:r>
              <w:rPr>
                <w:rFonts w:hint="eastAsia"/>
                <w:color w:val="auto"/>
              </w:rPr>
              <w:t>年</w:t>
            </w:r>
            <w:r>
              <w:rPr>
                <w:rFonts w:hint="eastAsia"/>
                <w:color w:val="auto"/>
                <w:lang w:eastAsia="zh-CN"/>
              </w:rPr>
              <w:t>—</w:t>
            </w:r>
            <w:r>
              <w:rPr>
                <w:color w:val="auto"/>
              </w:rPr>
              <w:t>2027</w:t>
            </w:r>
            <w:r>
              <w:rPr>
                <w:rFonts w:hint="eastAsia"/>
                <w:color w:val="auto"/>
              </w:rPr>
              <w:t>年）</w:t>
            </w:r>
          </w:p>
          <w:p w14:paraId="49C22515">
            <w:pPr>
              <w:ind w:firstLine="480"/>
              <w:rPr>
                <w:bCs/>
                <w:color w:val="auto"/>
                <w:kern w:val="0"/>
              </w:rPr>
            </w:pPr>
            <w:r>
              <w:rPr>
                <w:bCs/>
                <w:color w:val="auto"/>
                <w:kern w:val="0"/>
              </w:rPr>
              <w:t>项目总投资及</w:t>
            </w:r>
            <w:r>
              <w:rPr>
                <w:rFonts w:hint="eastAsia"/>
                <w:bCs/>
                <w:color w:val="auto"/>
                <w:kern w:val="0"/>
              </w:rPr>
              <w:t>环保投资</w:t>
            </w:r>
            <w:r>
              <w:rPr>
                <w:bCs/>
                <w:color w:val="auto"/>
                <w:kern w:val="0"/>
              </w:rPr>
              <w:t>：</w:t>
            </w:r>
            <w:r>
              <w:rPr>
                <w:rFonts w:hint="eastAsia"/>
                <w:bCs/>
                <w:color w:val="auto"/>
                <w:kern w:val="0"/>
              </w:rPr>
              <w:t>本项目估算总投资200万元，其中</w:t>
            </w:r>
            <w:r>
              <w:rPr>
                <w:rFonts w:hint="eastAsia"/>
                <w:bCs/>
                <w:color w:val="auto"/>
              </w:rPr>
              <w:t>估算环保投资</w:t>
            </w:r>
            <w:r>
              <w:rPr>
                <w:rFonts w:hint="eastAsia"/>
                <w:bCs/>
                <w:color w:val="auto"/>
                <w:lang w:val="en-US" w:eastAsia="zh-CN"/>
              </w:rPr>
              <w:t>74.36</w:t>
            </w:r>
            <w:r>
              <w:rPr>
                <w:rFonts w:hint="eastAsia"/>
                <w:bCs/>
                <w:color w:val="auto"/>
              </w:rPr>
              <w:t>万元</w:t>
            </w:r>
            <w:r>
              <w:rPr>
                <w:bCs/>
                <w:color w:val="auto"/>
              </w:rPr>
              <w:t>，环保投资占总投资的</w:t>
            </w:r>
            <w:r>
              <w:rPr>
                <w:rFonts w:hint="eastAsia"/>
                <w:bCs/>
                <w:color w:val="auto"/>
                <w:lang w:val="en-US" w:eastAsia="zh-CN"/>
              </w:rPr>
              <w:t>37.2</w:t>
            </w:r>
            <w:r>
              <w:rPr>
                <w:bCs/>
                <w:color w:val="auto"/>
              </w:rPr>
              <w:t>%</w:t>
            </w:r>
            <w:r>
              <w:rPr>
                <w:rFonts w:hint="eastAsia"/>
                <w:bCs/>
                <w:color w:val="auto"/>
              </w:rPr>
              <w:t>。</w:t>
            </w:r>
          </w:p>
          <w:p w14:paraId="54065FC6">
            <w:pPr>
              <w:ind w:firstLine="482"/>
              <w:rPr>
                <w:b/>
                <w:bCs/>
                <w:color w:val="auto"/>
              </w:rPr>
            </w:pPr>
            <w:r>
              <w:rPr>
                <w:b/>
                <w:bCs/>
                <w:color w:val="auto"/>
              </w:rPr>
              <w:t>2.2.2建设内容</w:t>
            </w:r>
          </w:p>
          <w:p w14:paraId="6EC9C9C7">
            <w:pPr>
              <w:widowControl/>
              <w:ind w:firstLine="480"/>
              <w:rPr>
                <w:rFonts w:hint="eastAsia"/>
                <w:color w:val="auto"/>
              </w:rPr>
            </w:pPr>
            <w:r>
              <w:rPr>
                <w:color w:val="auto"/>
              </w:rPr>
              <w:t>建设内容包括主体工程、辅助工程、储运工程</w:t>
            </w:r>
            <w:r>
              <w:rPr>
                <w:rFonts w:hint="eastAsia"/>
                <w:color w:val="auto"/>
              </w:rPr>
              <w:t>、</w:t>
            </w:r>
            <w:r>
              <w:rPr>
                <w:color w:val="auto"/>
              </w:rPr>
              <w:t>公用工程和环保工程，其中主体工程包括</w:t>
            </w:r>
            <w:r>
              <w:rPr>
                <w:rFonts w:hint="eastAsia"/>
                <w:color w:val="auto"/>
              </w:rPr>
              <w:t>轨枕生产车间；</w:t>
            </w:r>
            <w:r>
              <w:rPr>
                <w:color w:val="auto"/>
              </w:rPr>
              <w:t>储运工程包括</w:t>
            </w:r>
            <w:r>
              <w:rPr>
                <w:rFonts w:hint="eastAsia"/>
                <w:color w:val="auto"/>
              </w:rPr>
              <w:t>水泥筒仓、掺合料罐筒仓和储料仓</w:t>
            </w:r>
            <w:r>
              <w:rPr>
                <w:color w:val="auto"/>
              </w:rPr>
              <w:t>；辅助工程包括</w:t>
            </w:r>
            <w:r>
              <w:rPr>
                <w:rFonts w:hint="eastAsia"/>
                <w:color w:val="auto"/>
              </w:rPr>
              <w:t>办公生活区、工人区、</w:t>
            </w:r>
            <w:r>
              <w:rPr>
                <w:color w:val="auto"/>
              </w:rPr>
              <w:t>停车区</w:t>
            </w:r>
            <w:r>
              <w:rPr>
                <w:rFonts w:hint="eastAsia"/>
                <w:color w:val="auto"/>
              </w:rPr>
              <w:t>、实验区</w:t>
            </w:r>
            <w:r>
              <w:rPr>
                <w:color w:val="auto"/>
              </w:rPr>
              <w:t>；公用工程包括供电</w:t>
            </w:r>
            <w:r>
              <w:rPr>
                <w:rFonts w:hint="eastAsia"/>
                <w:color w:val="auto"/>
              </w:rPr>
              <w:t>、</w:t>
            </w:r>
            <w:r>
              <w:rPr>
                <w:color w:val="auto"/>
              </w:rPr>
              <w:t>给水</w:t>
            </w:r>
            <w:r>
              <w:rPr>
                <w:rFonts w:hint="eastAsia"/>
                <w:color w:val="auto"/>
              </w:rPr>
              <w:t>、</w:t>
            </w:r>
            <w:r>
              <w:rPr>
                <w:color w:val="auto"/>
              </w:rPr>
              <w:t>排水；环保工程包括生产废水循环系统、生活污水处理系统、废气处理系统、固废</w:t>
            </w:r>
            <w:r>
              <w:rPr>
                <w:rFonts w:hint="eastAsia"/>
                <w:color w:val="auto"/>
              </w:rPr>
              <w:t>处理</w:t>
            </w:r>
            <w:r>
              <w:rPr>
                <w:color w:val="auto"/>
              </w:rPr>
              <w:t>系统等。</w:t>
            </w:r>
          </w:p>
          <w:p w14:paraId="0CE81361">
            <w:pPr>
              <w:spacing w:line="500" w:lineRule="exact"/>
              <w:ind w:firstLine="422"/>
              <w:jc w:val="center"/>
              <w:rPr>
                <w:b/>
                <w:bCs/>
                <w:color w:val="auto"/>
                <w:sz w:val="21"/>
                <w:szCs w:val="21"/>
              </w:rPr>
            </w:pPr>
            <w:r>
              <w:rPr>
                <w:rFonts w:hint="eastAsia"/>
                <w:b/>
                <w:bCs/>
                <w:color w:val="auto"/>
                <w:sz w:val="21"/>
                <w:szCs w:val="21"/>
              </w:rPr>
              <w:t>表</w:t>
            </w:r>
            <w:r>
              <w:rPr>
                <w:rFonts w:hint="eastAsia"/>
                <w:b/>
                <w:bCs/>
                <w:color w:val="auto"/>
                <w:sz w:val="21"/>
                <w:szCs w:val="21"/>
                <w:lang w:val="en-US" w:eastAsia="zh-CN"/>
              </w:rPr>
              <w:t>2-1</w:t>
            </w:r>
            <w:r>
              <w:rPr>
                <w:rFonts w:hint="eastAsia"/>
                <w:b/>
                <w:bCs/>
                <w:color w:val="auto"/>
                <w:sz w:val="21"/>
                <w:szCs w:val="21"/>
              </w:rPr>
              <w:t xml:space="preserve">  本项目主要建设内容一览表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
              <w:gridCol w:w="660"/>
              <w:gridCol w:w="442"/>
              <w:gridCol w:w="189"/>
              <w:gridCol w:w="495"/>
              <w:gridCol w:w="413"/>
              <w:gridCol w:w="4534"/>
              <w:gridCol w:w="845"/>
              <w:gridCol w:w="478"/>
            </w:tblGrid>
            <w:tr w14:paraId="70887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0" w:type="pct"/>
                  <w:noWrap w:val="0"/>
                  <w:vAlign w:val="center"/>
                </w:tcPr>
                <w:p w14:paraId="11D22095">
                  <w:pPr>
                    <w:pStyle w:val="28"/>
                    <w:rPr>
                      <w:b/>
                      <w:bCs/>
                      <w:color w:val="auto"/>
                      <w:szCs w:val="21"/>
                    </w:rPr>
                  </w:pPr>
                  <w:r>
                    <w:rPr>
                      <w:rFonts w:hint="eastAsia"/>
                      <w:b/>
                      <w:bCs/>
                      <w:color w:val="auto"/>
                      <w:szCs w:val="21"/>
                    </w:rPr>
                    <w:t>工程类别</w:t>
                  </w:r>
                </w:p>
              </w:tc>
              <w:tc>
                <w:tcPr>
                  <w:tcW w:w="388" w:type="pct"/>
                  <w:noWrap w:val="0"/>
                  <w:vAlign w:val="center"/>
                </w:tcPr>
                <w:p w14:paraId="2A02DB85">
                  <w:pPr>
                    <w:pStyle w:val="28"/>
                    <w:rPr>
                      <w:b/>
                      <w:bCs/>
                      <w:color w:val="auto"/>
                      <w:szCs w:val="21"/>
                    </w:rPr>
                  </w:pPr>
                  <w:r>
                    <w:rPr>
                      <w:rFonts w:hint="eastAsia"/>
                      <w:b/>
                      <w:bCs/>
                      <w:color w:val="auto"/>
                      <w:szCs w:val="21"/>
                    </w:rPr>
                    <w:t>项目组成</w:t>
                  </w:r>
                </w:p>
              </w:tc>
              <w:tc>
                <w:tcPr>
                  <w:tcW w:w="4069" w:type="pct"/>
                  <w:gridSpan w:val="6"/>
                  <w:noWrap w:val="0"/>
                  <w:vAlign w:val="center"/>
                </w:tcPr>
                <w:p w14:paraId="2F769D2E">
                  <w:pPr>
                    <w:pStyle w:val="28"/>
                    <w:rPr>
                      <w:rFonts w:hint="eastAsia"/>
                      <w:b/>
                      <w:bCs/>
                      <w:color w:val="auto"/>
                      <w:szCs w:val="21"/>
                    </w:rPr>
                  </w:pPr>
                  <w:r>
                    <w:rPr>
                      <w:rFonts w:hint="eastAsia"/>
                      <w:b/>
                      <w:bCs/>
                      <w:color w:val="auto"/>
                      <w:szCs w:val="21"/>
                    </w:rPr>
                    <w:t>建设内容及规模</w:t>
                  </w:r>
                </w:p>
              </w:tc>
              <w:tc>
                <w:tcPr>
                  <w:tcW w:w="281" w:type="pct"/>
                  <w:noWrap w:val="0"/>
                  <w:vAlign w:val="center"/>
                </w:tcPr>
                <w:p w14:paraId="3AC9D0D7">
                  <w:pPr>
                    <w:pStyle w:val="28"/>
                    <w:rPr>
                      <w:rFonts w:hint="eastAsia"/>
                      <w:b/>
                      <w:bCs/>
                      <w:color w:val="auto"/>
                      <w:szCs w:val="21"/>
                    </w:rPr>
                  </w:pPr>
                  <w:r>
                    <w:rPr>
                      <w:rFonts w:hint="eastAsia"/>
                      <w:b/>
                      <w:bCs/>
                      <w:color w:val="auto"/>
                      <w:szCs w:val="21"/>
                    </w:rPr>
                    <w:t>备注</w:t>
                  </w:r>
                </w:p>
              </w:tc>
            </w:tr>
            <w:tr w14:paraId="06D1C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0" w:type="pct"/>
                  <w:vMerge w:val="restart"/>
                  <w:noWrap w:val="0"/>
                  <w:vAlign w:val="center"/>
                </w:tcPr>
                <w:p w14:paraId="0495596C">
                  <w:pPr>
                    <w:pStyle w:val="28"/>
                    <w:rPr>
                      <w:bCs/>
                      <w:color w:val="auto"/>
                      <w:szCs w:val="21"/>
                    </w:rPr>
                  </w:pPr>
                  <w:r>
                    <w:rPr>
                      <w:rFonts w:hint="eastAsia"/>
                      <w:bCs/>
                      <w:color w:val="auto"/>
                      <w:szCs w:val="21"/>
                    </w:rPr>
                    <w:t>主体工程</w:t>
                  </w:r>
                </w:p>
              </w:tc>
              <w:tc>
                <w:tcPr>
                  <w:tcW w:w="388" w:type="pct"/>
                  <w:vMerge w:val="restart"/>
                  <w:noWrap w:val="0"/>
                  <w:vAlign w:val="center"/>
                </w:tcPr>
                <w:p w14:paraId="314E66EF">
                  <w:pPr>
                    <w:pStyle w:val="28"/>
                    <w:rPr>
                      <w:bCs/>
                      <w:color w:val="auto"/>
                      <w:szCs w:val="21"/>
                    </w:rPr>
                  </w:pPr>
                  <w:r>
                    <w:rPr>
                      <w:rFonts w:hint="eastAsia"/>
                      <w:bCs/>
                      <w:color w:val="auto"/>
                      <w:szCs w:val="21"/>
                    </w:rPr>
                    <w:t>生产车间</w:t>
                  </w:r>
                </w:p>
              </w:tc>
              <w:tc>
                <w:tcPr>
                  <w:tcW w:w="4069" w:type="pct"/>
                  <w:gridSpan w:val="6"/>
                  <w:noWrap w:val="0"/>
                  <w:vAlign w:val="center"/>
                </w:tcPr>
                <w:p w14:paraId="5A6EBB27">
                  <w:pPr>
                    <w:pStyle w:val="28"/>
                    <w:rPr>
                      <w:color w:val="auto"/>
                      <w:szCs w:val="21"/>
                    </w:rPr>
                  </w:pPr>
                  <w:r>
                    <w:rPr>
                      <w:rFonts w:hint="eastAsia"/>
                      <w:bCs/>
                      <w:color w:val="auto"/>
                      <w:szCs w:val="21"/>
                    </w:rPr>
                    <w:t>1层，位于厂区北侧，建筑面积约4800m</w:t>
                  </w:r>
                  <w:r>
                    <w:rPr>
                      <w:rFonts w:hint="eastAsia"/>
                      <w:bCs/>
                      <w:color w:val="auto"/>
                      <w:szCs w:val="21"/>
                      <w:vertAlign w:val="superscript"/>
                    </w:rPr>
                    <w:t>2</w:t>
                  </w:r>
                  <w:r>
                    <w:rPr>
                      <w:rFonts w:hint="eastAsia"/>
                      <w:bCs/>
                      <w:color w:val="auto"/>
                      <w:szCs w:val="21"/>
                    </w:rPr>
                    <w:t>，为彩钢瓦大棚结构，主要包含1条钢筋桁架生产线、1条轨枕生产线；</w:t>
                  </w:r>
                </w:p>
              </w:tc>
              <w:tc>
                <w:tcPr>
                  <w:tcW w:w="281" w:type="pct"/>
                  <w:noWrap w:val="0"/>
                  <w:vAlign w:val="center"/>
                </w:tcPr>
                <w:p w14:paraId="54C8D098">
                  <w:pPr>
                    <w:pStyle w:val="28"/>
                    <w:rPr>
                      <w:rFonts w:hint="eastAsia" w:eastAsia="宋体"/>
                      <w:bCs/>
                      <w:color w:val="auto"/>
                      <w:szCs w:val="21"/>
                      <w:lang w:eastAsia="zh-CN"/>
                    </w:rPr>
                  </w:pPr>
                  <w:r>
                    <w:rPr>
                      <w:rFonts w:hint="eastAsia"/>
                      <w:bCs/>
                      <w:color w:val="auto"/>
                      <w:szCs w:val="21"/>
                      <w:lang w:val="en-US" w:eastAsia="zh-CN"/>
                    </w:rPr>
                    <w:t>已建</w:t>
                  </w:r>
                </w:p>
              </w:tc>
            </w:tr>
            <w:tr w14:paraId="2557E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0" w:type="pct"/>
                  <w:vMerge w:val="continue"/>
                  <w:noWrap w:val="0"/>
                  <w:vAlign w:val="center"/>
                </w:tcPr>
                <w:p w14:paraId="1F58024E">
                  <w:pPr>
                    <w:pStyle w:val="28"/>
                    <w:rPr>
                      <w:rFonts w:hint="eastAsia"/>
                      <w:bCs/>
                      <w:color w:val="auto"/>
                      <w:szCs w:val="21"/>
                    </w:rPr>
                  </w:pPr>
                </w:p>
              </w:tc>
              <w:tc>
                <w:tcPr>
                  <w:tcW w:w="388" w:type="pct"/>
                  <w:vMerge w:val="continue"/>
                  <w:noWrap w:val="0"/>
                  <w:vAlign w:val="center"/>
                </w:tcPr>
                <w:p w14:paraId="540AD80C">
                  <w:pPr>
                    <w:pStyle w:val="28"/>
                    <w:rPr>
                      <w:rFonts w:hint="eastAsia"/>
                      <w:bCs/>
                      <w:color w:val="auto"/>
                      <w:szCs w:val="21"/>
                    </w:rPr>
                  </w:pPr>
                </w:p>
              </w:tc>
              <w:tc>
                <w:tcPr>
                  <w:tcW w:w="3572" w:type="pct"/>
                  <w:gridSpan w:val="5"/>
                  <w:noWrap w:val="0"/>
                  <w:vAlign w:val="center"/>
                </w:tcPr>
                <w:p w14:paraId="230601BF">
                  <w:pPr>
                    <w:pStyle w:val="28"/>
                    <w:rPr>
                      <w:bCs/>
                      <w:color w:val="auto"/>
                      <w:szCs w:val="21"/>
                    </w:rPr>
                  </w:pPr>
                  <w:r>
                    <w:rPr>
                      <w:rFonts w:hint="eastAsia"/>
                      <w:color w:val="auto"/>
                      <w:szCs w:val="21"/>
                    </w:rPr>
                    <w:t>钢筋</w:t>
                  </w:r>
                  <w:r>
                    <w:rPr>
                      <w:rFonts w:hint="eastAsia"/>
                      <w:bCs/>
                      <w:color w:val="auto"/>
                      <w:szCs w:val="21"/>
                    </w:rPr>
                    <w:t>桁架</w:t>
                  </w:r>
                  <w:r>
                    <w:rPr>
                      <w:rFonts w:hint="eastAsia"/>
                      <w:color w:val="auto"/>
                      <w:szCs w:val="21"/>
                    </w:rPr>
                    <w:t>生产线：</w:t>
                  </w:r>
                  <w:r>
                    <w:rPr>
                      <w:rFonts w:hint="eastAsia"/>
                      <w:bCs/>
                      <w:color w:val="auto"/>
                      <w:szCs w:val="21"/>
                    </w:rPr>
                    <w:t>位于车间北部（偏北），占地面积约2400m</w:t>
                  </w:r>
                  <w:r>
                    <w:rPr>
                      <w:rFonts w:hint="eastAsia"/>
                      <w:bCs/>
                      <w:color w:val="auto"/>
                      <w:szCs w:val="21"/>
                      <w:vertAlign w:val="superscript"/>
                    </w:rPr>
                    <w:t>2</w:t>
                  </w:r>
                  <w:r>
                    <w:rPr>
                      <w:rFonts w:hint="eastAsia"/>
                      <w:bCs/>
                      <w:color w:val="auto"/>
                      <w:szCs w:val="21"/>
                    </w:rPr>
                    <w:t>，主要将冷轧带肋钢筋通过桁架焊接生产线的放线架、调直机、钢筋折波后，由桁架自动电阻焊接组焊接成型，自动定长剪切，自动收集在吊装码齐。</w:t>
                  </w:r>
                </w:p>
              </w:tc>
              <w:tc>
                <w:tcPr>
                  <w:tcW w:w="497" w:type="pct"/>
                  <w:noWrap w:val="0"/>
                  <w:vAlign w:val="center"/>
                </w:tcPr>
                <w:p w14:paraId="1E8592E8">
                  <w:pPr>
                    <w:pStyle w:val="28"/>
                    <w:rPr>
                      <w:color w:val="auto"/>
                      <w:szCs w:val="21"/>
                    </w:rPr>
                  </w:pPr>
                  <w:r>
                    <w:rPr>
                      <w:rFonts w:hint="eastAsia"/>
                      <w:bCs/>
                      <w:color w:val="auto"/>
                      <w:szCs w:val="21"/>
                    </w:rPr>
                    <w:t>日生产2000套</w:t>
                  </w:r>
                </w:p>
              </w:tc>
              <w:tc>
                <w:tcPr>
                  <w:tcW w:w="281" w:type="pct"/>
                  <w:noWrap w:val="0"/>
                  <w:vAlign w:val="center"/>
                </w:tcPr>
                <w:p w14:paraId="4B1E8DE1">
                  <w:pPr>
                    <w:pStyle w:val="28"/>
                    <w:rPr>
                      <w:rFonts w:hint="eastAsia"/>
                      <w:bCs/>
                      <w:color w:val="auto"/>
                      <w:szCs w:val="21"/>
                    </w:rPr>
                  </w:pPr>
                  <w:r>
                    <w:rPr>
                      <w:rFonts w:hint="eastAsia"/>
                      <w:bCs/>
                      <w:color w:val="auto"/>
                      <w:szCs w:val="21"/>
                      <w:lang w:val="en-US" w:eastAsia="zh-CN"/>
                    </w:rPr>
                    <w:t>已建</w:t>
                  </w:r>
                </w:p>
              </w:tc>
            </w:tr>
            <w:tr w14:paraId="76B59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0" w:type="pct"/>
                  <w:vMerge w:val="continue"/>
                  <w:noWrap w:val="0"/>
                  <w:vAlign w:val="center"/>
                </w:tcPr>
                <w:p w14:paraId="30995249">
                  <w:pPr>
                    <w:pStyle w:val="28"/>
                    <w:rPr>
                      <w:rFonts w:hint="eastAsia"/>
                      <w:bCs/>
                      <w:color w:val="auto"/>
                      <w:szCs w:val="21"/>
                    </w:rPr>
                  </w:pPr>
                </w:p>
              </w:tc>
              <w:tc>
                <w:tcPr>
                  <w:tcW w:w="388" w:type="pct"/>
                  <w:vMerge w:val="continue"/>
                  <w:noWrap w:val="0"/>
                  <w:vAlign w:val="center"/>
                </w:tcPr>
                <w:p w14:paraId="66D1D345">
                  <w:pPr>
                    <w:pStyle w:val="28"/>
                    <w:rPr>
                      <w:rFonts w:hint="eastAsia"/>
                      <w:bCs/>
                      <w:color w:val="auto"/>
                      <w:szCs w:val="21"/>
                    </w:rPr>
                  </w:pPr>
                </w:p>
              </w:tc>
              <w:tc>
                <w:tcPr>
                  <w:tcW w:w="3572" w:type="pct"/>
                  <w:gridSpan w:val="5"/>
                  <w:noWrap w:val="0"/>
                  <w:vAlign w:val="center"/>
                </w:tcPr>
                <w:p w14:paraId="16770202">
                  <w:pPr>
                    <w:pStyle w:val="28"/>
                    <w:rPr>
                      <w:rFonts w:hint="eastAsia" w:eastAsia="宋体"/>
                      <w:bCs/>
                      <w:color w:val="auto"/>
                      <w:szCs w:val="21"/>
                      <w:lang w:eastAsia="zh-CN"/>
                    </w:rPr>
                  </w:pPr>
                  <w:r>
                    <w:rPr>
                      <w:rFonts w:hint="eastAsia"/>
                      <w:color w:val="auto"/>
                      <w:szCs w:val="21"/>
                    </w:rPr>
                    <w:t>轨枕生产线</w:t>
                  </w:r>
                  <w:r>
                    <w:rPr>
                      <w:rFonts w:hint="eastAsia"/>
                      <w:bCs/>
                      <w:color w:val="auto"/>
                      <w:szCs w:val="21"/>
                    </w:rPr>
                    <w:t>位于车间内南部（</w:t>
                  </w:r>
                  <w:r>
                    <w:rPr>
                      <w:rFonts w:hint="eastAsia"/>
                      <w:color w:val="auto"/>
                      <w:szCs w:val="21"/>
                    </w:rPr>
                    <w:t>钢筋</w:t>
                  </w:r>
                  <w:r>
                    <w:rPr>
                      <w:rFonts w:hint="eastAsia"/>
                      <w:bCs/>
                      <w:color w:val="auto"/>
                      <w:szCs w:val="21"/>
                    </w:rPr>
                    <w:t>桁架</w:t>
                  </w:r>
                  <w:r>
                    <w:rPr>
                      <w:rFonts w:hint="eastAsia"/>
                      <w:color w:val="auto"/>
                      <w:szCs w:val="21"/>
                    </w:rPr>
                    <w:t>生产线</w:t>
                  </w:r>
                  <w:r>
                    <w:rPr>
                      <w:rFonts w:hint="eastAsia"/>
                      <w:bCs/>
                      <w:color w:val="auto"/>
                      <w:szCs w:val="21"/>
                    </w:rPr>
                    <w:t>南侧），占地面积约2400m</w:t>
                  </w:r>
                  <w:r>
                    <w:rPr>
                      <w:rFonts w:hint="eastAsia"/>
                      <w:bCs/>
                      <w:color w:val="auto"/>
                      <w:szCs w:val="21"/>
                      <w:vertAlign w:val="superscript"/>
                    </w:rPr>
                    <w:t>2</w:t>
                  </w:r>
                  <w:r>
                    <w:rPr>
                      <w:rFonts w:hint="eastAsia"/>
                      <w:bCs/>
                      <w:color w:val="auto"/>
                      <w:szCs w:val="21"/>
                      <w:vertAlign w:val="baseline"/>
                      <w:lang w:eastAsia="zh-CN"/>
                    </w:rPr>
                    <w:t>。</w:t>
                  </w:r>
                </w:p>
              </w:tc>
              <w:tc>
                <w:tcPr>
                  <w:tcW w:w="497" w:type="pct"/>
                  <w:noWrap w:val="0"/>
                  <w:vAlign w:val="center"/>
                </w:tcPr>
                <w:p w14:paraId="321485BC">
                  <w:pPr>
                    <w:pStyle w:val="28"/>
                    <w:rPr>
                      <w:color w:val="auto"/>
                      <w:szCs w:val="21"/>
                    </w:rPr>
                  </w:pPr>
                  <w:r>
                    <w:rPr>
                      <w:rFonts w:hint="eastAsia"/>
                      <w:bCs/>
                      <w:color w:val="auto"/>
                      <w:szCs w:val="21"/>
                    </w:rPr>
                    <w:t>年产50.5万根水泥枕</w:t>
                  </w:r>
                </w:p>
              </w:tc>
              <w:tc>
                <w:tcPr>
                  <w:tcW w:w="281" w:type="pct"/>
                  <w:noWrap w:val="0"/>
                  <w:vAlign w:val="center"/>
                </w:tcPr>
                <w:p w14:paraId="309FBFAA">
                  <w:pPr>
                    <w:pStyle w:val="28"/>
                    <w:rPr>
                      <w:rFonts w:hint="eastAsia"/>
                      <w:bCs/>
                      <w:color w:val="auto"/>
                      <w:szCs w:val="21"/>
                    </w:rPr>
                  </w:pPr>
                  <w:r>
                    <w:rPr>
                      <w:rFonts w:hint="eastAsia"/>
                      <w:bCs/>
                      <w:color w:val="auto"/>
                      <w:szCs w:val="21"/>
                      <w:lang w:val="en-US" w:eastAsia="zh-CN"/>
                    </w:rPr>
                    <w:t>已建</w:t>
                  </w:r>
                </w:p>
              </w:tc>
            </w:tr>
            <w:tr w14:paraId="76989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0" w:type="pct"/>
                  <w:vMerge w:val="continue"/>
                  <w:noWrap w:val="0"/>
                  <w:vAlign w:val="center"/>
                </w:tcPr>
                <w:p w14:paraId="02E641A4">
                  <w:pPr>
                    <w:pStyle w:val="28"/>
                    <w:rPr>
                      <w:rFonts w:hint="eastAsia"/>
                      <w:bCs/>
                      <w:color w:val="auto"/>
                      <w:szCs w:val="21"/>
                    </w:rPr>
                  </w:pPr>
                </w:p>
              </w:tc>
              <w:tc>
                <w:tcPr>
                  <w:tcW w:w="388" w:type="pct"/>
                  <w:noWrap w:val="0"/>
                  <w:vAlign w:val="center"/>
                </w:tcPr>
                <w:p w14:paraId="1A077110">
                  <w:pPr>
                    <w:pStyle w:val="28"/>
                    <w:rPr>
                      <w:rFonts w:hint="eastAsia"/>
                      <w:bCs/>
                      <w:color w:val="auto"/>
                      <w:szCs w:val="21"/>
                    </w:rPr>
                  </w:pPr>
                  <w:r>
                    <w:rPr>
                      <w:rFonts w:hint="eastAsia"/>
                      <w:bCs/>
                      <w:color w:val="auto"/>
                      <w:szCs w:val="21"/>
                    </w:rPr>
                    <w:t>养护车间</w:t>
                  </w:r>
                </w:p>
              </w:tc>
              <w:tc>
                <w:tcPr>
                  <w:tcW w:w="4069" w:type="pct"/>
                  <w:gridSpan w:val="6"/>
                  <w:noWrap w:val="0"/>
                  <w:vAlign w:val="center"/>
                </w:tcPr>
                <w:p w14:paraId="5A87E8F8">
                  <w:pPr>
                    <w:pStyle w:val="28"/>
                    <w:rPr>
                      <w:rFonts w:hint="eastAsia"/>
                      <w:bCs/>
                      <w:color w:val="auto"/>
                      <w:szCs w:val="21"/>
                    </w:rPr>
                  </w:pPr>
                  <w:r>
                    <w:rPr>
                      <w:rFonts w:hint="eastAsia"/>
                      <w:bCs/>
                      <w:color w:val="auto"/>
                      <w:szCs w:val="21"/>
                    </w:rPr>
                    <w:t>位于项目区西侧，主要用于轨枕的养护，为彩钢瓦大棚结构，占地面积约为2550m</w:t>
                  </w:r>
                  <w:r>
                    <w:rPr>
                      <w:rFonts w:hint="eastAsia"/>
                      <w:bCs/>
                      <w:color w:val="auto"/>
                      <w:szCs w:val="21"/>
                      <w:vertAlign w:val="superscript"/>
                    </w:rPr>
                    <w:t>2</w:t>
                  </w:r>
                  <w:r>
                    <w:rPr>
                      <w:rFonts w:hint="eastAsia"/>
                      <w:bCs/>
                      <w:color w:val="auto"/>
                      <w:szCs w:val="21"/>
                    </w:rPr>
                    <w:t>。</w:t>
                  </w:r>
                </w:p>
              </w:tc>
              <w:tc>
                <w:tcPr>
                  <w:tcW w:w="281" w:type="pct"/>
                  <w:noWrap w:val="0"/>
                  <w:vAlign w:val="center"/>
                </w:tcPr>
                <w:p w14:paraId="6D4521AB">
                  <w:pPr>
                    <w:pStyle w:val="28"/>
                    <w:rPr>
                      <w:rFonts w:hint="eastAsia"/>
                      <w:bCs/>
                      <w:color w:val="auto"/>
                      <w:szCs w:val="21"/>
                    </w:rPr>
                  </w:pPr>
                  <w:r>
                    <w:rPr>
                      <w:rFonts w:hint="eastAsia"/>
                      <w:bCs/>
                      <w:color w:val="auto"/>
                      <w:szCs w:val="21"/>
                      <w:lang w:val="en-US" w:eastAsia="zh-CN"/>
                    </w:rPr>
                    <w:t>已建</w:t>
                  </w:r>
                </w:p>
              </w:tc>
            </w:tr>
            <w:tr w14:paraId="268B1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260" w:type="pct"/>
                  <w:vMerge w:val="restart"/>
                  <w:noWrap w:val="0"/>
                  <w:vAlign w:val="center"/>
                </w:tcPr>
                <w:p w14:paraId="745697EB">
                  <w:pPr>
                    <w:pStyle w:val="28"/>
                    <w:rPr>
                      <w:rFonts w:hint="eastAsia"/>
                      <w:bCs/>
                      <w:color w:val="auto"/>
                      <w:szCs w:val="21"/>
                    </w:rPr>
                  </w:pPr>
                  <w:r>
                    <w:rPr>
                      <w:rFonts w:hint="eastAsia"/>
                      <w:bCs/>
                      <w:color w:val="auto"/>
                      <w:szCs w:val="21"/>
                    </w:rPr>
                    <w:t>辅助工程</w:t>
                  </w:r>
                </w:p>
              </w:tc>
              <w:tc>
                <w:tcPr>
                  <w:tcW w:w="388" w:type="pct"/>
                  <w:noWrap w:val="0"/>
                  <w:vAlign w:val="center"/>
                </w:tcPr>
                <w:p w14:paraId="2CA4F103">
                  <w:pPr>
                    <w:pStyle w:val="28"/>
                    <w:rPr>
                      <w:rFonts w:hint="eastAsia" w:hAnsi="宋体"/>
                      <w:color w:val="auto"/>
                      <w:szCs w:val="21"/>
                    </w:rPr>
                  </w:pPr>
                  <w:r>
                    <w:rPr>
                      <w:rFonts w:hint="eastAsia" w:hAnsi="宋体"/>
                      <w:color w:val="auto"/>
                      <w:szCs w:val="21"/>
                    </w:rPr>
                    <w:t>搅拌区</w:t>
                  </w:r>
                </w:p>
              </w:tc>
              <w:tc>
                <w:tcPr>
                  <w:tcW w:w="4069" w:type="pct"/>
                  <w:gridSpan w:val="6"/>
                  <w:noWrap w:val="0"/>
                  <w:vAlign w:val="center"/>
                </w:tcPr>
                <w:p w14:paraId="04456951">
                  <w:pPr>
                    <w:pStyle w:val="28"/>
                    <w:rPr>
                      <w:rFonts w:hint="eastAsia"/>
                      <w:bCs/>
                      <w:snapToGrid w:val="0"/>
                      <w:color w:val="auto"/>
                      <w:szCs w:val="21"/>
                    </w:rPr>
                  </w:pPr>
                  <w:r>
                    <w:rPr>
                      <w:rFonts w:hint="eastAsia"/>
                      <w:bCs/>
                      <w:snapToGrid w:val="0"/>
                      <w:color w:val="auto"/>
                      <w:szCs w:val="21"/>
                    </w:rPr>
                    <w:t>位于生产车间东南侧，连接生产车间和储料仓，方便上料和卸料，占地面积约1300m</w:t>
                  </w:r>
                  <w:r>
                    <w:rPr>
                      <w:rFonts w:hint="eastAsia"/>
                      <w:bCs/>
                      <w:snapToGrid w:val="0"/>
                      <w:color w:val="auto"/>
                      <w:szCs w:val="21"/>
                      <w:vertAlign w:val="superscript"/>
                    </w:rPr>
                    <w:t>2</w:t>
                  </w:r>
                  <w:r>
                    <w:rPr>
                      <w:rFonts w:hint="eastAsia"/>
                      <w:bCs/>
                      <w:snapToGrid w:val="0"/>
                      <w:color w:val="auto"/>
                      <w:szCs w:val="21"/>
                    </w:rPr>
                    <w:t>。</w:t>
                  </w:r>
                </w:p>
              </w:tc>
              <w:tc>
                <w:tcPr>
                  <w:tcW w:w="281" w:type="pct"/>
                  <w:noWrap w:val="0"/>
                  <w:vAlign w:val="center"/>
                </w:tcPr>
                <w:p w14:paraId="47D1BD03">
                  <w:pPr>
                    <w:pStyle w:val="28"/>
                    <w:rPr>
                      <w:rFonts w:hint="eastAsia"/>
                      <w:bCs/>
                      <w:snapToGrid w:val="0"/>
                      <w:color w:val="auto"/>
                      <w:szCs w:val="21"/>
                    </w:rPr>
                  </w:pPr>
                  <w:r>
                    <w:rPr>
                      <w:rFonts w:hint="eastAsia"/>
                      <w:bCs/>
                      <w:color w:val="auto"/>
                      <w:szCs w:val="21"/>
                      <w:lang w:val="en-US" w:eastAsia="zh-CN"/>
                    </w:rPr>
                    <w:t>已建</w:t>
                  </w:r>
                </w:p>
              </w:tc>
            </w:tr>
            <w:tr w14:paraId="70913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260" w:type="pct"/>
                  <w:vMerge w:val="continue"/>
                  <w:noWrap w:val="0"/>
                  <w:vAlign w:val="center"/>
                </w:tcPr>
                <w:p w14:paraId="1F33B90A">
                  <w:pPr>
                    <w:pStyle w:val="28"/>
                    <w:rPr>
                      <w:bCs/>
                      <w:color w:val="auto"/>
                      <w:szCs w:val="21"/>
                    </w:rPr>
                  </w:pPr>
                </w:p>
              </w:tc>
              <w:tc>
                <w:tcPr>
                  <w:tcW w:w="388" w:type="pct"/>
                  <w:noWrap w:val="0"/>
                  <w:vAlign w:val="center"/>
                </w:tcPr>
                <w:p w14:paraId="120F2A3D">
                  <w:pPr>
                    <w:pStyle w:val="28"/>
                    <w:rPr>
                      <w:rFonts w:hint="eastAsia" w:hAnsi="宋体"/>
                      <w:color w:val="auto"/>
                      <w:szCs w:val="21"/>
                    </w:rPr>
                  </w:pPr>
                  <w:r>
                    <w:rPr>
                      <w:rFonts w:hint="eastAsia" w:hAnsi="宋体"/>
                      <w:color w:val="auto"/>
                      <w:szCs w:val="21"/>
                    </w:rPr>
                    <w:t>工人区</w:t>
                  </w:r>
                </w:p>
              </w:tc>
              <w:tc>
                <w:tcPr>
                  <w:tcW w:w="4069" w:type="pct"/>
                  <w:gridSpan w:val="6"/>
                  <w:noWrap w:val="0"/>
                  <w:vAlign w:val="center"/>
                </w:tcPr>
                <w:p w14:paraId="2D5EAC33">
                  <w:pPr>
                    <w:pStyle w:val="28"/>
                    <w:rPr>
                      <w:bCs/>
                      <w:color w:val="auto"/>
                      <w:szCs w:val="21"/>
                    </w:rPr>
                  </w:pPr>
                  <w:r>
                    <w:rPr>
                      <w:rFonts w:hint="eastAsia"/>
                      <w:bCs/>
                      <w:snapToGrid w:val="0"/>
                      <w:color w:val="auto"/>
                      <w:szCs w:val="21"/>
                    </w:rPr>
                    <w:t>建设有宿舍24间，厨房两间，餐厅3间、男女厕所卫浴共3间和1米雨棚，位于厂区</w:t>
                  </w:r>
                  <w:r>
                    <w:rPr>
                      <w:rFonts w:hint="eastAsia"/>
                      <w:bCs/>
                      <w:snapToGrid w:val="0"/>
                      <w:color w:val="auto"/>
                      <w:szCs w:val="21"/>
                      <w:lang w:val="en-US" w:eastAsia="zh-CN"/>
                    </w:rPr>
                    <w:t>东北侧</w:t>
                  </w:r>
                  <w:r>
                    <w:rPr>
                      <w:rFonts w:hint="eastAsia"/>
                      <w:bCs/>
                      <w:snapToGrid w:val="0"/>
                      <w:color w:val="auto"/>
                      <w:szCs w:val="21"/>
                    </w:rPr>
                    <w:t>，总建筑面积约1035.97</w:t>
                  </w:r>
                  <w:r>
                    <w:rPr>
                      <w:rFonts w:hint="eastAsia"/>
                      <w:bCs/>
                      <w:color w:val="auto"/>
                      <w:szCs w:val="21"/>
                    </w:rPr>
                    <w:t>m</w:t>
                  </w:r>
                  <w:r>
                    <w:rPr>
                      <w:rFonts w:hint="eastAsia"/>
                      <w:bCs/>
                      <w:color w:val="auto"/>
                      <w:szCs w:val="21"/>
                      <w:vertAlign w:val="superscript"/>
                    </w:rPr>
                    <w:t>2</w:t>
                  </w:r>
                  <w:r>
                    <w:rPr>
                      <w:rFonts w:hint="eastAsia"/>
                      <w:bCs/>
                      <w:color w:val="auto"/>
                      <w:szCs w:val="21"/>
                    </w:rPr>
                    <w:t>；均为彩钢瓦结构</w:t>
                  </w:r>
                </w:p>
              </w:tc>
              <w:tc>
                <w:tcPr>
                  <w:tcW w:w="281" w:type="pct"/>
                  <w:noWrap w:val="0"/>
                  <w:vAlign w:val="center"/>
                </w:tcPr>
                <w:p w14:paraId="26842D3B">
                  <w:pPr>
                    <w:pStyle w:val="28"/>
                    <w:rPr>
                      <w:rFonts w:hint="eastAsia"/>
                      <w:bCs/>
                      <w:snapToGrid w:val="0"/>
                      <w:color w:val="auto"/>
                      <w:szCs w:val="21"/>
                    </w:rPr>
                  </w:pPr>
                  <w:r>
                    <w:rPr>
                      <w:rFonts w:hint="eastAsia"/>
                      <w:bCs/>
                      <w:color w:val="auto"/>
                      <w:szCs w:val="21"/>
                      <w:lang w:val="en-US" w:eastAsia="zh-CN"/>
                    </w:rPr>
                    <w:t>已建</w:t>
                  </w:r>
                </w:p>
              </w:tc>
            </w:tr>
            <w:tr w14:paraId="4C691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260" w:type="pct"/>
                  <w:vMerge w:val="continue"/>
                  <w:noWrap w:val="0"/>
                  <w:vAlign w:val="center"/>
                </w:tcPr>
                <w:p w14:paraId="1574A0C6">
                  <w:pPr>
                    <w:pStyle w:val="28"/>
                    <w:rPr>
                      <w:rFonts w:hint="eastAsia"/>
                      <w:bCs/>
                      <w:color w:val="auto"/>
                      <w:szCs w:val="21"/>
                    </w:rPr>
                  </w:pPr>
                </w:p>
              </w:tc>
              <w:tc>
                <w:tcPr>
                  <w:tcW w:w="388" w:type="pct"/>
                  <w:noWrap w:val="0"/>
                  <w:vAlign w:val="center"/>
                </w:tcPr>
                <w:p w14:paraId="4AD4926B">
                  <w:pPr>
                    <w:pStyle w:val="28"/>
                    <w:rPr>
                      <w:rFonts w:hint="eastAsia" w:hAnsi="宋体" w:eastAsia="宋体"/>
                      <w:color w:val="auto"/>
                      <w:szCs w:val="21"/>
                      <w:lang w:eastAsia="zh-CN"/>
                    </w:rPr>
                  </w:pPr>
                  <w:r>
                    <w:rPr>
                      <w:rFonts w:hint="eastAsia" w:hAnsi="宋体"/>
                      <w:color w:val="auto"/>
                      <w:szCs w:val="21"/>
                      <w:lang w:val="en-US" w:eastAsia="zh-CN"/>
                    </w:rPr>
                    <w:t>试验区</w:t>
                  </w:r>
                </w:p>
              </w:tc>
              <w:tc>
                <w:tcPr>
                  <w:tcW w:w="4069" w:type="pct"/>
                  <w:gridSpan w:val="6"/>
                  <w:noWrap w:val="0"/>
                  <w:vAlign w:val="center"/>
                </w:tcPr>
                <w:p w14:paraId="17071632">
                  <w:pPr>
                    <w:pStyle w:val="28"/>
                    <w:rPr>
                      <w:bCs/>
                      <w:color w:val="auto"/>
                      <w:szCs w:val="21"/>
                    </w:rPr>
                  </w:pPr>
                  <w:r>
                    <w:rPr>
                      <w:rFonts w:hint="eastAsia"/>
                      <w:bCs/>
                      <w:color w:val="auto"/>
                      <w:szCs w:val="21"/>
                      <w:lang w:val="en-US" w:eastAsia="zh-CN"/>
                    </w:rPr>
                    <w:t>试验区位于生产车间南侧紧邻处，</w:t>
                  </w:r>
                  <w:r>
                    <w:rPr>
                      <w:rFonts w:hint="eastAsia"/>
                      <w:bCs/>
                      <w:color w:val="auto"/>
                      <w:szCs w:val="21"/>
                    </w:rPr>
                    <w:t>建设有力学室、养护室、混凝土室、化学室、集料室、高温比表室胶材室、样品室、储藏室、会议室、办公室、主任室、资料室、晾晒间各一间、男女厕所各一间、宿舍两间，总建筑面积约600.04m</w:t>
                  </w:r>
                  <w:r>
                    <w:rPr>
                      <w:rFonts w:hint="eastAsia"/>
                      <w:bCs/>
                      <w:color w:val="auto"/>
                      <w:szCs w:val="21"/>
                      <w:vertAlign w:val="superscript"/>
                    </w:rPr>
                    <w:t>2</w:t>
                  </w:r>
                  <w:r>
                    <w:rPr>
                      <w:rFonts w:hint="eastAsia"/>
                      <w:bCs/>
                      <w:color w:val="auto"/>
                      <w:szCs w:val="21"/>
                    </w:rPr>
                    <w:t>，均为彩钢瓦结构</w:t>
                  </w:r>
                </w:p>
              </w:tc>
              <w:tc>
                <w:tcPr>
                  <w:tcW w:w="281" w:type="pct"/>
                  <w:noWrap w:val="0"/>
                  <w:vAlign w:val="center"/>
                </w:tcPr>
                <w:p w14:paraId="023083DD">
                  <w:pPr>
                    <w:pStyle w:val="28"/>
                    <w:rPr>
                      <w:rFonts w:hint="eastAsia"/>
                      <w:b/>
                      <w:color w:val="auto"/>
                      <w:szCs w:val="21"/>
                    </w:rPr>
                  </w:pPr>
                  <w:r>
                    <w:rPr>
                      <w:rFonts w:hint="eastAsia"/>
                      <w:bCs/>
                      <w:color w:val="auto"/>
                      <w:szCs w:val="21"/>
                      <w:lang w:val="en-US" w:eastAsia="zh-CN"/>
                    </w:rPr>
                    <w:t>已建</w:t>
                  </w:r>
                </w:p>
              </w:tc>
            </w:tr>
            <w:tr w14:paraId="0ABB1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260" w:type="pct"/>
                  <w:vMerge w:val="continue"/>
                  <w:noWrap w:val="0"/>
                  <w:vAlign w:val="center"/>
                </w:tcPr>
                <w:p w14:paraId="614AEDD9">
                  <w:pPr>
                    <w:pStyle w:val="28"/>
                    <w:rPr>
                      <w:rFonts w:hint="eastAsia"/>
                      <w:bCs/>
                      <w:color w:val="auto"/>
                      <w:szCs w:val="21"/>
                    </w:rPr>
                  </w:pPr>
                </w:p>
              </w:tc>
              <w:tc>
                <w:tcPr>
                  <w:tcW w:w="388" w:type="pct"/>
                  <w:noWrap w:val="0"/>
                  <w:vAlign w:val="center"/>
                </w:tcPr>
                <w:p w14:paraId="3EB0558E">
                  <w:pPr>
                    <w:pStyle w:val="28"/>
                    <w:rPr>
                      <w:rFonts w:hAnsi="宋体"/>
                      <w:color w:val="auto"/>
                      <w:szCs w:val="21"/>
                    </w:rPr>
                  </w:pPr>
                  <w:r>
                    <w:rPr>
                      <w:rFonts w:hint="eastAsia" w:hAnsi="宋体"/>
                      <w:color w:val="auto"/>
                      <w:szCs w:val="21"/>
                    </w:rPr>
                    <w:t>办公生活区</w:t>
                  </w:r>
                </w:p>
              </w:tc>
              <w:tc>
                <w:tcPr>
                  <w:tcW w:w="4069" w:type="pct"/>
                  <w:gridSpan w:val="6"/>
                  <w:noWrap w:val="0"/>
                  <w:vAlign w:val="center"/>
                </w:tcPr>
                <w:p w14:paraId="009A33B8">
                  <w:pPr>
                    <w:pStyle w:val="28"/>
                    <w:rPr>
                      <w:bCs/>
                      <w:color w:val="auto"/>
                      <w:szCs w:val="21"/>
                    </w:rPr>
                  </w:pPr>
                  <w:r>
                    <w:rPr>
                      <w:rFonts w:hint="eastAsia"/>
                      <w:bCs/>
                      <w:color w:val="auto"/>
                      <w:szCs w:val="21"/>
                      <w:lang w:val="en-US" w:eastAsia="zh-CN"/>
                    </w:rPr>
                    <w:t>办公生活区位于厂区东北侧，</w:t>
                  </w:r>
                  <w:r>
                    <w:rPr>
                      <w:rFonts w:hint="eastAsia"/>
                      <w:bCs/>
                      <w:color w:val="auto"/>
                      <w:szCs w:val="21"/>
                    </w:rPr>
                    <w:t>建设有监理室、安质部、工程部、总工办公室、信息室、会议室、厂长办公室、综合办公室、物资部、餐厅、厨房党建室、活动室、晾晒间、男厕、女厕、卫浴间各1间，招待室2间、宿舍9间，总建筑面积约807.57m</w:t>
                  </w:r>
                  <w:r>
                    <w:rPr>
                      <w:rFonts w:hint="eastAsia"/>
                      <w:bCs/>
                      <w:color w:val="auto"/>
                      <w:szCs w:val="21"/>
                      <w:vertAlign w:val="superscript"/>
                    </w:rPr>
                    <w:t>2</w:t>
                  </w:r>
                  <w:r>
                    <w:rPr>
                      <w:rFonts w:hint="eastAsia"/>
                      <w:bCs/>
                      <w:color w:val="auto"/>
                      <w:szCs w:val="21"/>
                    </w:rPr>
                    <w:t>，均为彩钢瓦结构</w:t>
                  </w:r>
                </w:p>
              </w:tc>
              <w:tc>
                <w:tcPr>
                  <w:tcW w:w="281" w:type="pct"/>
                  <w:noWrap w:val="0"/>
                  <w:vAlign w:val="center"/>
                </w:tcPr>
                <w:p w14:paraId="5E447EF8">
                  <w:pPr>
                    <w:pStyle w:val="28"/>
                    <w:rPr>
                      <w:rFonts w:hint="eastAsia"/>
                      <w:bCs/>
                      <w:color w:val="auto"/>
                      <w:szCs w:val="21"/>
                    </w:rPr>
                  </w:pPr>
                  <w:r>
                    <w:rPr>
                      <w:rFonts w:hint="eastAsia"/>
                      <w:bCs/>
                      <w:color w:val="auto"/>
                      <w:szCs w:val="21"/>
                      <w:lang w:val="en-US" w:eastAsia="zh-CN"/>
                    </w:rPr>
                    <w:t>已建</w:t>
                  </w:r>
                </w:p>
              </w:tc>
            </w:tr>
            <w:tr w14:paraId="515C7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260" w:type="pct"/>
                  <w:vMerge w:val="continue"/>
                  <w:noWrap w:val="0"/>
                  <w:vAlign w:val="center"/>
                </w:tcPr>
                <w:p w14:paraId="3DE93854">
                  <w:pPr>
                    <w:pStyle w:val="28"/>
                    <w:rPr>
                      <w:rFonts w:hint="eastAsia"/>
                      <w:bCs/>
                      <w:color w:val="auto"/>
                      <w:szCs w:val="21"/>
                    </w:rPr>
                  </w:pPr>
                </w:p>
              </w:tc>
              <w:tc>
                <w:tcPr>
                  <w:tcW w:w="388" w:type="pct"/>
                  <w:noWrap w:val="0"/>
                  <w:vAlign w:val="center"/>
                </w:tcPr>
                <w:p w14:paraId="729B7492">
                  <w:pPr>
                    <w:pStyle w:val="28"/>
                    <w:rPr>
                      <w:rFonts w:hAnsi="宋体"/>
                      <w:color w:val="auto"/>
                      <w:szCs w:val="21"/>
                    </w:rPr>
                  </w:pPr>
                  <w:r>
                    <w:rPr>
                      <w:rFonts w:hint="eastAsia" w:hAnsi="宋体"/>
                      <w:color w:val="auto"/>
                      <w:szCs w:val="21"/>
                    </w:rPr>
                    <w:t>停车区</w:t>
                  </w:r>
                </w:p>
              </w:tc>
              <w:tc>
                <w:tcPr>
                  <w:tcW w:w="4069" w:type="pct"/>
                  <w:gridSpan w:val="6"/>
                  <w:noWrap w:val="0"/>
                  <w:vAlign w:val="center"/>
                </w:tcPr>
                <w:p w14:paraId="13F2C546">
                  <w:pPr>
                    <w:pStyle w:val="28"/>
                    <w:rPr>
                      <w:bCs/>
                      <w:color w:val="auto"/>
                      <w:szCs w:val="21"/>
                    </w:rPr>
                  </w:pPr>
                  <w:r>
                    <w:rPr>
                      <w:rFonts w:hint="eastAsia"/>
                      <w:bCs/>
                      <w:color w:val="auto"/>
                      <w:szCs w:val="21"/>
                    </w:rPr>
                    <w:t>位于项目区东南角，约163.53m</w:t>
                  </w:r>
                  <w:r>
                    <w:rPr>
                      <w:rFonts w:hint="eastAsia"/>
                      <w:bCs/>
                      <w:color w:val="auto"/>
                      <w:szCs w:val="21"/>
                      <w:vertAlign w:val="superscript"/>
                    </w:rPr>
                    <w:t>2</w:t>
                  </w:r>
                </w:p>
              </w:tc>
              <w:tc>
                <w:tcPr>
                  <w:tcW w:w="281" w:type="pct"/>
                  <w:noWrap w:val="0"/>
                  <w:vAlign w:val="center"/>
                </w:tcPr>
                <w:p w14:paraId="49AF658A">
                  <w:pPr>
                    <w:pStyle w:val="28"/>
                    <w:rPr>
                      <w:rFonts w:hint="eastAsia"/>
                      <w:bCs/>
                      <w:color w:val="auto"/>
                      <w:szCs w:val="21"/>
                    </w:rPr>
                  </w:pPr>
                  <w:r>
                    <w:rPr>
                      <w:rFonts w:hint="eastAsia"/>
                      <w:bCs/>
                      <w:color w:val="auto"/>
                      <w:szCs w:val="21"/>
                      <w:lang w:val="en-US" w:eastAsia="zh-CN"/>
                    </w:rPr>
                    <w:t>已建</w:t>
                  </w:r>
                </w:p>
              </w:tc>
            </w:tr>
            <w:tr w14:paraId="691ED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0" w:type="pct"/>
                  <w:vMerge w:val="continue"/>
                  <w:noWrap w:val="0"/>
                  <w:vAlign w:val="center"/>
                </w:tcPr>
                <w:p w14:paraId="0EE319A2">
                  <w:pPr>
                    <w:pStyle w:val="28"/>
                    <w:rPr>
                      <w:bCs/>
                      <w:color w:val="auto"/>
                      <w:szCs w:val="21"/>
                    </w:rPr>
                  </w:pPr>
                </w:p>
              </w:tc>
              <w:tc>
                <w:tcPr>
                  <w:tcW w:w="388" w:type="pct"/>
                  <w:noWrap w:val="0"/>
                  <w:vAlign w:val="center"/>
                </w:tcPr>
                <w:p w14:paraId="0C4EB5CB">
                  <w:pPr>
                    <w:pStyle w:val="28"/>
                    <w:rPr>
                      <w:rFonts w:hint="eastAsia" w:hAnsi="宋体"/>
                      <w:color w:val="auto"/>
                      <w:szCs w:val="21"/>
                    </w:rPr>
                  </w:pPr>
                  <w:r>
                    <w:rPr>
                      <w:rFonts w:hint="eastAsia" w:hAnsi="宋体"/>
                      <w:color w:val="auto"/>
                      <w:szCs w:val="21"/>
                    </w:rPr>
                    <w:t>配电房</w:t>
                  </w:r>
                </w:p>
              </w:tc>
              <w:tc>
                <w:tcPr>
                  <w:tcW w:w="4069" w:type="pct"/>
                  <w:gridSpan w:val="6"/>
                  <w:noWrap w:val="0"/>
                  <w:vAlign w:val="center"/>
                </w:tcPr>
                <w:p w14:paraId="544D348B">
                  <w:pPr>
                    <w:pStyle w:val="28"/>
                    <w:rPr>
                      <w:rFonts w:hint="eastAsia"/>
                      <w:bCs/>
                      <w:snapToGrid w:val="0"/>
                      <w:color w:val="auto"/>
                      <w:szCs w:val="21"/>
                    </w:rPr>
                  </w:pPr>
                  <w:r>
                    <w:rPr>
                      <w:rFonts w:hint="eastAsia" w:hAnsi="宋体"/>
                      <w:color w:val="auto"/>
                      <w:szCs w:val="21"/>
                    </w:rPr>
                    <w:t>位于生产车间内东北角，建筑面积约150m</w:t>
                  </w:r>
                  <w:r>
                    <w:rPr>
                      <w:rFonts w:hint="eastAsia" w:hAnsi="宋体"/>
                      <w:color w:val="auto"/>
                      <w:szCs w:val="21"/>
                      <w:vertAlign w:val="superscript"/>
                    </w:rPr>
                    <w:t>2</w:t>
                  </w:r>
                </w:p>
              </w:tc>
              <w:tc>
                <w:tcPr>
                  <w:tcW w:w="281" w:type="pct"/>
                  <w:noWrap w:val="0"/>
                  <w:vAlign w:val="center"/>
                </w:tcPr>
                <w:p w14:paraId="017FCEC8">
                  <w:pPr>
                    <w:pStyle w:val="28"/>
                    <w:rPr>
                      <w:rFonts w:hint="eastAsia" w:hAnsi="宋体"/>
                      <w:color w:val="auto"/>
                      <w:szCs w:val="21"/>
                    </w:rPr>
                  </w:pPr>
                  <w:r>
                    <w:rPr>
                      <w:rFonts w:hint="eastAsia"/>
                      <w:bCs/>
                      <w:color w:val="auto"/>
                      <w:szCs w:val="21"/>
                      <w:lang w:val="en-US" w:eastAsia="zh-CN"/>
                    </w:rPr>
                    <w:t>已建</w:t>
                  </w:r>
                </w:p>
              </w:tc>
            </w:tr>
            <w:tr w14:paraId="4FCB6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0" w:type="pct"/>
                  <w:vMerge w:val="continue"/>
                  <w:noWrap w:val="0"/>
                  <w:vAlign w:val="center"/>
                </w:tcPr>
                <w:p w14:paraId="0DFDCBD8">
                  <w:pPr>
                    <w:pStyle w:val="28"/>
                    <w:rPr>
                      <w:bCs/>
                      <w:color w:val="auto"/>
                      <w:szCs w:val="21"/>
                    </w:rPr>
                  </w:pPr>
                </w:p>
              </w:tc>
              <w:tc>
                <w:tcPr>
                  <w:tcW w:w="388" w:type="pct"/>
                  <w:noWrap w:val="0"/>
                  <w:vAlign w:val="center"/>
                </w:tcPr>
                <w:p w14:paraId="754E037F">
                  <w:pPr>
                    <w:pStyle w:val="28"/>
                    <w:rPr>
                      <w:rFonts w:hint="eastAsia" w:hAnsi="宋体"/>
                      <w:color w:val="auto"/>
                      <w:szCs w:val="21"/>
                    </w:rPr>
                  </w:pPr>
                  <w:r>
                    <w:rPr>
                      <w:rFonts w:hint="eastAsia" w:hAnsi="宋体"/>
                      <w:color w:val="auto"/>
                      <w:szCs w:val="21"/>
                    </w:rPr>
                    <w:t>地磅</w:t>
                  </w:r>
                </w:p>
              </w:tc>
              <w:tc>
                <w:tcPr>
                  <w:tcW w:w="4069" w:type="pct"/>
                  <w:gridSpan w:val="6"/>
                  <w:noWrap w:val="0"/>
                  <w:vAlign w:val="center"/>
                </w:tcPr>
                <w:p w14:paraId="263A9126">
                  <w:pPr>
                    <w:pStyle w:val="28"/>
                    <w:rPr>
                      <w:rFonts w:hint="eastAsia" w:hAnsi="宋体"/>
                      <w:color w:val="auto"/>
                      <w:szCs w:val="21"/>
                    </w:rPr>
                  </w:pPr>
                  <w:r>
                    <w:rPr>
                      <w:rFonts w:hint="eastAsia" w:hAnsi="宋体"/>
                      <w:color w:val="auto"/>
                      <w:szCs w:val="21"/>
                    </w:rPr>
                    <w:t>位于项目区东侧出入口内，占地面积40.8m</w:t>
                  </w:r>
                  <w:r>
                    <w:rPr>
                      <w:rFonts w:hint="eastAsia" w:hAnsi="宋体"/>
                      <w:color w:val="auto"/>
                      <w:szCs w:val="21"/>
                      <w:vertAlign w:val="superscript"/>
                    </w:rPr>
                    <w:t>2</w:t>
                  </w:r>
                </w:p>
              </w:tc>
              <w:tc>
                <w:tcPr>
                  <w:tcW w:w="281" w:type="pct"/>
                  <w:noWrap w:val="0"/>
                  <w:vAlign w:val="center"/>
                </w:tcPr>
                <w:p w14:paraId="1F310A13">
                  <w:pPr>
                    <w:pStyle w:val="28"/>
                    <w:rPr>
                      <w:rFonts w:hint="eastAsia" w:hAnsi="宋体"/>
                      <w:color w:val="auto"/>
                      <w:szCs w:val="21"/>
                    </w:rPr>
                  </w:pPr>
                  <w:r>
                    <w:rPr>
                      <w:rFonts w:hint="eastAsia"/>
                      <w:bCs/>
                      <w:color w:val="auto"/>
                      <w:szCs w:val="21"/>
                      <w:lang w:val="en-US" w:eastAsia="zh-CN"/>
                    </w:rPr>
                    <w:t>已建</w:t>
                  </w:r>
                </w:p>
              </w:tc>
            </w:tr>
            <w:tr w14:paraId="7A4B8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0" w:type="pct"/>
                  <w:vMerge w:val="continue"/>
                  <w:noWrap w:val="0"/>
                  <w:vAlign w:val="center"/>
                </w:tcPr>
                <w:p w14:paraId="30E65B36">
                  <w:pPr>
                    <w:pStyle w:val="28"/>
                    <w:rPr>
                      <w:bCs/>
                      <w:color w:val="auto"/>
                      <w:szCs w:val="21"/>
                    </w:rPr>
                  </w:pPr>
                </w:p>
              </w:tc>
              <w:tc>
                <w:tcPr>
                  <w:tcW w:w="388" w:type="pct"/>
                  <w:noWrap w:val="0"/>
                  <w:vAlign w:val="center"/>
                </w:tcPr>
                <w:p w14:paraId="0858A88E">
                  <w:pPr>
                    <w:pStyle w:val="28"/>
                    <w:rPr>
                      <w:rFonts w:hAnsi="宋体"/>
                      <w:color w:val="auto"/>
                      <w:szCs w:val="21"/>
                    </w:rPr>
                  </w:pPr>
                  <w:r>
                    <w:rPr>
                      <w:rFonts w:hint="eastAsia" w:hAnsi="宋体"/>
                      <w:color w:val="auto"/>
                      <w:szCs w:val="21"/>
                    </w:rPr>
                    <w:t>门卫</w:t>
                  </w:r>
                </w:p>
              </w:tc>
              <w:tc>
                <w:tcPr>
                  <w:tcW w:w="4069" w:type="pct"/>
                  <w:gridSpan w:val="6"/>
                  <w:noWrap w:val="0"/>
                  <w:vAlign w:val="center"/>
                </w:tcPr>
                <w:p w14:paraId="02A9A1C7">
                  <w:pPr>
                    <w:pStyle w:val="28"/>
                    <w:rPr>
                      <w:rFonts w:hAnsi="宋体"/>
                      <w:color w:val="auto"/>
                      <w:szCs w:val="21"/>
                    </w:rPr>
                  </w:pPr>
                  <w:r>
                    <w:rPr>
                      <w:rFonts w:hint="eastAsia" w:hAnsi="宋体"/>
                      <w:color w:val="auto"/>
                      <w:szCs w:val="21"/>
                    </w:rPr>
                    <w:t>位于厂区内东侧，建筑面积约24</w:t>
                  </w:r>
                  <w:r>
                    <w:rPr>
                      <w:rFonts w:hint="eastAsia"/>
                      <w:bCs/>
                      <w:color w:val="auto"/>
                      <w:szCs w:val="21"/>
                    </w:rPr>
                    <w:t>m</w:t>
                  </w:r>
                  <w:r>
                    <w:rPr>
                      <w:rFonts w:hint="eastAsia"/>
                      <w:bCs/>
                      <w:color w:val="auto"/>
                      <w:szCs w:val="21"/>
                      <w:vertAlign w:val="superscript"/>
                    </w:rPr>
                    <w:t>2</w:t>
                  </w:r>
                </w:p>
              </w:tc>
              <w:tc>
                <w:tcPr>
                  <w:tcW w:w="281" w:type="pct"/>
                  <w:noWrap w:val="0"/>
                  <w:vAlign w:val="center"/>
                </w:tcPr>
                <w:p w14:paraId="2E92B084">
                  <w:pPr>
                    <w:pStyle w:val="28"/>
                    <w:rPr>
                      <w:rFonts w:hint="eastAsia" w:hAnsi="宋体"/>
                      <w:color w:val="auto"/>
                      <w:szCs w:val="21"/>
                    </w:rPr>
                  </w:pPr>
                  <w:r>
                    <w:rPr>
                      <w:rFonts w:hint="eastAsia"/>
                      <w:bCs/>
                      <w:color w:val="auto"/>
                      <w:szCs w:val="21"/>
                      <w:lang w:val="en-US" w:eastAsia="zh-CN"/>
                    </w:rPr>
                    <w:t>已建</w:t>
                  </w:r>
                </w:p>
              </w:tc>
            </w:tr>
            <w:tr w14:paraId="3DB08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0" w:type="pct"/>
                  <w:vMerge w:val="restart"/>
                  <w:noWrap w:val="0"/>
                  <w:vAlign w:val="center"/>
                </w:tcPr>
                <w:p w14:paraId="3A52C409">
                  <w:pPr>
                    <w:pStyle w:val="28"/>
                    <w:rPr>
                      <w:snapToGrid w:val="0"/>
                      <w:color w:val="auto"/>
                      <w:szCs w:val="21"/>
                    </w:rPr>
                  </w:pPr>
                  <w:r>
                    <w:rPr>
                      <w:rFonts w:hAnsi="宋体"/>
                      <w:color w:val="auto"/>
                      <w:szCs w:val="21"/>
                    </w:rPr>
                    <w:t>储运工程</w:t>
                  </w:r>
                </w:p>
              </w:tc>
              <w:tc>
                <w:tcPr>
                  <w:tcW w:w="388" w:type="pct"/>
                  <w:noWrap w:val="0"/>
                  <w:vAlign w:val="center"/>
                </w:tcPr>
                <w:p w14:paraId="241B304A">
                  <w:pPr>
                    <w:pStyle w:val="28"/>
                    <w:rPr>
                      <w:rFonts w:hint="eastAsia"/>
                      <w:snapToGrid w:val="0"/>
                      <w:color w:val="auto"/>
                      <w:szCs w:val="21"/>
                    </w:rPr>
                  </w:pPr>
                  <w:r>
                    <w:rPr>
                      <w:rFonts w:hint="eastAsia" w:hAnsi="宋体"/>
                      <w:color w:val="auto"/>
                      <w:szCs w:val="21"/>
                    </w:rPr>
                    <w:t>储料仓</w:t>
                  </w:r>
                </w:p>
              </w:tc>
              <w:tc>
                <w:tcPr>
                  <w:tcW w:w="4069" w:type="pct"/>
                  <w:gridSpan w:val="6"/>
                  <w:noWrap w:val="0"/>
                  <w:vAlign w:val="center"/>
                </w:tcPr>
                <w:p w14:paraId="778524EE">
                  <w:pPr>
                    <w:pStyle w:val="28"/>
                    <w:rPr>
                      <w:bCs/>
                      <w:color w:val="auto"/>
                      <w:szCs w:val="21"/>
                    </w:rPr>
                  </w:pPr>
                  <w:r>
                    <w:rPr>
                      <w:rFonts w:hint="eastAsia"/>
                      <w:bCs/>
                      <w:color w:val="auto"/>
                      <w:szCs w:val="21"/>
                    </w:rPr>
                    <w:t>位于生产车间东侧，共分为6个料仓，主要存储生产所需的原材料，为彩钢瓦大棚结构，结构为三面围挡+顶棚，建筑面积约为600m</w:t>
                  </w:r>
                  <w:r>
                    <w:rPr>
                      <w:rFonts w:hint="eastAsia"/>
                      <w:bCs/>
                      <w:color w:val="auto"/>
                      <w:szCs w:val="21"/>
                      <w:vertAlign w:val="superscript"/>
                    </w:rPr>
                    <w:t>2</w:t>
                  </w:r>
                </w:p>
              </w:tc>
              <w:tc>
                <w:tcPr>
                  <w:tcW w:w="281" w:type="pct"/>
                  <w:noWrap w:val="0"/>
                  <w:vAlign w:val="center"/>
                </w:tcPr>
                <w:p w14:paraId="50959118">
                  <w:pPr>
                    <w:pStyle w:val="28"/>
                    <w:rPr>
                      <w:rFonts w:hint="eastAsia"/>
                      <w:bCs/>
                      <w:color w:val="auto"/>
                      <w:szCs w:val="21"/>
                    </w:rPr>
                  </w:pPr>
                  <w:r>
                    <w:rPr>
                      <w:rFonts w:hint="eastAsia"/>
                      <w:bCs/>
                      <w:color w:val="auto"/>
                      <w:szCs w:val="21"/>
                      <w:lang w:val="en-US" w:eastAsia="zh-CN"/>
                    </w:rPr>
                    <w:t>已建</w:t>
                  </w:r>
                </w:p>
              </w:tc>
            </w:tr>
            <w:tr w14:paraId="02AB8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0" w:type="pct"/>
                  <w:vMerge w:val="continue"/>
                  <w:noWrap w:val="0"/>
                  <w:vAlign w:val="center"/>
                </w:tcPr>
                <w:p w14:paraId="7B4489C8">
                  <w:pPr>
                    <w:pStyle w:val="28"/>
                    <w:rPr>
                      <w:rFonts w:hAnsi="宋体"/>
                      <w:color w:val="auto"/>
                      <w:szCs w:val="21"/>
                    </w:rPr>
                  </w:pPr>
                </w:p>
              </w:tc>
              <w:tc>
                <w:tcPr>
                  <w:tcW w:w="388" w:type="pct"/>
                  <w:noWrap w:val="0"/>
                  <w:vAlign w:val="center"/>
                </w:tcPr>
                <w:p w14:paraId="6FACF07C">
                  <w:pPr>
                    <w:pStyle w:val="28"/>
                    <w:rPr>
                      <w:rFonts w:hAnsi="宋体"/>
                      <w:color w:val="auto"/>
                      <w:szCs w:val="21"/>
                    </w:rPr>
                  </w:pPr>
                  <w:r>
                    <w:rPr>
                      <w:rFonts w:hint="eastAsia" w:hAnsi="宋体"/>
                      <w:color w:val="auto"/>
                      <w:szCs w:val="21"/>
                    </w:rPr>
                    <w:t>筒仓</w:t>
                  </w:r>
                </w:p>
              </w:tc>
              <w:tc>
                <w:tcPr>
                  <w:tcW w:w="4069" w:type="pct"/>
                  <w:gridSpan w:val="6"/>
                  <w:noWrap w:val="0"/>
                  <w:vAlign w:val="center"/>
                </w:tcPr>
                <w:p w14:paraId="439C4F6F">
                  <w:pPr>
                    <w:pStyle w:val="28"/>
                    <w:rPr>
                      <w:bCs/>
                      <w:color w:val="auto"/>
                      <w:szCs w:val="21"/>
                    </w:rPr>
                  </w:pPr>
                  <w:r>
                    <w:rPr>
                      <w:rFonts w:hint="eastAsia"/>
                      <w:bCs/>
                      <w:color w:val="auto"/>
                      <w:szCs w:val="21"/>
                    </w:rPr>
                    <w:t>项目区共设置6个筒仓，均位于搅拌区内，其中4个为水泥筒仓，容量为100t，2个为</w:t>
                  </w:r>
                  <w:r>
                    <w:rPr>
                      <w:rFonts w:hint="eastAsia"/>
                      <w:bCs/>
                      <w:color w:val="auto"/>
                      <w:szCs w:val="21"/>
                      <w:lang w:eastAsia="zh-CN"/>
                    </w:rPr>
                    <w:t>掺和</w:t>
                  </w:r>
                  <w:r>
                    <w:rPr>
                      <w:rFonts w:hint="eastAsia"/>
                      <w:bCs/>
                      <w:color w:val="auto"/>
                      <w:szCs w:val="21"/>
                    </w:rPr>
                    <w:t>料筒仓，容量为100t。</w:t>
                  </w:r>
                </w:p>
              </w:tc>
              <w:tc>
                <w:tcPr>
                  <w:tcW w:w="281" w:type="pct"/>
                  <w:noWrap w:val="0"/>
                  <w:vAlign w:val="center"/>
                </w:tcPr>
                <w:p w14:paraId="2E721F15">
                  <w:pPr>
                    <w:pStyle w:val="28"/>
                    <w:rPr>
                      <w:rFonts w:hint="eastAsia"/>
                      <w:bCs/>
                      <w:color w:val="auto"/>
                      <w:szCs w:val="21"/>
                    </w:rPr>
                  </w:pPr>
                  <w:r>
                    <w:rPr>
                      <w:rFonts w:hint="eastAsia"/>
                      <w:bCs/>
                      <w:color w:val="auto"/>
                      <w:szCs w:val="21"/>
                      <w:lang w:val="en-US" w:eastAsia="zh-CN"/>
                    </w:rPr>
                    <w:t>已建</w:t>
                  </w:r>
                </w:p>
              </w:tc>
            </w:tr>
            <w:tr w14:paraId="162DA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0" w:type="pct"/>
                  <w:vMerge w:val="continue"/>
                  <w:noWrap w:val="0"/>
                  <w:vAlign w:val="center"/>
                </w:tcPr>
                <w:p w14:paraId="6C49A6D8">
                  <w:pPr>
                    <w:pStyle w:val="28"/>
                    <w:rPr>
                      <w:rFonts w:hAnsi="宋体"/>
                      <w:color w:val="auto"/>
                      <w:szCs w:val="21"/>
                    </w:rPr>
                  </w:pPr>
                </w:p>
              </w:tc>
              <w:tc>
                <w:tcPr>
                  <w:tcW w:w="388" w:type="pct"/>
                  <w:noWrap w:val="0"/>
                  <w:vAlign w:val="center"/>
                </w:tcPr>
                <w:p w14:paraId="34DA9DDD">
                  <w:pPr>
                    <w:pStyle w:val="28"/>
                    <w:rPr>
                      <w:rFonts w:hint="eastAsia" w:hAnsi="宋体"/>
                      <w:color w:val="auto"/>
                      <w:szCs w:val="21"/>
                    </w:rPr>
                  </w:pPr>
                  <w:r>
                    <w:rPr>
                      <w:rFonts w:hint="eastAsia" w:hAnsi="宋体"/>
                      <w:color w:val="auto"/>
                      <w:szCs w:val="21"/>
                    </w:rPr>
                    <w:t>成品堆放区（存枕区）</w:t>
                  </w:r>
                </w:p>
              </w:tc>
              <w:tc>
                <w:tcPr>
                  <w:tcW w:w="4069" w:type="pct"/>
                  <w:gridSpan w:val="6"/>
                  <w:noWrap w:val="0"/>
                  <w:vAlign w:val="center"/>
                </w:tcPr>
                <w:p w14:paraId="4D1196B9">
                  <w:pPr>
                    <w:pStyle w:val="28"/>
                    <w:rPr>
                      <w:rFonts w:hint="eastAsia"/>
                      <w:bCs/>
                      <w:color w:val="auto"/>
                      <w:szCs w:val="21"/>
                    </w:rPr>
                  </w:pPr>
                  <w:r>
                    <w:rPr>
                      <w:rFonts w:hint="eastAsia"/>
                      <w:bCs/>
                      <w:color w:val="auto"/>
                      <w:szCs w:val="21"/>
                    </w:rPr>
                    <w:t>位于项目区中心，地面进行硬化，最大存枕量10万根，占地11000m</w:t>
                  </w:r>
                  <w:r>
                    <w:rPr>
                      <w:rFonts w:hint="eastAsia"/>
                      <w:bCs/>
                      <w:color w:val="auto"/>
                      <w:szCs w:val="21"/>
                      <w:vertAlign w:val="superscript"/>
                    </w:rPr>
                    <w:t>2</w:t>
                  </w:r>
                  <w:r>
                    <w:rPr>
                      <w:rFonts w:hint="eastAsia"/>
                      <w:bCs/>
                      <w:color w:val="auto"/>
                      <w:szCs w:val="21"/>
                    </w:rPr>
                    <w:t>。</w:t>
                  </w:r>
                </w:p>
              </w:tc>
              <w:tc>
                <w:tcPr>
                  <w:tcW w:w="281" w:type="pct"/>
                  <w:noWrap w:val="0"/>
                  <w:vAlign w:val="center"/>
                </w:tcPr>
                <w:p w14:paraId="62079398">
                  <w:pPr>
                    <w:pStyle w:val="28"/>
                    <w:rPr>
                      <w:rFonts w:hint="eastAsia"/>
                      <w:bCs/>
                      <w:color w:val="auto"/>
                      <w:szCs w:val="21"/>
                    </w:rPr>
                  </w:pPr>
                  <w:r>
                    <w:rPr>
                      <w:rFonts w:hint="eastAsia"/>
                      <w:bCs/>
                      <w:color w:val="auto"/>
                      <w:szCs w:val="21"/>
                      <w:lang w:val="en-US" w:eastAsia="zh-CN"/>
                    </w:rPr>
                    <w:t>已建</w:t>
                  </w:r>
                </w:p>
              </w:tc>
            </w:tr>
            <w:tr w14:paraId="59666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0" w:type="pct"/>
                  <w:vMerge w:val="continue"/>
                  <w:noWrap w:val="0"/>
                  <w:vAlign w:val="center"/>
                </w:tcPr>
                <w:p w14:paraId="43632242">
                  <w:pPr>
                    <w:pStyle w:val="28"/>
                    <w:rPr>
                      <w:rFonts w:hAnsi="宋体"/>
                      <w:color w:val="auto"/>
                      <w:szCs w:val="21"/>
                    </w:rPr>
                  </w:pPr>
                </w:p>
              </w:tc>
              <w:tc>
                <w:tcPr>
                  <w:tcW w:w="388" w:type="pct"/>
                  <w:noWrap w:val="0"/>
                  <w:vAlign w:val="center"/>
                </w:tcPr>
                <w:p w14:paraId="17D488FF">
                  <w:pPr>
                    <w:pStyle w:val="28"/>
                    <w:rPr>
                      <w:rFonts w:hint="eastAsia" w:hAnsi="宋体"/>
                      <w:color w:val="auto"/>
                      <w:szCs w:val="21"/>
                    </w:rPr>
                  </w:pPr>
                  <w:r>
                    <w:rPr>
                      <w:rFonts w:hint="eastAsia" w:hAnsi="宋体"/>
                      <w:color w:val="auto"/>
                      <w:szCs w:val="21"/>
                    </w:rPr>
                    <w:t>备料场</w:t>
                  </w:r>
                </w:p>
              </w:tc>
              <w:tc>
                <w:tcPr>
                  <w:tcW w:w="4069" w:type="pct"/>
                  <w:gridSpan w:val="6"/>
                  <w:noWrap w:val="0"/>
                  <w:vAlign w:val="center"/>
                </w:tcPr>
                <w:p w14:paraId="68D0EBFD">
                  <w:pPr>
                    <w:pStyle w:val="28"/>
                    <w:rPr>
                      <w:rFonts w:hint="eastAsia"/>
                      <w:bCs/>
                      <w:color w:val="auto"/>
                      <w:szCs w:val="21"/>
                    </w:rPr>
                  </w:pPr>
                  <w:r>
                    <w:rPr>
                      <w:rFonts w:hint="eastAsia"/>
                      <w:bCs/>
                      <w:color w:val="auto"/>
                      <w:szCs w:val="21"/>
                    </w:rPr>
                    <w:t>位于项目区东北侧，地面进行硬化，可存枕5万根，占地5000m</w:t>
                  </w:r>
                  <w:r>
                    <w:rPr>
                      <w:rFonts w:hint="eastAsia"/>
                      <w:bCs/>
                      <w:color w:val="auto"/>
                      <w:szCs w:val="21"/>
                      <w:vertAlign w:val="superscript"/>
                    </w:rPr>
                    <w:t>2</w:t>
                  </w:r>
                  <w:r>
                    <w:rPr>
                      <w:rFonts w:hint="eastAsia"/>
                      <w:bCs/>
                      <w:color w:val="auto"/>
                      <w:szCs w:val="21"/>
                    </w:rPr>
                    <w:t>。</w:t>
                  </w:r>
                </w:p>
              </w:tc>
              <w:tc>
                <w:tcPr>
                  <w:tcW w:w="281" w:type="pct"/>
                  <w:noWrap w:val="0"/>
                  <w:vAlign w:val="center"/>
                </w:tcPr>
                <w:p w14:paraId="711B4D2D">
                  <w:pPr>
                    <w:pStyle w:val="28"/>
                    <w:rPr>
                      <w:rFonts w:hint="eastAsia"/>
                      <w:bCs/>
                      <w:color w:val="auto"/>
                      <w:szCs w:val="21"/>
                    </w:rPr>
                  </w:pPr>
                  <w:r>
                    <w:rPr>
                      <w:rFonts w:hint="eastAsia"/>
                      <w:bCs/>
                      <w:color w:val="auto"/>
                      <w:szCs w:val="21"/>
                      <w:lang w:val="en-US" w:eastAsia="zh-CN"/>
                    </w:rPr>
                    <w:t>已建</w:t>
                  </w:r>
                </w:p>
              </w:tc>
            </w:tr>
            <w:tr w14:paraId="3AA99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0" w:type="pct"/>
                  <w:vMerge w:val="continue"/>
                  <w:noWrap w:val="0"/>
                  <w:vAlign w:val="center"/>
                </w:tcPr>
                <w:p w14:paraId="31BCB4CC">
                  <w:pPr>
                    <w:pStyle w:val="28"/>
                    <w:rPr>
                      <w:bCs/>
                      <w:color w:val="auto"/>
                      <w:szCs w:val="21"/>
                    </w:rPr>
                  </w:pPr>
                </w:p>
              </w:tc>
              <w:tc>
                <w:tcPr>
                  <w:tcW w:w="388" w:type="pct"/>
                  <w:noWrap w:val="0"/>
                  <w:vAlign w:val="center"/>
                </w:tcPr>
                <w:p w14:paraId="14868D2E">
                  <w:pPr>
                    <w:pStyle w:val="28"/>
                    <w:rPr>
                      <w:snapToGrid w:val="0"/>
                      <w:color w:val="auto"/>
                      <w:szCs w:val="21"/>
                    </w:rPr>
                  </w:pPr>
                  <w:r>
                    <w:rPr>
                      <w:rFonts w:hint="eastAsia"/>
                      <w:color w:val="auto"/>
                      <w:szCs w:val="21"/>
                    </w:rPr>
                    <w:t>危废暂存间</w:t>
                  </w:r>
                </w:p>
              </w:tc>
              <w:tc>
                <w:tcPr>
                  <w:tcW w:w="4069" w:type="pct"/>
                  <w:gridSpan w:val="6"/>
                  <w:noWrap w:val="0"/>
                  <w:vAlign w:val="center"/>
                </w:tcPr>
                <w:p w14:paraId="6233F63A">
                  <w:pPr>
                    <w:pStyle w:val="28"/>
                    <w:rPr>
                      <w:bCs/>
                      <w:color w:val="auto"/>
                      <w:szCs w:val="21"/>
                    </w:rPr>
                  </w:pPr>
                  <w:r>
                    <w:rPr>
                      <w:rFonts w:hint="eastAsia"/>
                      <w:bCs/>
                      <w:color w:val="auto"/>
                      <w:szCs w:val="21"/>
                    </w:rPr>
                    <w:t>位于项目区西</w:t>
                  </w:r>
                  <w:r>
                    <w:rPr>
                      <w:rFonts w:hint="eastAsia"/>
                      <w:bCs/>
                      <w:color w:val="auto"/>
                      <w:szCs w:val="21"/>
                      <w:lang w:val="en-US" w:eastAsia="zh-CN"/>
                    </w:rPr>
                    <w:t>侧</w:t>
                  </w:r>
                  <w:r>
                    <w:rPr>
                      <w:rFonts w:hint="eastAsia"/>
                      <w:bCs/>
                      <w:color w:val="auto"/>
                      <w:szCs w:val="21"/>
                    </w:rPr>
                    <w:t>，</w:t>
                  </w:r>
                  <w:r>
                    <w:rPr>
                      <w:rFonts w:hint="eastAsia"/>
                      <w:bCs/>
                      <w:color w:val="auto"/>
                      <w:szCs w:val="21"/>
                      <w:lang w:val="en-US" w:eastAsia="zh-CN"/>
                    </w:rPr>
                    <w:t>位于养护车间内部南侧，</w:t>
                  </w:r>
                  <w:r>
                    <w:rPr>
                      <w:rFonts w:hint="eastAsia"/>
                      <w:bCs/>
                      <w:color w:val="auto"/>
                      <w:szCs w:val="21"/>
                    </w:rPr>
                    <w:t>主要储存各类危险废物，</w:t>
                  </w:r>
                  <w:r>
                    <w:rPr>
                      <w:rFonts w:hint="eastAsia"/>
                      <w:bCs/>
                      <w:color w:val="auto"/>
                      <w:szCs w:val="21"/>
                      <w:lang w:val="en-US" w:eastAsia="zh-CN"/>
                    </w:rPr>
                    <w:t>占地</w:t>
                  </w:r>
                  <w:r>
                    <w:rPr>
                      <w:rFonts w:hint="eastAsia"/>
                      <w:bCs/>
                      <w:color w:val="auto"/>
                      <w:szCs w:val="21"/>
                    </w:rPr>
                    <w:t>面积约</w:t>
                  </w:r>
                  <w:r>
                    <w:rPr>
                      <w:rFonts w:hint="eastAsia"/>
                      <w:bCs/>
                      <w:color w:val="auto"/>
                      <w:szCs w:val="21"/>
                      <w:lang w:val="en-US" w:eastAsia="zh-CN"/>
                    </w:rPr>
                    <w:t>5</w:t>
                  </w:r>
                  <w:r>
                    <w:rPr>
                      <w:rFonts w:hint="eastAsia" w:hAnsi="宋体"/>
                      <w:color w:val="auto"/>
                      <w:szCs w:val="21"/>
                    </w:rPr>
                    <w:t>m</w:t>
                  </w:r>
                  <w:r>
                    <w:rPr>
                      <w:rFonts w:hint="eastAsia" w:hAnsi="宋体"/>
                      <w:color w:val="auto"/>
                      <w:szCs w:val="21"/>
                      <w:vertAlign w:val="superscript"/>
                    </w:rPr>
                    <w:t>2</w:t>
                  </w:r>
                </w:p>
              </w:tc>
              <w:tc>
                <w:tcPr>
                  <w:tcW w:w="281" w:type="pct"/>
                  <w:noWrap w:val="0"/>
                  <w:vAlign w:val="center"/>
                </w:tcPr>
                <w:p w14:paraId="18A626AA">
                  <w:pPr>
                    <w:pStyle w:val="28"/>
                    <w:rPr>
                      <w:rFonts w:hint="eastAsia"/>
                      <w:bCs/>
                      <w:color w:val="auto"/>
                      <w:szCs w:val="21"/>
                    </w:rPr>
                  </w:pPr>
                  <w:r>
                    <w:rPr>
                      <w:rFonts w:hint="eastAsia"/>
                      <w:bCs/>
                      <w:color w:val="auto"/>
                      <w:szCs w:val="21"/>
                      <w:lang w:val="en-US" w:eastAsia="zh-CN"/>
                    </w:rPr>
                    <w:t>已建</w:t>
                  </w:r>
                </w:p>
              </w:tc>
            </w:tr>
            <w:tr w14:paraId="2378B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0" w:type="pct"/>
                  <w:vMerge w:val="restart"/>
                  <w:noWrap w:val="0"/>
                  <w:vAlign w:val="center"/>
                </w:tcPr>
                <w:p w14:paraId="0A0BFC4C">
                  <w:pPr>
                    <w:pStyle w:val="28"/>
                    <w:rPr>
                      <w:snapToGrid w:val="0"/>
                      <w:color w:val="auto"/>
                      <w:szCs w:val="21"/>
                    </w:rPr>
                  </w:pPr>
                  <w:r>
                    <w:rPr>
                      <w:rFonts w:hAnsi="宋体"/>
                      <w:color w:val="auto"/>
                      <w:szCs w:val="21"/>
                    </w:rPr>
                    <w:t>公用工程</w:t>
                  </w:r>
                </w:p>
              </w:tc>
              <w:tc>
                <w:tcPr>
                  <w:tcW w:w="388" w:type="pct"/>
                  <w:noWrap w:val="0"/>
                  <w:vAlign w:val="center"/>
                </w:tcPr>
                <w:p w14:paraId="43D4AB82">
                  <w:pPr>
                    <w:pStyle w:val="28"/>
                    <w:rPr>
                      <w:snapToGrid w:val="0"/>
                      <w:color w:val="auto"/>
                      <w:szCs w:val="21"/>
                    </w:rPr>
                  </w:pPr>
                  <w:r>
                    <w:rPr>
                      <w:rFonts w:hAnsi="宋体"/>
                      <w:color w:val="auto"/>
                      <w:szCs w:val="21"/>
                    </w:rPr>
                    <w:t>供水系统</w:t>
                  </w:r>
                </w:p>
              </w:tc>
              <w:tc>
                <w:tcPr>
                  <w:tcW w:w="4069" w:type="pct"/>
                  <w:gridSpan w:val="6"/>
                  <w:noWrap w:val="0"/>
                  <w:vAlign w:val="center"/>
                </w:tcPr>
                <w:p w14:paraId="04E0B98A">
                  <w:pPr>
                    <w:pStyle w:val="28"/>
                    <w:rPr>
                      <w:bCs/>
                      <w:color w:val="auto"/>
                      <w:szCs w:val="21"/>
                    </w:rPr>
                  </w:pPr>
                  <w:r>
                    <w:rPr>
                      <w:rFonts w:hint="eastAsia"/>
                      <w:bCs/>
                      <w:color w:val="auto"/>
                      <w:szCs w:val="21"/>
                    </w:rPr>
                    <w:t>厂区生产、生活用水由市政管网供给，可以满足项目用水需求</w:t>
                  </w:r>
                </w:p>
              </w:tc>
              <w:tc>
                <w:tcPr>
                  <w:tcW w:w="281" w:type="pct"/>
                  <w:noWrap w:val="0"/>
                  <w:vAlign w:val="center"/>
                </w:tcPr>
                <w:p w14:paraId="7693B1EB">
                  <w:pPr>
                    <w:pStyle w:val="28"/>
                    <w:rPr>
                      <w:rFonts w:hint="eastAsia"/>
                      <w:bCs/>
                      <w:color w:val="auto"/>
                      <w:szCs w:val="21"/>
                    </w:rPr>
                  </w:pPr>
                  <w:r>
                    <w:rPr>
                      <w:rFonts w:hint="eastAsia"/>
                      <w:bCs/>
                      <w:color w:val="auto"/>
                      <w:szCs w:val="21"/>
                      <w:lang w:val="en-US" w:eastAsia="zh-CN"/>
                    </w:rPr>
                    <w:t>已建</w:t>
                  </w:r>
                </w:p>
              </w:tc>
            </w:tr>
            <w:tr w14:paraId="390C1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60" w:type="pct"/>
                  <w:vMerge w:val="continue"/>
                  <w:noWrap w:val="0"/>
                  <w:vAlign w:val="center"/>
                </w:tcPr>
                <w:p w14:paraId="310F3C61">
                  <w:pPr>
                    <w:pStyle w:val="28"/>
                    <w:rPr>
                      <w:bCs/>
                      <w:color w:val="auto"/>
                      <w:szCs w:val="21"/>
                    </w:rPr>
                  </w:pPr>
                </w:p>
              </w:tc>
              <w:tc>
                <w:tcPr>
                  <w:tcW w:w="388" w:type="pct"/>
                  <w:noWrap w:val="0"/>
                  <w:vAlign w:val="center"/>
                </w:tcPr>
                <w:p w14:paraId="7F179802">
                  <w:pPr>
                    <w:pStyle w:val="28"/>
                    <w:rPr>
                      <w:snapToGrid w:val="0"/>
                      <w:color w:val="auto"/>
                      <w:szCs w:val="21"/>
                    </w:rPr>
                  </w:pPr>
                  <w:r>
                    <w:rPr>
                      <w:rFonts w:hAnsi="宋体"/>
                      <w:color w:val="auto"/>
                      <w:szCs w:val="21"/>
                    </w:rPr>
                    <w:t>供电系统</w:t>
                  </w:r>
                </w:p>
              </w:tc>
              <w:tc>
                <w:tcPr>
                  <w:tcW w:w="4069" w:type="pct"/>
                  <w:gridSpan w:val="6"/>
                  <w:noWrap w:val="0"/>
                  <w:vAlign w:val="center"/>
                </w:tcPr>
                <w:p w14:paraId="2F3A3ACB">
                  <w:pPr>
                    <w:pStyle w:val="28"/>
                    <w:rPr>
                      <w:color w:val="auto"/>
                      <w:szCs w:val="21"/>
                    </w:rPr>
                  </w:pPr>
                  <w:r>
                    <w:rPr>
                      <w:rFonts w:hint="eastAsia"/>
                      <w:bCs/>
                      <w:color w:val="auto"/>
                      <w:szCs w:val="21"/>
                    </w:rPr>
                    <w:t>厂区生产、生活用电由市政电网供应，可以满足项目用电需求</w:t>
                  </w:r>
                </w:p>
              </w:tc>
              <w:tc>
                <w:tcPr>
                  <w:tcW w:w="281" w:type="pct"/>
                  <w:noWrap w:val="0"/>
                  <w:vAlign w:val="center"/>
                </w:tcPr>
                <w:p w14:paraId="3A8B7956">
                  <w:pPr>
                    <w:pStyle w:val="28"/>
                    <w:rPr>
                      <w:rFonts w:hint="eastAsia"/>
                      <w:bCs/>
                      <w:color w:val="auto"/>
                      <w:szCs w:val="21"/>
                    </w:rPr>
                  </w:pPr>
                  <w:r>
                    <w:rPr>
                      <w:rFonts w:hint="eastAsia"/>
                      <w:bCs/>
                      <w:color w:val="auto"/>
                      <w:szCs w:val="21"/>
                      <w:lang w:val="en-US" w:eastAsia="zh-CN"/>
                    </w:rPr>
                    <w:t>已建</w:t>
                  </w:r>
                </w:p>
              </w:tc>
            </w:tr>
            <w:tr w14:paraId="0C2A4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0" w:type="pct"/>
                  <w:vMerge w:val="continue"/>
                  <w:noWrap w:val="0"/>
                  <w:vAlign w:val="center"/>
                </w:tcPr>
                <w:p w14:paraId="0BE17490">
                  <w:pPr>
                    <w:pStyle w:val="28"/>
                    <w:rPr>
                      <w:bCs/>
                      <w:color w:val="auto"/>
                      <w:szCs w:val="21"/>
                    </w:rPr>
                  </w:pPr>
                </w:p>
              </w:tc>
              <w:tc>
                <w:tcPr>
                  <w:tcW w:w="388" w:type="pct"/>
                  <w:noWrap w:val="0"/>
                  <w:vAlign w:val="center"/>
                </w:tcPr>
                <w:p w14:paraId="6C011C0B">
                  <w:pPr>
                    <w:pStyle w:val="28"/>
                    <w:rPr>
                      <w:snapToGrid w:val="0"/>
                      <w:color w:val="auto"/>
                      <w:szCs w:val="21"/>
                    </w:rPr>
                  </w:pPr>
                  <w:r>
                    <w:rPr>
                      <w:rFonts w:hAnsi="宋体"/>
                      <w:color w:val="auto"/>
                      <w:szCs w:val="21"/>
                    </w:rPr>
                    <w:t>排水系统</w:t>
                  </w:r>
                </w:p>
              </w:tc>
              <w:tc>
                <w:tcPr>
                  <w:tcW w:w="4069" w:type="pct"/>
                  <w:gridSpan w:val="6"/>
                  <w:noWrap w:val="0"/>
                  <w:vAlign w:val="center"/>
                </w:tcPr>
                <w:p w14:paraId="2BF5FF11">
                  <w:pPr>
                    <w:pStyle w:val="28"/>
                    <w:rPr>
                      <w:rFonts w:hint="eastAsia" w:eastAsia="宋体"/>
                      <w:bCs/>
                      <w:color w:val="auto"/>
                      <w:szCs w:val="21"/>
                      <w:lang w:val="en-US" w:eastAsia="zh-CN"/>
                    </w:rPr>
                  </w:pPr>
                  <w:r>
                    <w:rPr>
                      <w:rFonts w:hint="eastAsia" w:hAnsi="宋体"/>
                      <w:color w:val="auto"/>
                      <w:szCs w:val="21"/>
                    </w:rPr>
                    <w:t>厂区实行</w:t>
                  </w:r>
                  <w:r>
                    <w:rPr>
                      <w:rFonts w:hAnsi="宋体"/>
                      <w:color w:val="auto"/>
                      <w:szCs w:val="21"/>
                    </w:rPr>
                    <w:t>雨污分流</w:t>
                  </w:r>
                  <w:r>
                    <w:rPr>
                      <w:rFonts w:hint="eastAsia" w:hAnsi="宋体"/>
                      <w:color w:val="auto"/>
                      <w:szCs w:val="21"/>
                    </w:rPr>
                    <w:t>制。</w:t>
                  </w:r>
                  <w:r>
                    <w:rPr>
                      <w:rFonts w:hAnsi="宋体"/>
                      <w:color w:val="auto"/>
                      <w:szCs w:val="21"/>
                    </w:rPr>
                    <w:t>雨水</w:t>
                  </w:r>
                  <w:r>
                    <w:rPr>
                      <w:rFonts w:hint="eastAsia" w:hAnsi="宋体"/>
                      <w:color w:val="auto"/>
                      <w:szCs w:val="21"/>
                    </w:rPr>
                    <w:t>收集后进入</w:t>
                  </w:r>
                  <w:r>
                    <w:rPr>
                      <w:rFonts w:hint="eastAsia" w:hAnsi="宋体"/>
                      <w:color w:val="auto"/>
                      <w:szCs w:val="21"/>
                      <w:lang w:val="en-US" w:eastAsia="zh-CN"/>
                    </w:rPr>
                    <w:t>初期雨水池收集</w:t>
                  </w:r>
                  <w:r>
                    <w:rPr>
                      <w:rFonts w:hint="eastAsia" w:hAnsi="宋体"/>
                      <w:color w:val="auto"/>
                      <w:szCs w:val="21"/>
                    </w:rPr>
                    <w:t>，处理后的雨水作为道路</w:t>
                  </w:r>
                  <w:r>
                    <w:rPr>
                      <w:rFonts w:hint="eastAsia" w:hAnsi="宋体"/>
                      <w:color w:val="auto"/>
                      <w:szCs w:val="21"/>
                      <w:lang w:eastAsia="zh-CN"/>
                    </w:rPr>
                    <w:t>洒水</w:t>
                  </w:r>
                  <w:r>
                    <w:rPr>
                      <w:rFonts w:hint="eastAsia" w:hAnsi="宋体"/>
                      <w:color w:val="auto"/>
                      <w:szCs w:val="21"/>
                    </w:rPr>
                    <w:t>抑尘用水使用；生活污水经</w:t>
                  </w:r>
                  <w:r>
                    <w:rPr>
                      <w:rFonts w:hint="eastAsia" w:hAnsi="宋体"/>
                      <w:color w:val="auto"/>
                      <w:szCs w:val="21"/>
                      <w:lang w:val="en-US" w:eastAsia="zh-CN"/>
                    </w:rPr>
                    <w:t>化粪池（2个，容积分别为30m</w:t>
                  </w:r>
                  <w:r>
                    <w:rPr>
                      <w:rFonts w:hint="eastAsia" w:hAnsi="宋体"/>
                      <w:color w:val="auto"/>
                      <w:szCs w:val="21"/>
                      <w:vertAlign w:val="superscript"/>
                      <w:lang w:val="en-US" w:eastAsia="zh-CN"/>
                    </w:rPr>
                    <w:t>3</w:t>
                  </w:r>
                  <w:r>
                    <w:rPr>
                      <w:rFonts w:hint="eastAsia" w:hAnsi="宋体"/>
                      <w:color w:val="auto"/>
                      <w:szCs w:val="21"/>
                      <w:lang w:val="en-US" w:eastAsia="zh-CN"/>
                    </w:rPr>
                    <w:t>，15m</w:t>
                  </w:r>
                  <w:r>
                    <w:rPr>
                      <w:rFonts w:hint="eastAsia" w:hAnsi="宋体"/>
                      <w:color w:val="auto"/>
                      <w:szCs w:val="21"/>
                      <w:vertAlign w:val="superscript"/>
                      <w:lang w:val="en-US" w:eastAsia="zh-CN"/>
                    </w:rPr>
                    <w:t>3</w:t>
                  </w:r>
                  <w:r>
                    <w:rPr>
                      <w:rFonts w:hint="eastAsia" w:hAnsi="宋体"/>
                      <w:color w:val="auto"/>
                      <w:szCs w:val="21"/>
                      <w:lang w:val="en-US" w:eastAsia="zh-CN"/>
                    </w:rPr>
                    <w:t>）</w:t>
                  </w:r>
                  <w:r>
                    <w:rPr>
                      <w:rFonts w:hint="eastAsia" w:hAnsi="宋体"/>
                      <w:color w:val="auto"/>
                      <w:szCs w:val="21"/>
                    </w:rPr>
                    <w:t>处理后</w:t>
                  </w:r>
                  <w:r>
                    <w:rPr>
                      <w:rFonts w:hint="eastAsia" w:hAnsi="宋体"/>
                      <w:color w:val="auto"/>
                      <w:szCs w:val="21"/>
                      <w:lang w:val="en-US" w:eastAsia="zh-CN"/>
                    </w:rPr>
                    <w:t>委托</w:t>
                  </w:r>
                  <w:r>
                    <w:rPr>
                      <w:rFonts w:hint="eastAsia"/>
                      <w:color w:val="auto"/>
                      <w:szCs w:val="21"/>
                      <w:lang w:val="en-US" w:eastAsia="zh-CN"/>
                    </w:rPr>
                    <w:t>昆明洁龙保洁服务有限公司</w:t>
                  </w:r>
                  <w:r>
                    <w:rPr>
                      <w:color w:val="auto"/>
                      <w:szCs w:val="21"/>
                    </w:rPr>
                    <w:t>定期</w:t>
                  </w:r>
                  <w:r>
                    <w:rPr>
                      <w:rFonts w:hint="eastAsia"/>
                      <w:color w:val="auto"/>
                      <w:szCs w:val="21"/>
                    </w:rPr>
                    <w:t>清掏</w:t>
                  </w:r>
                  <w:r>
                    <w:rPr>
                      <w:rFonts w:hint="eastAsia"/>
                      <w:color w:val="auto"/>
                      <w:szCs w:val="21"/>
                      <w:lang w:val="en-US" w:eastAsia="zh-CN"/>
                    </w:rPr>
                    <w:t>处置</w:t>
                  </w:r>
                </w:p>
              </w:tc>
              <w:tc>
                <w:tcPr>
                  <w:tcW w:w="281" w:type="pct"/>
                  <w:noWrap w:val="0"/>
                  <w:vAlign w:val="center"/>
                </w:tcPr>
                <w:p w14:paraId="3155979B">
                  <w:pPr>
                    <w:pStyle w:val="28"/>
                    <w:rPr>
                      <w:rFonts w:hint="eastAsia" w:hAnsi="宋体"/>
                      <w:color w:val="auto"/>
                      <w:szCs w:val="21"/>
                    </w:rPr>
                  </w:pPr>
                  <w:r>
                    <w:rPr>
                      <w:rFonts w:hint="eastAsia"/>
                      <w:bCs/>
                      <w:color w:val="auto"/>
                      <w:szCs w:val="21"/>
                      <w:lang w:val="en-US" w:eastAsia="zh-CN"/>
                    </w:rPr>
                    <w:t>已建</w:t>
                  </w:r>
                </w:p>
              </w:tc>
            </w:tr>
            <w:tr w14:paraId="20BA5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0" w:type="pct"/>
                  <w:vMerge w:val="continue"/>
                  <w:noWrap w:val="0"/>
                  <w:vAlign w:val="center"/>
                </w:tcPr>
                <w:p w14:paraId="2E13C79C">
                  <w:pPr>
                    <w:pStyle w:val="28"/>
                    <w:rPr>
                      <w:bCs/>
                      <w:color w:val="auto"/>
                      <w:szCs w:val="21"/>
                    </w:rPr>
                  </w:pPr>
                </w:p>
              </w:tc>
              <w:tc>
                <w:tcPr>
                  <w:tcW w:w="388" w:type="pct"/>
                  <w:noWrap w:val="0"/>
                  <w:vAlign w:val="center"/>
                </w:tcPr>
                <w:p w14:paraId="7B327041">
                  <w:pPr>
                    <w:pStyle w:val="28"/>
                    <w:rPr>
                      <w:rFonts w:hAnsi="宋体"/>
                      <w:color w:val="auto"/>
                      <w:szCs w:val="21"/>
                    </w:rPr>
                  </w:pPr>
                  <w:r>
                    <w:rPr>
                      <w:rFonts w:hint="eastAsia" w:hAnsi="宋体"/>
                      <w:color w:val="auto"/>
                      <w:szCs w:val="21"/>
                    </w:rPr>
                    <w:t>供热系统</w:t>
                  </w:r>
                </w:p>
              </w:tc>
              <w:tc>
                <w:tcPr>
                  <w:tcW w:w="4069" w:type="pct"/>
                  <w:gridSpan w:val="6"/>
                  <w:noWrap w:val="0"/>
                  <w:vAlign w:val="center"/>
                </w:tcPr>
                <w:p w14:paraId="19ECED86">
                  <w:pPr>
                    <w:pStyle w:val="28"/>
                    <w:rPr>
                      <w:rFonts w:hAnsi="宋体"/>
                      <w:color w:val="auto"/>
                      <w:szCs w:val="21"/>
                    </w:rPr>
                  </w:pPr>
                  <w:r>
                    <w:rPr>
                      <w:rFonts w:hint="eastAsia" w:hAnsi="宋体"/>
                      <w:color w:val="auto"/>
                      <w:szCs w:val="21"/>
                    </w:rPr>
                    <w:t>生产车间</w:t>
                  </w:r>
                  <w:r>
                    <w:rPr>
                      <w:rFonts w:hint="eastAsia" w:hAnsi="宋体"/>
                      <w:color w:val="auto"/>
                      <w:szCs w:val="21"/>
                      <w:lang w:val="en-US" w:eastAsia="zh-CN"/>
                    </w:rPr>
                    <w:t>南侧</w:t>
                  </w:r>
                  <w:r>
                    <w:rPr>
                      <w:rFonts w:hint="eastAsia" w:hAnsi="宋体"/>
                      <w:color w:val="auto"/>
                      <w:szCs w:val="21"/>
                    </w:rPr>
                    <w:t>设有一座锅炉房，建筑面积约60m</w:t>
                  </w:r>
                  <w:r>
                    <w:rPr>
                      <w:rFonts w:hint="eastAsia" w:hAnsi="宋体"/>
                      <w:color w:val="auto"/>
                      <w:szCs w:val="21"/>
                      <w:vertAlign w:val="superscript"/>
                    </w:rPr>
                    <w:t>2</w:t>
                  </w:r>
                  <w:r>
                    <w:rPr>
                      <w:rFonts w:hint="eastAsia" w:hAnsi="宋体"/>
                      <w:color w:val="auto"/>
                      <w:szCs w:val="21"/>
                    </w:rPr>
                    <w:t>，配套1台</w:t>
                  </w:r>
                  <w:r>
                    <w:rPr>
                      <w:rFonts w:hint="eastAsia" w:hAnsi="宋体"/>
                      <w:color w:val="auto"/>
                      <w:szCs w:val="21"/>
                      <w:lang w:val="en-US" w:eastAsia="zh-CN"/>
                    </w:rPr>
                    <w:t>3.0</w:t>
                  </w:r>
                  <w:r>
                    <w:rPr>
                      <w:rFonts w:hint="eastAsia" w:hAnsi="宋体"/>
                      <w:color w:val="auto"/>
                      <w:szCs w:val="21"/>
                    </w:rPr>
                    <w:t>t/h的生物质锅炉，可以满足项目用热要求</w:t>
                  </w:r>
                </w:p>
              </w:tc>
              <w:tc>
                <w:tcPr>
                  <w:tcW w:w="281" w:type="pct"/>
                  <w:noWrap w:val="0"/>
                  <w:vAlign w:val="center"/>
                </w:tcPr>
                <w:p w14:paraId="4375CCA4">
                  <w:pPr>
                    <w:pStyle w:val="28"/>
                    <w:rPr>
                      <w:rFonts w:hint="eastAsia" w:hAnsi="宋体" w:eastAsia="宋体"/>
                      <w:color w:val="auto"/>
                      <w:szCs w:val="21"/>
                      <w:lang w:eastAsia="zh-CN"/>
                    </w:rPr>
                  </w:pPr>
                  <w:r>
                    <w:rPr>
                      <w:rFonts w:hint="eastAsia"/>
                      <w:bCs/>
                      <w:color w:val="auto"/>
                      <w:szCs w:val="21"/>
                      <w:lang w:val="en-US" w:eastAsia="zh-CN"/>
                    </w:rPr>
                    <w:t>已建</w:t>
                  </w:r>
                </w:p>
              </w:tc>
            </w:tr>
            <w:tr w14:paraId="0EB07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260" w:type="pct"/>
                  <w:vMerge w:val="restart"/>
                  <w:noWrap w:val="0"/>
                  <w:vAlign w:val="center"/>
                </w:tcPr>
                <w:p w14:paraId="2B81904B">
                  <w:pPr>
                    <w:pStyle w:val="28"/>
                    <w:rPr>
                      <w:bCs/>
                      <w:color w:val="auto"/>
                      <w:szCs w:val="21"/>
                    </w:rPr>
                  </w:pPr>
                  <w:r>
                    <w:rPr>
                      <w:rFonts w:hint="eastAsia"/>
                      <w:bCs/>
                      <w:color w:val="auto"/>
                      <w:szCs w:val="21"/>
                    </w:rPr>
                    <w:t>环保工程</w:t>
                  </w:r>
                </w:p>
              </w:tc>
              <w:tc>
                <w:tcPr>
                  <w:tcW w:w="388" w:type="pct"/>
                  <w:vMerge w:val="restart"/>
                  <w:noWrap w:val="0"/>
                  <w:vAlign w:val="center"/>
                </w:tcPr>
                <w:p w14:paraId="2A94A151">
                  <w:pPr>
                    <w:pStyle w:val="28"/>
                    <w:rPr>
                      <w:rFonts w:hint="eastAsia" w:hAnsi="宋体"/>
                      <w:color w:val="auto"/>
                      <w:szCs w:val="21"/>
                    </w:rPr>
                  </w:pPr>
                  <w:r>
                    <w:rPr>
                      <w:rFonts w:hint="eastAsia" w:hAnsi="宋体"/>
                      <w:color w:val="auto"/>
                      <w:szCs w:val="21"/>
                    </w:rPr>
                    <w:t>废气</w:t>
                  </w:r>
                </w:p>
              </w:tc>
              <w:tc>
                <w:tcPr>
                  <w:tcW w:w="662" w:type="pct"/>
                  <w:gridSpan w:val="3"/>
                  <w:noWrap w:val="0"/>
                  <w:vAlign w:val="center"/>
                </w:tcPr>
                <w:p w14:paraId="167937B7">
                  <w:pPr>
                    <w:pStyle w:val="28"/>
                    <w:rPr>
                      <w:rFonts w:hint="eastAsia" w:hAnsi="宋体"/>
                      <w:color w:val="auto"/>
                      <w:szCs w:val="21"/>
                    </w:rPr>
                  </w:pPr>
                  <w:r>
                    <w:rPr>
                      <w:rFonts w:hint="eastAsia" w:hAnsi="宋体"/>
                      <w:color w:val="auto"/>
                      <w:szCs w:val="21"/>
                    </w:rPr>
                    <w:t>粉料</w:t>
                  </w:r>
                  <w:r>
                    <w:rPr>
                      <w:rFonts w:hAnsi="宋体"/>
                      <w:color w:val="auto"/>
                      <w:szCs w:val="21"/>
                    </w:rPr>
                    <w:t>筒仓粉尘</w:t>
                  </w:r>
                </w:p>
              </w:tc>
              <w:tc>
                <w:tcPr>
                  <w:tcW w:w="3407" w:type="pct"/>
                  <w:gridSpan w:val="3"/>
                  <w:noWrap w:val="0"/>
                  <w:vAlign w:val="center"/>
                </w:tcPr>
                <w:p w14:paraId="0A3B8BF6">
                  <w:pPr>
                    <w:pStyle w:val="28"/>
                    <w:rPr>
                      <w:rFonts w:hint="eastAsia" w:hAnsi="宋体"/>
                      <w:color w:val="auto"/>
                      <w:szCs w:val="21"/>
                    </w:rPr>
                  </w:pPr>
                  <w:r>
                    <w:rPr>
                      <w:rFonts w:hint="eastAsia" w:hAnsi="宋体"/>
                      <w:color w:val="auto"/>
                      <w:szCs w:val="21"/>
                    </w:rPr>
                    <w:t>筒仓顶部安装有仓顶除尘器，在往筒仓中输送水泥时筒仓内空气排放时均经过仓顶除尘器过滤后由仓顶排口进行达标排放</w:t>
                  </w:r>
                </w:p>
              </w:tc>
              <w:tc>
                <w:tcPr>
                  <w:tcW w:w="281" w:type="pct"/>
                  <w:noWrap w:val="0"/>
                  <w:vAlign w:val="center"/>
                </w:tcPr>
                <w:p w14:paraId="7C673E4C">
                  <w:pPr>
                    <w:pStyle w:val="28"/>
                    <w:rPr>
                      <w:rFonts w:hint="eastAsia" w:hAnsi="宋体"/>
                      <w:color w:val="auto"/>
                      <w:szCs w:val="21"/>
                    </w:rPr>
                  </w:pPr>
                  <w:r>
                    <w:rPr>
                      <w:rFonts w:hint="eastAsia"/>
                      <w:bCs/>
                      <w:color w:val="auto"/>
                      <w:szCs w:val="21"/>
                      <w:lang w:val="en-US" w:eastAsia="zh-CN"/>
                    </w:rPr>
                    <w:t>已建</w:t>
                  </w:r>
                </w:p>
              </w:tc>
            </w:tr>
            <w:tr w14:paraId="34369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60" w:type="pct"/>
                  <w:vMerge w:val="continue"/>
                  <w:noWrap w:val="0"/>
                  <w:vAlign w:val="center"/>
                </w:tcPr>
                <w:p w14:paraId="18180EE1">
                  <w:pPr>
                    <w:pStyle w:val="28"/>
                    <w:rPr>
                      <w:rFonts w:hint="eastAsia"/>
                      <w:bCs/>
                      <w:color w:val="auto"/>
                      <w:szCs w:val="21"/>
                    </w:rPr>
                  </w:pPr>
                </w:p>
              </w:tc>
              <w:tc>
                <w:tcPr>
                  <w:tcW w:w="388" w:type="pct"/>
                  <w:vMerge w:val="continue"/>
                  <w:noWrap w:val="0"/>
                  <w:vAlign w:val="center"/>
                </w:tcPr>
                <w:p w14:paraId="50A20BBE">
                  <w:pPr>
                    <w:pStyle w:val="28"/>
                    <w:rPr>
                      <w:rFonts w:hint="eastAsia" w:hAnsi="宋体"/>
                      <w:color w:val="auto"/>
                      <w:szCs w:val="21"/>
                    </w:rPr>
                  </w:pPr>
                </w:p>
              </w:tc>
              <w:tc>
                <w:tcPr>
                  <w:tcW w:w="662" w:type="pct"/>
                  <w:gridSpan w:val="3"/>
                  <w:noWrap w:val="0"/>
                  <w:vAlign w:val="center"/>
                </w:tcPr>
                <w:p w14:paraId="0316BE78">
                  <w:pPr>
                    <w:pStyle w:val="28"/>
                    <w:rPr>
                      <w:rFonts w:hint="eastAsia"/>
                      <w:color w:val="auto"/>
                      <w:szCs w:val="21"/>
                    </w:rPr>
                  </w:pPr>
                  <w:r>
                    <w:rPr>
                      <w:rFonts w:hint="eastAsia"/>
                      <w:color w:val="auto"/>
                      <w:szCs w:val="21"/>
                    </w:rPr>
                    <w:t>投料</w:t>
                  </w:r>
                  <w:r>
                    <w:rPr>
                      <w:rFonts w:hint="eastAsia"/>
                      <w:color w:val="auto"/>
                      <w:szCs w:val="21"/>
                      <w:lang w:val="en-US" w:eastAsia="zh-CN"/>
                    </w:rPr>
                    <w:t>无</w:t>
                  </w:r>
                  <w:r>
                    <w:rPr>
                      <w:rFonts w:hint="eastAsia"/>
                      <w:color w:val="auto"/>
                      <w:szCs w:val="21"/>
                    </w:rPr>
                    <w:t>组织粉尘</w:t>
                  </w:r>
                </w:p>
              </w:tc>
              <w:tc>
                <w:tcPr>
                  <w:tcW w:w="3407" w:type="pct"/>
                  <w:gridSpan w:val="3"/>
                  <w:noWrap w:val="0"/>
                  <w:vAlign w:val="center"/>
                </w:tcPr>
                <w:p w14:paraId="4D4AC043">
                  <w:pPr>
                    <w:pStyle w:val="28"/>
                    <w:rPr>
                      <w:rFonts w:hint="default" w:eastAsia="宋体"/>
                      <w:color w:val="auto"/>
                      <w:szCs w:val="21"/>
                      <w:lang w:val="en-US" w:eastAsia="zh-CN"/>
                    </w:rPr>
                  </w:pPr>
                  <w:r>
                    <w:rPr>
                      <w:rFonts w:hint="eastAsia"/>
                      <w:color w:val="auto"/>
                      <w:szCs w:val="21"/>
                      <w:lang w:val="en-US" w:eastAsia="zh-CN"/>
                    </w:rPr>
                    <w:t>投料过程于封闭车间内完成，在配料机顶设置喷淋系统对投料过程产生的粉尘进行降尘</w:t>
                  </w:r>
                </w:p>
              </w:tc>
              <w:tc>
                <w:tcPr>
                  <w:tcW w:w="281" w:type="pct"/>
                  <w:noWrap w:val="0"/>
                  <w:vAlign w:val="center"/>
                </w:tcPr>
                <w:p w14:paraId="09831E85">
                  <w:pPr>
                    <w:pStyle w:val="28"/>
                    <w:rPr>
                      <w:rFonts w:hint="eastAsia"/>
                      <w:color w:val="auto"/>
                      <w:szCs w:val="21"/>
                    </w:rPr>
                  </w:pPr>
                  <w:r>
                    <w:rPr>
                      <w:rFonts w:hint="eastAsia"/>
                      <w:bCs/>
                      <w:color w:val="auto"/>
                      <w:szCs w:val="21"/>
                      <w:lang w:val="en-US" w:eastAsia="zh-CN"/>
                    </w:rPr>
                    <w:t>已建</w:t>
                  </w:r>
                </w:p>
              </w:tc>
            </w:tr>
            <w:tr w14:paraId="318E1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60" w:type="pct"/>
                  <w:vMerge w:val="continue"/>
                  <w:noWrap w:val="0"/>
                  <w:vAlign w:val="center"/>
                </w:tcPr>
                <w:p w14:paraId="23A12130">
                  <w:pPr>
                    <w:pStyle w:val="28"/>
                    <w:rPr>
                      <w:rFonts w:hint="eastAsia"/>
                      <w:bCs/>
                      <w:color w:val="auto"/>
                      <w:szCs w:val="21"/>
                    </w:rPr>
                  </w:pPr>
                </w:p>
              </w:tc>
              <w:tc>
                <w:tcPr>
                  <w:tcW w:w="388" w:type="pct"/>
                  <w:vMerge w:val="continue"/>
                  <w:noWrap w:val="0"/>
                  <w:vAlign w:val="center"/>
                </w:tcPr>
                <w:p w14:paraId="141EE8EC">
                  <w:pPr>
                    <w:pStyle w:val="28"/>
                    <w:rPr>
                      <w:rFonts w:hint="eastAsia" w:hAnsi="宋体"/>
                      <w:color w:val="auto"/>
                      <w:szCs w:val="21"/>
                    </w:rPr>
                  </w:pPr>
                </w:p>
              </w:tc>
              <w:tc>
                <w:tcPr>
                  <w:tcW w:w="662" w:type="pct"/>
                  <w:gridSpan w:val="3"/>
                  <w:noWrap w:val="0"/>
                  <w:vAlign w:val="center"/>
                </w:tcPr>
                <w:p w14:paraId="0A610914">
                  <w:pPr>
                    <w:pStyle w:val="28"/>
                    <w:rPr>
                      <w:rFonts w:hint="eastAsia"/>
                      <w:color w:val="auto"/>
                      <w:szCs w:val="21"/>
                    </w:rPr>
                  </w:pPr>
                  <w:r>
                    <w:rPr>
                      <w:rFonts w:hint="eastAsia"/>
                      <w:color w:val="auto"/>
                      <w:szCs w:val="21"/>
                    </w:rPr>
                    <w:t>锅炉废气</w:t>
                  </w:r>
                </w:p>
              </w:tc>
              <w:tc>
                <w:tcPr>
                  <w:tcW w:w="3407" w:type="pct"/>
                  <w:gridSpan w:val="3"/>
                  <w:noWrap w:val="0"/>
                  <w:vAlign w:val="center"/>
                </w:tcPr>
                <w:p w14:paraId="302FAE87">
                  <w:pPr>
                    <w:pStyle w:val="28"/>
                    <w:rPr>
                      <w:rFonts w:hint="eastAsia"/>
                      <w:color w:val="auto"/>
                      <w:szCs w:val="21"/>
                    </w:rPr>
                  </w:pPr>
                  <w:r>
                    <w:rPr>
                      <w:rFonts w:hint="eastAsia"/>
                      <w:color w:val="auto"/>
                      <w:szCs w:val="21"/>
                    </w:rPr>
                    <w:t>布袋除尘器+</w:t>
                  </w:r>
                  <w:r>
                    <w:rPr>
                      <w:rFonts w:hint="eastAsia"/>
                      <w:color w:val="auto"/>
                      <w:szCs w:val="21"/>
                      <w:lang w:val="en-US" w:eastAsia="zh-CN"/>
                    </w:rPr>
                    <w:t>30m高</w:t>
                  </w:r>
                  <w:r>
                    <w:rPr>
                      <w:rFonts w:hint="eastAsia"/>
                      <w:color w:val="auto"/>
                      <w:szCs w:val="21"/>
                    </w:rPr>
                    <w:t>排气筒（自编号DA00</w:t>
                  </w:r>
                  <w:r>
                    <w:rPr>
                      <w:rFonts w:hint="eastAsia"/>
                      <w:color w:val="auto"/>
                      <w:szCs w:val="21"/>
                      <w:lang w:val="en-US" w:eastAsia="zh-CN"/>
                    </w:rPr>
                    <w:t>1</w:t>
                  </w:r>
                  <w:r>
                    <w:rPr>
                      <w:rFonts w:hint="eastAsia"/>
                      <w:color w:val="auto"/>
                      <w:szCs w:val="21"/>
                    </w:rPr>
                    <w:t>）</w:t>
                  </w:r>
                </w:p>
              </w:tc>
              <w:tc>
                <w:tcPr>
                  <w:tcW w:w="281" w:type="pct"/>
                  <w:noWrap w:val="0"/>
                  <w:vAlign w:val="center"/>
                </w:tcPr>
                <w:p w14:paraId="61AD9756">
                  <w:pPr>
                    <w:pStyle w:val="28"/>
                    <w:rPr>
                      <w:rFonts w:hint="default" w:eastAsia="宋体"/>
                      <w:color w:val="auto"/>
                      <w:szCs w:val="21"/>
                      <w:lang w:val="en-US" w:eastAsia="zh-CN"/>
                    </w:rPr>
                  </w:pPr>
                  <w:r>
                    <w:rPr>
                      <w:rFonts w:hint="eastAsia"/>
                      <w:bCs/>
                      <w:color w:val="auto"/>
                      <w:szCs w:val="21"/>
                      <w:lang w:val="en-US" w:eastAsia="zh-CN"/>
                    </w:rPr>
                    <w:t>环评提出</w:t>
                  </w:r>
                </w:p>
              </w:tc>
            </w:tr>
            <w:tr w14:paraId="09240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60" w:type="pct"/>
                  <w:vMerge w:val="continue"/>
                  <w:noWrap w:val="0"/>
                  <w:vAlign w:val="center"/>
                </w:tcPr>
                <w:p w14:paraId="4443F253">
                  <w:pPr>
                    <w:pStyle w:val="28"/>
                    <w:rPr>
                      <w:rFonts w:hint="eastAsia"/>
                      <w:bCs/>
                      <w:color w:val="auto"/>
                      <w:szCs w:val="21"/>
                    </w:rPr>
                  </w:pPr>
                </w:p>
              </w:tc>
              <w:tc>
                <w:tcPr>
                  <w:tcW w:w="388" w:type="pct"/>
                  <w:vMerge w:val="continue"/>
                  <w:noWrap w:val="0"/>
                  <w:vAlign w:val="center"/>
                </w:tcPr>
                <w:p w14:paraId="47A6F8D0">
                  <w:pPr>
                    <w:pStyle w:val="28"/>
                    <w:rPr>
                      <w:rFonts w:hint="eastAsia" w:hAnsi="宋体"/>
                      <w:color w:val="auto"/>
                      <w:szCs w:val="21"/>
                    </w:rPr>
                  </w:pPr>
                </w:p>
              </w:tc>
              <w:tc>
                <w:tcPr>
                  <w:tcW w:w="662" w:type="pct"/>
                  <w:gridSpan w:val="3"/>
                  <w:noWrap w:val="0"/>
                  <w:vAlign w:val="center"/>
                </w:tcPr>
                <w:p w14:paraId="6CE82447">
                  <w:pPr>
                    <w:pStyle w:val="28"/>
                    <w:rPr>
                      <w:rFonts w:hint="eastAsia"/>
                      <w:color w:val="auto"/>
                      <w:szCs w:val="21"/>
                    </w:rPr>
                  </w:pPr>
                  <w:r>
                    <w:rPr>
                      <w:rFonts w:hint="eastAsia"/>
                      <w:color w:val="auto"/>
                      <w:szCs w:val="21"/>
                    </w:rPr>
                    <w:t>食堂油烟</w:t>
                  </w:r>
                </w:p>
              </w:tc>
              <w:tc>
                <w:tcPr>
                  <w:tcW w:w="3407" w:type="pct"/>
                  <w:gridSpan w:val="3"/>
                  <w:noWrap w:val="0"/>
                  <w:vAlign w:val="center"/>
                </w:tcPr>
                <w:p w14:paraId="3570CA3A">
                  <w:pPr>
                    <w:pStyle w:val="28"/>
                    <w:rPr>
                      <w:rFonts w:hint="eastAsia"/>
                      <w:color w:val="auto"/>
                      <w:szCs w:val="21"/>
                    </w:rPr>
                  </w:pPr>
                  <w:r>
                    <w:rPr>
                      <w:rFonts w:hint="eastAsia"/>
                      <w:color w:val="auto"/>
                      <w:szCs w:val="21"/>
                    </w:rPr>
                    <w:t>安装一套油烟净化装置，经净化后的油烟由油烟排气管外排</w:t>
                  </w:r>
                </w:p>
              </w:tc>
              <w:tc>
                <w:tcPr>
                  <w:tcW w:w="281" w:type="pct"/>
                  <w:noWrap w:val="0"/>
                  <w:vAlign w:val="center"/>
                </w:tcPr>
                <w:p w14:paraId="4ECCFDB6">
                  <w:pPr>
                    <w:pStyle w:val="28"/>
                    <w:rPr>
                      <w:rFonts w:hint="eastAsia"/>
                      <w:color w:val="auto"/>
                      <w:szCs w:val="21"/>
                    </w:rPr>
                  </w:pPr>
                  <w:r>
                    <w:rPr>
                      <w:rFonts w:hint="eastAsia"/>
                      <w:bCs/>
                      <w:color w:val="auto"/>
                      <w:szCs w:val="21"/>
                      <w:lang w:val="en-US" w:eastAsia="zh-CN"/>
                    </w:rPr>
                    <w:t>环评提出</w:t>
                  </w:r>
                </w:p>
              </w:tc>
            </w:tr>
            <w:tr w14:paraId="75E1D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60" w:type="pct"/>
                  <w:vMerge w:val="continue"/>
                  <w:noWrap w:val="0"/>
                  <w:vAlign w:val="center"/>
                </w:tcPr>
                <w:p w14:paraId="673A0817">
                  <w:pPr>
                    <w:pStyle w:val="28"/>
                    <w:rPr>
                      <w:rFonts w:hint="eastAsia"/>
                      <w:bCs/>
                      <w:color w:val="auto"/>
                      <w:szCs w:val="21"/>
                    </w:rPr>
                  </w:pPr>
                </w:p>
              </w:tc>
              <w:tc>
                <w:tcPr>
                  <w:tcW w:w="388" w:type="pct"/>
                  <w:vMerge w:val="continue"/>
                  <w:noWrap w:val="0"/>
                  <w:vAlign w:val="center"/>
                </w:tcPr>
                <w:p w14:paraId="4ADA510A">
                  <w:pPr>
                    <w:pStyle w:val="28"/>
                    <w:rPr>
                      <w:rFonts w:hint="eastAsia" w:hAnsi="宋体"/>
                      <w:color w:val="auto"/>
                      <w:szCs w:val="21"/>
                    </w:rPr>
                  </w:pPr>
                </w:p>
              </w:tc>
              <w:tc>
                <w:tcPr>
                  <w:tcW w:w="662" w:type="pct"/>
                  <w:gridSpan w:val="3"/>
                  <w:noWrap w:val="0"/>
                  <w:vAlign w:val="center"/>
                </w:tcPr>
                <w:p w14:paraId="70AFAC39">
                  <w:pPr>
                    <w:pStyle w:val="28"/>
                    <w:rPr>
                      <w:rFonts w:hint="eastAsia"/>
                      <w:color w:val="auto"/>
                      <w:szCs w:val="21"/>
                    </w:rPr>
                  </w:pPr>
                  <w:r>
                    <w:rPr>
                      <w:color w:val="auto"/>
                      <w:szCs w:val="21"/>
                    </w:rPr>
                    <w:t>砂石料装卸粉尘</w:t>
                  </w:r>
                </w:p>
              </w:tc>
              <w:tc>
                <w:tcPr>
                  <w:tcW w:w="3407" w:type="pct"/>
                  <w:gridSpan w:val="3"/>
                  <w:noWrap w:val="0"/>
                  <w:vAlign w:val="center"/>
                </w:tcPr>
                <w:p w14:paraId="7DE6BFFD">
                  <w:pPr>
                    <w:pStyle w:val="28"/>
                    <w:rPr>
                      <w:rFonts w:hint="eastAsia"/>
                      <w:color w:val="auto"/>
                      <w:szCs w:val="21"/>
                    </w:rPr>
                  </w:pPr>
                  <w:r>
                    <w:rPr>
                      <w:rFonts w:hint="eastAsia"/>
                      <w:color w:val="auto"/>
                      <w:szCs w:val="21"/>
                    </w:rPr>
                    <w:t>采取水雾喷淋、三面围挡+顶棚和降低物料装卸过程高度差等降尘防治措施</w:t>
                  </w:r>
                </w:p>
              </w:tc>
              <w:tc>
                <w:tcPr>
                  <w:tcW w:w="281" w:type="pct"/>
                  <w:noWrap w:val="0"/>
                  <w:vAlign w:val="center"/>
                </w:tcPr>
                <w:p w14:paraId="190612A5">
                  <w:pPr>
                    <w:pStyle w:val="28"/>
                    <w:rPr>
                      <w:rFonts w:hint="eastAsia"/>
                      <w:color w:val="auto"/>
                      <w:szCs w:val="21"/>
                    </w:rPr>
                  </w:pPr>
                  <w:r>
                    <w:rPr>
                      <w:rFonts w:hint="eastAsia"/>
                      <w:bCs/>
                      <w:color w:val="auto"/>
                      <w:szCs w:val="21"/>
                      <w:lang w:val="en-US" w:eastAsia="zh-CN"/>
                    </w:rPr>
                    <w:t>环评提出</w:t>
                  </w:r>
                </w:p>
              </w:tc>
            </w:tr>
            <w:tr w14:paraId="34727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60" w:type="pct"/>
                  <w:vMerge w:val="continue"/>
                  <w:noWrap w:val="0"/>
                  <w:vAlign w:val="center"/>
                </w:tcPr>
                <w:p w14:paraId="45A85748">
                  <w:pPr>
                    <w:pStyle w:val="28"/>
                    <w:rPr>
                      <w:rFonts w:hint="eastAsia"/>
                      <w:bCs/>
                      <w:color w:val="auto"/>
                      <w:szCs w:val="21"/>
                    </w:rPr>
                  </w:pPr>
                </w:p>
              </w:tc>
              <w:tc>
                <w:tcPr>
                  <w:tcW w:w="388" w:type="pct"/>
                  <w:vMerge w:val="continue"/>
                  <w:noWrap w:val="0"/>
                  <w:vAlign w:val="center"/>
                </w:tcPr>
                <w:p w14:paraId="58E9D8D5">
                  <w:pPr>
                    <w:pStyle w:val="28"/>
                    <w:rPr>
                      <w:rFonts w:hint="eastAsia" w:hAnsi="宋体"/>
                      <w:color w:val="auto"/>
                      <w:szCs w:val="21"/>
                    </w:rPr>
                  </w:pPr>
                </w:p>
              </w:tc>
              <w:tc>
                <w:tcPr>
                  <w:tcW w:w="662" w:type="pct"/>
                  <w:gridSpan w:val="3"/>
                  <w:noWrap w:val="0"/>
                  <w:vAlign w:val="center"/>
                </w:tcPr>
                <w:p w14:paraId="7BF648F2">
                  <w:pPr>
                    <w:pStyle w:val="28"/>
                    <w:rPr>
                      <w:rFonts w:hint="eastAsia"/>
                      <w:color w:val="auto"/>
                      <w:szCs w:val="21"/>
                    </w:rPr>
                  </w:pPr>
                  <w:r>
                    <w:rPr>
                      <w:rFonts w:hint="eastAsia"/>
                      <w:color w:val="auto"/>
                      <w:szCs w:val="21"/>
                    </w:rPr>
                    <w:t>运输粉尘</w:t>
                  </w:r>
                </w:p>
              </w:tc>
              <w:tc>
                <w:tcPr>
                  <w:tcW w:w="3407" w:type="pct"/>
                  <w:gridSpan w:val="3"/>
                  <w:noWrap w:val="0"/>
                  <w:vAlign w:val="center"/>
                </w:tcPr>
                <w:p w14:paraId="67E3F0A2">
                  <w:pPr>
                    <w:pStyle w:val="28"/>
                    <w:rPr>
                      <w:rFonts w:hint="eastAsia"/>
                      <w:color w:val="auto"/>
                      <w:szCs w:val="21"/>
                    </w:rPr>
                  </w:pPr>
                  <w:r>
                    <w:rPr>
                      <w:rFonts w:hint="eastAsia"/>
                      <w:color w:val="auto"/>
                      <w:szCs w:val="21"/>
                    </w:rPr>
                    <w:t>区路面进行硬化，运输车辆均减速慢行，按时清扫，按时洒水降尘</w:t>
                  </w:r>
                </w:p>
              </w:tc>
              <w:tc>
                <w:tcPr>
                  <w:tcW w:w="281" w:type="pct"/>
                  <w:noWrap w:val="0"/>
                  <w:vAlign w:val="center"/>
                </w:tcPr>
                <w:p w14:paraId="58F701B9">
                  <w:pPr>
                    <w:pStyle w:val="28"/>
                    <w:rPr>
                      <w:rFonts w:hint="eastAsia"/>
                      <w:color w:val="auto"/>
                      <w:szCs w:val="21"/>
                    </w:rPr>
                  </w:pPr>
                  <w:r>
                    <w:rPr>
                      <w:rFonts w:hint="eastAsia"/>
                      <w:bCs/>
                      <w:color w:val="auto"/>
                      <w:szCs w:val="21"/>
                      <w:lang w:val="en-US" w:eastAsia="zh-CN"/>
                    </w:rPr>
                    <w:t>已建</w:t>
                  </w:r>
                </w:p>
              </w:tc>
            </w:tr>
            <w:tr w14:paraId="1E0A7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60" w:type="pct"/>
                  <w:vMerge w:val="continue"/>
                  <w:noWrap w:val="0"/>
                  <w:vAlign w:val="center"/>
                </w:tcPr>
                <w:p w14:paraId="463EFD7F">
                  <w:pPr>
                    <w:pStyle w:val="28"/>
                    <w:rPr>
                      <w:rFonts w:hint="eastAsia"/>
                      <w:bCs/>
                      <w:color w:val="auto"/>
                      <w:szCs w:val="21"/>
                    </w:rPr>
                  </w:pPr>
                </w:p>
              </w:tc>
              <w:tc>
                <w:tcPr>
                  <w:tcW w:w="388" w:type="pct"/>
                  <w:vMerge w:val="continue"/>
                  <w:noWrap w:val="0"/>
                  <w:vAlign w:val="center"/>
                </w:tcPr>
                <w:p w14:paraId="3E68A381">
                  <w:pPr>
                    <w:pStyle w:val="28"/>
                    <w:rPr>
                      <w:rFonts w:hint="eastAsia" w:hAnsi="宋体"/>
                      <w:color w:val="auto"/>
                      <w:szCs w:val="21"/>
                    </w:rPr>
                  </w:pPr>
                </w:p>
              </w:tc>
              <w:tc>
                <w:tcPr>
                  <w:tcW w:w="662" w:type="pct"/>
                  <w:gridSpan w:val="3"/>
                  <w:noWrap w:val="0"/>
                  <w:vAlign w:val="center"/>
                </w:tcPr>
                <w:p w14:paraId="6E989A81">
                  <w:pPr>
                    <w:pStyle w:val="28"/>
                    <w:rPr>
                      <w:rFonts w:hint="eastAsia"/>
                      <w:color w:val="auto"/>
                      <w:szCs w:val="21"/>
                    </w:rPr>
                  </w:pPr>
                  <w:r>
                    <w:rPr>
                      <w:color w:val="auto"/>
                      <w:szCs w:val="21"/>
                    </w:rPr>
                    <w:t>砂石料堆场扬尘</w:t>
                  </w:r>
                </w:p>
              </w:tc>
              <w:tc>
                <w:tcPr>
                  <w:tcW w:w="3407" w:type="pct"/>
                  <w:gridSpan w:val="3"/>
                  <w:noWrap w:val="0"/>
                  <w:vAlign w:val="center"/>
                </w:tcPr>
                <w:p w14:paraId="14EFCE9C">
                  <w:pPr>
                    <w:pStyle w:val="28"/>
                    <w:rPr>
                      <w:rFonts w:hint="eastAsia"/>
                      <w:color w:val="auto"/>
                      <w:szCs w:val="21"/>
                    </w:rPr>
                  </w:pPr>
                  <w:r>
                    <w:rPr>
                      <w:rFonts w:hint="eastAsia"/>
                      <w:color w:val="auto"/>
                      <w:szCs w:val="21"/>
                    </w:rPr>
                    <w:t>砂石料堆场采用三面围挡+顶棚及定期水雾喷淋措施</w:t>
                  </w:r>
                </w:p>
              </w:tc>
              <w:tc>
                <w:tcPr>
                  <w:tcW w:w="281" w:type="pct"/>
                  <w:noWrap w:val="0"/>
                  <w:vAlign w:val="center"/>
                </w:tcPr>
                <w:p w14:paraId="3EE9F867">
                  <w:pPr>
                    <w:pStyle w:val="28"/>
                    <w:rPr>
                      <w:rFonts w:hint="eastAsia"/>
                      <w:color w:val="auto"/>
                      <w:szCs w:val="21"/>
                    </w:rPr>
                  </w:pPr>
                  <w:r>
                    <w:rPr>
                      <w:rFonts w:hint="eastAsia"/>
                      <w:bCs/>
                      <w:color w:val="auto"/>
                      <w:szCs w:val="21"/>
                    </w:rPr>
                    <w:t>新建</w:t>
                  </w:r>
                </w:p>
              </w:tc>
            </w:tr>
            <w:tr w14:paraId="7CC4C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60" w:type="pct"/>
                  <w:vMerge w:val="continue"/>
                  <w:noWrap w:val="0"/>
                  <w:vAlign w:val="center"/>
                </w:tcPr>
                <w:p w14:paraId="7A2EEAA9">
                  <w:pPr>
                    <w:pStyle w:val="28"/>
                    <w:rPr>
                      <w:rFonts w:hint="eastAsia"/>
                      <w:bCs/>
                      <w:color w:val="auto"/>
                      <w:szCs w:val="21"/>
                    </w:rPr>
                  </w:pPr>
                </w:p>
              </w:tc>
              <w:tc>
                <w:tcPr>
                  <w:tcW w:w="388" w:type="pct"/>
                  <w:vMerge w:val="continue"/>
                  <w:noWrap w:val="0"/>
                  <w:vAlign w:val="center"/>
                </w:tcPr>
                <w:p w14:paraId="0DFD3FB0">
                  <w:pPr>
                    <w:pStyle w:val="28"/>
                    <w:rPr>
                      <w:rFonts w:hint="eastAsia" w:hAnsi="宋体"/>
                      <w:color w:val="auto"/>
                      <w:szCs w:val="21"/>
                    </w:rPr>
                  </w:pPr>
                </w:p>
              </w:tc>
              <w:tc>
                <w:tcPr>
                  <w:tcW w:w="662" w:type="pct"/>
                  <w:gridSpan w:val="3"/>
                  <w:noWrap w:val="0"/>
                  <w:vAlign w:val="center"/>
                </w:tcPr>
                <w:p w14:paraId="431AB897">
                  <w:pPr>
                    <w:pStyle w:val="28"/>
                    <w:rPr>
                      <w:rFonts w:hint="eastAsia"/>
                      <w:color w:val="auto"/>
                      <w:szCs w:val="21"/>
                    </w:rPr>
                  </w:pPr>
                  <w:r>
                    <w:rPr>
                      <w:color w:val="auto"/>
                      <w:szCs w:val="21"/>
                    </w:rPr>
                    <w:t>钢筋焊接烟尘及切割金属粉尘</w:t>
                  </w:r>
                </w:p>
              </w:tc>
              <w:tc>
                <w:tcPr>
                  <w:tcW w:w="3407" w:type="pct"/>
                  <w:gridSpan w:val="3"/>
                  <w:noWrap w:val="0"/>
                  <w:vAlign w:val="center"/>
                </w:tcPr>
                <w:p w14:paraId="7646A690">
                  <w:pPr>
                    <w:pStyle w:val="28"/>
                    <w:rPr>
                      <w:rFonts w:hint="eastAsia"/>
                      <w:color w:val="auto"/>
                      <w:szCs w:val="21"/>
                    </w:rPr>
                  </w:pPr>
                  <w:r>
                    <w:rPr>
                      <w:rFonts w:hint="eastAsia"/>
                      <w:color w:val="auto"/>
                      <w:szCs w:val="21"/>
                    </w:rPr>
                    <w:t>采取厂房通风，自然沉降</w:t>
                  </w:r>
                </w:p>
              </w:tc>
              <w:tc>
                <w:tcPr>
                  <w:tcW w:w="281" w:type="pct"/>
                  <w:noWrap w:val="0"/>
                  <w:vAlign w:val="center"/>
                </w:tcPr>
                <w:p w14:paraId="66FE51D8">
                  <w:pPr>
                    <w:pStyle w:val="28"/>
                    <w:rPr>
                      <w:rFonts w:hint="eastAsia"/>
                      <w:color w:val="auto"/>
                      <w:szCs w:val="21"/>
                    </w:rPr>
                  </w:pPr>
                  <w:r>
                    <w:rPr>
                      <w:rFonts w:hint="eastAsia"/>
                      <w:bCs/>
                      <w:color w:val="auto"/>
                      <w:szCs w:val="21"/>
                      <w:lang w:val="en-US" w:eastAsia="zh-CN"/>
                    </w:rPr>
                    <w:t>已建</w:t>
                  </w:r>
                </w:p>
              </w:tc>
            </w:tr>
            <w:tr w14:paraId="5C964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60" w:type="pct"/>
                  <w:vMerge w:val="continue"/>
                  <w:noWrap w:val="0"/>
                  <w:vAlign w:val="center"/>
                </w:tcPr>
                <w:p w14:paraId="25586706">
                  <w:pPr>
                    <w:pStyle w:val="28"/>
                    <w:rPr>
                      <w:rFonts w:hint="eastAsia"/>
                      <w:bCs/>
                      <w:color w:val="auto"/>
                      <w:szCs w:val="21"/>
                    </w:rPr>
                  </w:pPr>
                </w:p>
              </w:tc>
              <w:tc>
                <w:tcPr>
                  <w:tcW w:w="388" w:type="pct"/>
                  <w:vMerge w:val="continue"/>
                  <w:noWrap w:val="0"/>
                  <w:vAlign w:val="center"/>
                </w:tcPr>
                <w:p w14:paraId="6F40F24E">
                  <w:pPr>
                    <w:pStyle w:val="28"/>
                    <w:rPr>
                      <w:rFonts w:hint="eastAsia" w:hAnsi="宋体"/>
                      <w:color w:val="auto"/>
                      <w:szCs w:val="21"/>
                    </w:rPr>
                  </w:pPr>
                </w:p>
              </w:tc>
              <w:tc>
                <w:tcPr>
                  <w:tcW w:w="662" w:type="pct"/>
                  <w:gridSpan w:val="3"/>
                  <w:noWrap w:val="0"/>
                  <w:vAlign w:val="center"/>
                </w:tcPr>
                <w:p w14:paraId="7E9D512A">
                  <w:pPr>
                    <w:pStyle w:val="28"/>
                    <w:rPr>
                      <w:color w:val="auto"/>
                      <w:szCs w:val="21"/>
                    </w:rPr>
                  </w:pPr>
                  <w:r>
                    <w:rPr>
                      <w:rFonts w:hint="eastAsia"/>
                      <w:color w:val="auto"/>
                      <w:szCs w:val="21"/>
                    </w:rPr>
                    <w:t>汽车尾气</w:t>
                  </w:r>
                </w:p>
              </w:tc>
              <w:tc>
                <w:tcPr>
                  <w:tcW w:w="3407" w:type="pct"/>
                  <w:gridSpan w:val="3"/>
                  <w:noWrap w:val="0"/>
                  <w:vAlign w:val="center"/>
                </w:tcPr>
                <w:p w14:paraId="28395BB3">
                  <w:pPr>
                    <w:pStyle w:val="28"/>
                    <w:rPr>
                      <w:rFonts w:hint="eastAsia"/>
                      <w:color w:val="auto"/>
                      <w:szCs w:val="21"/>
                    </w:rPr>
                  </w:pPr>
                  <w:r>
                    <w:rPr>
                      <w:rFonts w:hint="eastAsia"/>
                      <w:color w:val="auto"/>
                      <w:szCs w:val="21"/>
                    </w:rPr>
                    <w:t>在大气环境中自然稀释扩散</w:t>
                  </w:r>
                </w:p>
              </w:tc>
              <w:tc>
                <w:tcPr>
                  <w:tcW w:w="281" w:type="pct"/>
                  <w:noWrap w:val="0"/>
                  <w:vAlign w:val="center"/>
                </w:tcPr>
                <w:p w14:paraId="5B6E2093">
                  <w:pPr>
                    <w:pStyle w:val="28"/>
                    <w:rPr>
                      <w:rFonts w:hint="eastAsia"/>
                      <w:color w:val="auto"/>
                      <w:szCs w:val="21"/>
                    </w:rPr>
                  </w:pPr>
                  <w:r>
                    <w:rPr>
                      <w:rFonts w:hint="eastAsia"/>
                      <w:bCs/>
                      <w:color w:val="auto"/>
                      <w:szCs w:val="21"/>
                      <w:lang w:val="en-US" w:eastAsia="zh-CN"/>
                    </w:rPr>
                    <w:t>已建</w:t>
                  </w:r>
                </w:p>
              </w:tc>
            </w:tr>
            <w:tr w14:paraId="7A79E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260" w:type="pct"/>
                  <w:vMerge w:val="continue"/>
                  <w:noWrap w:val="0"/>
                  <w:vAlign w:val="center"/>
                </w:tcPr>
                <w:p w14:paraId="4142E083">
                  <w:pPr>
                    <w:pStyle w:val="28"/>
                    <w:rPr>
                      <w:bCs/>
                      <w:color w:val="auto"/>
                      <w:szCs w:val="21"/>
                    </w:rPr>
                  </w:pPr>
                </w:p>
              </w:tc>
              <w:tc>
                <w:tcPr>
                  <w:tcW w:w="388" w:type="pct"/>
                  <w:vMerge w:val="restart"/>
                  <w:noWrap w:val="0"/>
                  <w:vAlign w:val="center"/>
                </w:tcPr>
                <w:p w14:paraId="76C1C33C">
                  <w:pPr>
                    <w:pStyle w:val="28"/>
                    <w:rPr>
                      <w:rFonts w:hint="eastAsia" w:hAnsi="宋体"/>
                      <w:color w:val="auto"/>
                      <w:szCs w:val="21"/>
                    </w:rPr>
                  </w:pPr>
                  <w:r>
                    <w:rPr>
                      <w:rFonts w:hint="eastAsia" w:hAnsi="宋体"/>
                      <w:color w:val="auto"/>
                      <w:szCs w:val="21"/>
                    </w:rPr>
                    <w:t>废水</w:t>
                  </w:r>
                </w:p>
              </w:tc>
              <w:tc>
                <w:tcPr>
                  <w:tcW w:w="662" w:type="pct"/>
                  <w:gridSpan w:val="3"/>
                  <w:noWrap w:val="0"/>
                  <w:vAlign w:val="center"/>
                </w:tcPr>
                <w:p w14:paraId="6584962B">
                  <w:pPr>
                    <w:pStyle w:val="28"/>
                    <w:rPr>
                      <w:bCs/>
                      <w:color w:val="auto"/>
                      <w:szCs w:val="21"/>
                    </w:rPr>
                  </w:pPr>
                  <w:r>
                    <w:rPr>
                      <w:rFonts w:hint="eastAsia"/>
                      <w:bCs/>
                      <w:color w:val="auto"/>
                      <w:szCs w:val="21"/>
                    </w:rPr>
                    <w:t>生活污水</w:t>
                  </w:r>
                </w:p>
              </w:tc>
              <w:tc>
                <w:tcPr>
                  <w:tcW w:w="3407" w:type="pct"/>
                  <w:gridSpan w:val="3"/>
                  <w:noWrap w:val="0"/>
                  <w:vAlign w:val="center"/>
                </w:tcPr>
                <w:p w14:paraId="4B3C8148">
                  <w:pPr>
                    <w:pStyle w:val="28"/>
                    <w:rPr>
                      <w:rFonts w:hint="eastAsia"/>
                      <w:color w:val="auto"/>
                      <w:szCs w:val="21"/>
                      <w:lang w:val="en-US" w:eastAsia="zh-CN"/>
                    </w:rPr>
                  </w:pPr>
                  <w:r>
                    <w:rPr>
                      <w:rFonts w:hint="eastAsia"/>
                      <w:bCs/>
                      <w:color w:val="auto"/>
                      <w:szCs w:val="21"/>
                      <w:lang w:val="en-US" w:eastAsia="zh-CN"/>
                    </w:rPr>
                    <w:t>食堂废水经油水分离器预处理后同基本生活废水排入厂区自建的化粪池（40m</w:t>
                  </w:r>
                  <w:r>
                    <w:rPr>
                      <w:rFonts w:hint="eastAsia"/>
                      <w:bCs/>
                      <w:color w:val="auto"/>
                      <w:szCs w:val="21"/>
                      <w:vertAlign w:val="superscript"/>
                      <w:lang w:val="en-US" w:eastAsia="zh-CN"/>
                    </w:rPr>
                    <w:t>3</w:t>
                  </w:r>
                  <w:r>
                    <w:rPr>
                      <w:rFonts w:hint="eastAsia"/>
                      <w:bCs/>
                      <w:color w:val="auto"/>
                      <w:szCs w:val="21"/>
                      <w:lang w:val="en-US" w:eastAsia="zh-CN"/>
                    </w:rPr>
                    <w:t>）处理后由</w:t>
                  </w:r>
                  <w:r>
                    <w:rPr>
                      <w:rFonts w:hint="eastAsia"/>
                      <w:color w:val="auto"/>
                      <w:szCs w:val="21"/>
                      <w:lang w:val="en-US" w:eastAsia="zh-CN"/>
                    </w:rPr>
                    <w:t>昆明洁龙保洁</w:t>
                  </w:r>
                </w:p>
                <w:p w14:paraId="3B774F56">
                  <w:pPr>
                    <w:pStyle w:val="28"/>
                    <w:rPr>
                      <w:rFonts w:hint="eastAsia" w:eastAsia="宋体"/>
                      <w:bCs/>
                      <w:color w:val="auto"/>
                      <w:szCs w:val="21"/>
                      <w:lang w:val="en-US" w:eastAsia="zh-CN"/>
                    </w:rPr>
                  </w:pPr>
                  <w:r>
                    <w:rPr>
                      <w:rFonts w:hint="eastAsia"/>
                      <w:color w:val="auto"/>
                      <w:szCs w:val="21"/>
                      <w:lang w:val="en-US" w:eastAsia="zh-CN"/>
                    </w:rPr>
                    <w:t>服务有限公司清掏</w:t>
                  </w:r>
                </w:p>
              </w:tc>
              <w:tc>
                <w:tcPr>
                  <w:tcW w:w="281" w:type="pct"/>
                  <w:noWrap w:val="0"/>
                  <w:vAlign w:val="center"/>
                </w:tcPr>
                <w:p w14:paraId="57B7F059">
                  <w:pPr>
                    <w:pStyle w:val="28"/>
                    <w:rPr>
                      <w:rFonts w:hint="eastAsia"/>
                      <w:bCs/>
                      <w:color w:val="auto"/>
                      <w:szCs w:val="21"/>
                    </w:rPr>
                  </w:pPr>
                  <w:r>
                    <w:rPr>
                      <w:rFonts w:hint="eastAsia"/>
                      <w:bCs/>
                      <w:color w:val="auto"/>
                      <w:szCs w:val="21"/>
                      <w:lang w:val="en-US" w:eastAsia="zh-CN"/>
                    </w:rPr>
                    <w:t>已建</w:t>
                  </w:r>
                </w:p>
              </w:tc>
            </w:tr>
            <w:tr w14:paraId="310DF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260" w:type="pct"/>
                  <w:vMerge w:val="continue"/>
                  <w:noWrap w:val="0"/>
                  <w:vAlign w:val="center"/>
                </w:tcPr>
                <w:p w14:paraId="3B4492C2">
                  <w:pPr>
                    <w:pStyle w:val="28"/>
                    <w:rPr>
                      <w:bCs/>
                      <w:color w:val="auto"/>
                      <w:szCs w:val="21"/>
                    </w:rPr>
                  </w:pPr>
                </w:p>
              </w:tc>
              <w:tc>
                <w:tcPr>
                  <w:tcW w:w="388" w:type="pct"/>
                  <w:vMerge w:val="continue"/>
                  <w:noWrap w:val="0"/>
                  <w:vAlign w:val="center"/>
                </w:tcPr>
                <w:p w14:paraId="23C8A65E">
                  <w:pPr>
                    <w:pStyle w:val="28"/>
                    <w:rPr>
                      <w:rFonts w:hint="eastAsia" w:hAnsi="宋体"/>
                      <w:color w:val="auto"/>
                      <w:szCs w:val="21"/>
                    </w:rPr>
                  </w:pPr>
                </w:p>
              </w:tc>
              <w:tc>
                <w:tcPr>
                  <w:tcW w:w="662" w:type="pct"/>
                  <w:gridSpan w:val="3"/>
                  <w:noWrap w:val="0"/>
                  <w:vAlign w:val="center"/>
                </w:tcPr>
                <w:p w14:paraId="5DB67320">
                  <w:pPr>
                    <w:pStyle w:val="28"/>
                    <w:rPr>
                      <w:rFonts w:hint="eastAsia"/>
                      <w:bCs/>
                      <w:color w:val="auto"/>
                      <w:szCs w:val="21"/>
                    </w:rPr>
                  </w:pPr>
                  <w:r>
                    <w:rPr>
                      <w:color w:val="auto"/>
                      <w:szCs w:val="21"/>
                    </w:rPr>
                    <w:t>搅拌机清洗废水</w:t>
                  </w:r>
                </w:p>
              </w:tc>
              <w:tc>
                <w:tcPr>
                  <w:tcW w:w="3407" w:type="pct"/>
                  <w:gridSpan w:val="3"/>
                  <w:noWrap w:val="0"/>
                  <w:vAlign w:val="center"/>
                </w:tcPr>
                <w:p w14:paraId="503FBB00">
                  <w:pPr>
                    <w:pStyle w:val="28"/>
                    <w:rPr>
                      <w:rFonts w:hint="eastAsia"/>
                      <w:bCs/>
                      <w:color w:val="auto"/>
                      <w:szCs w:val="21"/>
                    </w:rPr>
                  </w:pPr>
                  <w:r>
                    <w:rPr>
                      <w:color w:val="auto"/>
                      <w:szCs w:val="21"/>
                    </w:rPr>
                    <w:t>搅拌机冲洗废水</w:t>
                  </w:r>
                  <w:r>
                    <w:rPr>
                      <w:rFonts w:hint="eastAsia"/>
                      <w:color w:val="auto"/>
                      <w:szCs w:val="21"/>
                    </w:rPr>
                    <w:t>由截排水沟</w:t>
                  </w:r>
                  <w:r>
                    <w:rPr>
                      <w:color w:val="auto"/>
                      <w:szCs w:val="21"/>
                    </w:rPr>
                    <w:t>排入</w:t>
                  </w:r>
                  <w:r>
                    <w:rPr>
                      <w:rFonts w:hint="eastAsia"/>
                      <w:color w:val="auto"/>
                      <w:szCs w:val="21"/>
                    </w:rPr>
                    <w:t>四级</w:t>
                  </w:r>
                  <w:r>
                    <w:rPr>
                      <w:color w:val="auto"/>
                      <w:szCs w:val="21"/>
                    </w:rPr>
                    <w:t>沉淀池</w:t>
                  </w:r>
                  <w:r>
                    <w:rPr>
                      <w:rFonts w:hint="eastAsia"/>
                      <w:color w:val="auto"/>
                      <w:szCs w:val="21"/>
                    </w:rPr>
                    <w:t>（180m</w:t>
                  </w:r>
                  <w:r>
                    <w:rPr>
                      <w:rFonts w:hint="eastAsia"/>
                      <w:color w:val="auto"/>
                      <w:szCs w:val="21"/>
                      <w:vertAlign w:val="superscript"/>
                    </w:rPr>
                    <w:t>3</w:t>
                  </w:r>
                  <w:r>
                    <w:rPr>
                      <w:rFonts w:hint="eastAsia"/>
                      <w:color w:val="auto"/>
                      <w:szCs w:val="21"/>
                    </w:rPr>
                    <w:t>）</w:t>
                  </w:r>
                  <w:r>
                    <w:rPr>
                      <w:color w:val="auto"/>
                      <w:szCs w:val="21"/>
                    </w:rPr>
                    <w:t>，经</w:t>
                  </w:r>
                  <w:r>
                    <w:rPr>
                      <w:rFonts w:hint="eastAsia"/>
                      <w:color w:val="auto"/>
                      <w:szCs w:val="21"/>
                    </w:rPr>
                    <w:t>四级</w:t>
                  </w:r>
                  <w:r>
                    <w:rPr>
                      <w:color w:val="auto"/>
                      <w:szCs w:val="21"/>
                    </w:rPr>
                    <w:t>沉淀后上清液回用于混凝土搅拌工序</w:t>
                  </w:r>
                </w:p>
              </w:tc>
              <w:tc>
                <w:tcPr>
                  <w:tcW w:w="281" w:type="pct"/>
                  <w:noWrap w:val="0"/>
                  <w:vAlign w:val="center"/>
                </w:tcPr>
                <w:p w14:paraId="267B99CE">
                  <w:pPr>
                    <w:pStyle w:val="28"/>
                    <w:rPr>
                      <w:color w:val="auto"/>
                      <w:szCs w:val="21"/>
                    </w:rPr>
                  </w:pPr>
                  <w:r>
                    <w:rPr>
                      <w:rFonts w:hint="eastAsia"/>
                      <w:bCs/>
                      <w:color w:val="auto"/>
                      <w:szCs w:val="21"/>
                      <w:lang w:val="en-US" w:eastAsia="zh-CN"/>
                    </w:rPr>
                    <w:t>已建</w:t>
                  </w:r>
                </w:p>
              </w:tc>
            </w:tr>
            <w:tr w14:paraId="6DB96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260" w:type="pct"/>
                  <w:vMerge w:val="continue"/>
                  <w:noWrap w:val="0"/>
                  <w:vAlign w:val="center"/>
                </w:tcPr>
                <w:p w14:paraId="3C4CFD6F">
                  <w:pPr>
                    <w:pStyle w:val="28"/>
                    <w:rPr>
                      <w:bCs/>
                      <w:color w:val="auto"/>
                      <w:szCs w:val="21"/>
                    </w:rPr>
                  </w:pPr>
                </w:p>
              </w:tc>
              <w:tc>
                <w:tcPr>
                  <w:tcW w:w="388" w:type="pct"/>
                  <w:vMerge w:val="continue"/>
                  <w:noWrap w:val="0"/>
                  <w:vAlign w:val="center"/>
                </w:tcPr>
                <w:p w14:paraId="46D09264">
                  <w:pPr>
                    <w:pStyle w:val="28"/>
                    <w:rPr>
                      <w:rFonts w:hint="eastAsia" w:hAnsi="宋体"/>
                      <w:color w:val="auto"/>
                      <w:szCs w:val="21"/>
                    </w:rPr>
                  </w:pPr>
                </w:p>
              </w:tc>
              <w:tc>
                <w:tcPr>
                  <w:tcW w:w="662" w:type="pct"/>
                  <w:gridSpan w:val="3"/>
                  <w:noWrap w:val="0"/>
                  <w:vAlign w:val="center"/>
                </w:tcPr>
                <w:p w14:paraId="37E93D2D">
                  <w:pPr>
                    <w:pStyle w:val="28"/>
                    <w:rPr>
                      <w:rFonts w:hint="eastAsia"/>
                      <w:color w:val="auto"/>
                      <w:szCs w:val="21"/>
                      <w:lang w:val="en-US" w:eastAsia="zh-CN"/>
                    </w:rPr>
                  </w:pPr>
                  <w:r>
                    <w:rPr>
                      <w:rFonts w:hint="eastAsia"/>
                      <w:color w:val="auto"/>
                      <w:szCs w:val="21"/>
                      <w:lang w:val="en-US" w:eastAsia="zh-CN"/>
                    </w:rPr>
                    <w:t>试验</w:t>
                  </w:r>
                </w:p>
                <w:p w14:paraId="275AA8E0">
                  <w:pPr>
                    <w:pStyle w:val="28"/>
                    <w:rPr>
                      <w:rFonts w:hint="default" w:eastAsia="宋体"/>
                      <w:color w:val="auto"/>
                      <w:szCs w:val="21"/>
                      <w:lang w:val="en-US" w:eastAsia="zh-CN"/>
                    </w:rPr>
                  </w:pPr>
                  <w:r>
                    <w:rPr>
                      <w:rFonts w:hint="eastAsia"/>
                      <w:color w:val="auto"/>
                      <w:szCs w:val="21"/>
                      <w:lang w:val="en-US" w:eastAsia="zh-CN"/>
                    </w:rPr>
                    <w:t>区废水</w:t>
                  </w:r>
                </w:p>
              </w:tc>
              <w:tc>
                <w:tcPr>
                  <w:tcW w:w="3407" w:type="pct"/>
                  <w:gridSpan w:val="3"/>
                  <w:noWrap w:val="0"/>
                  <w:vAlign w:val="center"/>
                </w:tcPr>
                <w:p w14:paraId="0A01811A">
                  <w:pPr>
                    <w:pStyle w:val="28"/>
                    <w:rPr>
                      <w:rFonts w:hint="eastAsia"/>
                      <w:color w:val="auto"/>
                      <w:szCs w:val="21"/>
                      <w:lang w:val="en-US" w:eastAsia="zh-CN"/>
                    </w:rPr>
                  </w:pPr>
                  <w:r>
                    <w:rPr>
                      <w:rFonts w:hint="eastAsia"/>
                      <w:color w:val="auto"/>
                      <w:szCs w:val="21"/>
                      <w:lang w:val="en-US" w:eastAsia="zh-CN"/>
                    </w:rPr>
                    <w:t>于</w:t>
                  </w:r>
                  <w:r>
                    <w:rPr>
                      <w:rFonts w:hint="eastAsia"/>
                      <w:color w:val="auto"/>
                      <w:lang w:val="en-US" w:eastAsia="zh-CN"/>
                    </w:rPr>
                    <w:t>试验区</w:t>
                  </w:r>
                  <w:r>
                    <w:rPr>
                      <w:rFonts w:hint="eastAsia"/>
                      <w:color w:val="auto"/>
                      <w:szCs w:val="21"/>
                      <w:lang w:val="en-US" w:eastAsia="zh-CN"/>
                    </w:rPr>
                    <w:t>西侧紧邻处设置总容积为0.6*5*1.5m的三级沉淀池，总容积为4.5m</w:t>
                  </w:r>
                  <w:r>
                    <w:rPr>
                      <w:rFonts w:hint="eastAsia"/>
                      <w:color w:val="auto"/>
                      <w:szCs w:val="21"/>
                      <w:vertAlign w:val="superscript"/>
                      <w:lang w:val="en-US" w:eastAsia="zh-CN"/>
                    </w:rPr>
                    <w:t>3</w:t>
                  </w:r>
                  <w:r>
                    <w:rPr>
                      <w:rFonts w:hint="eastAsia"/>
                      <w:color w:val="auto"/>
                      <w:szCs w:val="21"/>
                      <w:lang w:val="en-US" w:eastAsia="zh-CN"/>
                    </w:rPr>
                    <w:t>，沉淀后的废水不外排，回用于混</w:t>
                  </w:r>
                </w:p>
                <w:p w14:paraId="184D05F6">
                  <w:pPr>
                    <w:pStyle w:val="28"/>
                    <w:rPr>
                      <w:rFonts w:hint="default" w:eastAsia="宋体"/>
                      <w:color w:val="auto"/>
                      <w:szCs w:val="21"/>
                      <w:lang w:val="en-US" w:eastAsia="zh-CN"/>
                    </w:rPr>
                  </w:pPr>
                  <w:r>
                    <w:rPr>
                      <w:rFonts w:hint="eastAsia"/>
                      <w:color w:val="auto"/>
                      <w:szCs w:val="21"/>
                      <w:lang w:val="en-US" w:eastAsia="zh-CN"/>
                    </w:rPr>
                    <w:t>凝土搅拌</w:t>
                  </w:r>
                </w:p>
              </w:tc>
              <w:tc>
                <w:tcPr>
                  <w:tcW w:w="281" w:type="pct"/>
                  <w:noWrap w:val="0"/>
                  <w:vAlign w:val="center"/>
                </w:tcPr>
                <w:p w14:paraId="20F6A06E">
                  <w:pPr>
                    <w:pStyle w:val="28"/>
                    <w:rPr>
                      <w:rFonts w:hint="eastAsia" w:eastAsia="宋体"/>
                      <w:bCs/>
                      <w:color w:val="auto"/>
                      <w:szCs w:val="21"/>
                      <w:lang w:val="en-US" w:eastAsia="zh-CN"/>
                    </w:rPr>
                  </w:pPr>
                  <w:r>
                    <w:rPr>
                      <w:rFonts w:hint="eastAsia"/>
                      <w:bCs/>
                      <w:color w:val="auto"/>
                      <w:szCs w:val="21"/>
                      <w:lang w:val="en-US" w:eastAsia="zh-CN"/>
                    </w:rPr>
                    <w:t>已建</w:t>
                  </w:r>
                </w:p>
              </w:tc>
            </w:tr>
            <w:tr w14:paraId="4D2BB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260" w:type="pct"/>
                  <w:vMerge w:val="continue"/>
                  <w:noWrap w:val="0"/>
                  <w:vAlign w:val="center"/>
                </w:tcPr>
                <w:p w14:paraId="27ADC727">
                  <w:pPr>
                    <w:pStyle w:val="28"/>
                    <w:rPr>
                      <w:bCs/>
                      <w:color w:val="auto"/>
                      <w:szCs w:val="21"/>
                    </w:rPr>
                  </w:pPr>
                </w:p>
              </w:tc>
              <w:tc>
                <w:tcPr>
                  <w:tcW w:w="388" w:type="pct"/>
                  <w:vMerge w:val="continue"/>
                  <w:noWrap w:val="0"/>
                  <w:vAlign w:val="center"/>
                </w:tcPr>
                <w:p w14:paraId="2157D7DB">
                  <w:pPr>
                    <w:pStyle w:val="28"/>
                    <w:rPr>
                      <w:rFonts w:hint="eastAsia" w:hAnsi="宋体"/>
                      <w:color w:val="auto"/>
                      <w:szCs w:val="21"/>
                    </w:rPr>
                  </w:pPr>
                </w:p>
              </w:tc>
              <w:tc>
                <w:tcPr>
                  <w:tcW w:w="260" w:type="pct"/>
                  <w:noWrap w:val="0"/>
                  <w:vAlign w:val="center"/>
                </w:tcPr>
                <w:p w14:paraId="3D4E0406">
                  <w:pPr>
                    <w:pStyle w:val="28"/>
                    <w:rPr>
                      <w:rFonts w:hint="eastAsia"/>
                      <w:bCs/>
                      <w:color w:val="auto"/>
                      <w:szCs w:val="21"/>
                    </w:rPr>
                  </w:pPr>
                  <w:r>
                    <w:rPr>
                      <w:rFonts w:hint="eastAsia"/>
                      <w:bCs/>
                      <w:color w:val="auto"/>
                      <w:szCs w:val="21"/>
                    </w:rPr>
                    <w:t>锅炉废水</w:t>
                  </w:r>
                </w:p>
              </w:tc>
              <w:tc>
                <w:tcPr>
                  <w:tcW w:w="402" w:type="pct"/>
                  <w:gridSpan w:val="2"/>
                  <w:noWrap w:val="0"/>
                  <w:vAlign w:val="center"/>
                </w:tcPr>
                <w:p w14:paraId="7EAC1315">
                  <w:pPr>
                    <w:pStyle w:val="28"/>
                    <w:rPr>
                      <w:rFonts w:hint="eastAsia"/>
                      <w:bCs/>
                      <w:color w:val="auto"/>
                      <w:szCs w:val="21"/>
                    </w:rPr>
                  </w:pPr>
                  <w:r>
                    <w:rPr>
                      <w:rFonts w:hint="eastAsia"/>
                      <w:bCs/>
                      <w:color w:val="auto"/>
                      <w:szCs w:val="21"/>
                    </w:rPr>
                    <w:t>锅炉清净水</w:t>
                  </w:r>
                </w:p>
              </w:tc>
              <w:tc>
                <w:tcPr>
                  <w:tcW w:w="3407" w:type="pct"/>
                  <w:gridSpan w:val="3"/>
                  <w:noWrap w:val="0"/>
                  <w:vAlign w:val="center"/>
                </w:tcPr>
                <w:p w14:paraId="02581554">
                  <w:pPr>
                    <w:pStyle w:val="28"/>
                    <w:rPr>
                      <w:rFonts w:hint="eastAsia"/>
                      <w:bCs/>
                      <w:color w:val="auto"/>
                      <w:szCs w:val="21"/>
                    </w:rPr>
                  </w:pPr>
                  <w:r>
                    <w:rPr>
                      <w:rFonts w:hint="eastAsia"/>
                      <w:bCs/>
                      <w:color w:val="auto"/>
                      <w:szCs w:val="21"/>
                    </w:rPr>
                    <w:t>排入四级沉淀池</w:t>
                  </w:r>
                  <w:r>
                    <w:rPr>
                      <w:rFonts w:hint="eastAsia"/>
                      <w:color w:val="auto"/>
                      <w:szCs w:val="21"/>
                    </w:rPr>
                    <w:t>（180m</w:t>
                  </w:r>
                  <w:r>
                    <w:rPr>
                      <w:rFonts w:hint="eastAsia"/>
                      <w:color w:val="auto"/>
                      <w:szCs w:val="21"/>
                      <w:vertAlign w:val="superscript"/>
                    </w:rPr>
                    <w:t>3</w:t>
                  </w:r>
                  <w:r>
                    <w:rPr>
                      <w:rFonts w:hint="eastAsia"/>
                      <w:color w:val="auto"/>
                      <w:szCs w:val="21"/>
                    </w:rPr>
                    <w:t>）</w:t>
                  </w:r>
                  <w:r>
                    <w:rPr>
                      <w:rFonts w:hint="eastAsia"/>
                      <w:bCs/>
                      <w:color w:val="auto"/>
                      <w:szCs w:val="21"/>
                    </w:rPr>
                    <w:t>，经四级沉淀池沉淀处理后回用于混凝土搅拌工序</w:t>
                  </w:r>
                </w:p>
              </w:tc>
              <w:tc>
                <w:tcPr>
                  <w:tcW w:w="281" w:type="pct"/>
                  <w:noWrap w:val="0"/>
                  <w:vAlign w:val="center"/>
                </w:tcPr>
                <w:p w14:paraId="39A4DA9B">
                  <w:pPr>
                    <w:pStyle w:val="28"/>
                    <w:rPr>
                      <w:color w:val="auto"/>
                      <w:szCs w:val="21"/>
                    </w:rPr>
                  </w:pPr>
                  <w:r>
                    <w:rPr>
                      <w:rFonts w:hint="eastAsia"/>
                      <w:bCs/>
                      <w:color w:val="auto"/>
                      <w:szCs w:val="21"/>
                    </w:rPr>
                    <w:t>新建</w:t>
                  </w:r>
                </w:p>
              </w:tc>
            </w:tr>
            <w:tr w14:paraId="15A34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260" w:type="pct"/>
                  <w:vMerge w:val="continue"/>
                  <w:noWrap w:val="0"/>
                  <w:vAlign w:val="center"/>
                </w:tcPr>
                <w:p w14:paraId="2084334D">
                  <w:pPr>
                    <w:pStyle w:val="28"/>
                    <w:rPr>
                      <w:bCs/>
                      <w:color w:val="auto"/>
                      <w:szCs w:val="21"/>
                    </w:rPr>
                  </w:pPr>
                </w:p>
              </w:tc>
              <w:tc>
                <w:tcPr>
                  <w:tcW w:w="388" w:type="pct"/>
                  <w:vMerge w:val="continue"/>
                  <w:noWrap w:val="0"/>
                  <w:vAlign w:val="center"/>
                </w:tcPr>
                <w:p w14:paraId="5750361C">
                  <w:pPr>
                    <w:pStyle w:val="28"/>
                    <w:rPr>
                      <w:rFonts w:hint="eastAsia" w:hAnsi="宋体"/>
                      <w:color w:val="auto"/>
                      <w:szCs w:val="21"/>
                    </w:rPr>
                  </w:pPr>
                </w:p>
              </w:tc>
              <w:tc>
                <w:tcPr>
                  <w:tcW w:w="662" w:type="pct"/>
                  <w:gridSpan w:val="3"/>
                  <w:noWrap w:val="0"/>
                  <w:vAlign w:val="center"/>
                </w:tcPr>
                <w:p w14:paraId="36AADC81">
                  <w:pPr>
                    <w:pStyle w:val="28"/>
                    <w:rPr>
                      <w:rFonts w:hint="default" w:eastAsia="宋体"/>
                      <w:bCs/>
                      <w:color w:val="auto"/>
                      <w:szCs w:val="21"/>
                      <w:lang w:val="en-US" w:eastAsia="zh-CN"/>
                    </w:rPr>
                  </w:pPr>
                  <w:r>
                    <w:rPr>
                      <w:rFonts w:hint="eastAsia"/>
                      <w:color w:val="auto"/>
                      <w:szCs w:val="21"/>
                      <w:lang w:val="en-US" w:eastAsia="zh-CN"/>
                    </w:rPr>
                    <w:t>罐车清洗废水</w:t>
                  </w:r>
                </w:p>
              </w:tc>
              <w:tc>
                <w:tcPr>
                  <w:tcW w:w="3407" w:type="pct"/>
                  <w:gridSpan w:val="3"/>
                  <w:noWrap w:val="0"/>
                  <w:vAlign w:val="center"/>
                </w:tcPr>
                <w:p w14:paraId="13BF153F">
                  <w:pPr>
                    <w:pStyle w:val="28"/>
                    <w:rPr>
                      <w:rFonts w:hint="default" w:eastAsia="宋体"/>
                      <w:bCs/>
                      <w:color w:val="auto"/>
                      <w:szCs w:val="21"/>
                      <w:lang w:val="en-US" w:eastAsia="zh-CN"/>
                    </w:rPr>
                  </w:pPr>
                  <w:r>
                    <w:rPr>
                      <w:rFonts w:hint="eastAsia"/>
                      <w:bCs/>
                      <w:color w:val="auto"/>
                      <w:szCs w:val="21"/>
                      <w:lang w:val="en-US" w:eastAsia="zh-CN"/>
                    </w:rPr>
                    <w:t>设置每个规格为2*3.5*1m的五级沉淀池（35m</w:t>
                  </w:r>
                  <w:r>
                    <w:rPr>
                      <w:rFonts w:hint="eastAsia"/>
                      <w:bCs/>
                      <w:color w:val="auto"/>
                      <w:szCs w:val="21"/>
                      <w:vertAlign w:val="superscript"/>
                      <w:lang w:val="en-US" w:eastAsia="zh-CN"/>
                    </w:rPr>
                    <w:t>3</w:t>
                  </w:r>
                  <w:r>
                    <w:rPr>
                      <w:rFonts w:hint="eastAsia"/>
                      <w:bCs/>
                      <w:color w:val="auto"/>
                      <w:szCs w:val="21"/>
                      <w:lang w:val="en-US" w:eastAsia="zh-CN"/>
                    </w:rPr>
                    <w:t>），沉淀后回用于混凝土搅拌，不外排</w:t>
                  </w:r>
                </w:p>
              </w:tc>
              <w:tc>
                <w:tcPr>
                  <w:tcW w:w="281" w:type="pct"/>
                  <w:noWrap w:val="0"/>
                  <w:vAlign w:val="center"/>
                </w:tcPr>
                <w:p w14:paraId="249279B5">
                  <w:pPr>
                    <w:pStyle w:val="28"/>
                    <w:rPr>
                      <w:rFonts w:hint="eastAsia" w:eastAsia="宋体"/>
                      <w:color w:val="auto"/>
                      <w:szCs w:val="21"/>
                      <w:lang w:val="en-US" w:eastAsia="zh-CN"/>
                    </w:rPr>
                  </w:pPr>
                  <w:r>
                    <w:rPr>
                      <w:rFonts w:hint="eastAsia"/>
                      <w:color w:val="auto"/>
                      <w:szCs w:val="21"/>
                      <w:lang w:val="en-US" w:eastAsia="zh-CN"/>
                    </w:rPr>
                    <w:t>已建</w:t>
                  </w:r>
                </w:p>
              </w:tc>
            </w:tr>
            <w:tr w14:paraId="27716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260" w:type="pct"/>
                  <w:vMerge w:val="continue"/>
                  <w:noWrap w:val="0"/>
                  <w:vAlign w:val="center"/>
                </w:tcPr>
                <w:p w14:paraId="0744D342">
                  <w:pPr>
                    <w:pStyle w:val="28"/>
                    <w:rPr>
                      <w:bCs/>
                      <w:color w:val="auto"/>
                      <w:szCs w:val="21"/>
                    </w:rPr>
                  </w:pPr>
                </w:p>
              </w:tc>
              <w:tc>
                <w:tcPr>
                  <w:tcW w:w="388" w:type="pct"/>
                  <w:vMerge w:val="continue"/>
                  <w:noWrap w:val="0"/>
                  <w:vAlign w:val="center"/>
                </w:tcPr>
                <w:p w14:paraId="6A5C9EC8">
                  <w:pPr>
                    <w:pStyle w:val="28"/>
                    <w:rPr>
                      <w:rFonts w:hint="eastAsia" w:hAnsi="宋体"/>
                      <w:color w:val="auto"/>
                      <w:szCs w:val="21"/>
                    </w:rPr>
                  </w:pPr>
                </w:p>
              </w:tc>
              <w:tc>
                <w:tcPr>
                  <w:tcW w:w="662" w:type="pct"/>
                  <w:gridSpan w:val="3"/>
                  <w:noWrap w:val="0"/>
                  <w:vAlign w:val="center"/>
                </w:tcPr>
                <w:p w14:paraId="3F504C91">
                  <w:pPr>
                    <w:pStyle w:val="28"/>
                    <w:rPr>
                      <w:rFonts w:hint="eastAsia"/>
                      <w:bCs/>
                      <w:color w:val="auto"/>
                      <w:szCs w:val="21"/>
                    </w:rPr>
                  </w:pPr>
                  <w:r>
                    <w:rPr>
                      <w:bCs/>
                      <w:color w:val="auto"/>
                      <w:szCs w:val="21"/>
                    </w:rPr>
                    <w:t>初期雨水</w:t>
                  </w:r>
                </w:p>
              </w:tc>
              <w:tc>
                <w:tcPr>
                  <w:tcW w:w="3407" w:type="pct"/>
                  <w:gridSpan w:val="3"/>
                  <w:noWrap w:val="0"/>
                  <w:vAlign w:val="center"/>
                </w:tcPr>
                <w:p w14:paraId="02F8186A">
                  <w:pPr>
                    <w:pStyle w:val="28"/>
                    <w:rPr>
                      <w:rFonts w:hint="eastAsia"/>
                      <w:bCs/>
                      <w:color w:val="auto"/>
                      <w:szCs w:val="21"/>
                    </w:rPr>
                  </w:pPr>
                  <w:r>
                    <w:rPr>
                      <w:rFonts w:hint="eastAsia"/>
                      <w:bCs/>
                      <w:color w:val="auto"/>
                      <w:szCs w:val="21"/>
                    </w:rPr>
                    <w:t>排入</w:t>
                  </w:r>
                  <w:r>
                    <w:rPr>
                      <w:rFonts w:hint="eastAsia"/>
                      <w:bCs/>
                      <w:color w:val="auto"/>
                      <w:szCs w:val="21"/>
                      <w:lang w:val="en-US" w:eastAsia="zh-CN"/>
                    </w:rPr>
                    <w:t>1个容积为45m</w:t>
                  </w:r>
                  <w:r>
                    <w:rPr>
                      <w:rFonts w:hint="eastAsia"/>
                      <w:bCs/>
                      <w:color w:val="auto"/>
                      <w:szCs w:val="21"/>
                      <w:vertAlign w:val="superscript"/>
                      <w:lang w:val="en-US" w:eastAsia="zh-CN"/>
                    </w:rPr>
                    <w:t>3</w:t>
                  </w:r>
                  <w:r>
                    <w:rPr>
                      <w:rFonts w:hint="eastAsia"/>
                      <w:bCs/>
                      <w:color w:val="auto"/>
                      <w:szCs w:val="21"/>
                      <w:lang w:val="en-US" w:eastAsia="zh-CN"/>
                    </w:rPr>
                    <w:t>的</w:t>
                  </w:r>
                  <w:r>
                    <w:rPr>
                      <w:rFonts w:hint="eastAsia"/>
                      <w:bCs/>
                      <w:color w:val="auto"/>
                      <w:szCs w:val="21"/>
                    </w:rPr>
                    <w:t>初期雨水收集池，经沉淀后回用于混凝土搅拌工序</w:t>
                  </w:r>
                </w:p>
              </w:tc>
              <w:tc>
                <w:tcPr>
                  <w:tcW w:w="281" w:type="pct"/>
                  <w:noWrap w:val="0"/>
                  <w:vAlign w:val="center"/>
                </w:tcPr>
                <w:p w14:paraId="68496F2A">
                  <w:pPr>
                    <w:pStyle w:val="28"/>
                    <w:rPr>
                      <w:rFonts w:hint="default" w:eastAsia="宋体"/>
                      <w:bCs/>
                      <w:color w:val="auto"/>
                      <w:szCs w:val="21"/>
                      <w:lang w:val="en-US" w:eastAsia="zh-CN"/>
                    </w:rPr>
                  </w:pPr>
                  <w:r>
                    <w:rPr>
                      <w:rFonts w:hint="eastAsia"/>
                      <w:bCs/>
                      <w:color w:val="auto"/>
                      <w:szCs w:val="21"/>
                      <w:lang w:val="en-US" w:eastAsia="zh-CN"/>
                    </w:rPr>
                    <w:t>环评提出</w:t>
                  </w:r>
                </w:p>
              </w:tc>
            </w:tr>
            <w:tr w14:paraId="40BD0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0" w:type="pct"/>
                  <w:vMerge w:val="continue"/>
                  <w:noWrap w:val="0"/>
                  <w:vAlign w:val="center"/>
                </w:tcPr>
                <w:p w14:paraId="10B28CE4">
                  <w:pPr>
                    <w:pStyle w:val="28"/>
                    <w:rPr>
                      <w:bCs/>
                      <w:color w:val="auto"/>
                      <w:szCs w:val="21"/>
                    </w:rPr>
                  </w:pPr>
                </w:p>
              </w:tc>
              <w:tc>
                <w:tcPr>
                  <w:tcW w:w="388" w:type="pct"/>
                  <w:noWrap w:val="0"/>
                  <w:vAlign w:val="center"/>
                </w:tcPr>
                <w:p w14:paraId="2A44D728">
                  <w:pPr>
                    <w:pStyle w:val="28"/>
                    <w:rPr>
                      <w:rFonts w:hint="eastAsia" w:hAnsi="宋体"/>
                      <w:color w:val="auto"/>
                      <w:szCs w:val="21"/>
                    </w:rPr>
                  </w:pPr>
                  <w:r>
                    <w:rPr>
                      <w:rFonts w:hint="eastAsia" w:hAnsi="宋体"/>
                      <w:color w:val="auto"/>
                      <w:szCs w:val="21"/>
                    </w:rPr>
                    <w:t>噪声</w:t>
                  </w:r>
                </w:p>
              </w:tc>
              <w:tc>
                <w:tcPr>
                  <w:tcW w:w="4069" w:type="pct"/>
                  <w:gridSpan w:val="6"/>
                  <w:noWrap w:val="0"/>
                  <w:vAlign w:val="center"/>
                </w:tcPr>
                <w:p w14:paraId="0A84E1FA">
                  <w:pPr>
                    <w:pStyle w:val="28"/>
                    <w:rPr>
                      <w:rFonts w:hint="eastAsia"/>
                      <w:bCs/>
                      <w:color w:val="auto"/>
                      <w:szCs w:val="21"/>
                    </w:rPr>
                  </w:pPr>
                  <w:r>
                    <w:rPr>
                      <w:rFonts w:hAnsi="宋体"/>
                      <w:snapToGrid w:val="0"/>
                      <w:color w:val="auto"/>
                      <w:szCs w:val="21"/>
                    </w:rPr>
                    <w:t>选用低噪声设备；隔声、减震措施；绿化降噪</w:t>
                  </w:r>
                </w:p>
              </w:tc>
              <w:tc>
                <w:tcPr>
                  <w:tcW w:w="281" w:type="pct"/>
                  <w:noWrap w:val="0"/>
                  <w:vAlign w:val="center"/>
                </w:tcPr>
                <w:p w14:paraId="6C3F2EC6">
                  <w:pPr>
                    <w:pStyle w:val="28"/>
                    <w:rPr>
                      <w:rFonts w:hAnsi="宋体"/>
                      <w:snapToGrid w:val="0"/>
                      <w:color w:val="auto"/>
                      <w:szCs w:val="21"/>
                    </w:rPr>
                  </w:pPr>
                  <w:r>
                    <w:rPr>
                      <w:rFonts w:hint="eastAsia"/>
                      <w:bCs/>
                      <w:color w:val="auto"/>
                      <w:szCs w:val="21"/>
                      <w:lang w:val="en-US" w:eastAsia="zh-CN"/>
                    </w:rPr>
                    <w:t>环评提出</w:t>
                  </w:r>
                </w:p>
              </w:tc>
            </w:tr>
            <w:tr w14:paraId="16893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260" w:type="pct"/>
                  <w:vMerge w:val="continue"/>
                  <w:noWrap w:val="0"/>
                  <w:vAlign w:val="center"/>
                </w:tcPr>
                <w:p w14:paraId="7B104D77">
                  <w:pPr>
                    <w:pStyle w:val="28"/>
                    <w:rPr>
                      <w:bCs/>
                      <w:color w:val="auto"/>
                      <w:szCs w:val="21"/>
                    </w:rPr>
                  </w:pPr>
                </w:p>
              </w:tc>
              <w:tc>
                <w:tcPr>
                  <w:tcW w:w="388" w:type="pct"/>
                  <w:vMerge w:val="restart"/>
                  <w:noWrap w:val="0"/>
                  <w:vAlign w:val="center"/>
                </w:tcPr>
                <w:p w14:paraId="05E56BA7">
                  <w:pPr>
                    <w:pStyle w:val="28"/>
                    <w:rPr>
                      <w:rFonts w:hAnsi="宋体"/>
                      <w:color w:val="auto"/>
                      <w:szCs w:val="21"/>
                    </w:rPr>
                  </w:pPr>
                  <w:r>
                    <w:rPr>
                      <w:rFonts w:hint="eastAsia" w:hAnsi="宋体"/>
                      <w:color w:val="auto"/>
                      <w:szCs w:val="21"/>
                    </w:rPr>
                    <w:t>固体废物</w:t>
                  </w:r>
                </w:p>
              </w:tc>
              <w:tc>
                <w:tcPr>
                  <w:tcW w:w="371" w:type="pct"/>
                  <w:gridSpan w:val="2"/>
                  <w:vMerge w:val="restart"/>
                  <w:noWrap w:val="0"/>
                  <w:vAlign w:val="center"/>
                </w:tcPr>
                <w:p w14:paraId="5C804573">
                  <w:pPr>
                    <w:pStyle w:val="28"/>
                    <w:rPr>
                      <w:rFonts w:hAnsi="宋体"/>
                      <w:snapToGrid w:val="0"/>
                      <w:color w:val="auto"/>
                      <w:szCs w:val="21"/>
                    </w:rPr>
                  </w:pPr>
                  <w:r>
                    <w:rPr>
                      <w:rFonts w:hint="eastAsia" w:hAnsi="宋体"/>
                      <w:snapToGrid w:val="0"/>
                      <w:color w:val="auto"/>
                      <w:szCs w:val="21"/>
                    </w:rPr>
                    <w:t>一般固废</w:t>
                  </w:r>
                </w:p>
              </w:tc>
              <w:tc>
                <w:tcPr>
                  <w:tcW w:w="534" w:type="pct"/>
                  <w:gridSpan w:val="2"/>
                  <w:noWrap w:val="0"/>
                  <w:vAlign w:val="center"/>
                </w:tcPr>
                <w:p w14:paraId="57D735F5">
                  <w:pPr>
                    <w:pStyle w:val="28"/>
                    <w:rPr>
                      <w:color w:val="auto"/>
                      <w:szCs w:val="21"/>
                    </w:rPr>
                  </w:pPr>
                  <w:r>
                    <w:rPr>
                      <w:color w:val="auto"/>
                      <w:szCs w:val="21"/>
                    </w:rPr>
                    <w:t>生活</w:t>
                  </w:r>
                </w:p>
                <w:p w14:paraId="547E40EB">
                  <w:pPr>
                    <w:pStyle w:val="28"/>
                    <w:rPr>
                      <w:rFonts w:hAnsi="宋体"/>
                      <w:snapToGrid w:val="0"/>
                      <w:color w:val="auto"/>
                      <w:szCs w:val="21"/>
                    </w:rPr>
                  </w:pPr>
                  <w:r>
                    <w:rPr>
                      <w:color w:val="auto"/>
                      <w:szCs w:val="21"/>
                    </w:rPr>
                    <w:t>垃圾</w:t>
                  </w:r>
                </w:p>
              </w:tc>
              <w:tc>
                <w:tcPr>
                  <w:tcW w:w="3164" w:type="pct"/>
                  <w:gridSpan w:val="2"/>
                  <w:noWrap w:val="0"/>
                  <w:vAlign w:val="center"/>
                </w:tcPr>
                <w:p w14:paraId="35EC9DCC">
                  <w:pPr>
                    <w:pStyle w:val="28"/>
                    <w:rPr>
                      <w:rFonts w:hint="eastAsia"/>
                      <w:color w:val="auto"/>
                      <w:szCs w:val="21"/>
                      <w:lang w:val="en-US" w:eastAsia="zh-CN"/>
                    </w:rPr>
                  </w:pPr>
                  <w:r>
                    <w:rPr>
                      <w:color w:val="auto"/>
                      <w:szCs w:val="21"/>
                    </w:rPr>
                    <w:t>项目设有生活垃圾收集箱，生活垃圾分类收集后清运至</w:t>
                  </w:r>
                  <w:r>
                    <w:rPr>
                      <w:rFonts w:hint="eastAsia"/>
                      <w:color w:val="auto"/>
                      <w:szCs w:val="21"/>
                    </w:rPr>
                    <w:t>仁德街道</w:t>
                  </w:r>
                  <w:r>
                    <w:rPr>
                      <w:color w:val="auto"/>
                      <w:szCs w:val="21"/>
                    </w:rPr>
                    <w:t>设置的垃圾收集点，由</w:t>
                  </w:r>
                  <w:r>
                    <w:rPr>
                      <w:rFonts w:hint="eastAsia"/>
                      <w:color w:val="auto"/>
                      <w:szCs w:val="21"/>
                      <w:lang w:val="en-US" w:eastAsia="zh-CN"/>
                    </w:rPr>
                    <w:t>昆明洁龙保洁服务有限公司</w:t>
                  </w:r>
                </w:p>
                <w:p w14:paraId="63DB3A37">
                  <w:pPr>
                    <w:pStyle w:val="28"/>
                    <w:rPr>
                      <w:rFonts w:hAnsi="宋体"/>
                      <w:snapToGrid w:val="0"/>
                      <w:color w:val="auto"/>
                      <w:szCs w:val="21"/>
                    </w:rPr>
                  </w:pPr>
                  <w:r>
                    <w:rPr>
                      <w:rFonts w:hint="eastAsia"/>
                      <w:color w:val="auto"/>
                      <w:szCs w:val="21"/>
                    </w:rPr>
                    <w:t>清运处置</w:t>
                  </w:r>
                  <w:r>
                    <w:rPr>
                      <w:rFonts w:hint="eastAsia"/>
                      <w:color w:val="auto"/>
                      <w:szCs w:val="21"/>
                      <w:lang w:eastAsia="zh-CN"/>
                    </w:rPr>
                    <w:t>（</w:t>
                  </w:r>
                  <w:r>
                    <w:rPr>
                      <w:rFonts w:hint="eastAsia"/>
                      <w:color w:val="auto"/>
                      <w:szCs w:val="21"/>
                      <w:lang w:val="en-US" w:eastAsia="zh-CN"/>
                    </w:rPr>
                    <w:t>见附件11</w:t>
                  </w:r>
                  <w:r>
                    <w:rPr>
                      <w:rFonts w:hint="eastAsia"/>
                      <w:color w:val="auto"/>
                      <w:szCs w:val="21"/>
                      <w:lang w:eastAsia="zh-CN"/>
                    </w:rPr>
                    <w:t>）</w:t>
                  </w:r>
                </w:p>
              </w:tc>
              <w:tc>
                <w:tcPr>
                  <w:tcW w:w="281" w:type="pct"/>
                  <w:noWrap w:val="0"/>
                  <w:vAlign w:val="center"/>
                </w:tcPr>
                <w:p w14:paraId="399F94AD">
                  <w:pPr>
                    <w:pStyle w:val="28"/>
                    <w:rPr>
                      <w:rFonts w:hint="eastAsia" w:eastAsia="宋体"/>
                      <w:color w:val="auto"/>
                      <w:szCs w:val="21"/>
                      <w:lang w:eastAsia="zh-CN"/>
                    </w:rPr>
                  </w:pPr>
                  <w:r>
                    <w:rPr>
                      <w:rFonts w:hint="eastAsia"/>
                      <w:bCs/>
                      <w:color w:val="auto"/>
                      <w:szCs w:val="21"/>
                      <w:lang w:val="en-US" w:eastAsia="zh-CN"/>
                    </w:rPr>
                    <w:t>已建</w:t>
                  </w:r>
                </w:p>
              </w:tc>
            </w:tr>
            <w:tr w14:paraId="1FBE6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260" w:type="pct"/>
                  <w:vMerge w:val="continue"/>
                  <w:noWrap w:val="0"/>
                  <w:vAlign w:val="center"/>
                </w:tcPr>
                <w:p w14:paraId="4C27BBC6">
                  <w:pPr>
                    <w:pStyle w:val="28"/>
                    <w:rPr>
                      <w:bCs/>
                      <w:color w:val="auto"/>
                      <w:szCs w:val="21"/>
                    </w:rPr>
                  </w:pPr>
                </w:p>
              </w:tc>
              <w:tc>
                <w:tcPr>
                  <w:tcW w:w="388" w:type="pct"/>
                  <w:vMerge w:val="continue"/>
                  <w:noWrap w:val="0"/>
                  <w:vAlign w:val="center"/>
                </w:tcPr>
                <w:p w14:paraId="55319A90">
                  <w:pPr>
                    <w:pStyle w:val="28"/>
                    <w:rPr>
                      <w:rFonts w:hint="eastAsia" w:hAnsi="宋体"/>
                      <w:color w:val="auto"/>
                      <w:szCs w:val="21"/>
                    </w:rPr>
                  </w:pPr>
                </w:p>
              </w:tc>
              <w:tc>
                <w:tcPr>
                  <w:tcW w:w="371" w:type="pct"/>
                  <w:gridSpan w:val="2"/>
                  <w:vMerge w:val="continue"/>
                  <w:noWrap w:val="0"/>
                  <w:vAlign w:val="center"/>
                </w:tcPr>
                <w:p w14:paraId="2D43E029">
                  <w:pPr>
                    <w:pStyle w:val="28"/>
                    <w:rPr>
                      <w:rFonts w:hint="eastAsia" w:hAnsi="宋体"/>
                      <w:snapToGrid w:val="0"/>
                      <w:color w:val="auto"/>
                      <w:szCs w:val="21"/>
                    </w:rPr>
                  </w:pPr>
                </w:p>
              </w:tc>
              <w:tc>
                <w:tcPr>
                  <w:tcW w:w="534" w:type="pct"/>
                  <w:gridSpan w:val="2"/>
                  <w:noWrap w:val="0"/>
                  <w:vAlign w:val="center"/>
                </w:tcPr>
                <w:p w14:paraId="092130C8">
                  <w:pPr>
                    <w:pStyle w:val="28"/>
                    <w:rPr>
                      <w:rFonts w:hAnsi="宋体"/>
                      <w:snapToGrid w:val="0"/>
                      <w:color w:val="auto"/>
                      <w:szCs w:val="21"/>
                    </w:rPr>
                  </w:pPr>
                  <w:r>
                    <w:rPr>
                      <w:color w:val="auto"/>
                      <w:szCs w:val="21"/>
                    </w:rPr>
                    <w:t>化粪池淤泥</w:t>
                  </w:r>
                </w:p>
              </w:tc>
              <w:tc>
                <w:tcPr>
                  <w:tcW w:w="3164" w:type="pct"/>
                  <w:gridSpan w:val="2"/>
                  <w:noWrap w:val="0"/>
                  <w:vAlign w:val="center"/>
                </w:tcPr>
                <w:p w14:paraId="4758FF5A">
                  <w:pPr>
                    <w:pStyle w:val="28"/>
                    <w:rPr>
                      <w:rFonts w:hAnsi="宋体"/>
                      <w:snapToGrid w:val="0"/>
                      <w:color w:val="auto"/>
                      <w:szCs w:val="21"/>
                    </w:rPr>
                  </w:pPr>
                  <w:r>
                    <w:rPr>
                      <w:rFonts w:hint="eastAsia"/>
                      <w:color w:val="auto"/>
                      <w:szCs w:val="21"/>
                    </w:rPr>
                    <w:t>项目区建设两个化粪池</w:t>
                  </w:r>
                  <w:r>
                    <w:rPr>
                      <w:rFonts w:hint="eastAsia"/>
                      <w:color w:val="auto"/>
                      <w:szCs w:val="21"/>
                      <w:lang w:eastAsia="zh-CN"/>
                    </w:rPr>
                    <w:t>（</w:t>
                  </w:r>
                  <w:r>
                    <w:rPr>
                      <w:rFonts w:hint="eastAsia"/>
                      <w:color w:val="auto"/>
                      <w:szCs w:val="21"/>
                      <w:lang w:val="en-US" w:eastAsia="zh-CN"/>
                    </w:rPr>
                    <w:t>1#化粪池为30m</w:t>
                  </w:r>
                  <w:r>
                    <w:rPr>
                      <w:rFonts w:hint="eastAsia"/>
                      <w:color w:val="auto"/>
                      <w:szCs w:val="21"/>
                      <w:vertAlign w:val="superscript"/>
                      <w:lang w:val="en-US" w:eastAsia="zh-CN"/>
                    </w:rPr>
                    <w:t>3</w:t>
                  </w:r>
                  <w:r>
                    <w:rPr>
                      <w:rFonts w:hint="eastAsia"/>
                      <w:color w:val="auto"/>
                      <w:szCs w:val="21"/>
                      <w:lang w:val="en-US" w:eastAsia="zh-CN"/>
                    </w:rPr>
                    <w:t>，2#化粪池为15m</w:t>
                  </w:r>
                  <w:r>
                    <w:rPr>
                      <w:rFonts w:hint="eastAsia"/>
                      <w:color w:val="auto"/>
                      <w:szCs w:val="21"/>
                      <w:vertAlign w:val="superscript"/>
                      <w:lang w:val="en-US" w:eastAsia="zh-CN"/>
                    </w:rPr>
                    <w:t>3</w:t>
                  </w:r>
                  <w:r>
                    <w:rPr>
                      <w:rFonts w:hint="eastAsia"/>
                      <w:color w:val="auto"/>
                      <w:szCs w:val="21"/>
                      <w:lang w:eastAsia="zh-CN"/>
                    </w:rPr>
                    <w:t>）</w:t>
                  </w:r>
                  <w:r>
                    <w:rPr>
                      <w:rFonts w:hint="eastAsia"/>
                      <w:color w:val="auto"/>
                      <w:szCs w:val="21"/>
                    </w:rPr>
                    <w:t>，共计</w:t>
                  </w:r>
                  <w:r>
                    <w:rPr>
                      <w:rFonts w:hint="eastAsia"/>
                      <w:color w:val="auto"/>
                      <w:szCs w:val="21"/>
                      <w:lang w:val="en-US" w:eastAsia="zh-CN"/>
                    </w:rPr>
                    <w:t>45</w:t>
                  </w:r>
                  <w:r>
                    <w:rPr>
                      <w:rFonts w:hint="eastAsia"/>
                      <w:color w:val="auto"/>
                      <w:szCs w:val="21"/>
                    </w:rPr>
                    <w:t>m</w:t>
                  </w:r>
                  <w:r>
                    <w:rPr>
                      <w:rFonts w:hint="eastAsia"/>
                      <w:color w:val="auto"/>
                      <w:szCs w:val="21"/>
                      <w:vertAlign w:val="superscript"/>
                    </w:rPr>
                    <w:t>3</w:t>
                  </w:r>
                  <w:r>
                    <w:rPr>
                      <w:rFonts w:hint="eastAsia"/>
                      <w:color w:val="auto"/>
                      <w:szCs w:val="21"/>
                    </w:rPr>
                    <w:t>，足够容纳项目区产生的粪便，</w:t>
                  </w:r>
                  <w:r>
                    <w:rPr>
                      <w:color w:val="auto"/>
                      <w:szCs w:val="21"/>
                    </w:rPr>
                    <w:t>化粪池</w:t>
                  </w:r>
                  <w:r>
                    <w:rPr>
                      <w:rFonts w:hint="eastAsia"/>
                      <w:color w:val="auto"/>
                      <w:szCs w:val="21"/>
                      <w:lang w:val="en-US" w:eastAsia="zh-CN"/>
                    </w:rPr>
                    <w:t>污</w:t>
                  </w:r>
                  <w:r>
                    <w:rPr>
                      <w:color w:val="auto"/>
                      <w:szCs w:val="21"/>
                    </w:rPr>
                    <w:t>泥</w:t>
                  </w:r>
                  <w:r>
                    <w:rPr>
                      <w:rFonts w:hint="eastAsia"/>
                      <w:color w:val="auto"/>
                      <w:szCs w:val="21"/>
                    </w:rPr>
                    <w:t>委托</w:t>
                  </w:r>
                  <w:r>
                    <w:rPr>
                      <w:rFonts w:hint="eastAsia"/>
                      <w:color w:val="auto"/>
                      <w:szCs w:val="21"/>
                      <w:lang w:val="en-US" w:eastAsia="zh-CN"/>
                    </w:rPr>
                    <w:t>昆明洁龙保洁服务有限公司</w:t>
                  </w:r>
                  <w:r>
                    <w:rPr>
                      <w:color w:val="auto"/>
                      <w:szCs w:val="21"/>
                    </w:rPr>
                    <w:t>定期</w:t>
                  </w:r>
                  <w:r>
                    <w:rPr>
                      <w:rFonts w:hint="eastAsia"/>
                      <w:color w:val="auto"/>
                      <w:szCs w:val="21"/>
                    </w:rPr>
                    <w:t>清掏</w:t>
                  </w:r>
                </w:p>
              </w:tc>
              <w:tc>
                <w:tcPr>
                  <w:tcW w:w="281" w:type="pct"/>
                  <w:noWrap w:val="0"/>
                  <w:vAlign w:val="center"/>
                </w:tcPr>
                <w:p w14:paraId="0BCFF226">
                  <w:pPr>
                    <w:pStyle w:val="28"/>
                    <w:rPr>
                      <w:rFonts w:hint="eastAsia" w:eastAsia="宋体"/>
                      <w:color w:val="auto"/>
                      <w:szCs w:val="21"/>
                      <w:lang w:eastAsia="zh-CN"/>
                    </w:rPr>
                  </w:pPr>
                  <w:r>
                    <w:rPr>
                      <w:rFonts w:hint="eastAsia"/>
                      <w:bCs/>
                      <w:color w:val="auto"/>
                      <w:szCs w:val="21"/>
                      <w:lang w:val="en-US" w:eastAsia="zh-CN"/>
                    </w:rPr>
                    <w:t>已建</w:t>
                  </w:r>
                </w:p>
              </w:tc>
            </w:tr>
            <w:tr w14:paraId="0455D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260" w:type="pct"/>
                  <w:vMerge w:val="continue"/>
                  <w:noWrap w:val="0"/>
                  <w:vAlign w:val="center"/>
                </w:tcPr>
                <w:p w14:paraId="3B4EA9BA">
                  <w:pPr>
                    <w:pStyle w:val="28"/>
                    <w:rPr>
                      <w:bCs/>
                      <w:color w:val="auto"/>
                      <w:szCs w:val="21"/>
                    </w:rPr>
                  </w:pPr>
                </w:p>
              </w:tc>
              <w:tc>
                <w:tcPr>
                  <w:tcW w:w="388" w:type="pct"/>
                  <w:vMerge w:val="continue"/>
                  <w:noWrap w:val="0"/>
                  <w:vAlign w:val="center"/>
                </w:tcPr>
                <w:p w14:paraId="02BF0654">
                  <w:pPr>
                    <w:pStyle w:val="28"/>
                    <w:rPr>
                      <w:rFonts w:hint="eastAsia" w:hAnsi="宋体"/>
                      <w:color w:val="auto"/>
                      <w:szCs w:val="21"/>
                    </w:rPr>
                  </w:pPr>
                </w:p>
              </w:tc>
              <w:tc>
                <w:tcPr>
                  <w:tcW w:w="371" w:type="pct"/>
                  <w:gridSpan w:val="2"/>
                  <w:vMerge w:val="continue"/>
                  <w:noWrap w:val="0"/>
                  <w:vAlign w:val="center"/>
                </w:tcPr>
                <w:p w14:paraId="6FDCDB4F">
                  <w:pPr>
                    <w:pStyle w:val="28"/>
                    <w:rPr>
                      <w:rFonts w:hint="eastAsia" w:hAnsi="宋体"/>
                      <w:snapToGrid w:val="0"/>
                      <w:color w:val="auto"/>
                      <w:szCs w:val="21"/>
                    </w:rPr>
                  </w:pPr>
                </w:p>
              </w:tc>
              <w:tc>
                <w:tcPr>
                  <w:tcW w:w="534" w:type="pct"/>
                  <w:gridSpan w:val="2"/>
                  <w:noWrap w:val="0"/>
                  <w:vAlign w:val="center"/>
                </w:tcPr>
                <w:p w14:paraId="3A14B6C9">
                  <w:pPr>
                    <w:pStyle w:val="28"/>
                    <w:rPr>
                      <w:color w:val="auto"/>
                      <w:szCs w:val="21"/>
                    </w:rPr>
                  </w:pPr>
                  <w:r>
                    <w:rPr>
                      <w:rFonts w:hint="eastAsia"/>
                      <w:color w:val="auto"/>
                      <w:szCs w:val="21"/>
                    </w:rPr>
                    <w:t>食堂泔水和油水分离器废油</w:t>
                  </w:r>
                </w:p>
              </w:tc>
              <w:tc>
                <w:tcPr>
                  <w:tcW w:w="3164" w:type="pct"/>
                  <w:gridSpan w:val="2"/>
                  <w:noWrap w:val="0"/>
                  <w:vAlign w:val="center"/>
                </w:tcPr>
                <w:p w14:paraId="4ACFC643">
                  <w:pPr>
                    <w:pStyle w:val="28"/>
                    <w:rPr>
                      <w:rFonts w:hint="eastAsia" w:eastAsia="宋体"/>
                      <w:color w:val="auto"/>
                      <w:szCs w:val="21"/>
                      <w:lang w:val="en-US" w:eastAsia="zh-CN"/>
                    </w:rPr>
                  </w:pPr>
                  <w:r>
                    <w:rPr>
                      <w:rFonts w:hint="eastAsia"/>
                      <w:color w:val="auto"/>
                      <w:szCs w:val="21"/>
                    </w:rPr>
                    <w:t>经收集后</w:t>
                  </w:r>
                  <w:r>
                    <w:rPr>
                      <w:rFonts w:hint="eastAsia"/>
                      <w:color w:val="auto"/>
                      <w:szCs w:val="21"/>
                      <w:lang w:val="en-US" w:eastAsia="zh-CN"/>
                    </w:rPr>
                    <w:t>昆明洁龙保洁服务有限公司</w:t>
                  </w:r>
                  <w:r>
                    <w:rPr>
                      <w:color w:val="auto"/>
                      <w:szCs w:val="21"/>
                    </w:rPr>
                    <w:t>定期</w:t>
                  </w:r>
                  <w:r>
                    <w:rPr>
                      <w:rFonts w:hint="eastAsia"/>
                      <w:color w:val="auto"/>
                      <w:szCs w:val="21"/>
                    </w:rPr>
                    <w:t>清掏</w:t>
                  </w:r>
                  <w:r>
                    <w:rPr>
                      <w:rFonts w:hint="eastAsia"/>
                      <w:color w:val="auto"/>
                      <w:szCs w:val="21"/>
                      <w:lang w:val="en-US" w:eastAsia="zh-CN"/>
                    </w:rPr>
                    <w:t>处置</w:t>
                  </w:r>
                </w:p>
              </w:tc>
              <w:tc>
                <w:tcPr>
                  <w:tcW w:w="281" w:type="pct"/>
                  <w:noWrap w:val="0"/>
                  <w:vAlign w:val="center"/>
                </w:tcPr>
                <w:p w14:paraId="54A8E849">
                  <w:pPr>
                    <w:pStyle w:val="28"/>
                    <w:rPr>
                      <w:rFonts w:hint="eastAsia"/>
                      <w:bCs/>
                      <w:color w:val="auto"/>
                      <w:szCs w:val="21"/>
                    </w:rPr>
                  </w:pPr>
                  <w:r>
                    <w:rPr>
                      <w:rFonts w:hint="eastAsia"/>
                      <w:bCs/>
                      <w:color w:val="auto"/>
                      <w:szCs w:val="21"/>
                      <w:lang w:val="en-US" w:eastAsia="zh-CN"/>
                    </w:rPr>
                    <w:t>环评提出</w:t>
                  </w:r>
                </w:p>
              </w:tc>
            </w:tr>
            <w:tr w14:paraId="58B9A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260" w:type="pct"/>
                  <w:vMerge w:val="continue"/>
                  <w:noWrap w:val="0"/>
                  <w:vAlign w:val="center"/>
                </w:tcPr>
                <w:p w14:paraId="7911D84D">
                  <w:pPr>
                    <w:pStyle w:val="28"/>
                    <w:rPr>
                      <w:bCs/>
                      <w:color w:val="auto"/>
                      <w:szCs w:val="21"/>
                    </w:rPr>
                  </w:pPr>
                </w:p>
              </w:tc>
              <w:tc>
                <w:tcPr>
                  <w:tcW w:w="388" w:type="pct"/>
                  <w:vMerge w:val="continue"/>
                  <w:noWrap w:val="0"/>
                  <w:vAlign w:val="center"/>
                </w:tcPr>
                <w:p w14:paraId="41B0F618">
                  <w:pPr>
                    <w:pStyle w:val="28"/>
                    <w:rPr>
                      <w:rFonts w:hint="eastAsia" w:hAnsi="宋体"/>
                      <w:color w:val="auto"/>
                      <w:szCs w:val="21"/>
                    </w:rPr>
                  </w:pPr>
                </w:p>
              </w:tc>
              <w:tc>
                <w:tcPr>
                  <w:tcW w:w="371" w:type="pct"/>
                  <w:gridSpan w:val="2"/>
                  <w:vMerge w:val="continue"/>
                  <w:noWrap w:val="0"/>
                  <w:vAlign w:val="center"/>
                </w:tcPr>
                <w:p w14:paraId="54A3DCF6">
                  <w:pPr>
                    <w:pStyle w:val="28"/>
                    <w:rPr>
                      <w:rFonts w:hint="eastAsia" w:hAnsi="宋体"/>
                      <w:snapToGrid w:val="0"/>
                      <w:color w:val="auto"/>
                      <w:szCs w:val="21"/>
                    </w:rPr>
                  </w:pPr>
                </w:p>
              </w:tc>
              <w:tc>
                <w:tcPr>
                  <w:tcW w:w="534" w:type="pct"/>
                  <w:gridSpan w:val="2"/>
                  <w:noWrap w:val="0"/>
                  <w:vAlign w:val="center"/>
                </w:tcPr>
                <w:p w14:paraId="5E73E646">
                  <w:pPr>
                    <w:pStyle w:val="28"/>
                    <w:rPr>
                      <w:rFonts w:hAnsi="宋体"/>
                      <w:snapToGrid w:val="0"/>
                      <w:color w:val="auto"/>
                      <w:szCs w:val="21"/>
                    </w:rPr>
                  </w:pPr>
                  <w:r>
                    <w:rPr>
                      <w:color w:val="auto"/>
                      <w:szCs w:val="21"/>
                    </w:rPr>
                    <w:t>沉淀池沉渣</w:t>
                  </w:r>
                </w:p>
              </w:tc>
              <w:tc>
                <w:tcPr>
                  <w:tcW w:w="3164" w:type="pct"/>
                  <w:gridSpan w:val="2"/>
                  <w:noWrap w:val="0"/>
                  <w:vAlign w:val="center"/>
                </w:tcPr>
                <w:p w14:paraId="3C75845F">
                  <w:pPr>
                    <w:pStyle w:val="28"/>
                    <w:rPr>
                      <w:rFonts w:hint="default"/>
                      <w:color w:val="auto"/>
                      <w:szCs w:val="21"/>
                      <w:lang w:val="en-US" w:eastAsia="zh-CN"/>
                    </w:rPr>
                  </w:pPr>
                  <w:r>
                    <w:rPr>
                      <w:rFonts w:hint="eastAsia"/>
                      <w:color w:val="auto"/>
                      <w:szCs w:val="21"/>
                      <w:lang w:val="en-US" w:eastAsia="zh-CN"/>
                    </w:rPr>
                    <w:t>定期清掏进行填埋处置</w:t>
                  </w:r>
                </w:p>
              </w:tc>
              <w:tc>
                <w:tcPr>
                  <w:tcW w:w="281" w:type="pct"/>
                  <w:noWrap w:val="0"/>
                  <w:vAlign w:val="center"/>
                </w:tcPr>
                <w:p w14:paraId="2F19A48F">
                  <w:pPr>
                    <w:pStyle w:val="28"/>
                    <w:rPr>
                      <w:rFonts w:hint="eastAsia" w:eastAsia="宋体"/>
                      <w:color w:val="auto"/>
                      <w:szCs w:val="21"/>
                      <w:lang w:eastAsia="zh-CN"/>
                    </w:rPr>
                  </w:pPr>
                  <w:r>
                    <w:rPr>
                      <w:rFonts w:hint="eastAsia"/>
                      <w:bCs/>
                      <w:color w:val="auto"/>
                      <w:szCs w:val="21"/>
                      <w:lang w:val="en-US" w:eastAsia="zh-CN"/>
                    </w:rPr>
                    <w:t>已建</w:t>
                  </w:r>
                </w:p>
              </w:tc>
            </w:tr>
            <w:tr w14:paraId="1EF08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260" w:type="pct"/>
                  <w:vMerge w:val="continue"/>
                  <w:noWrap w:val="0"/>
                  <w:vAlign w:val="center"/>
                </w:tcPr>
                <w:p w14:paraId="52283C2E">
                  <w:pPr>
                    <w:pStyle w:val="28"/>
                    <w:rPr>
                      <w:bCs/>
                      <w:color w:val="auto"/>
                      <w:szCs w:val="21"/>
                    </w:rPr>
                  </w:pPr>
                </w:p>
              </w:tc>
              <w:tc>
                <w:tcPr>
                  <w:tcW w:w="388" w:type="pct"/>
                  <w:vMerge w:val="continue"/>
                  <w:noWrap w:val="0"/>
                  <w:vAlign w:val="center"/>
                </w:tcPr>
                <w:p w14:paraId="1700877D">
                  <w:pPr>
                    <w:pStyle w:val="28"/>
                    <w:rPr>
                      <w:rFonts w:hint="eastAsia" w:hAnsi="宋体"/>
                      <w:color w:val="auto"/>
                      <w:szCs w:val="21"/>
                    </w:rPr>
                  </w:pPr>
                </w:p>
              </w:tc>
              <w:tc>
                <w:tcPr>
                  <w:tcW w:w="371" w:type="pct"/>
                  <w:gridSpan w:val="2"/>
                  <w:vMerge w:val="continue"/>
                  <w:noWrap w:val="0"/>
                  <w:vAlign w:val="center"/>
                </w:tcPr>
                <w:p w14:paraId="48CB697D">
                  <w:pPr>
                    <w:pStyle w:val="28"/>
                    <w:rPr>
                      <w:rFonts w:hint="eastAsia" w:hAnsi="宋体"/>
                      <w:snapToGrid w:val="0"/>
                      <w:color w:val="auto"/>
                      <w:szCs w:val="21"/>
                    </w:rPr>
                  </w:pPr>
                </w:p>
              </w:tc>
              <w:tc>
                <w:tcPr>
                  <w:tcW w:w="534" w:type="pct"/>
                  <w:gridSpan w:val="2"/>
                  <w:noWrap w:val="0"/>
                  <w:vAlign w:val="center"/>
                </w:tcPr>
                <w:p w14:paraId="6DD266E1">
                  <w:pPr>
                    <w:pStyle w:val="28"/>
                    <w:rPr>
                      <w:rFonts w:hAnsi="宋体"/>
                      <w:snapToGrid w:val="0"/>
                      <w:color w:val="auto"/>
                      <w:szCs w:val="21"/>
                    </w:rPr>
                  </w:pPr>
                  <w:r>
                    <w:rPr>
                      <w:color w:val="auto"/>
                      <w:szCs w:val="21"/>
                    </w:rPr>
                    <w:t>收尘器收集粉尘</w:t>
                  </w:r>
                </w:p>
              </w:tc>
              <w:tc>
                <w:tcPr>
                  <w:tcW w:w="3164" w:type="pct"/>
                  <w:gridSpan w:val="2"/>
                  <w:noWrap w:val="0"/>
                  <w:vAlign w:val="center"/>
                </w:tcPr>
                <w:p w14:paraId="372410C6">
                  <w:pPr>
                    <w:pStyle w:val="28"/>
                    <w:rPr>
                      <w:rFonts w:hAnsi="宋体"/>
                      <w:snapToGrid w:val="0"/>
                      <w:color w:val="auto"/>
                      <w:szCs w:val="21"/>
                    </w:rPr>
                  </w:pPr>
                  <w:r>
                    <w:rPr>
                      <w:color w:val="auto"/>
                      <w:szCs w:val="21"/>
                    </w:rPr>
                    <w:t>回用于</w:t>
                  </w:r>
                  <w:r>
                    <w:rPr>
                      <w:rFonts w:hint="eastAsia"/>
                      <w:color w:val="auto"/>
                      <w:szCs w:val="21"/>
                    </w:rPr>
                    <w:t>铁路轨枕</w:t>
                  </w:r>
                  <w:r>
                    <w:rPr>
                      <w:color w:val="auto"/>
                      <w:szCs w:val="21"/>
                    </w:rPr>
                    <w:t>生产</w:t>
                  </w:r>
                </w:p>
              </w:tc>
              <w:tc>
                <w:tcPr>
                  <w:tcW w:w="281" w:type="pct"/>
                  <w:noWrap w:val="0"/>
                  <w:vAlign w:val="center"/>
                </w:tcPr>
                <w:p w14:paraId="19B79BDA">
                  <w:pPr>
                    <w:pStyle w:val="28"/>
                    <w:rPr>
                      <w:rFonts w:hint="eastAsia" w:eastAsia="宋体"/>
                      <w:color w:val="auto"/>
                      <w:szCs w:val="21"/>
                      <w:lang w:eastAsia="zh-CN"/>
                    </w:rPr>
                  </w:pPr>
                  <w:r>
                    <w:rPr>
                      <w:rFonts w:hint="eastAsia"/>
                      <w:bCs/>
                      <w:color w:val="auto"/>
                      <w:szCs w:val="21"/>
                      <w:lang w:val="en-US" w:eastAsia="zh-CN"/>
                    </w:rPr>
                    <w:t>已建</w:t>
                  </w:r>
                </w:p>
              </w:tc>
            </w:tr>
            <w:tr w14:paraId="1D46C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260" w:type="pct"/>
                  <w:vMerge w:val="continue"/>
                  <w:noWrap w:val="0"/>
                  <w:vAlign w:val="center"/>
                </w:tcPr>
                <w:p w14:paraId="32645BE9">
                  <w:pPr>
                    <w:pStyle w:val="28"/>
                    <w:rPr>
                      <w:bCs/>
                      <w:color w:val="auto"/>
                      <w:szCs w:val="21"/>
                    </w:rPr>
                  </w:pPr>
                </w:p>
              </w:tc>
              <w:tc>
                <w:tcPr>
                  <w:tcW w:w="388" w:type="pct"/>
                  <w:vMerge w:val="continue"/>
                  <w:noWrap w:val="0"/>
                  <w:vAlign w:val="center"/>
                </w:tcPr>
                <w:p w14:paraId="5FC45CD2">
                  <w:pPr>
                    <w:pStyle w:val="28"/>
                    <w:rPr>
                      <w:rFonts w:hint="eastAsia" w:hAnsi="宋体"/>
                      <w:color w:val="auto"/>
                      <w:szCs w:val="21"/>
                    </w:rPr>
                  </w:pPr>
                </w:p>
              </w:tc>
              <w:tc>
                <w:tcPr>
                  <w:tcW w:w="371" w:type="pct"/>
                  <w:gridSpan w:val="2"/>
                  <w:vMerge w:val="continue"/>
                  <w:noWrap w:val="0"/>
                  <w:vAlign w:val="center"/>
                </w:tcPr>
                <w:p w14:paraId="2DBD8377">
                  <w:pPr>
                    <w:pStyle w:val="28"/>
                    <w:rPr>
                      <w:rFonts w:hint="eastAsia" w:hAnsi="宋体"/>
                      <w:snapToGrid w:val="0"/>
                      <w:color w:val="auto"/>
                      <w:szCs w:val="21"/>
                    </w:rPr>
                  </w:pPr>
                </w:p>
              </w:tc>
              <w:tc>
                <w:tcPr>
                  <w:tcW w:w="534" w:type="pct"/>
                  <w:gridSpan w:val="2"/>
                  <w:noWrap w:val="0"/>
                  <w:vAlign w:val="center"/>
                </w:tcPr>
                <w:p w14:paraId="63CF2C72">
                  <w:pPr>
                    <w:pStyle w:val="28"/>
                    <w:rPr>
                      <w:rFonts w:hAnsi="宋体"/>
                      <w:snapToGrid w:val="0"/>
                      <w:color w:val="auto"/>
                      <w:szCs w:val="21"/>
                    </w:rPr>
                  </w:pPr>
                  <w:r>
                    <w:rPr>
                      <w:color w:val="auto"/>
                      <w:szCs w:val="21"/>
                    </w:rPr>
                    <w:t>不合格产品</w:t>
                  </w:r>
                </w:p>
              </w:tc>
              <w:tc>
                <w:tcPr>
                  <w:tcW w:w="3164" w:type="pct"/>
                  <w:gridSpan w:val="2"/>
                  <w:noWrap w:val="0"/>
                  <w:vAlign w:val="center"/>
                </w:tcPr>
                <w:p w14:paraId="53BAB253">
                  <w:pPr>
                    <w:pStyle w:val="28"/>
                    <w:rPr>
                      <w:rFonts w:hAnsi="宋体"/>
                      <w:snapToGrid w:val="0"/>
                      <w:color w:val="auto"/>
                      <w:szCs w:val="21"/>
                    </w:rPr>
                  </w:pPr>
                  <w:r>
                    <w:rPr>
                      <w:rFonts w:hint="eastAsia"/>
                      <w:color w:val="auto"/>
                      <w:szCs w:val="21"/>
                    </w:rPr>
                    <w:t>不合格品经</w:t>
                  </w:r>
                  <w:r>
                    <w:rPr>
                      <w:color w:val="auto"/>
                      <w:szCs w:val="21"/>
                    </w:rPr>
                    <w:t>敲碎后钢筋取出收集后外售给废旧资源回收单位，混凝土块回用于</w:t>
                  </w:r>
                  <w:r>
                    <w:rPr>
                      <w:rFonts w:hint="eastAsia"/>
                      <w:color w:val="auto"/>
                      <w:szCs w:val="21"/>
                    </w:rPr>
                    <w:t>轨枕</w:t>
                  </w:r>
                  <w:r>
                    <w:rPr>
                      <w:color w:val="auto"/>
                      <w:szCs w:val="21"/>
                    </w:rPr>
                    <w:t>生产</w:t>
                  </w:r>
                </w:p>
              </w:tc>
              <w:tc>
                <w:tcPr>
                  <w:tcW w:w="281" w:type="pct"/>
                  <w:noWrap w:val="0"/>
                  <w:vAlign w:val="center"/>
                </w:tcPr>
                <w:p w14:paraId="3EBEFC85">
                  <w:pPr>
                    <w:pStyle w:val="28"/>
                    <w:rPr>
                      <w:rFonts w:hint="eastAsia" w:eastAsia="宋体"/>
                      <w:color w:val="auto"/>
                      <w:szCs w:val="21"/>
                      <w:lang w:eastAsia="zh-CN"/>
                    </w:rPr>
                  </w:pPr>
                  <w:r>
                    <w:rPr>
                      <w:rFonts w:hint="eastAsia"/>
                      <w:bCs/>
                      <w:color w:val="auto"/>
                      <w:szCs w:val="21"/>
                      <w:lang w:val="en-US" w:eastAsia="zh-CN"/>
                    </w:rPr>
                    <w:t>已建</w:t>
                  </w:r>
                </w:p>
              </w:tc>
            </w:tr>
            <w:tr w14:paraId="435ED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260" w:type="pct"/>
                  <w:vMerge w:val="continue"/>
                  <w:noWrap w:val="0"/>
                  <w:vAlign w:val="center"/>
                </w:tcPr>
                <w:p w14:paraId="15A0CDD6">
                  <w:pPr>
                    <w:pStyle w:val="28"/>
                    <w:rPr>
                      <w:bCs/>
                      <w:color w:val="auto"/>
                      <w:szCs w:val="21"/>
                    </w:rPr>
                  </w:pPr>
                </w:p>
              </w:tc>
              <w:tc>
                <w:tcPr>
                  <w:tcW w:w="388" w:type="pct"/>
                  <w:vMerge w:val="continue"/>
                  <w:noWrap w:val="0"/>
                  <w:vAlign w:val="center"/>
                </w:tcPr>
                <w:p w14:paraId="6DFFF0D5">
                  <w:pPr>
                    <w:pStyle w:val="28"/>
                    <w:rPr>
                      <w:rFonts w:hint="eastAsia" w:hAnsi="宋体"/>
                      <w:color w:val="auto"/>
                      <w:szCs w:val="21"/>
                    </w:rPr>
                  </w:pPr>
                </w:p>
              </w:tc>
              <w:tc>
                <w:tcPr>
                  <w:tcW w:w="371" w:type="pct"/>
                  <w:gridSpan w:val="2"/>
                  <w:vMerge w:val="continue"/>
                  <w:noWrap w:val="0"/>
                  <w:vAlign w:val="center"/>
                </w:tcPr>
                <w:p w14:paraId="106D8E3A">
                  <w:pPr>
                    <w:pStyle w:val="28"/>
                    <w:rPr>
                      <w:rFonts w:hint="eastAsia" w:hAnsi="宋体"/>
                      <w:snapToGrid w:val="0"/>
                      <w:color w:val="auto"/>
                      <w:szCs w:val="21"/>
                    </w:rPr>
                  </w:pPr>
                </w:p>
              </w:tc>
              <w:tc>
                <w:tcPr>
                  <w:tcW w:w="534" w:type="pct"/>
                  <w:gridSpan w:val="2"/>
                  <w:noWrap w:val="0"/>
                  <w:vAlign w:val="center"/>
                </w:tcPr>
                <w:p w14:paraId="64202B04">
                  <w:pPr>
                    <w:pStyle w:val="28"/>
                    <w:rPr>
                      <w:rFonts w:hAnsi="宋体"/>
                      <w:snapToGrid w:val="0"/>
                      <w:color w:val="auto"/>
                      <w:szCs w:val="21"/>
                    </w:rPr>
                  </w:pPr>
                  <w:r>
                    <w:rPr>
                      <w:color w:val="auto"/>
                      <w:spacing w:val="-2"/>
                      <w:szCs w:val="21"/>
                    </w:rPr>
                    <w:t>废钢筋边角料</w:t>
                  </w:r>
                </w:p>
              </w:tc>
              <w:tc>
                <w:tcPr>
                  <w:tcW w:w="3164" w:type="pct"/>
                  <w:gridSpan w:val="2"/>
                  <w:noWrap w:val="0"/>
                  <w:vAlign w:val="center"/>
                </w:tcPr>
                <w:p w14:paraId="35B11981">
                  <w:pPr>
                    <w:pStyle w:val="28"/>
                    <w:rPr>
                      <w:rFonts w:hAnsi="宋体"/>
                      <w:snapToGrid w:val="0"/>
                      <w:color w:val="auto"/>
                      <w:szCs w:val="21"/>
                    </w:rPr>
                  </w:pPr>
                  <w:r>
                    <w:rPr>
                      <w:color w:val="auto"/>
                      <w:szCs w:val="21"/>
                    </w:rPr>
                    <w:t>定期收集，收集后外售给废旧资源回收单位</w:t>
                  </w:r>
                </w:p>
              </w:tc>
              <w:tc>
                <w:tcPr>
                  <w:tcW w:w="281" w:type="pct"/>
                  <w:noWrap w:val="0"/>
                  <w:vAlign w:val="center"/>
                </w:tcPr>
                <w:p w14:paraId="606A3CAB">
                  <w:pPr>
                    <w:pStyle w:val="28"/>
                    <w:rPr>
                      <w:rFonts w:hint="eastAsia" w:eastAsia="宋体"/>
                      <w:color w:val="auto"/>
                      <w:szCs w:val="21"/>
                      <w:lang w:eastAsia="zh-CN"/>
                    </w:rPr>
                  </w:pPr>
                  <w:r>
                    <w:rPr>
                      <w:rFonts w:hint="eastAsia"/>
                      <w:bCs/>
                      <w:color w:val="auto"/>
                      <w:szCs w:val="21"/>
                      <w:lang w:val="en-US" w:eastAsia="zh-CN"/>
                    </w:rPr>
                    <w:t>已建</w:t>
                  </w:r>
                </w:p>
              </w:tc>
            </w:tr>
            <w:tr w14:paraId="048A8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260" w:type="pct"/>
                  <w:vMerge w:val="continue"/>
                  <w:noWrap w:val="0"/>
                  <w:vAlign w:val="center"/>
                </w:tcPr>
                <w:p w14:paraId="1E0249E2">
                  <w:pPr>
                    <w:pStyle w:val="28"/>
                    <w:rPr>
                      <w:bCs/>
                      <w:color w:val="auto"/>
                      <w:szCs w:val="21"/>
                    </w:rPr>
                  </w:pPr>
                </w:p>
              </w:tc>
              <w:tc>
                <w:tcPr>
                  <w:tcW w:w="388" w:type="pct"/>
                  <w:vMerge w:val="continue"/>
                  <w:noWrap w:val="0"/>
                  <w:vAlign w:val="center"/>
                </w:tcPr>
                <w:p w14:paraId="4122CFBD">
                  <w:pPr>
                    <w:pStyle w:val="28"/>
                    <w:rPr>
                      <w:rFonts w:hint="eastAsia" w:hAnsi="宋体"/>
                      <w:color w:val="auto"/>
                      <w:szCs w:val="21"/>
                    </w:rPr>
                  </w:pPr>
                </w:p>
              </w:tc>
              <w:tc>
                <w:tcPr>
                  <w:tcW w:w="371" w:type="pct"/>
                  <w:gridSpan w:val="2"/>
                  <w:vMerge w:val="continue"/>
                  <w:noWrap w:val="0"/>
                  <w:vAlign w:val="center"/>
                </w:tcPr>
                <w:p w14:paraId="23B51F15">
                  <w:pPr>
                    <w:pStyle w:val="28"/>
                    <w:rPr>
                      <w:rFonts w:hint="eastAsia" w:hAnsi="宋体"/>
                      <w:snapToGrid w:val="0"/>
                      <w:color w:val="auto"/>
                      <w:szCs w:val="21"/>
                    </w:rPr>
                  </w:pPr>
                </w:p>
              </w:tc>
              <w:tc>
                <w:tcPr>
                  <w:tcW w:w="534" w:type="pct"/>
                  <w:gridSpan w:val="2"/>
                  <w:noWrap w:val="0"/>
                  <w:vAlign w:val="center"/>
                </w:tcPr>
                <w:p w14:paraId="0BCB0F0C">
                  <w:pPr>
                    <w:pStyle w:val="28"/>
                    <w:rPr>
                      <w:color w:val="auto"/>
                      <w:spacing w:val="-2"/>
                      <w:szCs w:val="21"/>
                    </w:rPr>
                  </w:pPr>
                  <w:r>
                    <w:rPr>
                      <w:rFonts w:hint="eastAsia"/>
                      <w:color w:val="auto"/>
                      <w:szCs w:val="21"/>
                    </w:rPr>
                    <w:t>生物质锅炉收尘灰及灰渣</w:t>
                  </w:r>
                </w:p>
              </w:tc>
              <w:tc>
                <w:tcPr>
                  <w:tcW w:w="3164" w:type="pct"/>
                  <w:gridSpan w:val="2"/>
                  <w:noWrap w:val="0"/>
                  <w:vAlign w:val="center"/>
                </w:tcPr>
                <w:p w14:paraId="401855C7">
                  <w:pPr>
                    <w:pStyle w:val="28"/>
                    <w:rPr>
                      <w:rFonts w:hint="eastAsia"/>
                      <w:color w:val="auto"/>
                      <w:szCs w:val="21"/>
                      <w:lang w:val="en-US" w:eastAsia="zh-CN"/>
                    </w:rPr>
                  </w:pPr>
                  <w:r>
                    <w:rPr>
                      <w:rFonts w:hint="eastAsia"/>
                      <w:color w:val="auto"/>
                      <w:szCs w:val="21"/>
                      <w:lang w:val="en-US" w:eastAsia="zh-CN"/>
                    </w:rPr>
                    <w:t>与生活垃圾一同</w:t>
                  </w:r>
                  <w:r>
                    <w:rPr>
                      <w:rFonts w:hint="eastAsia"/>
                      <w:color w:val="auto"/>
                      <w:szCs w:val="21"/>
                    </w:rPr>
                    <w:t>委托</w:t>
                  </w:r>
                  <w:r>
                    <w:rPr>
                      <w:rFonts w:hint="eastAsia"/>
                      <w:color w:val="auto"/>
                      <w:szCs w:val="21"/>
                      <w:lang w:val="en-US" w:eastAsia="zh-CN"/>
                    </w:rPr>
                    <w:t>昆明洁龙保洁服务有限公</w:t>
                  </w:r>
                </w:p>
                <w:p w14:paraId="19FD2208">
                  <w:pPr>
                    <w:pStyle w:val="28"/>
                    <w:rPr>
                      <w:color w:val="auto"/>
                      <w:szCs w:val="21"/>
                    </w:rPr>
                  </w:pPr>
                  <w:r>
                    <w:rPr>
                      <w:rFonts w:hint="eastAsia"/>
                      <w:color w:val="auto"/>
                      <w:szCs w:val="21"/>
                      <w:lang w:val="en-US" w:eastAsia="zh-CN"/>
                    </w:rPr>
                    <w:t>司</w:t>
                  </w:r>
                  <w:r>
                    <w:rPr>
                      <w:rFonts w:hint="eastAsia"/>
                      <w:color w:val="auto"/>
                      <w:szCs w:val="21"/>
                    </w:rPr>
                    <w:t>清运处置</w:t>
                  </w:r>
                </w:p>
              </w:tc>
              <w:tc>
                <w:tcPr>
                  <w:tcW w:w="281" w:type="pct"/>
                  <w:noWrap w:val="0"/>
                  <w:vAlign w:val="center"/>
                </w:tcPr>
                <w:p w14:paraId="3ADBD509">
                  <w:pPr>
                    <w:pStyle w:val="28"/>
                    <w:rPr>
                      <w:rFonts w:hint="eastAsia" w:eastAsia="宋体"/>
                      <w:color w:val="auto"/>
                      <w:szCs w:val="21"/>
                      <w:lang w:eastAsia="zh-CN"/>
                    </w:rPr>
                  </w:pPr>
                  <w:r>
                    <w:rPr>
                      <w:rFonts w:hint="eastAsia"/>
                      <w:bCs/>
                      <w:color w:val="auto"/>
                      <w:szCs w:val="21"/>
                      <w:lang w:val="en-US" w:eastAsia="zh-CN"/>
                    </w:rPr>
                    <w:t>已建</w:t>
                  </w:r>
                </w:p>
              </w:tc>
            </w:tr>
            <w:tr w14:paraId="585E5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260" w:type="pct"/>
                  <w:vMerge w:val="continue"/>
                  <w:noWrap w:val="0"/>
                  <w:vAlign w:val="center"/>
                </w:tcPr>
                <w:p w14:paraId="1A77F8C8">
                  <w:pPr>
                    <w:pStyle w:val="28"/>
                    <w:rPr>
                      <w:bCs/>
                      <w:color w:val="auto"/>
                      <w:szCs w:val="21"/>
                    </w:rPr>
                  </w:pPr>
                </w:p>
              </w:tc>
              <w:tc>
                <w:tcPr>
                  <w:tcW w:w="388" w:type="pct"/>
                  <w:vMerge w:val="continue"/>
                  <w:noWrap w:val="0"/>
                  <w:vAlign w:val="center"/>
                </w:tcPr>
                <w:p w14:paraId="453DC326">
                  <w:pPr>
                    <w:pStyle w:val="28"/>
                    <w:rPr>
                      <w:rFonts w:hint="eastAsia" w:hAnsi="宋体"/>
                      <w:color w:val="auto"/>
                      <w:szCs w:val="21"/>
                    </w:rPr>
                  </w:pPr>
                </w:p>
              </w:tc>
              <w:tc>
                <w:tcPr>
                  <w:tcW w:w="371" w:type="pct"/>
                  <w:gridSpan w:val="2"/>
                  <w:vMerge w:val="continue"/>
                  <w:noWrap w:val="0"/>
                  <w:vAlign w:val="center"/>
                </w:tcPr>
                <w:p w14:paraId="11B929CC">
                  <w:pPr>
                    <w:pStyle w:val="28"/>
                    <w:rPr>
                      <w:rFonts w:hint="eastAsia" w:hAnsi="宋体"/>
                      <w:snapToGrid w:val="0"/>
                      <w:color w:val="auto"/>
                      <w:szCs w:val="21"/>
                    </w:rPr>
                  </w:pPr>
                </w:p>
              </w:tc>
              <w:tc>
                <w:tcPr>
                  <w:tcW w:w="534" w:type="pct"/>
                  <w:gridSpan w:val="2"/>
                  <w:noWrap w:val="0"/>
                  <w:vAlign w:val="center"/>
                </w:tcPr>
                <w:p w14:paraId="2D8CF912">
                  <w:pPr>
                    <w:pStyle w:val="28"/>
                    <w:rPr>
                      <w:color w:val="auto"/>
                      <w:spacing w:val="-2"/>
                      <w:szCs w:val="21"/>
                    </w:rPr>
                  </w:pPr>
                  <w:r>
                    <w:rPr>
                      <w:rFonts w:hint="eastAsia"/>
                      <w:color w:val="auto"/>
                      <w:szCs w:val="21"/>
                    </w:rPr>
                    <w:t>废包装材料</w:t>
                  </w:r>
                </w:p>
              </w:tc>
              <w:tc>
                <w:tcPr>
                  <w:tcW w:w="3164" w:type="pct"/>
                  <w:gridSpan w:val="2"/>
                  <w:noWrap w:val="0"/>
                  <w:vAlign w:val="center"/>
                </w:tcPr>
                <w:p w14:paraId="52313817">
                  <w:pPr>
                    <w:pStyle w:val="28"/>
                    <w:rPr>
                      <w:color w:val="auto"/>
                      <w:szCs w:val="21"/>
                    </w:rPr>
                  </w:pPr>
                  <w:r>
                    <w:rPr>
                      <w:rFonts w:hint="eastAsia"/>
                      <w:color w:val="auto"/>
                      <w:szCs w:val="21"/>
                    </w:rPr>
                    <w:t>集中收集后外售处置</w:t>
                  </w:r>
                </w:p>
              </w:tc>
              <w:tc>
                <w:tcPr>
                  <w:tcW w:w="281" w:type="pct"/>
                  <w:noWrap w:val="0"/>
                  <w:vAlign w:val="center"/>
                </w:tcPr>
                <w:p w14:paraId="3990AE47">
                  <w:pPr>
                    <w:pStyle w:val="28"/>
                    <w:rPr>
                      <w:rFonts w:hint="eastAsia"/>
                      <w:color w:val="auto"/>
                      <w:szCs w:val="21"/>
                    </w:rPr>
                  </w:pPr>
                  <w:r>
                    <w:rPr>
                      <w:rFonts w:hint="eastAsia"/>
                      <w:bCs/>
                      <w:color w:val="auto"/>
                      <w:szCs w:val="21"/>
                    </w:rPr>
                    <w:t>新建</w:t>
                  </w:r>
                </w:p>
              </w:tc>
            </w:tr>
            <w:tr w14:paraId="50DA3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 w:hRule="atLeast"/>
                <w:jc w:val="center"/>
              </w:trPr>
              <w:tc>
                <w:tcPr>
                  <w:tcW w:w="260" w:type="pct"/>
                  <w:vMerge w:val="continue"/>
                  <w:noWrap w:val="0"/>
                  <w:vAlign w:val="center"/>
                </w:tcPr>
                <w:p w14:paraId="0FC44456">
                  <w:pPr>
                    <w:pStyle w:val="28"/>
                    <w:rPr>
                      <w:bCs/>
                      <w:color w:val="auto"/>
                      <w:szCs w:val="21"/>
                    </w:rPr>
                  </w:pPr>
                </w:p>
              </w:tc>
              <w:tc>
                <w:tcPr>
                  <w:tcW w:w="388" w:type="pct"/>
                  <w:vMerge w:val="continue"/>
                  <w:noWrap w:val="0"/>
                  <w:vAlign w:val="center"/>
                </w:tcPr>
                <w:p w14:paraId="6288D9BB">
                  <w:pPr>
                    <w:pStyle w:val="28"/>
                    <w:rPr>
                      <w:rFonts w:hint="eastAsia" w:hAnsi="宋体"/>
                      <w:color w:val="auto"/>
                      <w:szCs w:val="21"/>
                    </w:rPr>
                  </w:pPr>
                </w:p>
              </w:tc>
              <w:tc>
                <w:tcPr>
                  <w:tcW w:w="371" w:type="pct"/>
                  <w:gridSpan w:val="2"/>
                  <w:noWrap w:val="0"/>
                  <w:vAlign w:val="center"/>
                </w:tcPr>
                <w:p w14:paraId="184457C5">
                  <w:pPr>
                    <w:pStyle w:val="28"/>
                    <w:rPr>
                      <w:rFonts w:hint="eastAsia" w:hAnsi="宋体"/>
                      <w:snapToGrid w:val="0"/>
                      <w:color w:val="auto"/>
                      <w:szCs w:val="21"/>
                    </w:rPr>
                  </w:pPr>
                  <w:r>
                    <w:rPr>
                      <w:color w:val="auto"/>
                      <w:szCs w:val="21"/>
                    </w:rPr>
                    <w:t>危险废物</w:t>
                  </w:r>
                </w:p>
              </w:tc>
              <w:tc>
                <w:tcPr>
                  <w:tcW w:w="534" w:type="pct"/>
                  <w:gridSpan w:val="2"/>
                  <w:noWrap w:val="0"/>
                  <w:vAlign w:val="center"/>
                </w:tcPr>
                <w:p w14:paraId="1F11BDB0">
                  <w:pPr>
                    <w:pStyle w:val="28"/>
                    <w:rPr>
                      <w:rFonts w:hAnsi="宋体"/>
                      <w:snapToGrid w:val="0"/>
                      <w:color w:val="auto"/>
                      <w:szCs w:val="21"/>
                    </w:rPr>
                  </w:pPr>
                  <w:r>
                    <w:rPr>
                      <w:rFonts w:hint="eastAsia" w:hAnsi="宋体"/>
                      <w:snapToGrid w:val="0"/>
                      <w:color w:val="auto"/>
                      <w:szCs w:val="21"/>
                    </w:rPr>
                    <w:t>废机油、废机油桶、含油抹布</w:t>
                  </w:r>
                </w:p>
              </w:tc>
              <w:tc>
                <w:tcPr>
                  <w:tcW w:w="3164" w:type="pct"/>
                  <w:gridSpan w:val="2"/>
                  <w:noWrap w:val="0"/>
                  <w:vAlign w:val="center"/>
                </w:tcPr>
                <w:p w14:paraId="5964265A">
                  <w:pPr>
                    <w:pStyle w:val="28"/>
                    <w:rPr>
                      <w:rFonts w:hint="eastAsia" w:hAnsi="宋体"/>
                      <w:snapToGrid w:val="0"/>
                      <w:color w:val="auto"/>
                      <w:szCs w:val="21"/>
                    </w:rPr>
                  </w:pPr>
                  <w:r>
                    <w:rPr>
                      <w:rFonts w:hint="eastAsia"/>
                      <w:color w:val="auto"/>
                      <w:szCs w:val="21"/>
                    </w:rPr>
                    <w:t>项目区</w:t>
                  </w:r>
                  <w:r>
                    <w:rPr>
                      <w:rFonts w:hint="eastAsia"/>
                      <w:color w:val="auto"/>
                      <w:szCs w:val="21"/>
                      <w:lang w:val="en-US" w:eastAsia="zh-CN"/>
                    </w:rPr>
                    <w:t>已建成</w:t>
                  </w:r>
                  <w:r>
                    <w:rPr>
                      <w:rFonts w:hint="eastAsia"/>
                      <w:color w:val="auto"/>
                      <w:szCs w:val="21"/>
                    </w:rPr>
                    <w:t>5m</w:t>
                  </w:r>
                  <w:r>
                    <w:rPr>
                      <w:color w:val="auto"/>
                      <w:szCs w:val="21"/>
                      <w:vertAlign w:val="superscript"/>
                    </w:rPr>
                    <w:t>3</w:t>
                  </w:r>
                  <w:r>
                    <w:rPr>
                      <w:rFonts w:hint="eastAsia"/>
                      <w:color w:val="auto"/>
                      <w:szCs w:val="21"/>
                    </w:rPr>
                    <w:t>危废暂存间，</w:t>
                  </w:r>
                  <w:r>
                    <w:rPr>
                      <w:rFonts w:hint="eastAsia"/>
                      <w:color w:val="auto"/>
                      <w:szCs w:val="21"/>
                      <w:lang w:val="en-US" w:eastAsia="zh-CN"/>
                    </w:rPr>
                    <w:t>位于养护车间内部南侧，</w:t>
                  </w:r>
                  <w:r>
                    <w:rPr>
                      <w:rFonts w:hint="eastAsia"/>
                      <w:color w:val="auto"/>
                      <w:szCs w:val="21"/>
                    </w:rPr>
                    <w:t>项目区产生的废机油、废机油桶、含油抹布经收集后暂存于危废暂存间，定期</w:t>
                  </w:r>
                  <w:r>
                    <w:rPr>
                      <w:color w:val="auto"/>
                      <w:szCs w:val="21"/>
                    </w:rPr>
                    <w:t>委托具有相应处置资质的单位定期进行处置</w:t>
                  </w:r>
                </w:p>
              </w:tc>
              <w:tc>
                <w:tcPr>
                  <w:tcW w:w="281" w:type="pct"/>
                  <w:noWrap w:val="0"/>
                  <w:vAlign w:val="center"/>
                </w:tcPr>
                <w:p w14:paraId="51852623">
                  <w:pPr>
                    <w:pStyle w:val="28"/>
                    <w:rPr>
                      <w:rFonts w:hint="eastAsia" w:eastAsia="宋体"/>
                      <w:color w:val="auto"/>
                      <w:szCs w:val="21"/>
                      <w:lang w:eastAsia="zh-CN"/>
                    </w:rPr>
                  </w:pPr>
                  <w:r>
                    <w:rPr>
                      <w:rFonts w:hint="eastAsia"/>
                      <w:bCs/>
                      <w:color w:val="auto"/>
                      <w:szCs w:val="21"/>
                      <w:lang w:val="en-US" w:eastAsia="zh-CN"/>
                    </w:rPr>
                    <w:t>已建</w:t>
                  </w:r>
                </w:p>
              </w:tc>
            </w:tr>
            <w:tr w14:paraId="48629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0" w:type="pct"/>
                  <w:vMerge w:val="continue"/>
                  <w:noWrap w:val="0"/>
                  <w:vAlign w:val="center"/>
                </w:tcPr>
                <w:p w14:paraId="04C4BF28">
                  <w:pPr>
                    <w:pStyle w:val="28"/>
                    <w:rPr>
                      <w:bCs/>
                      <w:color w:val="auto"/>
                      <w:szCs w:val="21"/>
                    </w:rPr>
                  </w:pPr>
                </w:p>
              </w:tc>
              <w:tc>
                <w:tcPr>
                  <w:tcW w:w="388" w:type="pct"/>
                  <w:noWrap w:val="0"/>
                  <w:vAlign w:val="center"/>
                </w:tcPr>
                <w:p w14:paraId="583D7908">
                  <w:pPr>
                    <w:pStyle w:val="28"/>
                    <w:rPr>
                      <w:rFonts w:hAnsi="宋体"/>
                      <w:color w:val="auto"/>
                      <w:szCs w:val="21"/>
                    </w:rPr>
                  </w:pPr>
                  <w:r>
                    <w:rPr>
                      <w:rFonts w:hint="eastAsia"/>
                      <w:color w:val="auto"/>
                      <w:szCs w:val="21"/>
                    </w:rPr>
                    <w:t>地下水、土壤防范措施</w:t>
                  </w:r>
                </w:p>
              </w:tc>
              <w:tc>
                <w:tcPr>
                  <w:tcW w:w="4069" w:type="pct"/>
                  <w:gridSpan w:val="6"/>
                  <w:noWrap w:val="0"/>
                  <w:vAlign w:val="center"/>
                </w:tcPr>
                <w:p w14:paraId="25098770">
                  <w:pPr>
                    <w:pStyle w:val="28"/>
                    <w:rPr>
                      <w:rFonts w:hint="eastAsia"/>
                      <w:color w:val="auto"/>
                      <w:szCs w:val="21"/>
                    </w:rPr>
                  </w:pPr>
                  <w:r>
                    <w:rPr>
                      <w:rFonts w:hint="eastAsia"/>
                      <w:color w:val="auto"/>
                      <w:szCs w:val="21"/>
                    </w:rPr>
                    <w:t>①重点防渗区：危废暂存间等区域，防渗层为至少1m厚黏土层（渗透系数不大于10</w:t>
                  </w:r>
                  <w:r>
                    <w:rPr>
                      <w:rFonts w:hint="eastAsia"/>
                      <w:color w:val="auto"/>
                      <w:szCs w:val="21"/>
                      <w:vertAlign w:val="superscript"/>
                    </w:rPr>
                    <w:t>-7</w:t>
                  </w:r>
                  <w:r>
                    <w:rPr>
                      <w:rFonts w:hint="eastAsia"/>
                      <w:color w:val="auto"/>
                      <w:szCs w:val="21"/>
                    </w:rPr>
                    <w:t>cm/s），或至少2mm厚高密度聚乙烯膜等人工防渗材料（渗透系数不大于10</w:t>
                  </w:r>
                  <w:r>
                    <w:rPr>
                      <w:rFonts w:hint="eastAsia"/>
                      <w:color w:val="auto"/>
                      <w:szCs w:val="21"/>
                      <w:vertAlign w:val="superscript"/>
                    </w:rPr>
                    <w:t>-10</w:t>
                  </w:r>
                  <w:r>
                    <w:rPr>
                      <w:rFonts w:hint="eastAsia"/>
                      <w:color w:val="auto"/>
                      <w:szCs w:val="21"/>
                    </w:rPr>
                    <w:t>cm/s），危废暂存间严格按照《危险废物贮存污染控制标准》（GB18597-2023）的要求进行建设。</w:t>
                  </w:r>
                </w:p>
                <w:p w14:paraId="7850BAB9">
                  <w:pPr>
                    <w:pStyle w:val="28"/>
                    <w:rPr>
                      <w:rFonts w:hint="eastAsia" w:hAnsi="宋体"/>
                      <w:bCs/>
                      <w:snapToGrid w:val="0"/>
                      <w:color w:val="auto"/>
                      <w:szCs w:val="21"/>
                    </w:rPr>
                  </w:pPr>
                  <w:r>
                    <w:rPr>
                      <w:rFonts w:hint="eastAsia"/>
                      <w:color w:val="auto"/>
                      <w:szCs w:val="21"/>
                    </w:rPr>
                    <w:t>②简单防渗区：化粪池、</w:t>
                  </w:r>
                  <w:r>
                    <w:rPr>
                      <w:rFonts w:hint="eastAsia"/>
                      <w:color w:val="auto"/>
                      <w:szCs w:val="21"/>
                      <w:lang w:val="en-US" w:eastAsia="zh-CN"/>
                    </w:rPr>
                    <w:t>三级沉淀池、</w:t>
                  </w:r>
                  <w:r>
                    <w:rPr>
                      <w:rFonts w:hint="eastAsia"/>
                      <w:color w:val="auto"/>
                      <w:szCs w:val="21"/>
                    </w:rPr>
                    <w:t>四级沉淀池、</w:t>
                  </w:r>
                  <w:r>
                    <w:rPr>
                      <w:rFonts w:hint="eastAsia"/>
                      <w:color w:val="auto"/>
                      <w:szCs w:val="21"/>
                      <w:lang w:val="en-US" w:eastAsia="zh-CN"/>
                    </w:rPr>
                    <w:t>五级沉淀池、</w:t>
                  </w:r>
                  <w:r>
                    <w:rPr>
                      <w:rFonts w:hint="eastAsia"/>
                      <w:color w:val="auto"/>
                      <w:szCs w:val="21"/>
                    </w:rPr>
                    <w:t>办公用房及厂区道路等区域，采用混凝土进行硬化处理。</w:t>
                  </w:r>
                </w:p>
              </w:tc>
              <w:tc>
                <w:tcPr>
                  <w:tcW w:w="281" w:type="pct"/>
                  <w:noWrap w:val="0"/>
                  <w:vAlign w:val="center"/>
                </w:tcPr>
                <w:p w14:paraId="03B5822E">
                  <w:pPr>
                    <w:pStyle w:val="28"/>
                    <w:rPr>
                      <w:color w:val="auto"/>
                      <w:szCs w:val="21"/>
                    </w:rPr>
                  </w:pPr>
                  <w:r>
                    <w:rPr>
                      <w:rFonts w:hint="eastAsia"/>
                      <w:bCs/>
                      <w:color w:val="auto"/>
                      <w:szCs w:val="21"/>
                      <w:lang w:val="en-US" w:eastAsia="zh-CN"/>
                    </w:rPr>
                    <w:t>环评提出</w:t>
                  </w:r>
                </w:p>
              </w:tc>
            </w:tr>
            <w:tr w14:paraId="7DEA3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0" w:type="pct"/>
                  <w:noWrap w:val="0"/>
                  <w:vAlign w:val="center"/>
                </w:tcPr>
                <w:p w14:paraId="721542A3">
                  <w:pPr>
                    <w:pStyle w:val="28"/>
                    <w:rPr>
                      <w:bCs/>
                      <w:color w:val="auto"/>
                      <w:szCs w:val="21"/>
                    </w:rPr>
                  </w:pPr>
                  <w:r>
                    <w:rPr>
                      <w:rFonts w:hint="eastAsia"/>
                      <w:bCs/>
                      <w:color w:val="auto"/>
                      <w:szCs w:val="21"/>
                    </w:rPr>
                    <w:t>生态</w:t>
                  </w:r>
                </w:p>
              </w:tc>
              <w:tc>
                <w:tcPr>
                  <w:tcW w:w="388" w:type="pct"/>
                  <w:noWrap w:val="0"/>
                  <w:vAlign w:val="center"/>
                </w:tcPr>
                <w:p w14:paraId="0ECB5B39">
                  <w:pPr>
                    <w:pStyle w:val="28"/>
                    <w:rPr>
                      <w:rFonts w:hint="eastAsia"/>
                      <w:color w:val="auto"/>
                      <w:szCs w:val="21"/>
                    </w:rPr>
                  </w:pPr>
                  <w:r>
                    <w:rPr>
                      <w:rFonts w:hint="eastAsia"/>
                      <w:color w:val="auto"/>
                      <w:szCs w:val="21"/>
                    </w:rPr>
                    <w:t>绿化</w:t>
                  </w:r>
                </w:p>
              </w:tc>
              <w:tc>
                <w:tcPr>
                  <w:tcW w:w="4069" w:type="pct"/>
                  <w:gridSpan w:val="6"/>
                  <w:noWrap w:val="0"/>
                  <w:vAlign w:val="center"/>
                </w:tcPr>
                <w:p w14:paraId="30D6C405">
                  <w:pPr>
                    <w:pStyle w:val="28"/>
                    <w:rPr>
                      <w:color w:val="auto"/>
                      <w:szCs w:val="21"/>
                    </w:rPr>
                  </w:pPr>
                  <w:r>
                    <w:rPr>
                      <w:rFonts w:hint="eastAsia"/>
                      <w:color w:val="auto"/>
                      <w:szCs w:val="21"/>
                    </w:rPr>
                    <w:t>1000m</w:t>
                  </w:r>
                  <w:r>
                    <w:rPr>
                      <w:rFonts w:hint="eastAsia"/>
                      <w:color w:val="auto"/>
                      <w:szCs w:val="21"/>
                      <w:vertAlign w:val="superscript"/>
                    </w:rPr>
                    <w:t>2</w:t>
                  </w:r>
                </w:p>
              </w:tc>
              <w:tc>
                <w:tcPr>
                  <w:tcW w:w="281" w:type="pct"/>
                  <w:noWrap w:val="0"/>
                  <w:vAlign w:val="center"/>
                </w:tcPr>
                <w:p w14:paraId="0914D646">
                  <w:pPr>
                    <w:pStyle w:val="28"/>
                    <w:rPr>
                      <w:rFonts w:hint="eastAsia"/>
                      <w:color w:val="auto"/>
                      <w:szCs w:val="21"/>
                    </w:rPr>
                  </w:pPr>
                  <w:r>
                    <w:rPr>
                      <w:rFonts w:hint="eastAsia"/>
                      <w:bCs/>
                      <w:color w:val="auto"/>
                      <w:szCs w:val="21"/>
                    </w:rPr>
                    <w:t>新建</w:t>
                  </w:r>
                </w:p>
              </w:tc>
            </w:tr>
          </w:tbl>
          <w:p w14:paraId="0BDE24C4">
            <w:pPr>
              <w:ind w:firstLine="482"/>
              <w:rPr>
                <w:b/>
                <w:color w:val="auto"/>
                <w:szCs w:val="22"/>
              </w:rPr>
            </w:pPr>
            <w:r>
              <w:rPr>
                <w:rFonts w:hint="eastAsia"/>
                <w:b/>
                <w:color w:val="auto"/>
                <w:szCs w:val="22"/>
              </w:rPr>
              <w:t>2</w:t>
            </w:r>
            <w:r>
              <w:rPr>
                <w:b/>
                <w:color w:val="auto"/>
                <w:szCs w:val="22"/>
              </w:rPr>
              <w:t>.2.3</w:t>
            </w:r>
            <w:r>
              <w:rPr>
                <w:rFonts w:hint="eastAsia"/>
                <w:b/>
                <w:color w:val="auto"/>
                <w:szCs w:val="22"/>
              </w:rPr>
              <w:t>主要生产设备</w:t>
            </w:r>
          </w:p>
          <w:p w14:paraId="6DB318D1">
            <w:pPr>
              <w:ind w:firstLine="480"/>
              <w:rPr>
                <w:color w:val="auto"/>
                <w:szCs w:val="22"/>
              </w:rPr>
            </w:pPr>
            <w:r>
              <w:rPr>
                <w:color w:val="auto"/>
                <w:szCs w:val="22"/>
              </w:rPr>
              <w:t>项目主要</w:t>
            </w:r>
            <w:r>
              <w:rPr>
                <w:rFonts w:hint="eastAsia"/>
                <w:color w:val="auto"/>
                <w:szCs w:val="22"/>
              </w:rPr>
              <w:t>生产</w:t>
            </w:r>
            <w:r>
              <w:rPr>
                <w:color w:val="auto"/>
                <w:szCs w:val="22"/>
              </w:rPr>
              <w:t>设备清单见</w:t>
            </w:r>
            <w:r>
              <w:rPr>
                <w:rFonts w:hint="eastAsia"/>
                <w:color w:val="auto"/>
                <w:szCs w:val="22"/>
              </w:rPr>
              <w:t>下表。</w:t>
            </w:r>
          </w:p>
          <w:p w14:paraId="3035464B">
            <w:pPr>
              <w:widowControl/>
              <w:spacing w:line="240" w:lineRule="auto"/>
              <w:ind w:firstLine="422"/>
              <w:jc w:val="center"/>
              <w:rPr>
                <w:rFonts w:hint="eastAsia" w:eastAsia="宋体"/>
                <w:b/>
                <w:bCs/>
                <w:color w:val="auto"/>
                <w:sz w:val="21"/>
                <w:szCs w:val="21"/>
                <w:lang w:val="en-US" w:eastAsia="zh-CN"/>
              </w:rPr>
            </w:pPr>
            <w:r>
              <w:rPr>
                <w:b/>
                <w:bCs/>
                <w:color w:val="auto"/>
                <w:sz w:val="21"/>
                <w:szCs w:val="21"/>
              </w:rPr>
              <w:t>表</w:t>
            </w:r>
            <w:r>
              <w:rPr>
                <w:rFonts w:hint="eastAsia"/>
                <w:b/>
                <w:bCs/>
                <w:color w:val="auto"/>
                <w:sz w:val="21"/>
                <w:szCs w:val="21"/>
                <w:lang w:val="en-US" w:eastAsia="zh-CN"/>
              </w:rPr>
              <w:t xml:space="preserve">2-2 </w:t>
            </w:r>
            <w:r>
              <w:rPr>
                <w:b/>
                <w:bCs/>
                <w:color w:val="auto"/>
                <w:sz w:val="21"/>
                <w:szCs w:val="21"/>
              </w:rPr>
              <w:t xml:space="preserve"> 本项目主要生产设施（设备）一览表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338"/>
              <w:gridCol w:w="1341"/>
              <w:gridCol w:w="1132"/>
              <w:gridCol w:w="1049"/>
              <w:gridCol w:w="758"/>
              <w:gridCol w:w="2181"/>
            </w:tblGrid>
            <w:tr w14:paraId="452A3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 w:type="pct"/>
                  <w:noWrap w:val="0"/>
                  <w:vAlign w:val="center"/>
                </w:tcPr>
                <w:p w14:paraId="5B1AAA47">
                  <w:pPr>
                    <w:pStyle w:val="28"/>
                    <w:jc w:val="center"/>
                    <w:rPr>
                      <w:b/>
                      <w:bCs/>
                      <w:color w:val="auto"/>
                    </w:rPr>
                  </w:pPr>
                  <w:r>
                    <w:rPr>
                      <w:rFonts w:hint="eastAsia"/>
                      <w:b/>
                      <w:bCs/>
                      <w:color w:val="auto"/>
                    </w:rPr>
                    <w:t>序号</w:t>
                  </w:r>
                </w:p>
              </w:tc>
              <w:tc>
                <w:tcPr>
                  <w:tcW w:w="1576" w:type="pct"/>
                  <w:gridSpan w:val="2"/>
                  <w:noWrap w:val="0"/>
                  <w:vAlign w:val="center"/>
                </w:tcPr>
                <w:p w14:paraId="75DA0052">
                  <w:pPr>
                    <w:pStyle w:val="28"/>
                    <w:jc w:val="center"/>
                    <w:rPr>
                      <w:b/>
                      <w:bCs/>
                      <w:color w:val="auto"/>
                    </w:rPr>
                  </w:pPr>
                  <w:r>
                    <w:rPr>
                      <w:rFonts w:hint="eastAsia"/>
                      <w:b/>
                      <w:bCs/>
                      <w:color w:val="auto"/>
                    </w:rPr>
                    <w:t>设备名称</w:t>
                  </w:r>
                </w:p>
              </w:tc>
              <w:tc>
                <w:tcPr>
                  <w:tcW w:w="666" w:type="pct"/>
                  <w:noWrap w:val="0"/>
                  <w:vAlign w:val="center"/>
                </w:tcPr>
                <w:p w14:paraId="4800ED74">
                  <w:pPr>
                    <w:pStyle w:val="28"/>
                    <w:jc w:val="center"/>
                    <w:rPr>
                      <w:rFonts w:hint="eastAsia"/>
                      <w:b/>
                      <w:bCs/>
                      <w:color w:val="auto"/>
                    </w:rPr>
                  </w:pPr>
                  <w:r>
                    <w:rPr>
                      <w:rFonts w:hint="eastAsia"/>
                      <w:b/>
                      <w:bCs/>
                      <w:color w:val="auto"/>
                    </w:rPr>
                    <w:t>型号</w:t>
                  </w:r>
                </w:p>
              </w:tc>
              <w:tc>
                <w:tcPr>
                  <w:tcW w:w="617" w:type="pct"/>
                  <w:noWrap w:val="0"/>
                  <w:vAlign w:val="center"/>
                </w:tcPr>
                <w:p w14:paraId="2960DA82">
                  <w:pPr>
                    <w:pStyle w:val="28"/>
                    <w:jc w:val="center"/>
                    <w:rPr>
                      <w:b/>
                      <w:bCs/>
                      <w:color w:val="auto"/>
                    </w:rPr>
                  </w:pPr>
                  <w:r>
                    <w:rPr>
                      <w:rFonts w:hint="eastAsia"/>
                      <w:b/>
                      <w:bCs/>
                      <w:color w:val="auto"/>
                    </w:rPr>
                    <w:t>单位</w:t>
                  </w:r>
                </w:p>
              </w:tc>
              <w:tc>
                <w:tcPr>
                  <w:tcW w:w="446" w:type="pct"/>
                  <w:noWrap w:val="0"/>
                  <w:vAlign w:val="center"/>
                </w:tcPr>
                <w:p w14:paraId="1B978AC6">
                  <w:pPr>
                    <w:pStyle w:val="28"/>
                    <w:jc w:val="center"/>
                    <w:rPr>
                      <w:b/>
                      <w:bCs/>
                      <w:color w:val="auto"/>
                    </w:rPr>
                  </w:pPr>
                  <w:r>
                    <w:rPr>
                      <w:rFonts w:hint="eastAsia"/>
                      <w:b/>
                      <w:bCs/>
                      <w:color w:val="auto"/>
                    </w:rPr>
                    <w:t>数量</w:t>
                  </w:r>
                </w:p>
              </w:tc>
              <w:tc>
                <w:tcPr>
                  <w:tcW w:w="1279" w:type="pct"/>
                  <w:noWrap w:val="0"/>
                  <w:vAlign w:val="center"/>
                </w:tcPr>
                <w:p w14:paraId="094157BB">
                  <w:pPr>
                    <w:pStyle w:val="28"/>
                    <w:jc w:val="center"/>
                    <w:rPr>
                      <w:b/>
                      <w:bCs/>
                      <w:color w:val="auto"/>
                    </w:rPr>
                  </w:pPr>
                  <w:r>
                    <w:rPr>
                      <w:rFonts w:hint="eastAsia"/>
                      <w:b/>
                      <w:bCs/>
                      <w:color w:val="auto"/>
                    </w:rPr>
                    <w:t>备注</w:t>
                  </w:r>
                </w:p>
              </w:tc>
            </w:tr>
            <w:tr w14:paraId="2460E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000" w:type="pct"/>
                  <w:gridSpan w:val="7"/>
                  <w:noWrap w:val="0"/>
                  <w:vAlign w:val="center"/>
                </w:tcPr>
                <w:p w14:paraId="13D3C095">
                  <w:pPr>
                    <w:pStyle w:val="28"/>
                    <w:jc w:val="center"/>
                    <w:rPr>
                      <w:rFonts w:hint="eastAsia"/>
                      <w:b/>
                      <w:bCs/>
                      <w:color w:val="auto"/>
                    </w:rPr>
                  </w:pPr>
                  <w:r>
                    <w:rPr>
                      <w:rFonts w:hint="eastAsia"/>
                      <w:b/>
                      <w:bCs/>
                      <w:color w:val="auto"/>
                    </w:rPr>
                    <w:t>项目区主要生产设备清单</w:t>
                  </w:r>
                </w:p>
              </w:tc>
            </w:tr>
            <w:tr w14:paraId="3EACF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 w:type="pct"/>
                  <w:noWrap w:val="0"/>
                  <w:vAlign w:val="center"/>
                </w:tcPr>
                <w:p w14:paraId="42BF334A">
                  <w:pPr>
                    <w:pStyle w:val="28"/>
                    <w:jc w:val="center"/>
                    <w:rPr>
                      <w:rFonts w:hint="eastAsia"/>
                      <w:color w:val="auto"/>
                    </w:rPr>
                  </w:pPr>
                  <w:r>
                    <w:rPr>
                      <w:rFonts w:hint="eastAsia"/>
                      <w:color w:val="auto"/>
                    </w:rPr>
                    <w:t>1</w:t>
                  </w:r>
                </w:p>
              </w:tc>
              <w:tc>
                <w:tcPr>
                  <w:tcW w:w="1576" w:type="pct"/>
                  <w:gridSpan w:val="2"/>
                  <w:noWrap w:val="0"/>
                  <w:vAlign w:val="center"/>
                </w:tcPr>
                <w:p w14:paraId="2AD4018D">
                  <w:pPr>
                    <w:pStyle w:val="28"/>
                    <w:jc w:val="center"/>
                    <w:rPr>
                      <w:rFonts w:hint="eastAsia"/>
                      <w:color w:val="auto"/>
                    </w:rPr>
                  </w:pPr>
                  <w:r>
                    <w:rPr>
                      <w:rFonts w:hint="eastAsia"/>
                      <w:color w:val="auto"/>
                    </w:rPr>
                    <w:t>双块式轨枕生产线</w:t>
                  </w:r>
                </w:p>
              </w:tc>
              <w:tc>
                <w:tcPr>
                  <w:tcW w:w="666" w:type="pct"/>
                  <w:noWrap w:val="0"/>
                  <w:vAlign w:val="center"/>
                </w:tcPr>
                <w:p w14:paraId="2DB1AF01">
                  <w:pPr>
                    <w:pStyle w:val="28"/>
                    <w:jc w:val="center"/>
                    <w:rPr>
                      <w:rFonts w:hint="eastAsia"/>
                      <w:color w:val="auto"/>
                    </w:rPr>
                  </w:pPr>
                  <w:r>
                    <w:rPr>
                      <w:rFonts w:hint="eastAsia"/>
                      <w:color w:val="auto"/>
                    </w:rPr>
                    <w:t>/</w:t>
                  </w:r>
                </w:p>
              </w:tc>
              <w:tc>
                <w:tcPr>
                  <w:tcW w:w="617" w:type="pct"/>
                  <w:noWrap w:val="0"/>
                  <w:vAlign w:val="center"/>
                </w:tcPr>
                <w:p w14:paraId="23C09B17">
                  <w:pPr>
                    <w:pStyle w:val="28"/>
                    <w:jc w:val="center"/>
                    <w:rPr>
                      <w:rFonts w:hint="eastAsia"/>
                      <w:color w:val="auto"/>
                    </w:rPr>
                  </w:pPr>
                  <w:r>
                    <w:rPr>
                      <w:rFonts w:hint="eastAsia"/>
                      <w:color w:val="auto"/>
                    </w:rPr>
                    <w:t>套</w:t>
                  </w:r>
                </w:p>
              </w:tc>
              <w:tc>
                <w:tcPr>
                  <w:tcW w:w="446" w:type="pct"/>
                  <w:noWrap w:val="0"/>
                  <w:vAlign w:val="center"/>
                </w:tcPr>
                <w:p w14:paraId="6D3689F7">
                  <w:pPr>
                    <w:pStyle w:val="28"/>
                    <w:jc w:val="center"/>
                    <w:rPr>
                      <w:rFonts w:hint="eastAsia"/>
                      <w:color w:val="auto"/>
                    </w:rPr>
                  </w:pPr>
                  <w:r>
                    <w:rPr>
                      <w:rFonts w:hint="eastAsia"/>
                      <w:color w:val="auto"/>
                    </w:rPr>
                    <w:t>1</w:t>
                  </w:r>
                </w:p>
              </w:tc>
              <w:tc>
                <w:tcPr>
                  <w:tcW w:w="1279" w:type="pct"/>
                  <w:noWrap w:val="0"/>
                  <w:vAlign w:val="center"/>
                </w:tcPr>
                <w:p w14:paraId="4AD34A5A">
                  <w:pPr>
                    <w:pStyle w:val="28"/>
                    <w:jc w:val="center"/>
                    <w:rPr>
                      <w:rFonts w:hint="eastAsia"/>
                      <w:color w:val="auto"/>
                    </w:rPr>
                  </w:pPr>
                  <w:r>
                    <w:rPr>
                      <w:rFonts w:hint="eastAsia"/>
                      <w:color w:val="auto"/>
                    </w:rPr>
                    <w:t>/</w:t>
                  </w:r>
                </w:p>
              </w:tc>
            </w:tr>
            <w:tr w14:paraId="4CED8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 w:type="pct"/>
                  <w:noWrap w:val="0"/>
                  <w:vAlign w:val="center"/>
                </w:tcPr>
                <w:p w14:paraId="2BF2606B">
                  <w:pPr>
                    <w:pStyle w:val="28"/>
                    <w:jc w:val="center"/>
                    <w:rPr>
                      <w:rFonts w:hint="eastAsia"/>
                      <w:color w:val="auto"/>
                    </w:rPr>
                  </w:pPr>
                  <w:r>
                    <w:rPr>
                      <w:rFonts w:hint="eastAsia"/>
                      <w:color w:val="auto"/>
                    </w:rPr>
                    <w:t>2</w:t>
                  </w:r>
                </w:p>
              </w:tc>
              <w:tc>
                <w:tcPr>
                  <w:tcW w:w="1576" w:type="pct"/>
                  <w:gridSpan w:val="2"/>
                  <w:noWrap w:val="0"/>
                  <w:vAlign w:val="center"/>
                </w:tcPr>
                <w:p w14:paraId="0AD6EE76">
                  <w:pPr>
                    <w:pStyle w:val="28"/>
                    <w:jc w:val="center"/>
                    <w:rPr>
                      <w:rFonts w:hint="eastAsia"/>
                      <w:color w:val="auto"/>
                    </w:rPr>
                  </w:pPr>
                  <w:r>
                    <w:rPr>
                      <w:rFonts w:hint="eastAsia"/>
                      <w:color w:val="auto"/>
                    </w:rPr>
                    <w:t>混凝土搅拌站</w:t>
                  </w:r>
                </w:p>
              </w:tc>
              <w:tc>
                <w:tcPr>
                  <w:tcW w:w="666" w:type="pct"/>
                  <w:noWrap w:val="0"/>
                  <w:vAlign w:val="center"/>
                </w:tcPr>
                <w:p w14:paraId="0AB43522">
                  <w:pPr>
                    <w:pStyle w:val="28"/>
                    <w:jc w:val="center"/>
                    <w:rPr>
                      <w:rFonts w:hint="eastAsia"/>
                      <w:color w:val="auto"/>
                    </w:rPr>
                  </w:pPr>
                  <w:r>
                    <w:rPr>
                      <w:rFonts w:hint="eastAsia"/>
                      <w:color w:val="auto"/>
                    </w:rPr>
                    <w:t>HSZ90</w:t>
                  </w:r>
                </w:p>
              </w:tc>
              <w:tc>
                <w:tcPr>
                  <w:tcW w:w="617" w:type="pct"/>
                  <w:noWrap w:val="0"/>
                  <w:vAlign w:val="center"/>
                </w:tcPr>
                <w:p w14:paraId="28DFEE96">
                  <w:pPr>
                    <w:pStyle w:val="28"/>
                    <w:jc w:val="center"/>
                    <w:rPr>
                      <w:rFonts w:hint="eastAsia"/>
                      <w:color w:val="auto"/>
                    </w:rPr>
                  </w:pPr>
                  <w:r>
                    <w:rPr>
                      <w:rFonts w:hint="eastAsia"/>
                      <w:color w:val="auto"/>
                    </w:rPr>
                    <w:t>套</w:t>
                  </w:r>
                </w:p>
              </w:tc>
              <w:tc>
                <w:tcPr>
                  <w:tcW w:w="446" w:type="pct"/>
                  <w:noWrap w:val="0"/>
                  <w:vAlign w:val="center"/>
                </w:tcPr>
                <w:p w14:paraId="13C991A9">
                  <w:pPr>
                    <w:pStyle w:val="28"/>
                    <w:jc w:val="center"/>
                    <w:rPr>
                      <w:rFonts w:hint="eastAsia"/>
                      <w:color w:val="auto"/>
                    </w:rPr>
                  </w:pPr>
                  <w:r>
                    <w:rPr>
                      <w:rFonts w:hint="eastAsia"/>
                      <w:color w:val="auto"/>
                    </w:rPr>
                    <w:t>1</w:t>
                  </w:r>
                </w:p>
              </w:tc>
              <w:tc>
                <w:tcPr>
                  <w:tcW w:w="1279" w:type="pct"/>
                  <w:noWrap w:val="0"/>
                  <w:vAlign w:val="center"/>
                </w:tcPr>
                <w:p w14:paraId="0C5BCB6C">
                  <w:pPr>
                    <w:pStyle w:val="28"/>
                    <w:jc w:val="center"/>
                    <w:rPr>
                      <w:rFonts w:hint="eastAsia"/>
                      <w:color w:val="auto"/>
                    </w:rPr>
                  </w:pPr>
                  <w:r>
                    <w:rPr>
                      <w:rFonts w:hint="eastAsia"/>
                      <w:color w:val="auto"/>
                    </w:rPr>
                    <w:t>/</w:t>
                  </w:r>
                </w:p>
              </w:tc>
            </w:tr>
            <w:tr w14:paraId="31842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 w:type="pct"/>
                  <w:noWrap w:val="0"/>
                  <w:vAlign w:val="center"/>
                </w:tcPr>
                <w:p w14:paraId="53A17323">
                  <w:pPr>
                    <w:pStyle w:val="28"/>
                    <w:jc w:val="center"/>
                    <w:rPr>
                      <w:rFonts w:hint="eastAsia"/>
                      <w:color w:val="auto"/>
                    </w:rPr>
                  </w:pPr>
                  <w:r>
                    <w:rPr>
                      <w:rFonts w:hint="eastAsia"/>
                      <w:color w:val="auto"/>
                    </w:rPr>
                    <w:t>3</w:t>
                  </w:r>
                </w:p>
              </w:tc>
              <w:tc>
                <w:tcPr>
                  <w:tcW w:w="1576" w:type="pct"/>
                  <w:gridSpan w:val="2"/>
                  <w:noWrap w:val="0"/>
                  <w:vAlign w:val="center"/>
                </w:tcPr>
                <w:p w14:paraId="614E678C">
                  <w:pPr>
                    <w:pStyle w:val="28"/>
                    <w:jc w:val="center"/>
                    <w:rPr>
                      <w:rFonts w:hint="eastAsia"/>
                      <w:color w:val="auto"/>
                    </w:rPr>
                  </w:pPr>
                  <w:r>
                    <w:rPr>
                      <w:rFonts w:hint="eastAsia"/>
                      <w:color w:val="auto"/>
                      <w:lang w:eastAsia="zh-CN"/>
                    </w:rPr>
                    <w:t>磅秤</w:t>
                  </w:r>
                </w:p>
              </w:tc>
              <w:tc>
                <w:tcPr>
                  <w:tcW w:w="666" w:type="pct"/>
                  <w:noWrap w:val="0"/>
                  <w:vAlign w:val="center"/>
                </w:tcPr>
                <w:p w14:paraId="25F5C62B">
                  <w:pPr>
                    <w:pStyle w:val="28"/>
                    <w:jc w:val="center"/>
                    <w:rPr>
                      <w:rFonts w:hint="eastAsia"/>
                      <w:color w:val="auto"/>
                    </w:rPr>
                  </w:pPr>
                  <w:r>
                    <w:rPr>
                      <w:rFonts w:hint="eastAsia"/>
                      <w:color w:val="auto"/>
                    </w:rPr>
                    <w:t>150T</w:t>
                  </w:r>
                </w:p>
              </w:tc>
              <w:tc>
                <w:tcPr>
                  <w:tcW w:w="617" w:type="pct"/>
                  <w:noWrap w:val="0"/>
                  <w:vAlign w:val="center"/>
                </w:tcPr>
                <w:p w14:paraId="0020DFA4">
                  <w:pPr>
                    <w:pStyle w:val="28"/>
                    <w:jc w:val="center"/>
                    <w:rPr>
                      <w:rFonts w:hint="eastAsia"/>
                      <w:color w:val="auto"/>
                    </w:rPr>
                  </w:pPr>
                  <w:r>
                    <w:rPr>
                      <w:rFonts w:hint="eastAsia"/>
                      <w:color w:val="auto"/>
                    </w:rPr>
                    <w:t>台</w:t>
                  </w:r>
                </w:p>
              </w:tc>
              <w:tc>
                <w:tcPr>
                  <w:tcW w:w="446" w:type="pct"/>
                  <w:noWrap w:val="0"/>
                  <w:vAlign w:val="center"/>
                </w:tcPr>
                <w:p w14:paraId="739B73C9">
                  <w:pPr>
                    <w:pStyle w:val="28"/>
                    <w:jc w:val="center"/>
                    <w:rPr>
                      <w:rFonts w:hint="eastAsia"/>
                      <w:color w:val="auto"/>
                    </w:rPr>
                  </w:pPr>
                  <w:r>
                    <w:rPr>
                      <w:rFonts w:hint="eastAsia"/>
                      <w:color w:val="auto"/>
                    </w:rPr>
                    <w:t>1</w:t>
                  </w:r>
                </w:p>
              </w:tc>
              <w:tc>
                <w:tcPr>
                  <w:tcW w:w="1279" w:type="pct"/>
                  <w:noWrap w:val="0"/>
                  <w:vAlign w:val="center"/>
                </w:tcPr>
                <w:p w14:paraId="66CCB026">
                  <w:pPr>
                    <w:pStyle w:val="28"/>
                    <w:jc w:val="center"/>
                    <w:rPr>
                      <w:rFonts w:hint="eastAsia"/>
                      <w:color w:val="auto"/>
                    </w:rPr>
                  </w:pPr>
                  <w:r>
                    <w:rPr>
                      <w:rFonts w:hint="eastAsia"/>
                      <w:color w:val="auto"/>
                    </w:rPr>
                    <w:t>/</w:t>
                  </w:r>
                </w:p>
              </w:tc>
            </w:tr>
            <w:tr w14:paraId="23C01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 w:type="pct"/>
                  <w:noWrap w:val="0"/>
                  <w:vAlign w:val="center"/>
                </w:tcPr>
                <w:p w14:paraId="0947C482">
                  <w:pPr>
                    <w:pStyle w:val="28"/>
                    <w:jc w:val="center"/>
                    <w:rPr>
                      <w:rFonts w:hint="eastAsia"/>
                      <w:color w:val="auto"/>
                    </w:rPr>
                  </w:pPr>
                  <w:r>
                    <w:rPr>
                      <w:rFonts w:hint="eastAsia"/>
                      <w:color w:val="auto"/>
                    </w:rPr>
                    <w:t>4</w:t>
                  </w:r>
                </w:p>
              </w:tc>
              <w:tc>
                <w:tcPr>
                  <w:tcW w:w="1576" w:type="pct"/>
                  <w:gridSpan w:val="2"/>
                  <w:noWrap w:val="0"/>
                  <w:vAlign w:val="center"/>
                </w:tcPr>
                <w:p w14:paraId="354ED429">
                  <w:pPr>
                    <w:pStyle w:val="28"/>
                    <w:jc w:val="center"/>
                    <w:rPr>
                      <w:rFonts w:hint="eastAsia"/>
                      <w:color w:val="auto"/>
                    </w:rPr>
                  </w:pPr>
                  <w:r>
                    <w:rPr>
                      <w:rFonts w:hint="eastAsia"/>
                      <w:color w:val="auto"/>
                    </w:rPr>
                    <w:t>生物质蒸汽发生器</w:t>
                  </w:r>
                </w:p>
              </w:tc>
              <w:tc>
                <w:tcPr>
                  <w:tcW w:w="666" w:type="pct"/>
                  <w:noWrap w:val="0"/>
                  <w:vAlign w:val="center"/>
                </w:tcPr>
                <w:p w14:paraId="784E6624">
                  <w:pPr>
                    <w:pStyle w:val="28"/>
                    <w:jc w:val="center"/>
                    <w:rPr>
                      <w:rFonts w:hint="eastAsia"/>
                      <w:color w:val="auto"/>
                    </w:rPr>
                  </w:pPr>
                  <w:r>
                    <w:rPr>
                      <w:rFonts w:hint="eastAsia"/>
                      <w:color w:val="auto"/>
                      <w:lang w:val="en-US" w:eastAsia="zh-CN"/>
                    </w:rPr>
                    <w:t>3.0</w:t>
                  </w:r>
                  <w:r>
                    <w:rPr>
                      <w:rFonts w:hint="eastAsia"/>
                      <w:color w:val="auto"/>
                    </w:rPr>
                    <w:t>T</w:t>
                  </w:r>
                </w:p>
              </w:tc>
              <w:tc>
                <w:tcPr>
                  <w:tcW w:w="617" w:type="pct"/>
                  <w:noWrap w:val="0"/>
                  <w:vAlign w:val="center"/>
                </w:tcPr>
                <w:p w14:paraId="3CC7270F">
                  <w:pPr>
                    <w:pStyle w:val="28"/>
                    <w:jc w:val="center"/>
                    <w:rPr>
                      <w:rFonts w:hint="eastAsia"/>
                      <w:color w:val="auto"/>
                    </w:rPr>
                  </w:pPr>
                  <w:r>
                    <w:rPr>
                      <w:rFonts w:hint="eastAsia"/>
                      <w:color w:val="auto"/>
                    </w:rPr>
                    <w:t>组</w:t>
                  </w:r>
                </w:p>
              </w:tc>
              <w:tc>
                <w:tcPr>
                  <w:tcW w:w="446" w:type="pct"/>
                  <w:noWrap w:val="0"/>
                  <w:vAlign w:val="center"/>
                </w:tcPr>
                <w:p w14:paraId="49ABE636">
                  <w:pPr>
                    <w:pStyle w:val="28"/>
                    <w:jc w:val="center"/>
                    <w:rPr>
                      <w:rFonts w:hint="eastAsia"/>
                      <w:color w:val="auto"/>
                    </w:rPr>
                  </w:pPr>
                  <w:r>
                    <w:rPr>
                      <w:rFonts w:hint="eastAsia"/>
                      <w:color w:val="auto"/>
                    </w:rPr>
                    <w:t>1</w:t>
                  </w:r>
                </w:p>
              </w:tc>
              <w:tc>
                <w:tcPr>
                  <w:tcW w:w="1279" w:type="pct"/>
                  <w:noWrap w:val="0"/>
                  <w:vAlign w:val="center"/>
                </w:tcPr>
                <w:p w14:paraId="75DC6D71">
                  <w:pPr>
                    <w:pStyle w:val="28"/>
                    <w:jc w:val="center"/>
                    <w:rPr>
                      <w:rFonts w:hint="eastAsia"/>
                      <w:color w:val="auto"/>
                    </w:rPr>
                  </w:pPr>
                  <w:r>
                    <w:rPr>
                      <w:rFonts w:hint="eastAsia"/>
                      <w:color w:val="auto"/>
                    </w:rPr>
                    <w:t>/</w:t>
                  </w:r>
                </w:p>
              </w:tc>
            </w:tr>
            <w:tr w14:paraId="7FEF9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 w:type="pct"/>
                  <w:noWrap w:val="0"/>
                  <w:vAlign w:val="center"/>
                </w:tcPr>
                <w:p w14:paraId="4B46E2AC">
                  <w:pPr>
                    <w:pStyle w:val="28"/>
                    <w:jc w:val="center"/>
                    <w:rPr>
                      <w:rFonts w:hint="eastAsia"/>
                      <w:color w:val="auto"/>
                    </w:rPr>
                  </w:pPr>
                  <w:r>
                    <w:rPr>
                      <w:rFonts w:hint="eastAsia"/>
                      <w:color w:val="auto"/>
                    </w:rPr>
                    <w:t>5</w:t>
                  </w:r>
                </w:p>
              </w:tc>
              <w:tc>
                <w:tcPr>
                  <w:tcW w:w="1576" w:type="pct"/>
                  <w:gridSpan w:val="2"/>
                  <w:noWrap w:val="0"/>
                  <w:vAlign w:val="center"/>
                </w:tcPr>
                <w:p w14:paraId="37807A0A">
                  <w:pPr>
                    <w:pStyle w:val="28"/>
                    <w:jc w:val="center"/>
                    <w:rPr>
                      <w:rFonts w:hint="eastAsia"/>
                      <w:color w:val="auto"/>
                    </w:rPr>
                  </w:pPr>
                  <w:r>
                    <w:rPr>
                      <w:rFonts w:hint="eastAsia"/>
                      <w:color w:val="auto"/>
                    </w:rPr>
                    <w:t>柴油发电机</w:t>
                  </w:r>
                </w:p>
              </w:tc>
              <w:tc>
                <w:tcPr>
                  <w:tcW w:w="666" w:type="pct"/>
                  <w:noWrap w:val="0"/>
                  <w:vAlign w:val="center"/>
                </w:tcPr>
                <w:p w14:paraId="0EE29BDE">
                  <w:pPr>
                    <w:pStyle w:val="28"/>
                    <w:jc w:val="center"/>
                    <w:rPr>
                      <w:rFonts w:hint="eastAsia"/>
                      <w:color w:val="auto"/>
                    </w:rPr>
                  </w:pPr>
                  <w:r>
                    <w:rPr>
                      <w:rFonts w:hint="eastAsia"/>
                      <w:color w:val="auto"/>
                    </w:rPr>
                    <w:t>500</w:t>
                  </w:r>
                  <w:r>
                    <w:rPr>
                      <w:rFonts w:hint="eastAsia"/>
                      <w:color w:val="auto"/>
                      <w:lang w:val="en-US" w:eastAsia="zh-CN"/>
                    </w:rPr>
                    <w:t>k</w:t>
                  </w:r>
                  <w:r>
                    <w:rPr>
                      <w:rFonts w:hint="eastAsia"/>
                      <w:color w:val="auto"/>
                    </w:rPr>
                    <w:t>W</w:t>
                  </w:r>
                </w:p>
              </w:tc>
              <w:tc>
                <w:tcPr>
                  <w:tcW w:w="617" w:type="pct"/>
                  <w:noWrap w:val="0"/>
                  <w:vAlign w:val="center"/>
                </w:tcPr>
                <w:p w14:paraId="4A10037D">
                  <w:pPr>
                    <w:pStyle w:val="28"/>
                    <w:jc w:val="center"/>
                    <w:rPr>
                      <w:rFonts w:hint="eastAsia"/>
                      <w:color w:val="auto"/>
                    </w:rPr>
                  </w:pPr>
                  <w:r>
                    <w:rPr>
                      <w:rFonts w:hint="eastAsia"/>
                      <w:color w:val="auto"/>
                    </w:rPr>
                    <w:t>台</w:t>
                  </w:r>
                </w:p>
              </w:tc>
              <w:tc>
                <w:tcPr>
                  <w:tcW w:w="446" w:type="pct"/>
                  <w:noWrap w:val="0"/>
                  <w:vAlign w:val="center"/>
                </w:tcPr>
                <w:p w14:paraId="0C1D9AAC">
                  <w:pPr>
                    <w:pStyle w:val="28"/>
                    <w:jc w:val="center"/>
                    <w:rPr>
                      <w:rFonts w:hint="eastAsia"/>
                      <w:color w:val="auto"/>
                    </w:rPr>
                  </w:pPr>
                  <w:r>
                    <w:rPr>
                      <w:rFonts w:hint="eastAsia"/>
                      <w:color w:val="auto"/>
                    </w:rPr>
                    <w:t>1</w:t>
                  </w:r>
                </w:p>
              </w:tc>
              <w:tc>
                <w:tcPr>
                  <w:tcW w:w="1279" w:type="pct"/>
                  <w:noWrap w:val="0"/>
                  <w:vAlign w:val="center"/>
                </w:tcPr>
                <w:p w14:paraId="41A82939">
                  <w:pPr>
                    <w:pStyle w:val="28"/>
                    <w:jc w:val="center"/>
                    <w:rPr>
                      <w:rFonts w:hint="eastAsia"/>
                      <w:color w:val="auto"/>
                    </w:rPr>
                  </w:pPr>
                  <w:r>
                    <w:rPr>
                      <w:rFonts w:hint="eastAsia"/>
                      <w:color w:val="auto"/>
                    </w:rPr>
                    <w:t>/</w:t>
                  </w:r>
                </w:p>
              </w:tc>
            </w:tr>
            <w:tr w14:paraId="11DD9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 w:type="pct"/>
                  <w:noWrap w:val="0"/>
                  <w:vAlign w:val="center"/>
                </w:tcPr>
                <w:p w14:paraId="2921013E">
                  <w:pPr>
                    <w:pStyle w:val="28"/>
                    <w:jc w:val="center"/>
                    <w:rPr>
                      <w:rFonts w:hint="eastAsia"/>
                      <w:color w:val="auto"/>
                    </w:rPr>
                  </w:pPr>
                  <w:bookmarkStart w:id="5" w:name="_Toc13828"/>
                  <w:bookmarkStart w:id="6" w:name="_Toc4738"/>
                  <w:bookmarkStart w:id="7" w:name="_Toc22586"/>
                  <w:bookmarkStart w:id="8" w:name="_Toc8813"/>
                  <w:bookmarkStart w:id="9" w:name="_Toc22459"/>
                  <w:bookmarkStart w:id="10" w:name="_Toc10434"/>
                  <w:bookmarkStart w:id="11" w:name="_Toc26139"/>
                  <w:r>
                    <w:rPr>
                      <w:rFonts w:hint="eastAsia"/>
                      <w:color w:val="auto"/>
                    </w:rPr>
                    <w:t>6</w:t>
                  </w:r>
                  <w:bookmarkEnd w:id="5"/>
                  <w:bookmarkEnd w:id="6"/>
                  <w:bookmarkEnd w:id="7"/>
                  <w:bookmarkEnd w:id="8"/>
                  <w:bookmarkEnd w:id="9"/>
                  <w:bookmarkEnd w:id="10"/>
                  <w:bookmarkEnd w:id="11"/>
                </w:p>
              </w:tc>
              <w:tc>
                <w:tcPr>
                  <w:tcW w:w="1576" w:type="pct"/>
                  <w:gridSpan w:val="2"/>
                  <w:noWrap w:val="0"/>
                  <w:vAlign w:val="center"/>
                </w:tcPr>
                <w:p w14:paraId="31722813">
                  <w:pPr>
                    <w:pStyle w:val="28"/>
                    <w:jc w:val="center"/>
                    <w:rPr>
                      <w:rFonts w:hint="eastAsia"/>
                      <w:color w:val="auto"/>
                    </w:rPr>
                  </w:pPr>
                  <w:r>
                    <w:rPr>
                      <w:rFonts w:hint="eastAsia"/>
                      <w:color w:val="auto"/>
                    </w:rPr>
                    <w:t>空气压缩机</w:t>
                  </w:r>
                </w:p>
              </w:tc>
              <w:tc>
                <w:tcPr>
                  <w:tcW w:w="666" w:type="pct"/>
                  <w:noWrap w:val="0"/>
                  <w:vAlign w:val="center"/>
                </w:tcPr>
                <w:p w14:paraId="39D2CC0B">
                  <w:pPr>
                    <w:pStyle w:val="28"/>
                    <w:jc w:val="center"/>
                    <w:rPr>
                      <w:rFonts w:hint="eastAsia"/>
                      <w:color w:val="auto"/>
                    </w:rPr>
                  </w:pPr>
                  <w:r>
                    <w:rPr>
                      <w:rFonts w:hint="eastAsia"/>
                      <w:color w:val="auto"/>
                    </w:rPr>
                    <w:t>3m</w:t>
                  </w:r>
                  <w:r>
                    <w:rPr>
                      <w:rFonts w:hint="default" w:ascii="Times New Roman" w:hAnsi="Times New Roman" w:cs="Times New Roman"/>
                      <w:color w:val="auto"/>
                    </w:rPr>
                    <w:t>³</w:t>
                  </w:r>
                </w:p>
              </w:tc>
              <w:tc>
                <w:tcPr>
                  <w:tcW w:w="617" w:type="pct"/>
                  <w:noWrap w:val="0"/>
                  <w:vAlign w:val="center"/>
                </w:tcPr>
                <w:p w14:paraId="70063912">
                  <w:pPr>
                    <w:pStyle w:val="28"/>
                    <w:jc w:val="center"/>
                    <w:rPr>
                      <w:rFonts w:hint="eastAsia"/>
                      <w:color w:val="auto"/>
                    </w:rPr>
                  </w:pPr>
                  <w:r>
                    <w:rPr>
                      <w:rFonts w:hint="eastAsia"/>
                      <w:color w:val="auto"/>
                    </w:rPr>
                    <w:t>台</w:t>
                  </w:r>
                </w:p>
              </w:tc>
              <w:tc>
                <w:tcPr>
                  <w:tcW w:w="446" w:type="pct"/>
                  <w:noWrap w:val="0"/>
                  <w:vAlign w:val="center"/>
                </w:tcPr>
                <w:p w14:paraId="4C9E5CF5">
                  <w:pPr>
                    <w:pStyle w:val="28"/>
                    <w:jc w:val="center"/>
                    <w:rPr>
                      <w:rFonts w:hint="eastAsia"/>
                      <w:color w:val="auto"/>
                    </w:rPr>
                  </w:pPr>
                  <w:r>
                    <w:rPr>
                      <w:rFonts w:hint="eastAsia"/>
                      <w:color w:val="auto"/>
                    </w:rPr>
                    <w:t>1</w:t>
                  </w:r>
                </w:p>
              </w:tc>
              <w:tc>
                <w:tcPr>
                  <w:tcW w:w="1279" w:type="pct"/>
                  <w:noWrap w:val="0"/>
                  <w:vAlign w:val="center"/>
                </w:tcPr>
                <w:p w14:paraId="3BDEB759">
                  <w:pPr>
                    <w:pStyle w:val="28"/>
                    <w:jc w:val="center"/>
                    <w:rPr>
                      <w:rFonts w:hint="eastAsia"/>
                      <w:color w:val="auto"/>
                    </w:rPr>
                  </w:pPr>
                  <w:r>
                    <w:rPr>
                      <w:rFonts w:hint="eastAsia"/>
                      <w:color w:val="auto"/>
                    </w:rPr>
                    <w:t>/</w:t>
                  </w:r>
                </w:p>
              </w:tc>
            </w:tr>
            <w:tr w14:paraId="71C57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 w:type="pct"/>
                  <w:noWrap w:val="0"/>
                  <w:vAlign w:val="center"/>
                </w:tcPr>
                <w:p w14:paraId="6EE2A3CA">
                  <w:pPr>
                    <w:pStyle w:val="28"/>
                    <w:jc w:val="center"/>
                    <w:rPr>
                      <w:rFonts w:hint="eastAsia"/>
                      <w:color w:val="auto"/>
                    </w:rPr>
                  </w:pPr>
                  <w:r>
                    <w:rPr>
                      <w:rFonts w:hint="eastAsia"/>
                      <w:color w:val="auto"/>
                    </w:rPr>
                    <w:t>7</w:t>
                  </w:r>
                </w:p>
              </w:tc>
              <w:tc>
                <w:tcPr>
                  <w:tcW w:w="1576" w:type="pct"/>
                  <w:gridSpan w:val="2"/>
                  <w:noWrap w:val="0"/>
                  <w:vAlign w:val="center"/>
                </w:tcPr>
                <w:p w14:paraId="7A18A8BE">
                  <w:pPr>
                    <w:pStyle w:val="28"/>
                    <w:jc w:val="center"/>
                    <w:rPr>
                      <w:rFonts w:hint="eastAsia"/>
                      <w:color w:val="auto"/>
                    </w:rPr>
                  </w:pPr>
                  <w:r>
                    <w:rPr>
                      <w:rFonts w:hint="eastAsia"/>
                      <w:color w:val="auto"/>
                    </w:rPr>
                    <w:t>空气压缩机</w:t>
                  </w:r>
                </w:p>
              </w:tc>
              <w:tc>
                <w:tcPr>
                  <w:tcW w:w="666" w:type="pct"/>
                  <w:noWrap w:val="0"/>
                  <w:vAlign w:val="center"/>
                </w:tcPr>
                <w:p w14:paraId="12FB2437">
                  <w:pPr>
                    <w:pStyle w:val="28"/>
                    <w:jc w:val="center"/>
                    <w:rPr>
                      <w:rFonts w:hint="eastAsia"/>
                      <w:color w:val="auto"/>
                    </w:rPr>
                  </w:pPr>
                  <w:r>
                    <w:rPr>
                      <w:rFonts w:hint="eastAsia"/>
                      <w:color w:val="auto"/>
                    </w:rPr>
                    <w:t>5m</w:t>
                  </w:r>
                  <w:r>
                    <w:rPr>
                      <w:rFonts w:hint="default" w:ascii="Times New Roman" w:hAnsi="Times New Roman" w:cs="Times New Roman"/>
                      <w:color w:val="auto"/>
                    </w:rPr>
                    <w:t>³</w:t>
                  </w:r>
                </w:p>
              </w:tc>
              <w:tc>
                <w:tcPr>
                  <w:tcW w:w="617" w:type="pct"/>
                  <w:noWrap w:val="0"/>
                  <w:vAlign w:val="center"/>
                </w:tcPr>
                <w:p w14:paraId="0D36641F">
                  <w:pPr>
                    <w:pStyle w:val="28"/>
                    <w:jc w:val="center"/>
                    <w:rPr>
                      <w:rFonts w:hint="eastAsia"/>
                      <w:color w:val="auto"/>
                    </w:rPr>
                  </w:pPr>
                  <w:r>
                    <w:rPr>
                      <w:rFonts w:hint="eastAsia"/>
                      <w:color w:val="auto"/>
                    </w:rPr>
                    <w:t>台</w:t>
                  </w:r>
                </w:p>
              </w:tc>
              <w:tc>
                <w:tcPr>
                  <w:tcW w:w="446" w:type="pct"/>
                  <w:noWrap w:val="0"/>
                  <w:vAlign w:val="center"/>
                </w:tcPr>
                <w:p w14:paraId="26D15175">
                  <w:pPr>
                    <w:pStyle w:val="28"/>
                    <w:jc w:val="center"/>
                    <w:rPr>
                      <w:rFonts w:hint="eastAsia"/>
                      <w:color w:val="auto"/>
                    </w:rPr>
                  </w:pPr>
                  <w:r>
                    <w:rPr>
                      <w:rFonts w:hint="eastAsia"/>
                      <w:color w:val="auto"/>
                    </w:rPr>
                    <w:t>1</w:t>
                  </w:r>
                </w:p>
              </w:tc>
              <w:tc>
                <w:tcPr>
                  <w:tcW w:w="1279" w:type="pct"/>
                  <w:noWrap w:val="0"/>
                  <w:vAlign w:val="center"/>
                </w:tcPr>
                <w:p w14:paraId="5B8F98D0">
                  <w:pPr>
                    <w:pStyle w:val="28"/>
                    <w:jc w:val="center"/>
                    <w:rPr>
                      <w:rFonts w:hint="eastAsia"/>
                      <w:color w:val="auto"/>
                    </w:rPr>
                  </w:pPr>
                  <w:r>
                    <w:rPr>
                      <w:rFonts w:hint="eastAsia"/>
                      <w:color w:val="auto"/>
                    </w:rPr>
                    <w:t>/</w:t>
                  </w:r>
                </w:p>
              </w:tc>
            </w:tr>
            <w:tr w14:paraId="74AF8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 w:type="pct"/>
                  <w:noWrap w:val="0"/>
                  <w:vAlign w:val="center"/>
                </w:tcPr>
                <w:p w14:paraId="179D9989">
                  <w:pPr>
                    <w:pStyle w:val="28"/>
                    <w:jc w:val="center"/>
                    <w:rPr>
                      <w:rFonts w:hint="eastAsia"/>
                      <w:color w:val="auto"/>
                    </w:rPr>
                  </w:pPr>
                  <w:r>
                    <w:rPr>
                      <w:rFonts w:hint="eastAsia"/>
                      <w:color w:val="auto"/>
                    </w:rPr>
                    <w:t>8</w:t>
                  </w:r>
                </w:p>
              </w:tc>
              <w:tc>
                <w:tcPr>
                  <w:tcW w:w="1576" w:type="pct"/>
                  <w:gridSpan w:val="2"/>
                  <w:noWrap w:val="0"/>
                  <w:vAlign w:val="center"/>
                </w:tcPr>
                <w:p w14:paraId="26CE74CD">
                  <w:pPr>
                    <w:pStyle w:val="28"/>
                    <w:jc w:val="center"/>
                    <w:rPr>
                      <w:rFonts w:hint="eastAsia"/>
                      <w:color w:val="auto"/>
                    </w:rPr>
                  </w:pPr>
                  <w:r>
                    <w:rPr>
                      <w:rFonts w:hint="eastAsia"/>
                      <w:color w:val="auto"/>
                    </w:rPr>
                    <w:t>轨枕生产线</w:t>
                  </w:r>
                </w:p>
              </w:tc>
              <w:tc>
                <w:tcPr>
                  <w:tcW w:w="666" w:type="pct"/>
                  <w:noWrap w:val="0"/>
                  <w:vAlign w:val="center"/>
                </w:tcPr>
                <w:p w14:paraId="587FFC01">
                  <w:pPr>
                    <w:pStyle w:val="28"/>
                    <w:jc w:val="center"/>
                    <w:rPr>
                      <w:rFonts w:hint="eastAsia"/>
                      <w:color w:val="auto"/>
                    </w:rPr>
                  </w:pPr>
                  <w:r>
                    <w:rPr>
                      <w:rFonts w:hint="eastAsia"/>
                      <w:color w:val="auto"/>
                    </w:rPr>
                    <w:t>/</w:t>
                  </w:r>
                </w:p>
              </w:tc>
              <w:tc>
                <w:tcPr>
                  <w:tcW w:w="617" w:type="pct"/>
                  <w:noWrap w:val="0"/>
                  <w:vAlign w:val="center"/>
                </w:tcPr>
                <w:p w14:paraId="50533CC8">
                  <w:pPr>
                    <w:pStyle w:val="28"/>
                    <w:jc w:val="center"/>
                    <w:rPr>
                      <w:rFonts w:hint="eastAsia"/>
                      <w:color w:val="auto"/>
                    </w:rPr>
                  </w:pPr>
                  <w:r>
                    <w:rPr>
                      <w:rFonts w:hint="eastAsia"/>
                      <w:color w:val="auto"/>
                    </w:rPr>
                    <w:t>套</w:t>
                  </w:r>
                </w:p>
              </w:tc>
              <w:tc>
                <w:tcPr>
                  <w:tcW w:w="446" w:type="pct"/>
                  <w:noWrap w:val="0"/>
                  <w:vAlign w:val="center"/>
                </w:tcPr>
                <w:p w14:paraId="4C0D506A">
                  <w:pPr>
                    <w:pStyle w:val="28"/>
                    <w:jc w:val="center"/>
                    <w:rPr>
                      <w:rFonts w:hint="eastAsia"/>
                      <w:color w:val="auto"/>
                    </w:rPr>
                  </w:pPr>
                  <w:r>
                    <w:rPr>
                      <w:rFonts w:hint="eastAsia"/>
                      <w:color w:val="auto"/>
                    </w:rPr>
                    <w:t>1</w:t>
                  </w:r>
                </w:p>
              </w:tc>
              <w:tc>
                <w:tcPr>
                  <w:tcW w:w="1279" w:type="pct"/>
                  <w:noWrap w:val="0"/>
                  <w:vAlign w:val="center"/>
                </w:tcPr>
                <w:p w14:paraId="7B7BDBCE">
                  <w:pPr>
                    <w:pStyle w:val="28"/>
                    <w:jc w:val="center"/>
                    <w:rPr>
                      <w:rFonts w:hint="eastAsia"/>
                      <w:color w:val="auto"/>
                    </w:rPr>
                  </w:pPr>
                  <w:r>
                    <w:rPr>
                      <w:rFonts w:hint="eastAsia"/>
                      <w:color w:val="auto"/>
                    </w:rPr>
                    <w:t>/</w:t>
                  </w:r>
                </w:p>
              </w:tc>
            </w:tr>
            <w:tr w14:paraId="1B939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 w:type="pct"/>
                  <w:noWrap w:val="0"/>
                  <w:vAlign w:val="center"/>
                </w:tcPr>
                <w:p w14:paraId="5B926E77">
                  <w:pPr>
                    <w:pStyle w:val="28"/>
                    <w:jc w:val="center"/>
                    <w:rPr>
                      <w:rFonts w:hint="eastAsia"/>
                      <w:color w:val="auto"/>
                    </w:rPr>
                  </w:pPr>
                  <w:r>
                    <w:rPr>
                      <w:rFonts w:hint="eastAsia"/>
                      <w:color w:val="auto"/>
                    </w:rPr>
                    <w:t>9</w:t>
                  </w:r>
                </w:p>
              </w:tc>
              <w:tc>
                <w:tcPr>
                  <w:tcW w:w="1576" w:type="pct"/>
                  <w:gridSpan w:val="2"/>
                  <w:noWrap w:val="0"/>
                  <w:vAlign w:val="center"/>
                </w:tcPr>
                <w:p w14:paraId="340FB12B">
                  <w:pPr>
                    <w:pStyle w:val="28"/>
                    <w:jc w:val="center"/>
                    <w:rPr>
                      <w:rFonts w:hint="eastAsia"/>
                      <w:color w:val="auto"/>
                    </w:rPr>
                  </w:pPr>
                  <w:r>
                    <w:rPr>
                      <w:rFonts w:hint="eastAsia"/>
                      <w:color w:val="auto"/>
                    </w:rPr>
                    <w:t>变压配电站</w:t>
                  </w:r>
                </w:p>
              </w:tc>
              <w:tc>
                <w:tcPr>
                  <w:tcW w:w="666" w:type="pct"/>
                  <w:noWrap w:val="0"/>
                  <w:vAlign w:val="center"/>
                </w:tcPr>
                <w:p w14:paraId="4F3C0339">
                  <w:pPr>
                    <w:pStyle w:val="28"/>
                    <w:jc w:val="center"/>
                    <w:rPr>
                      <w:rFonts w:hint="eastAsia"/>
                      <w:color w:val="auto"/>
                    </w:rPr>
                  </w:pPr>
                  <w:r>
                    <w:rPr>
                      <w:rFonts w:hint="eastAsia"/>
                      <w:color w:val="auto"/>
                    </w:rPr>
                    <w:t>/</w:t>
                  </w:r>
                </w:p>
              </w:tc>
              <w:tc>
                <w:tcPr>
                  <w:tcW w:w="617" w:type="pct"/>
                  <w:noWrap w:val="0"/>
                  <w:vAlign w:val="center"/>
                </w:tcPr>
                <w:p w14:paraId="0CA9DB53">
                  <w:pPr>
                    <w:pStyle w:val="28"/>
                    <w:jc w:val="center"/>
                    <w:rPr>
                      <w:rFonts w:hint="eastAsia"/>
                      <w:color w:val="auto"/>
                    </w:rPr>
                  </w:pPr>
                  <w:r>
                    <w:rPr>
                      <w:rFonts w:hint="eastAsia"/>
                      <w:color w:val="auto"/>
                    </w:rPr>
                    <w:t>组</w:t>
                  </w:r>
                </w:p>
              </w:tc>
              <w:tc>
                <w:tcPr>
                  <w:tcW w:w="446" w:type="pct"/>
                  <w:noWrap w:val="0"/>
                  <w:vAlign w:val="center"/>
                </w:tcPr>
                <w:p w14:paraId="72ACCE2E">
                  <w:pPr>
                    <w:pStyle w:val="28"/>
                    <w:jc w:val="center"/>
                    <w:rPr>
                      <w:rFonts w:hint="eastAsia"/>
                      <w:color w:val="auto"/>
                    </w:rPr>
                  </w:pPr>
                  <w:r>
                    <w:rPr>
                      <w:rFonts w:hint="eastAsia"/>
                      <w:color w:val="auto"/>
                    </w:rPr>
                    <w:t>1</w:t>
                  </w:r>
                </w:p>
              </w:tc>
              <w:tc>
                <w:tcPr>
                  <w:tcW w:w="1279" w:type="pct"/>
                  <w:noWrap w:val="0"/>
                  <w:vAlign w:val="center"/>
                </w:tcPr>
                <w:p w14:paraId="55E626B3">
                  <w:pPr>
                    <w:pStyle w:val="28"/>
                    <w:jc w:val="center"/>
                    <w:rPr>
                      <w:rFonts w:hint="eastAsia"/>
                      <w:color w:val="auto"/>
                    </w:rPr>
                  </w:pPr>
                  <w:r>
                    <w:rPr>
                      <w:rFonts w:hint="eastAsia"/>
                      <w:color w:val="auto"/>
                    </w:rPr>
                    <w:t>/</w:t>
                  </w:r>
                </w:p>
              </w:tc>
            </w:tr>
            <w:tr w14:paraId="4830A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 w:type="pct"/>
                  <w:noWrap w:val="0"/>
                  <w:vAlign w:val="center"/>
                </w:tcPr>
                <w:p w14:paraId="48C4B14D">
                  <w:pPr>
                    <w:pStyle w:val="28"/>
                    <w:jc w:val="center"/>
                    <w:rPr>
                      <w:rFonts w:hint="eastAsia"/>
                      <w:color w:val="auto"/>
                    </w:rPr>
                  </w:pPr>
                  <w:r>
                    <w:rPr>
                      <w:rFonts w:hint="eastAsia"/>
                      <w:color w:val="auto"/>
                    </w:rPr>
                    <w:t>10</w:t>
                  </w:r>
                </w:p>
              </w:tc>
              <w:tc>
                <w:tcPr>
                  <w:tcW w:w="1576" w:type="pct"/>
                  <w:gridSpan w:val="2"/>
                  <w:noWrap w:val="0"/>
                  <w:vAlign w:val="center"/>
                </w:tcPr>
                <w:p w14:paraId="23EA3B98">
                  <w:pPr>
                    <w:pStyle w:val="28"/>
                    <w:jc w:val="center"/>
                    <w:rPr>
                      <w:rFonts w:hint="eastAsia"/>
                      <w:color w:val="auto"/>
                    </w:rPr>
                  </w:pPr>
                  <w:r>
                    <w:rPr>
                      <w:rFonts w:hint="eastAsia"/>
                      <w:color w:val="auto"/>
                    </w:rPr>
                    <w:t>变压器</w:t>
                  </w:r>
                </w:p>
              </w:tc>
              <w:tc>
                <w:tcPr>
                  <w:tcW w:w="666" w:type="pct"/>
                  <w:noWrap w:val="0"/>
                  <w:vAlign w:val="center"/>
                </w:tcPr>
                <w:p w14:paraId="1ECC648F">
                  <w:pPr>
                    <w:pStyle w:val="28"/>
                    <w:jc w:val="center"/>
                    <w:rPr>
                      <w:rFonts w:hint="eastAsia"/>
                      <w:color w:val="auto"/>
                    </w:rPr>
                  </w:pPr>
                  <w:r>
                    <w:rPr>
                      <w:rFonts w:hint="eastAsia"/>
                      <w:color w:val="auto"/>
                    </w:rPr>
                    <w:t>630KVA</w:t>
                  </w:r>
                </w:p>
              </w:tc>
              <w:tc>
                <w:tcPr>
                  <w:tcW w:w="617" w:type="pct"/>
                  <w:noWrap w:val="0"/>
                  <w:vAlign w:val="center"/>
                </w:tcPr>
                <w:p w14:paraId="3AFE232A">
                  <w:pPr>
                    <w:pStyle w:val="28"/>
                    <w:jc w:val="center"/>
                    <w:rPr>
                      <w:rFonts w:hint="eastAsia"/>
                      <w:color w:val="auto"/>
                    </w:rPr>
                  </w:pPr>
                  <w:r>
                    <w:rPr>
                      <w:rFonts w:hint="eastAsia"/>
                      <w:color w:val="auto"/>
                    </w:rPr>
                    <w:t>组</w:t>
                  </w:r>
                </w:p>
              </w:tc>
              <w:tc>
                <w:tcPr>
                  <w:tcW w:w="446" w:type="pct"/>
                  <w:noWrap w:val="0"/>
                  <w:vAlign w:val="center"/>
                </w:tcPr>
                <w:p w14:paraId="0510B1EC">
                  <w:pPr>
                    <w:pStyle w:val="28"/>
                    <w:jc w:val="center"/>
                    <w:rPr>
                      <w:rFonts w:hint="eastAsia"/>
                      <w:color w:val="auto"/>
                    </w:rPr>
                  </w:pPr>
                  <w:r>
                    <w:rPr>
                      <w:rFonts w:hint="eastAsia"/>
                      <w:color w:val="auto"/>
                    </w:rPr>
                    <w:t>1</w:t>
                  </w:r>
                </w:p>
              </w:tc>
              <w:tc>
                <w:tcPr>
                  <w:tcW w:w="1279" w:type="pct"/>
                  <w:noWrap w:val="0"/>
                  <w:vAlign w:val="center"/>
                </w:tcPr>
                <w:p w14:paraId="46314AEB">
                  <w:pPr>
                    <w:pStyle w:val="28"/>
                    <w:jc w:val="center"/>
                    <w:rPr>
                      <w:rFonts w:hint="eastAsia"/>
                      <w:color w:val="auto"/>
                    </w:rPr>
                  </w:pPr>
                  <w:r>
                    <w:rPr>
                      <w:rFonts w:hint="eastAsia"/>
                      <w:color w:val="auto"/>
                    </w:rPr>
                    <w:t>/</w:t>
                  </w:r>
                </w:p>
              </w:tc>
            </w:tr>
            <w:tr w14:paraId="2B5D3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 w:type="pct"/>
                  <w:noWrap w:val="0"/>
                  <w:vAlign w:val="center"/>
                </w:tcPr>
                <w:p w14:paraId="3D7E5458">
                  <w:pPr>
                    <w:pStyle w:val="28"/>
                    <w:jc w:val="center"/>
                    <w:rPr>
                      <w:rFonts w:hint="eastAsia"/>
                      <w:color w:val="auto"/>
                    </w:rPr>
                  </w:pPr>
                  <w:r>
                    <w:rPr>
                      <w:rFonts w:hint="eastAsia"/>
                      <w:color w:val="auto"/>
                    </w:rPr>
                    <w:t>11</w:t>
                  </w:r>
                </w:p>
              </w:tc>
              <w:tc>
                <w:tcPr>
                  <w:tcW w:w="1576" w:type="pct"/>
                  <w:gridSpan w:val="2"/>
                  <w:noWrap w:val="0"/>
                  <w:vAlign w:val="center"/>
                </w:tcPr>
                <w:p w14:paraId="55B5B0CD">
                  <w:pPr>
                    <w:pStyle w:val="28"/>
                    <w:jc w:val="center"/>
                    <w:rPr>
                      <w:rFonts w:hint="eastAsia"/>
                      <w:color w:val="auto"/>
                    </w:rPr>
                  </w:pPr>
                  <w:r>
                    <w:rPr>
                      <w:rFonts w:hint="eastAsia"/>
                      <w:color w:val="auto"/>
                    </w:rPr>
                    <w:t>变压器</w:t>
                  </w:r>
                </w:p>
              </w:tc>
              <w:tc>
                <w:tcPr>
                  <w:tcW w:w="666" w:type="pct"/>
                  <w:noWrap w:val="0"/>
                  <w:vAlign w:val="center"/>
                </w:tcPr>
                <w:p w14:paraId="72D0A938">
                  <w:pPr>
                    <w:pStyle w:val="28"/>
                    <w:jc w:val="center"/>
                    <w:rPr>
                      <w:rFonts w:hint="eastAsia"/>
                      <w:color w:val="auto"/>
                    </w:rPr>
                  </w:pPr>
                  <w:r>
                    <w:rPr>
                      <w:rFonts w:hint="eastAsia"/>
                      <w:color w:val="auto"/>
                    </w:rPr>
                    <w:t>1000KVA</w:t>
                  </w:r>
                </w:p>
              </w:tc>
              <w:tc>
                <w:tcPr>
                  <w:tcW w:w="617" w:type="pct"/>
                  <w:noWrap w:val="0"/>
                  <w:vAlign w:val="center"/>
                </w:tcPr>
                <w:p w14:paraId="6C50CB89">
                  <w:pPr>
                    <w:pStyle w:val="28"/>
                    <w:jc w:val="center"/>
                    <w:rPr>
                      <w:rFonts w:hint="eastAsia"/>
                      <w:color w:val="auto"/>
                    </w:rPr>
                  </w:pPr>
                  <w:r>
                    <w:rPr>
                      <w:rFonts w:hint="eastAsia"/>
                      <w:color w:val="auto"/>
                    </w:rPr>
                    <w:t>组</w:t>
                  </w:r>
                </w:p>
              </w:tc>
              <w:tc>
                <w:tcPr>
                  <w:tcW w:w="446" w:type="pct"/>
                  <w:noWrap w:val="0"/>
                  <w:vAlign w:val="center"/>
                </w:tcPr>
                <w:p w14:paraId="339D5970">
                  <w:pPr>
                    <w:pStyle w:val="28"/>
                    <w:jc w:val="center"/>
                    <w:rPr>
                      <w:rFonts w:hint="eastAsia"/>
                      <w:color w:val="auto"/>
                    </w:rPr>
                  </w:pPr>
                  <w:r>
                    <w:rPr>
                      <w:rFonts w:hint="eastAsia"/>
                      <w:color w:val="auto"/>
                    </w:rPr>
                    <w:t>1</w:t>
                  </w:r>
                </w:p>
              </w:tc>
              <w:tc>
                <w:tcPr>
                  <w:tcW w:w="1279" w:type="pct"/>
                  <w:noWrap w:val="0"/>
                  <w:vAlign w:val="center"/>
                </w:tcPr>
                <w:p w14:paraId="46CB1A3E">
                  <w:pPr>
                    <w:pStyle w:val="28"/>
                    <w:jc w:val="center"/>
                    <w:rPr>
                      <w:rFonts w:hint="eastAsia"/>
                      <w:color w:val="auto"/>
                    </w:rPr>
                  </w:pPr>
                  <w:r>
                    <w:rPr>
                      <w:rFonts w:hint="eastAsia"/>
                      <w:color w:val="auto"/>
                    </w:rPr>
                    <w:t>/</w:t>
                  </w:r>
                </w:p>
              </w:tc>
            </w:tr>
            <w:tr w14:paraId="56644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 w:type="pct"/>
                  <w:noWrap w:val="0"/>
                  <w:vAlign w:val="center"/>
                </w:tcPr>
                <w:p w14:paraId="36B02B69">
                  <w:pPr>
                    <w:pStyle w:val="28"/>
                    <w:jc w:val="center"/>
                    <w:rPr>
                      <w:rFonts w:hint="eastAsia"/>
                      <w:color w:val="auto"/>
                    </w:rPr>
                  </w:pPr>
                  <w:r>
                    <w:rPr>
                      <w:rFonts w:hint="eastAsia"/>
                      <w:color w:val="auto"/>
                    </w:rPr>
                    <w:t>12</w:t>
                  </w:r>
                </w:p>
              </w:tc>
              <w:tc>
                <w:tcPr>
                  <w:tcW w:w="1576" w:type="pct"/>
                  <w:gridSpan w:val="2"/>
                  <w:noWrap w:val="0"/>
                  <w:vAlign w:val="center"/>
                </w:tcPr>
                <w:p w14:paraId="218EB6D9">
                  <w:pPr>
                    <w:pStyle w:val="28"/>
                    <w:jc w:val="center"/>
                    <w:rPr>
                      <w:rFonts w:hint="eastAsia"/>
                      <w:color w:val="auto"/>
                    </w:rPr>
                  </w:pPr>
                  <w:r>
                    <w:rPr>
                      <w:rFonts w:hint="eastAsia"/>
                      <w:color w:val="auto"/>
                    </w:rPr>
                    <w:t>叉车</w:t>
                  </w:r>
                </w:p>
              </w:tc>
              <w:tc>
                <w:tcPr>
                  <w:tcW w:w="666" w:type="pct"/>
                  <w:noWrap w:val="0"/>
                  <w:vAlign w:val="center"/>
                </w:tcPr>
                <w:p w14:paraId="2AA1699D">
                  <w:pPr>
                    <w:pStyle w:val="28"/>
                    <w:jc w:val="center"/>
                    <w:rPr>
                      <w:rFonts w:hint="default" w:eastAsia="宋体"/>
                      <w:color w:val="auto"/>
                      <w:lang w:val="en-US" w:eastAsia="zh-CN"/>
                    </w:rPr>
                  </w:pPr>
                  <w:r>
                    <w:rPr>
                      <w:rFonts w:hint="eastAsia"/>
                      <w:color w:val="auto"/>
                      <w:lang w:val="en-US" w:eastAsia="zh-CN"/>
                    </w:rPr>
                    <w:t>6t</w:t>
                  </w:r>
                </w:p>
              </w:tc>
              <w:tc>
                <w:tcPr>
                  <w:tcW w:w="617" w:type="pct"/>
                  <w:noWrap w:val="0"/>
                  <w:vAlign w:val="center"/>
                </w:tcPr>
                <w:p w14:paraId="7CB43E77">
                  <w:pPr>
                    <w:pStyle w:val="28"/>
                    <w:jc w:val="center"/>
                    <w:rPr>
                      <w:rFonts w:hint="eastAsia"/>
                      <w:color w:val="auto"/>
                    </w:rPr>
                  </w:pPr>
                  <w:r>
                    <w:rPr>
                      <w:rFonts w:hint="eastAsia"/>
                      <w:color w:val="auto"/>
                    </w:rPr>
                    <w:t>台</w:t>
                  </w:r>
                </w:p>
              </w:tc>
              <w:tc>
                <w:tcPr>
                  <w:tcW w:w="446" w:type="pct"/>
                  <w:noWrap w:val="0"/>
                  <w:vAlign w:val="center"/>
                </w:tcPr>
                <w:p w14:paraId="4A675A95">
                  <w:pPr>
                    <w:pStyle w:val="28"/>
                    <w:jc w:val="center"/>
                    <w:rPr>
                      <w:rFonts w:hint="eastAsia"/>
                      <w:color w:val="auto"/>
                    </w:rPr>
                  </w:pPr>
                  <w:r>
                    <w:rPr>
                      <w:rFonts w:hint="eastAsia"/>
                      <w:color w:val="auto"/>
                    </w:rPr>
                    <w:t>2</w:t>
                  </w:r>
                </w:p>
              </w:tc>
              <w:tc>
                <w:tcPr>
                  <w:tcW w:w="1279" w:type="pct"/>
                  <w:noWrap w:val="0"/>
                  <w:vAlign w:val="center"/>
                </w:tcPr>
                <w:p w14:paraId="1367A075">
                  <w:pPr>
                    <w:pStyle w:val="28"/>
                    <w:jc w:val="center"/>
                    <w:rPr>
                      <w:rFonts w:hint="eastAsia"/>
                      <w:color w:val="auto"/>
                    </w:rPr>
                  </w:pPr>
                  <w:r>
                    <w:rPr>
                      <w:rFonts w:hint="eastAsia"/>
                      <w:color w:val="auto"/>
                    </w:rPr>
                    <w:t>/</w:t>
                  </w:r>
                </w:p>
              </w:tc>
            </w:tr>
            <w:tr w14:paraId="232D5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 w:type="pct"/>
                  <w:noWrap w:val="0"/>
                  <w:vAlign w:val="center"/>
                </w:tcPr>
                <w:p w14:paraId="011E04D5">
                  <w:pPr>
                    <w:pStyle w:val="28"/>
                    <w:jc w:val="center"/>
                    <w:rPr>
                      <w:rFonts w:hint="eastAsia"/>
                      <w:color w:val="auto"/>
                    </w:rPr>
                  </w:pPr>
                  <w:r>
                    <w:rPr>
                      <w:rFonts w:hint="eastAsia"/>
                      <w:color w:val="auto"/>
                    </w:rPr>
                    <w:t>13</w:t>
                  </w:r>
                </w:p>
              </w:tc>
              <w:tc>
                <w:tcPr>
                  <w:tcW w:w="1576" w:type="pct"/>
                  <w:gridSpan w:val="2"/>
                  <w:noWrap w:val="0"/>
                  <w:vAlign w:val="center"/>
                </w:tcPr>
                <w:p w14:paraId="0EAE7408">
                  <w:pPr>
                    <w:pStyle w:val="28"/>
                    <w:jc w:val="center"/>
                    <w:rPr>
                      <w:rFonts w:hint="eastAsia"/>
                      <w:color w:val="auto"/>
                    </w:rPr>
                  </w:pPr>
                  <w:r>
                    <w:rPr>
                      <w:rFonts w:hint="eastAsia"/>
                      <w:color w:val="auto"/>
                    </w:rPr>
                    <w:t>装载机</w:t>
                  </w:r>
                </w:p>
              </w:tc>
              <w:tc>
                <w:tcPr>
                  <w:tcW w:w="666" w:type="pct"/>
                  <w:noWrap w:val="0"/>
                  <w:vAlign w:val="center"/>
                </w:tcPr>
                <w:p w14:paraId="04D954E9">
                  <w:pPr>
                    <w:pStyle w:val="28"/>
                    <w:jc w:val="center"/>
                    <w:rPr>
                      <w:rFonts w:hint="eastAsia"/>
                      <w:color w:val="auto"/>
                    </w:rPr>
                  </w:pPr>
                  <w:r>
                    <w:rPr>
                      <w:rFonts w:hint="eastAsia"/>
                      <w:color w:val="auto"/>
                    </w:rPr>
                    <w:t>ZL50</w:t>
                  </w:r>
                </w:p>
              </w:tc>
              <w:tc>
                <w:tcPr>
                  <w:tcW w:w="617" w:type="pct"/>
                  <w:noWrap w:val="0"/>
                  <w:vAlign w:val="center"/>
                </w:tcPr>
                <w:p w14:paraId="4B133C3F">
                  <w:pPr>
                    <w:pStyle w:val="28"/>
                    <w:jc w:val="center"/>
                    <w:rPr>
                      <w:rFonts w:hint="eastAsia"/>
                      <w:color w:val="auto"/>
                    </w:rPr>
                  </w:pPr>
                  <w:r>
                    <w:rPr>
                      <w:rFonts w:hint="eastAsia"/>
                      <w:color w:val="auto"/>
                    </w:rPr>
                    <w:t>台</w:t>
                  </w:r>
                </w:p>
              </w:tc>
              <w:tc>
                <w:tcPr>
                  <w:tcW w:w="446" w:type="pct"/>
                  <w:noWrap w:val="0"/>
                  <w:vAlign w:val="center"/>
                </w:tcPr>
                <w:p w14:paraId="5125E9D0">
                  <w:pPr>
                    <w:pStyle w:val="28"/>
                    <w:jc w:val="center"/>
                    <w:rPr>
                      <w:rFonts w:hint="eastAsia"/>
                      <w:color w:val="auto"/>
                    </w:rPr>
                  </w:pPr>
                  <w:r>
                    <w:rPr>
                      <w:rFonts w:hint="eastAsia"/>
                      <w:color w:val="auto"/>
                    </w:rPr>
                    <w:t>1</w:t>
                  </w:r>
                </w:p>
              </w:tc>
              <w:tc>
                <w:tcPr>
                  <w:tcW w:w="1279" w:type="pct"/>
                  <w:noWrap w:val="0"/>
                  <w:vAlign w:val="center"/>
                </w:tcPr>
                <w:p w14:paraId="374F12B9">
                  <w:pPr>
                    <w:pStyle w:val="28"/>
                    <w:jc w:val="center"/>
                    <w:rPr>
                      <w:rFonts w:hint="eastAsia"/>
                      <w:color w:val="auto"/>
                    </w:rPr>
                  </w:pPr>
                  <w:r>
                    <w:rPr>
                      <w:rFonts w:hint="eastAsia"/>
                      <w:color w:val="auto"/>
                    </w:rPr>
                    <w:t>/</w:t>
                  </w:r>
                </w:p>
              </w:tc>
            </w:tr>
            <w:tr w14:paraId="0741B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 w:type="pct"/>
                  <w:noWrap w:val="0"/>
                  <w:vAlign w:val="center"/>
                </w:tcPr>
                <w:p w14:paraId="2ED11FB4">
                  <w:pPr>
                    <w:pStyle w:val="28"/>
                    <w:jc w:val="center"/>
                    <w:rPr>
                      <w:rFonts w:hint="eastAsia"/>
                      <w:color w:val="auto"/>
                    </w:rPr>
                  </w:pPr>
                  <w:r>
                    <w:rPr>
                      <w:rFonts w:hint="eastAsia"/>
                      <w:color w:val="auto"/>
                    </w:rPr>
                    <w:t>14</w:t>
                  </w:r>
                </w:p>
              </w:tc>
              <w:tc>
                <w:tcPr>
                  <w:tcW w:w="1576" w:type="pct"/>
                  <w:gridSpan w:val="2"/>
                  <w:noWrap w:val="0"/>
                  <w:vAlign w:val="center"/>
                </w:tcPr>
                <w:p w14:paraId="07D7DC82">
                  <w:pPr>
                    <w:pStyle w:val="28"/>
                    <w:jc w:val="center"/>
                    <w:rPr>
                      <w:rFonts w:hint="eastAsia"/>
                      <w:color w:val="auto"/>
                    </w:rPr>
                  </w:pPr>
                  <w:r>
                    <w:rPr>
                      <w:rFonts w:hint="eastAsia"/>
                      <w:color w:val="auto"/>
                    </w:rPr>
                    <w:t>钢筋冷轧生产线</w:t>
                  </w:r>
                </w:p>
              </w:tc>
              <w:tc>
                <w:tcPr>
                  <w:tcW w:w="666" w:type="pct"/>
                  <w:noWrap w:val="0"/>
                  <w:vAlign w:val="center"/>
                </w:tcPr>
                <w:p w14:paraId="24767ED4">
                  <w:pPr>
                    <w:pStyle w:val="28"/>
                    <w:jc w:val="center"/>
                    <w:rPr>
                      <w:rFonts w:hint="eastAsia"/>
                      <w:color w:val="auto"/>
                    </w:rPr>
                  </w:pPr>
                  <w:r>
                    <w:rPr>
                      <w:rFonts w:hint="eastAsia"/>
                      <w:color w:val="auto"/>
                    </w:rPr>
                    <w:t>/</w:t>
                  </w:r>
                </w:p>
              </w:tc>
              <w:tc>
                <w:tcPr>
                  <w:tcW w:w="617" w:type="pct"/>
                  <w:noWrap w:val="0"/>
                  <w:vAlign w:val="center"/>
                </w:tcPr>
                <w:p w14:paraId="115A265E">
                  <w:pPr>
                    <w:pStyle w:val="28"/>
                    <w:jc w:val="center"/>
                    <w:rPr>
                      <w:rFonts w:hint="eastAsia"/>
                      <w:color w:val="auto"/>
                    </w:rPr>
                  </w:pPr>
                  <w:r>
                    <w:rPr>
                      <w:rFonts w:hint="eastAsia"/>
                      <w:color w:val="auto"/>
                    </w:rPr>
                    <w:t>套</w:t>
                  </w:r>
                </w:p>
              </w:tc>
              <w:tc>
                <w:tcPr>
                  <w:tcW w:w="446" w:type="pct"/>
                  <w:noWrap w:val="0"/>
                  <w:vAlign w:val="center"/>
                </w:tcPr>
                <w:p w14:paraId="74574EF9">
                  <w:pPr>
                    <w:pStyle w:val="28"/>
                    <w:jc w:val="center"/>
                    <w:rPr>
                      <w:rFonts w:hint="eastAsia"/>
                      <w:color w:val="auto"/>
                    </w:rPr>
                  </w:pPr>
                  <w:r>
                    <w:rPr>
                      <w:rFonts w:hint="eastAsia"/>
                      <w:color w:val="auto"/>
                    </w:rPr>
                    <w:t>1</w:t>
                  </w:r>
                </w:p>
              </w:tc>
              <w:tc>
                <w:tcPr>
                  <w:tcW w:w="1279" w:type="pct"/>
                  <w:noWrap w:val="0"/>
                  <w:vAlign w:val="center"/>
                </w:tcPr>
                <w:p w14:paraId="50956A86">
                  <w:pPr>
                    <w:pStyle w:val="28"/>
                    <w:jc w:val="center"/>
                    <w:rPr>
                      <w:rFonts w:hint="eastAsia"/>
                      <w:color w:val="auto"/>
                    </w:rPr>
                  </w:pPr>
                  <w:r>
                    <w:rPr>
                      <w:rFonts w:hint="eastAsia"/>
                      <w:color w:val="auto"/>
                    </w:rPr>
                    <w:t>/</w:t>
                  </w:r>
                </w:p>
              </w:tc>
            </w:tr>
            <w:tr w14:paraId="5CFAD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 w:type="pct"/>
                  <w:noWrap w:val="0"/>
                  <w:vAlign w:val="center"/>
                </w:tcPr>
                <w:p w14:paraId="6B1DC189">
                  <w:pPr>
                    <w:pStyle w:val="28"/>
                    <w:jc w:val="center"/>
                    <w:rPr>
                      <w:rFonts w:hint="eastAsia"/>
                      <w:color w:val="auto"/>
                    </w:rPr>
                  </w:pPr>
                  <w:r>
                    <w:rPr>
                      <w:rFonts w:hint="eastAsia"/>
                      <w:color w:val="auto"/>
                    </w:rPr>
                    <w:t>15</w:t>
                  </w:r>
                </w:p>
              </w:tc>
              <w:tc>
                <w:tcPr>
                  <w:tcW w:w="1576" w:type="pct"/>
                  <w:gridSpan w:val="2"/>
                  <w:noWrap w:val="0"/>
                  <w:vAlign w:val="center"/>
                </w:tcPr>
                <w:p w14:paraId="136FB479">
                  <w:pPr>
                    <w:pStyle w:val="28"/>
                    <w:jc w:val="center"/>
                    <w:rPr>
                      <w:rFonts w:hint="eastAsia"/>
                      <w:color w:val="auto"/>
                    </w:rPr>
                  </w:pPr>
                  <w:r>
                    <w:rPr>
                      <w:rFonts w:hint="eastAsia"/>
                      <w:color w:val="auto"/>
                    </w:rPr>
                    <w:t>钢筋桁架生产线</w:t>
                  </w:r>
                </w:p>
              </w:tc>
              <w:tc>
                <w:tcPr>
                  <w:tcW w:w="666" w:type="pct"/>
                  <w:noWrap w:val="0"/>
                  <w:vAlign w:val="center"/>
                </w:tcPr>
                <w:p w14:paraId="0AAC8D62">
                  <w:pPr>
                    <w:pStyle w:val="28"/>
                    <w:jc w:val="center"/>
                    <w:rPr>
                      <w:rFonts w:hint="eastAsia"/>
                      <w:color w:val="auto"/>
                    </w:rPr>
                  </w:pPr>
                  <w:r>
                    <w:rPr>
                      <w:rFonts w:hint="eastAsia"/>
                      <w:color w:val="auto"/>
                    </w:rPr>
                    <w:t>/</w:t>
                  </w:r>
                </w:p>
              </w:tc>
              <w:tc>
                <w:tcPr>
                  <w:tcW w:w="617" w:type="pct"/>
                  <w:noWrap w:val="0"/>
                  <w:vAlign w:val="center"/>
                </w:tcPr>
                <w:p w14:paraId="76A11936">
                  <w:pPr>
                    <w:pStyle w:val="28"/>
                    <w:jc w:val="center"/>
                    <w:rPr>
                      <w:rFonts w:hint="eastAsia"/>
                      <w:color w:val="auto"/>
                    </w:rPr>
                  </w:pPr>
                  <w:r>
                    <w:rPr>
                      <w:rFonts w:hint="eastAsia"/>
                      <w:color w:val="auto"/>
                    </w:rPr>
                    <w:t>套</w:t>
                  </w:r>
                </w:p>
              </w:tc>
              <w:tc>
                <w:tcPr>
                  <w:tcW w:w="446" w:type="pct"/>
                  <w:noWrap w:val="0"/>
                  <w:vAlign w:val="center"/>
                </w:tcPr>
                <w:p w14:paraId="445EFCE6">
                  <w:pPr>
                    <w:pStyle w:val="28"/>
                    <w:jc w:val="center"/>
                    <w:rPr>
                      <w:rFonts w:hint="eastAsia"/>
                      <w:color w:val="auto"/>
                    </w:rPr>
                  </w:pPr>
                  <w:r>
                    <w:rPr>
                      <w:rFonts w:hint="eastAsia"/>
                      <w:color w:val="auto"/>
                    </w:rPr>
                    <w:t>1</w:t>
                  </w:r>
                </w:p>
              </w:tc>
              <w:tc>
                <w:tcPr>
                  <w:tcW w:w="1279" w:type="pct"/>
                  <w:noWrap w:val="0"/>
                  <w:vAlign w:val="center"/>
                </w:tcPr>
                <w:p w14:paraId="0DD54388">
                  <w:pPr>
                    <w:pStyle w:val="28"/>
                    <w:jc w:val="center"/>
                    <w:rPr>
                      <w:rFonts w:hint="eastAsia"/>
                      <w:color w:val="auto"/>
                    </w:rPr>
                  </w:pPr>
                  <w:r>
                    <w:rPr>
                      <w:rFonts w:hint="eastAsia"/>
                      <w:color w:val="auto"/>
                    </w:rPr>
                    <w:t>/</w:t>
                  </w:r>
                </w:p>
              </w:tc>
            </w:tr>
            <w:tr w14:paraId="4A149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 w:type="pct"/>
                  <w:noWrap w:val="0"/>
                  <w:vAlign w:val="center"/>
                </w:tcPr>
                <w:p w14:paraId="5075F00D">
                  <w:pPr>
                    <w:pStyle w:val="28"/>
                    <w:jc w:val="center"/>
                    <w:rPr>
                      <w:rFonts w:hint="eastAsia"/>
                      <w:color w:val="auto"/>
                    </w:rPr>
                  </w:pPr>
                  <w:r>
                    <w:rPr>
                      <w:rFonts w:hint="eastAsia"/>
                      <w:color w:val="auto"/>
                    </w:rPr>
                    <w:t>16</w:t>
                  </w:r>
                </w:p>
              </w:tc>
              <w:tc>
                <w:tcPr>
                  <w:tcW w:w="1576" w:type="pct"/>
                  <w:gridSpan w:val="2"/>
                  <w:noWrap w:val="0"/>
                  <w:vAlign w:val="center"/>
                </w:tcPr>
                <w:p w14:paraId="27167995">
                  <w:pPr>
                    <w:pStyle w:val="28"/>
                    <w:jc w:val="center"/>
                    <w:rPr>
                      <w:rFonts w:hint="eastAsia"/>
                      <w:color w:val="auto"/>
                    </w:rPr>
                  </w:pPr>
                  <w:r>
                    <w:rPr>
                      <w:rFonts w:hint="eastAsia"/>
                      <w:color w:val="auto"/>
                    </w:rPr>
                    <w:t>轨枕湿润养护控制设备</w:t>
                  </w:r>
                </w:p>
              </w:tc>
              <w:tc>
                <w:tcPr>
                  <w:tcW w:w="666" w:type="pct"/>
                  <w:noWrap w:val="0"/>
                  <w:vAlign w:val="center"/>
                </w:tcPr>
                <w:p w14:paraId="588B7F4F">
                  <w:pPr>
                    <w:pStyle w:val="28"/>
                    <w:jc w:val="center"/>
                    <w:rPr>
                      <w:rFonts w:hint="eastAsia"/>
                      <w:color w:val="auto"/>
                    </w:rPr>
                  </w:pPr>
                  <w:r>
                    <w:rPr>
                      <w:rFonts w:hint="eastAsia"/>
                      <w:color w:val="auto"/>
                    </w:rPr>
                    <w:t>/</w:t>
                  </w:r>
                </w:p>
              </w:tc>
              <w:tc>
                <w:tcPr>
                  <w:tcW w:w="617" w:type="pct"/>
                  <w:noWrap w:val="0"/>
                  <w:vAlign w:val="center"/>
                </w:tcPr>
                <w:p w14:paraId="312E8E12">
                  <w:pPr>
                    <w:pStyle w:val="28"/>
                    <w:jc w:val="center"/>
                    <w:rPr>
                      <w:rFonts w:hint="eastAsia"/>
                      <w:color w:val="auto"/>
                    </w:rPr>
                  </w:pPr>
                  <w:r>
                    <w:rPr>
                      <w:rFonts w:hint="eastAsia"/>
                      <w:color w:val="auto"/>
                    </w:rPr>
                    <w:t>台</w:t>
                  </w:r>
                </w:p>
              </w:tc>
              <w:tc>
                <w:tcPr>
                  <w:tcW w:w="446" w:type="pct"/>
                  <w:noWrap w:val="0"/>
                  <w:vAlign w:val="center"/>
                </w:tcPr>
                <w:p w14:paraId="4429C164">
                  <w:pPr>
                    <w:pStyle w:val="28"/>
                    <w:jc w:val="center"/>
                    <w:rPr>
                      <w:rFonts w:hint="eastAsia"/>
                      <w:color w:val="auto"/>
                    </w:rPr>
                  </w:pPr>
                  <w:r>
                    <w:rPr>
                      <w:rFonts w:hint="eastAsia"/>
                      <w:color w:val="auto"/>
                    </w:rPr>
                    <w:t>1</w:t>
                  </w:r>
                </w:p>
              </w:tc>
              <w:tc>
                <w:tcPr>
                  <w:tcW w:w="1279" w:type="pct"/>
                  <w:noWrap w:val="0"/>
                  <w:vAlign w:val="center"/>
                </w:tcPr>
                <w:p w14:paraId="6D5A37FE">
                  <w:pPr>
                    <w:pStyle w:val="28"/>
                    <w:jc w:val="center"/>
                    <w:rPr>
                      <w:rFonts w:hint="eastAsia"/>
                      <w:color w:val="auto"/>
                    </w:rPr>
                  </w:pPr>
                  <w:r>
                    <w:rPr>
                      <w:rFonts w:hint="eastAsia"/>
                      <w:color w:val="auto"/>
                    </w:rPr>
                    <w:t>/</w:t>
                  </w:r>
                </w:p>
              </w:tc>
            </w:tr>
            <w:tr w14:paraId="2CBBE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 w:type="pct"/>
                  <w:noWrap w:val="0"/>
                  <w:vAlign w:val="center"/>
                </w:tcPr>
                <w:p w14:paraId="75AF3D73">
                  <w:pPr>
                    <w:pStyle w:val="28"/>
                    <w:jc w:val="center"/>
                    <w:rPr>
                      <w:rFonts w:hint="eastAsia"/>
                      <w:color w:val="auto"/>
                    </w:rPr>
                  </w:pPr>
                  <w:r>
                    <w:rPr>
                      <w:rFonts w:hint="eastAsia"/>
                      <w:color w:val="auto"/>
                    </w:rPr>
                    <w:t>17</w:t>
                  </w:r>
                </w:p>
              </w:tc>
              <w:tc>
                <w:tcPr>
                  <w:tcW w:w="1576" w:type="pct"/>
                  <w:gridSpan w:val="2"/>
                  <w:noWrap w:val="0"/>
                  <w:vAlign w:val="center"/>
                </w:tcPr>
                <w:p w14:paraId="7A561A3C">
                  <w:pPr>
                    <w:pStyle w:val="28"/>
                    <w:jc w:val="center"/>
                    <w:rPr>
                      <w:rFonts w:hint="eastAsia"/>
                      <w:color w:val="auto"/>
                    </w:rPr>
                  </w:pPr>
                  <w:r>
                    <w:rPr>
                      <w:rFonts w:hint="eastAsia"/>
                      <w:color w:val="auto"/>
                    </w:rPr>
                    <w:t>数控弯箍机</w:t>
                  </w:r>
                </w:p>
              </w:tc>
              <w:tc>
                <w:tcPr>
                  <w:tcW w:w="666" w:type="pct"/>
                  <w:noWrap w:val="0"/>
                  <w:vAlign w:val="center"/>
                </w:tcPr>
                <w:p w14:paraId="631AA037">
                  <w:pPr>
                    <w:pStyle w:val="28"/>
                    <w:jc w:val="center"/>
                    <w:rPr>
                      <w:rFonts w:hint="eastAsia"/>
                      <w:color w:val="auto"/>
                    </w:rPr>
                  </w:pPr>
                  <w:r>
                    <w:rPr>
                      <w:rFonts w:hint="eastAsia"/>
                      <w:color w:val="auto"/>
                    </w:rPr>
                    <w:t>/</w:t>
                  </w:r>
                </w:p>
              </w:tc>
              <w:tc>
                <w:tcPr>
                  <w:tcW w:w="617" w:type="pct"/>
                  <w:noWrap w:val="0"/>
                  <w:vAlign w:val="center"/>
                </w:tcPr>
                <w:p w14:paraId="74DE358D">
                  <w:pPr>
                    <w:pStyle w:val="28"/>
                    <w:jc w:val="center"/>
                    <w:rPr>
                      <w:rFonts w:hint="eastAsia"/>
                      <w:color w:val="auto"/>
                    </w:rPr>
                  </w:pPr>
                  <w:r>
                    <w:rPr>
                      <w:rFonts w:hint="eastAsia"/>
                      <w:color w:val="auto"/>
                    </w:rPr>
                    <w:t>台</w:t>
                  </w:r>
                </w:p>
              </w:tc>
              <w:tc>
                <w:tcPr>
                  <w:tcW w:w="446" w:type="pct"/>
                  <w:noWrap w:val="0"/>
                  <w:vAlign w:val="center"/>
                </w:tcPr>
                <w:p w14:paraId="5A1ECC86">
                  <w:pPr>
                    <w:pStyle w:val="28"/>
                    <w:jc w:val="center"/>
                    <w:rPr>
                      <w:rFonts w:hint="eastAsia"/>
                      <w:color w:val="auto"/>
                    </w:rPr>
                  </w:pPr>
                  <w:r>
                    <w:rPr>
                      <w:rFonts w:hint="eastAsia"/>
                      <w:color w:val="auto"/>
                    </w:rPr>
                    <w:t>1</w:t>
                  </w:r>
                </w:p>
              </w:tc>
              <w:tc>
                <w:tcPr>
                  <w:tcW w:w="1279" w:type="pct"/>
                  <w:noWrap w:val="0"/>
                  <w:vAlign w:val="center"/>
                </w:tcPr>
                <w:p w14:paraId="6A479C95">
                  <w:pPr>
                    <w:pStyle w:val="28"/>
                    <w:jc w:val="center"/>
                    <w:rPr>
                      <w:rFonts w:hint="eastAsia"/>
                      <w:color w:val="auto"/>
                    </w:rPr>
                  </w:pPr>
                  <w:r>
                    <w:rPr>
                      <w:rFonts w:hint="eastAsia"/>
                      <w:color w:val="auto"/>
                    </w:rPr>
                    <w:t>/</w:t>
                  </w:r>
                </w:p>
              </w:tc>
            </w:tr>
            <w:tr w14:paraId="42F3D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 w:type="pct"/>
                  <w:noWrap w:val="0"/>
                  <w:vAlign w:val="center"/>
                </w:tcPr>
                <w:p w14:paraId="4C588E22">
                  <w:pPr>
                    <w:pStyle w:val="28"/>
                    <w:jc w:val="center"/>
                    <w:rPr>
                      <w:rFonts w:hint="eastAsia"/>
                      <w:color w:val="auto"/>
                    </w:rPr>
                  </w:pPr>
                  <w:r>
                    <w:rPr>
                      <w:rFonts w:hint="eastAsia"/>
                      <w:color w:val="auto"/>
                    </w:rPr>
                    <w:t>18</w:t>
                  </w:r>
                </w:p>
              </w:tc>
              <w:tc>
                <w:tcPr>
                  <w:tcW w:w="1576" w:type="pct"/>
                  <w:gridSpan w:val="2"/>
                  <w:noWrap w:val="0"/>
                  <w:vAlign w:val="center"/>
                </w:tcPr>
                <w:p w14:paraId="540346E8">
                  <w:pPr>
                    <w:pStyle w:val="28"/>
                    <w:jc w:val="center"/>
                    <w:rPr>
                      <w:rFonts w:hint="eastAsia"/>
                      <w:color w:val="auto"/>
                    </w:rPr>
                  </w:pPr>
                  <w:r>
                    <w:rPr>
                      <w:rFonts w:hint="eastAsia"/>
                      <w:color w:val="auto"/>
                    </w:rPr>
                    <w:t>养护设备</w:t>
                  </w:r>
                </w:p>
              </w:tc>
              <w:tc>
                <w:tcPr>
                  <w:tcW w:w="666" w:type="pct"/>
                  <w:noWrap w:val="0"/>
                  <w:vAlign w:val="center"/>
                </w:tcPr>
                <w:p w14:paraId="1FFC421B">
                  <w:pPr>
                    <w:pStyle w:val="28"/>
                    <w:jc w:val="center"/>
                    <w:rPr>
                      <w:rFonts w:hint="eastAsia"/>
                      <w:color w:val="auto"/>
                    </w:rPr>
                  </w:pPr>
                  <w:r>
                    <w:rPr>
                      <w:rFonts w:hint="eastAsia"/>
                      <w:color w:val="auto"/>
                    </w:rPr>
                    <w:t>/</w:t>
                  </w:r>
                </w:p>
              </w:tc>
              <w:tc>
                <w:tcPr>
                  <w:tcW w:w="617" w:type="pct"/>
                  <w:noWrap w:val="0"/>
                  <w:vAlign w:val="center"/>
                </w:tcPr>
                <w:p w14:paraId="69A9A151">
                  <w:pPr>
                    <w:pStyle w:val="28"/>
                    <w:jc w:val="center"/>
                    <w:rPr>
                      <w:rFonts w:hint="eastAsia"/>
                      <w:color w:val="auto"/>
                    </w:rPr>
                  </w:pPr>
                  <w:r>
                    <w:rPr>
                      <w:rFonts w:hint="eastAsia"/>
                      <w:color w:val="auto"/>
                    </w:rPr>
                    <w:t>套</w:t>
                  </w:r>
                </w:p>
              </w:tc>
              <w:tc>
                <w:tcPr>
                  <w:tcW w:w="446" w:type="pct"/>
                  <w:noWrap w:val="0"/>
                  <w:vAlign w:val="center"/>
                </w:tcPr>
                <w:p w14:paraId="29054B15">
                  <w:pPr>
                    <w:pStyle w:val="28"/>
                    <w:jc w:val="center"/>
                    <w:rPr>
                      <w:rFonts w:hint="eastAsia"/>
                      <w:color w:val="auto"/>
                    </w:rPr>
                  </w:pPr>
                  <w:r>
                    <w:rPr>
                      <w:rFonts w:hint="eastAsia"/>
                      <w:color w:val="auto"/>
                    </w:rPr>
                    <w:t>1</w:t>
                  </w:r>
                </w:p>
              </w:tc>
              <w:tc>
                <w:tcPr>
                  <w:tcW w:w="1279" w:type="pct"/>
                  <w:noWrap w:val="0"/>
                  <w:vAlign w:val="center"/>
                </w:tcPr>
                <w:p w14:paraId="6735D02C">
                  <w:pPr>
                    <w:pStyle w:val="28"/>
                    <w:jc w:val="center"/>
                    <w:rPr>
                      <w:rFonts w:hint="eastAsia"/>
                      <w:color w:val="auto"/>
                    </w:rPr>
                  </w:pPr>
                  <w:r>
                    <w:rPr>
                      <w:rFonts w:hint="eastAsia"/>
                      <w:color w:val="auto"/>
                    </w:rPr>
                    <w:t>/</w:t>
                  </w:r>
                </w:p>
              </w:tc>
            </w:tr>
            <w:tr w14:paraId="1691A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 w:type="pct"/>
                  <w:vMerge w:val="restart"/>
                  <w:noWrap w:val="0"/>
                  <w:vAlign w:val="center"/>
                </w:tcPr>
                <w:p w14:paraId="5CEF595A">
                  <w:pPr>
                    <w:pStyle w:val="28"/>
                    <w:jc w:val="center"/>
                    <w:rPr>
                      <w:rFonts w:hint="default" w:eastAsia="宋体"/>
                      <w:color w:val="auto"/>
                      <w:lang w:val="en-US" w:eastAsia="zh-CN"/>
                    </w:rPr>
                  </w:pPr>
                  <w:r>
                    <w:rPr>
                      <w:rFonts w:hint="eastAsia"/>
                      <w:color w:val="auto"/>
                      <w:lang w:val="en-US" w:eastAsia="zh-CN"/>
                    </w:rPr>
                    <w:t>19</w:t>
                  </w:r>
                </w:p>
              </w:tc>
              <w:tc>
                <w:tcPr>
                  <w:tcW w:w="787" w:type="pct"/>
                  <w:vMerge w:val="restart"/>
                  <w:noWrap w:val="0"/>
                  <w:vAlign w:val="center"/>
                </w:tcPr>
                <w:p w14:paraId="4FFBF5C2">
                  <w:pPr>
                    <w:pStyle w:val="28"/>
                    <w:jc w:val="center"/>
                    <w:rPr>
                      <w:rFonts w:hint="eastAsia"/>
                      <w:color w:val="auto"/>
                    </w:rPr>
                  </w:pPr>
                  <w:r>
                    <w:rPr>
                      <w:rFonts w:hint="eastAsia"/>
                      <w:color w:val="auto"/>
                    </w:rPr>
                    <w:t>筒仓</w:t>
                  </w:r>
                </w:p>
              </w:tc>
              <w:tc>
                <w:tcPr>
                  <w:tcW w:w="788" w:type="pct"/>
                  <w:noWrap w:val="0"/>
                  <w:vAlign w:val="center"/>
                </w:tcPr>
                <w:p w14:paraId="4CD6F910">
                  <w:pPr>
                    <w:pStyle w:val="28"/>
                    <w:jc w:val="center"/>
                    <w:rPr>
                      <w:rFonts w:hint="eastAsia"/>
                      <w:color w:val="auto"/>
                    </w:rPr>
                  </w:pPr>
                  <w:r>
                    <w:rPr>
                      <w:rFonts w:hint="eastAsia"/>
                      <w:color w:val="auto"/>
                    </w:rPr>
                    <w:t>水泥筒仓</w:t>
                  </w:r>
                </w:p>
              </w:tc>
              <w:tc>
                <w:tcPr>
                  <w:tcW w:w="666" w:type="pct"/>
                  <w:noWrap w:val="0"/>
                  <w:vAlign w:val="center"/>
                </w:tcPr>
                <w:p w14:paraId="0037243A">
                  <w:pPr>
                    <w:pStyle w:val="28"/>
                    <w:jc w:val="center"/>
                    <w:rPr>
                      <w:rFonts w:hint="eastAsia"/>
                      <w:color w:val="auto"/>
                    </w:rPr>
                  </w:pPr>
                  <w:r>
                    <w:rPr>
                      <w:rFonts w:hint="eastAsia"/>
                      <w:color w:val="auto"/>
                    </w:rPr>
                    <w:t>100t</w:t>
                  </w:r>
                </w:p>
              </w:tc>
              <w:tc>
                <w:tcPr>
                  <w:tcW w:w="617" w:type="pct"/>
                  <w:noWrap w:val="0"/>
                  <w:vAlign w:val="center"/>
                </w:tcPr>
                <w:p w14:paraId="55FA23A3">
                  <w:pPr>
                    <w:pStyle w:val="28"/>
                    <w:jc w:val="center"/>
                    <w:rPr>
                      <w:rFonts w:hint="eastAsia"/>
                      <w:color w:val="auto"/>
                    </w:rPr>
                  </w:pPr>
                  <w:r>
                    <w:rPr>
                      <w:rFonts w:hint="eastAsia"/>
                      <w:color w:val="auto"/>
                    </w:rPr>
                    <w:t>个</w:t>
                  </w:r>
                </w:p>
              </w:tc>
              <w:tc>
                <w:tcPr>
                  <w:tcW w:w="446" w:type="pct"/>
                  <w:noWrap w:val="0"/>
                  <w:vAlign w:val="center"/>
                </w:tcPr>
                <w:p w14:paraId="2C2939BD">
                  <w:pPr>
                    <w:pStyle w:val="28"/>
                    <w:jc w:val="center"/>
                    <w:rPr>
                      <w:rFonts w:hint="eastAsia"/>
                      <w:color w:val="auto"/>
                    </w:rPr>
                  </w:pPr>
                  <w:r>
                    <w:rPr>
                      <w:rFonts w:hint="eastAsia"/>
                      <w:color w:val="auto"/>
                    </w:rPr>
                    <w:t>4</w:t>
                  </w:r>
                </w:p>
              </w:tc>
              <w:tc>
                <w:tcPr>
                  <w:tcW w:w="1279" w:type="pct"/>
                  <w:noWrap w:val="0"/>
                  <w:vAlign w:val="center"/>
                </w:tcPr>
                <w:p w14:paraId="110C4E2E">
                  <w:pPr>
                    <w:pStyle w:val="28"/>
                    <w:jc w:val="center"/>
                    <w:rPr>
                      <w:rFonts w:hint="eastAsia"/>
                      <w:color w:val="auto"/>
                    </w:rPr>
                  </w:pPr>
                </w:p>
              </w:tc>
            </w:tr>
            <w:tr w14:paraId="17B88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 w:type="pct"/>
                  <w:vMerge w:val="continue"/>
                  <w:noWrap w:val="0"/>
                  <w:vAlign w:val="center"/>
                </w:tcPr>
                <w:p w14:paraId="4177097E">
                  <w:pPr>
                    <w:pStyle w:val="28"/>
                    <w:jc w:val="center"/>
                    <w:rPr>
                      <w:rFonts w:hint="eastAsia"/>
                      <w:color w:val="auto"/>
                    </w:rPr>
                  </w:pPr>
                </w:p>
              </w:tc>
              <w:tc>
                <w:tcPr>
                  <w:tcW w:w="787" w:type="pct"/>
                  <w:vMerge w:val="continue"/>
                  <w:noWrap w:val="0"/>
                  <w:vAlign w:val="center"/>
                </w:tcPr>
                <w:p w14:paraId="7C0E922E">
                  <w:pPr>
                    <w:pStyle w:val="28"/>
                    <w:jc w:val="center"/>
                    <w:rPr>
                      <w:rFonts w:hint="eastAsia"/>
                      <w:color w:val="auto"/>
                    </w:rPr>
                  </w:pPr>
                </w:p>
              </w:tc>
              <w:tc>
                <w:tcPr>
                  <w:tcW w:w="788" w:type="pct"/>
                  <w:noWrap w:val="0"/>
                  <w:vAlign w:val="center"/>
                </w:tcPr>
                <w:p w14:paraId="485F36F3">
                  <w:pPr>
                    <w:pStyle w:val="28"/>
                    <w:jc w:val="center"/>
                    <w:rPr>
                      <w:rFonts w:hint="eastAsia"/>
                      <w:color w:val="auto"/>
                    </w:rPr>
                  </w:pPr>
                  <w:r>
                    <w:rPr>
                      <w:rFonts w:hint="eastAsia"/>
                      <w:color w:val="auto"/>
                      <w:lang w:eastAsia="zh-CN"/>
                    </w:rPr>
                    <w:t>掺</w:t>
                  </w:r>
                  <w:r>
                    <w:rPr>
                      <w:rFonts w:hint="eastAsia"/>
                      <w:color w:val="auto"/>
                      <w:lang w:val="en-US" w:eastAsia="zh-CN"/>
                    </w:rPr>
                    <w:t>和</w:t>
                  </w:r>
                  <w:r>
                    <w:rPr>
                      <w:rFonts w:hint="eastAsia"/>
                      <w:color w:val="auto"/>
                    </w:rPr>
                    <w:t>料筒仓</w:t>
                  </w:r>
                </w:p>
              </w:tc>
              <w:tc>
                <w:tcPr>
                  <w:tcW w:w="666" w:type="pct"/>
                  <w:noWrap w:val="0"/>
                  <w:vAlign w:val="center"/>
                </w:tcPr>
                <w:p w14:paraId="4207624A">
                  <w:pPr>
                    <w:pStyle w:val="28"/>
                    <w:jc w:val="center"/>
                    <w:rPr>
                      <w:rFonts w:hint="eastAsia"/>
                      <w:color w:val="auto"/>
                    </w:rPr>
                  </w:pPr>
                  <w:r>
                    <w:rPr>
                      <w:rFonts w:hint="eastAsia"/>
                      <w:color w:val="auto"/>
                    </w:rPr>
                    <w:t>100t</w:t>
                  </w:r>
                </w:p>
              </w:tc>
              <w:tc>
                <w:tcPr>
                  <w:tcW w:w="617" w:type="pct"/>
                  <w:noWrap w:val="0"/>
                  <w:vAlign w:val="center"/>
                </w:tcPr>
                <w:p w14:paraId="106DFC53">
                  <w:pPr>
                    <w:pStyle w:val="28"/>
                    <w:jc w:val="center"/>
                    <w:rPr>
                      <w:rFonts w:hint="eastAsia"/>
                      <w:color w:val="auto"/>
                    </w:rPr>
                  </w:pPr>
                  <w:r>
                    <w:rPr>
                      <w:rFonts w:hint="eastAsia"/>
                      <w:color w:val="auto"/>
                    </w:rPr>
                    <w:t>个</w:t>
                  </w:r>
                </w:p>
              </w:tc>
              <w:tc>
                <w:tcPr>
                  <w:tcW w:w="446" w:type="pct"/>
                  <w:noWrap w:val="0"/>
                  <w:vAlign w:val="center"/>
                </w:tcPr>
                <w:p w14:paraId="74A91953">
                  <w:pPr>
                    <w:pStyle w:val="28"/>
                    <w:jc w:val="center"/>
                    <w:rPr>
                      <w:rFonts w:hint="eastAsia"/>
                      <w:color w:val="auto"/>
                    </w:rPr>
                  </w:pPr>
                  <w:r>
                    <w:rPr>
                      <w:rFonts w:hint="eastAsia"/>
                      <w:color w:val="auto"/>
                    </w:rPr>
                    <w:t>2</w:t>
                  </w:r>
                </w:p>
              </w:tc>
              <w:tc>
                <w:tcPr>
                  <w:tcW w:w="1279" w:type="pct"/>
                  <w:noWrap w:val="0"/>
                  <w:vAlign w:val="center"/>
                </w:tcPr>
                <w:p w14:paraId="5EF15A6B">
                  <w:pPr>
                    <w:pStyle w:val="28"/>
                    <w:jc w:val="center"/>
                    <w:rPr>
                      <w:rFonts w:hint="eastAsia"/>
                      <w:color w:val="auto"/>
                    </w:rPr>
                  </w:pPr>
                </w:p>
              </w:tc>
            </w:tr>
            <w:tr w14:paraId="292EA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000" w:type="pct"/>
                  <w:gridSpan w:val="7"/>
                  <w:noWrap w:val="0"/>
                  <w:vAlign w:val="center"/>
                </w:tcPr>
                <w:p w14:paraId="6FDCA6DD">
                  <w:pPr>
                    <w:pStyle w:val="28"/>
                    <w:jc w:val="center"/>
                    <w:rPr>
                      <w:rFonts w:hint="eastAsia"/>
                      <w:b/>
                      <w:bCs/>
                      <w:color w:val="auto"/>
                    </w:rPr>
                  </w:pPr>
                  <w:r>
                    <w:rPr>
                      <w:rFonts w:hint="eastAsia"/>
                      <w:b/>
                      <w:bCs/>
                      <w:color w:val="auto"/>
                    </w:rPr>
                    <w:t>双块式轨枕生产线主要设备清单</w:t>
                  </w:r>
                </w:p>
              </w:tc>
            </w:tr>
            <w:tr w14:paraId="139A3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 w:type="pct"/>
                  <w:noWrap w:val="0"/>
                  <w:vAlign w:val="center"/>
                </w:tcPr>
                <w:p w14:paraId="01FFF26D">
                  <w:pPr>
                    <w:pStyle w:val="28"/>
                    <w:jc w:val="center"/>
                    <w:rPr>
                      <w:color w:val="auto"/>
                    </w:rPr>
                  </w:pPr>
                  <w:r>
                    <w:rPr>
                      <w:rFonts w:hint="eastAsia"/>
                      <w:color w:val="auto"/>
                    </w:rPr>
                    <w:t>1</w:t>
                  </w:r>
                </w:p>
              </w:tc>
              <w:tc>
                <w:tcPr>
                  <w:tcW w:w="1576" w:type="pct"/>
                  <w:gridSpan w:val="2"/>
                  <w:noWrap w:val="0"/>
                  <w:vAlign w:val="center"/>
                </w:tcPr>
                <w:p w14:paraId="113D5B5D">
                  <w:pPr>
                    <w:pStyle w:val="28"/>
                    <w:jc w:val="center"/>
                    <w:rPr>
                      <w:color w:val="auto"/>
                    </w:rPr>
                  </w:pPr>
                  <w:r>
                    <w:rPr>
                      <w:rFonts w:hint="eastAsia"/>
                      <w:color w:val="auto"/>
                    </w:rPr>
                    <w:t>混凝土布料机</w:t>
                  </w:r>
                </w:p>
              </w:tc>
              <w:tc>
                <w:tcPr>
                  <w:tcW w:w="666" w:type="pct"/>
                  <w:noWrap w:val="0"/>
                  <w:vAlign w:val="center"/>
                </w:tcPr>
                <w:p w14:paraId="652609A6">
                  <w:pPr>
                    <w:pStyle w:val="28"/>
                    <w:jc w:val="center"/>
                    <w:rPr>
                      <w:rFonts w:hint="eastAsia"/>
                      <w:color w:val="auto"/>
                    </w:rPr>
                  </w:pPr>
                  <w:r>
                    <w:rPr>
                      <w:rFonts w:hint="eastAsia"/>
                      <w:color w:val="auto"/>
                    </w:rPr>
                    <w:t>/</w:t>
                  </w:r>
                </w:p>
              </w:tc>
              <w:tc>
                <w:tcPr>
                  <w:tcW w:w="617" w:type="pct"/>
                  <w:noWrap w:val="0"/>
                  <w:vAlign w:val="center"/>
                </w:tcPr>
                <w:p w14:paraId="6CFE5FB7">
                  <w:pPr>
                    <w:pStyle w:val="28"/>
                    <w:jc w:val="center"/>
                    <w:rPr>
                      <w:color w:val="auto"/>
                    </w:rPr>
                  </w:pPr>
                  <w:r>
                    <w:rPr>
                      <w:rFonts w:hint="eastAsia"/>
                      <w:color w:val="auto"/>
                    </w:rPr>
                    <w:t>台</w:t>
                  </w:r>
                </w:p>
              </w:tc>
              <w:tc>
                <w:tcPr>
                  <w:tcW w:w="446" w:type="pct"/>
                  <w:noWrap w:val="0"/>
                  <w:vAlign w:val="center"/>
                </w:tcPr>
                <w:p w14:paraId="5978EE08">
                  <w:pPr>
                    <w:pStyle w:val="28"/>
                    <w:jc w:val="center"/>
                    <w:rPr>
                      <w:color w:val="auto"/>
                    </w:rPr>
                  </w:pPr>
                  <w:r>
                    <w:rPr>
                      <w:rFonts w:hint="eastAsia"/>
                      <w:color w:val="auto"/>
                    </w:rPr>
                    <w:t>1</w:t>
                  </w:r>
                </w:p>
              </w:tc>
              <w:tc>
                <w:tcPr>
                  <w:tcW w:w="1279" w:type="pct"/>
                  <w:noWrap w:val="0"/>
                  <w:vAlign w:val="center"/>
                </w:tcPr>
                <w:p w14:paraId="76EBB2EE">
                  <w:pPr>
                    <w:pStyle w:val="28"/>
                    <w:jc w:val="center"/>
                    <w:rPr>
                      <w:color w:val="auto"/>
                    </w:rPr>
                  </w:pPr>
                  <w:r>
                    <w:rPr>
                      <w:color w:val="auto"/>
                    </w:rPr>
                    <w:t>/</w:t>
                  </w:r>
                </w:p>
              </w:tc>
            </w:tr>
            <w:tr w14:paraId="55DE2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 w:type="pct"/>
                  <w:noWrap w:val="0"/>
                  <w:vAlign w:val="center"/>
                </w:tcPr>
                <w:p w14:paraId="1D757E60">
                  <w:pPr>
                    <w:pStyle w:val="28"/>
                    <w:jc w:val="center"/>
                    <w:rPr>
                      <w:color w:val="auto"/>
                    </w:rPr>
                  </w:pPr>
                  <w:r>
                    <w:rPr>
                      <w:rFonts w:hint="eastAsia"/>
                      <w:color w:val="auto"/>
                    </w:rPr>
                    <w:t>2</w:t>
                  </w:r>
                </w:p>
              </w:tc>
              <w:tc>
                <w:tcPr>
                  <w:tcW w:w="1576" w:type="pct"/>
                  <w:gridSpan w:val="2"/>
                  <w:noWrap w:val="0"/>
                  <w:vAlign w:val="center"/>
                </w:tcPr>
                <w:p w14:paraId="1008A1BD">
                  <w:pPr>
                    <w:pStyle w:val="28"/>
                    <w:jc w:val="center"/>
                    <w:rPr>
                      <w:rFonts w:hint="eastAsia"/>
                      <w:color w:val="auto"/>
                    </w:rPr>
                  </w:pPr>
                  <w:r>
                    <w:rPr>
                      <w:rFonts w:hint="eastAsia"/>
                      <w:color w:val="auto"/>
                    </w:rPr>
                    <w:t>混凝土布料机的</w:t>
                  </w:r>
                </w:p>
                <w:p w14:paraId="22EA6C39">
                  <w:pPr>
                    <w:pStyle w:val="28"/>
                    <w:jc w:val="center"/>
                    <w:rPr>
                      <w:color w:val="auto"/>
                    </w:rPr>
                  </w:pPr>
                  <w:r>
                    <w:rPr>
                      <w:rFonts w:hint="eastAsia"/>
                      <w:color w:val="auto"/>
                    </w:rPr>
                    <w:t>支撑钢结构</w:t>
                  </w:r>
                </w:p>
              </w:tc>
              <w:tc>
                <w:tcPr>
                  <w:tcW w:w="666" w:type="pct"/>
                  <w:noWrap w:val="0"/>
                  <w:vAlign w:val="center"/>
                </w:tcPr>
                <w:p w14:paraId="61005B3F">
                  <w:pPr>
                    <w:pStyle w:val="28"/>
                    <w:jc w:val="center"/>
                    <w:rPr>
                      <w:rFonts w:hint="eastAsia"/>
                      <w:color w:val="auto"/>
                    </w:rPr>
                  </w:pPr>
                  <w:r>
                    <w:rPr>
                      <w:rFonts w:hint="eastAsia"/>
                      <w:color w:val="auto"/>
                    </w:rPr>
                    <w:t>/</w:t>
                  </w:r>
                </w:p>
              </w:tc>
              <w:tc>
                <w:tcPr>
                  <w:tcW w:w="617" w:type="pct"/>
                  <w:noWrap w:val="0"/>
                  <w:vAlign w:val="center"/>
                </w:tcPr>
                <w:p w14:paraId="2CBFF996">
                  <w:pPr>
                    <w:pStyle w:val="28"/>
                    <w:jc w:val="center"/>
                    <w:rPr>
                      <w:color w:val="auto"/>
                    </w:rPr>
                  </w:pPr>
                  <w:r>
                    <w:rPr>
                      <w:rFonts w:hint="eastAsia"/>
                      <w:color w:val="auto"/>
                    </w:rPr>
                    <w:t>套</w:t>
                  </w:r>
                </w:p>
              </w:tc>
              <w:tc>
                <w:tcPr>
                  <w:tcW w:w="446" w:type="pct"/>
                  <w:noWrap w:val="0"/>
                  <w:vAlign w:val="center"/>
                </w:tcPr>
                <w:p w14:paraId="6BD05A2A">
                  <w:pPr>
                    <w:pStyle w:val="28"/>
                    <w:jc w:val="center"/>
                    <w:rPr>
                      <w:color w:val="auto"/>
                    </w:rPr>
                  </w:pPr>
                  <w:r>
                    <w:rPr>
                      <w:rFonts w:hint="eastAsia"/>
                      <w:color w:val="auto"/>
                    </w:rPr>
                    <w:t>1</w:t>
                  </w:r>
                </w:p>
              </w:tc>
              <w:tc>
                <w:tcPr>
                  <w:tcW w:w="1279" w:type="pct"/>
                  <w:noWrap w:val="0"/>
                  <w:vAlign w:val="center"/>
                </w:tcPr>
                <w:p w14:paraId="6778776E">
                  <w:pPr>
                    <w:pStyle w:val="28"/>
                    <w:jc w:val="center"/>
                    <w:rPr>
                      <w:color w:val="auto"/>
                    </w:rPr>
                  </w:pPr>
                  <w:r>
                    <w:rPr>
                      <w:color w:val="auto"/>
                    </w:rPr>
                    <w:t>/</w:t>
                  </w:r>
                </w:p>
              </w:tc>
            </w:tr>
            <w:tr w14:paraId="37AAA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 w:type="pct"/>
                  <w:noWrap w:val="0"/>
                  <w:vAlign w:val="center"/>
                </w:tcPr>
                <w:p w14:paraId="6F1758A8">
                  <w:pPr>
                    <w:pStyle w:val="28"/>
                    <w:jc w:val="center"/>
                    <w:rPr>
                      <w:color w:val="auto"/>
                    </w:rPr>
                  </w:pPr>
                  <w:r>
                    <w:rPr>
                      <w:rFonts w:hint="eastAsia"/>
                      <w:color w:val="auto"/>
                    </w:rPr>
                    <w:t>3</w:t>
                  </w:r>
                </w:p>
              </w:tc>
              <w:tc>
                <w:tcPr>
                  <w:tcW w:w="1576" w:type="pct"/>
                  <w:gridSpan w:val="2"/>
                  <w:noWrap w:val="0"/>
                  <w:vAlign w:val="center"/>
                </w:tcPr>
                <w:p w14:paraId="387234BD">
                  <w:pPr>
                    <w:pStyle w:val="28"/>
                    <w:jc w:val="center"/>
                    <w:rPr>
                      <w:color w:val="auto"/>
                    </w:rPr>
                  </w:pPr>
                  <w:r>
                    <w:rPr>
                      <w:rFonts w:hint="eastAsia"/>
                      <w:color w:val="auto"/>
                    </w:rPr>
                    <w:t>混凝土浇注/振动台</w:t>
                  </w:r>
                </w:p>
              </w:tc>
              <w:tc>
                <w:tcPr>
                  <w:tcW w:w="666" w:type="pct"/>
                  <w:noWrap w:val="0"/>
                  <w:vAlign w:val="center"/>
                </w:tcPr>
                <w:p w14:paraId="5C38001D">
                  <w:pPr>
                    <w:pStyle w:val="28"/>
                    <w:jc w:val="center"/>
                    <w:rPr>
                      <w:rFonts w:hint="eastAsia"/>
                      <w:color w:val="auto"/>
                    </w:rPr>
                  </w:pPr>
                  <w:r>
                    <w:rPr>
                      <w:rFonts w:hint="eastAsia"/>
                      <w:color w:val="auto"/>
                    </w:rPr>
                    <w:t>/</w:t>
                  </w:r>
                </w:p>
              </w:tc>
              <w:tc>
                <w:tcPr>
                  <w:tcW w:w="617" w:type="pct"/>
                  <w:noWrap w:val="0"/>
                  <w:vAlign w:val="center"/>
                </w:tcPr>
                <w:p w14:paraId="0C8841F5">
                  <w:pPr>
                    <w:pStyle w:val="28"/>
                    <w:jc w:val="center"/>
                    <w:rPr>
                      <w:color w:val="auto"/>
                    </w:rPr>
                  </w:pPr>
                  <w:r>
                    <w:rPr>
                      <w:rFonts w:hint="eastAsia"/>
                      <w:color w:val="auto"/>
                    </w:rPr>
                    <w:t>座</w:t>
                  </w:r>
                </w:p>
              </w:tc>
              <w:tc>
                <w:tcPr>
                  <w:tcW w:w="446" w:type="pct"/>
                  <w:noWrap w:val="0"/>
                  <w:vAlign w:val="center"/>
                </w:tcPr>
                <w:p w14:paraId="2D12ECEC">
                  <w:pPr>
                    <w:pStyle w:val="28"/>
                    <w:jc w:val="center"/>
                    <w:rPr>
                      <w:color w:val="auto"/>
                    </w:rPr>
                  </w:pPr>
                  <w:r>
                    <w:rPr>
                      <w:rFonts w:hint="eastAsia"/>
                      <w:color w:val="auto"/>
                    </w:rPr>
                    <w:t>2</w:t>
                  </w:r>
                </w:p>
              </w:tc>
              <w:tc>
                <w:tcPr>
                  <w:tcW w:w="1279" w:type="pct"/>
                  <w:noWrap w:val="0"/>
                  <w:vAlign w:val="center"/>
                </w:tcPr>
                <w:p w14:paraId="560EB332">
                  <w:pPr>
                    <w:pStyle w:val="28"/>
                    <w:jc w:val="center"/>
                    <w:rPr>
                      <w:color w:val="auto"/>
                    </w:rPr>
                  </w:pPr>
                  <w:r>
                    <w:rPr>
                      <w:color w:val="auto"/>
                    </w:rPr>
                    <w:t>/</w:t>
                  </w:r>
                </w:p>
              </w:tc>
            </w:tr>
            <w:tr w14:paraId="1A32A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 w:type="pct"/>
                  <w:noWrap w:val="0"/>
                  <w:vAlign w:val="center"/>
                </w:tcPr>
                <w:p w14:paraId="17E7DEE3">
                  <w:pPr>
                    <w:pStyle w:val="28"/>
                    <w:jc w:val="center"/>
                    <w:rPr>
                      <w:color w:val="auto"/>
                    </w:rPr>
                  </w:pPr>
                  <w:r>
                    <w:rPr>
                      <w:rFonts w:hint="eastAsia"/>
                      <w:color w:val="auto"/>
                    </w:rPr>
                    <w:t>4</w:t>
                  </w:r>
                </w:p>
              </w:tc>
              <w:tc>
                <w:tcPr>
                  <w:tcW w:w="1576" w:type="pct"/>
                  <w:gridSpan w:val="2"/>
                  <w:noWrap w:val="0"/>
                  <w:vAlign w:val="center"/>
                </w:tcPr>
                <w:p w14:paraId="2A677F34">
                  <w:pPr>
                    <w:pStyle w:val="28"/>
                    <w:jc w:val="center"/>
                    <w:rPr>
                      <w:color w:val="auto"/>
                    </w:rPr>
                  </w:pPr>
                  <w:r>
                    <w:rPr>
                      <w:rFonts w:hint="eastAsia"/>
                      <w:color w:val="auto"/>
                    </w:rPr>
                    <w:t>养护温度监测系统</w:t>
                  </w:r>
                </w:p>
              </w:tc>
              <w:tc>
                <w:tcPr>
                  <w:tcW w:w="666" w:type="pct"/>
                  <w:noWrap w:val="0"/>
                  <w:vAlign w:val="center"/>
                </w:tcPr>
                <w:p w14:paraId="4283C55A">
                  <w:pPr>
                    <w:pStyle w:val="28"/>
                    <w:jc w:val="center"/>
                    <w:rPr>
                      <w:rFonts w:hint="eastAsia"/>
                      <w:color w:val="auto"/>
                    </w:rPr>
                  </w:pPr>
                  <w:r>
                    <w:rPr>
                      <w:rFonts w:hint="eastAsia"/>
                      <w:color w:val="auto"/>
                    </w:rPr>
                    <w:t>/</w:t>
                  </w:r>
                </w:p>
              </w:tc>
              <w:tc>
                <w:tcPr>
                  <w:tcW w:w="617" w:type="pct"/>
                  <w:noWrap w:val="0"/>
                  <w:vAlign w:val="center"/>
                </w:tcPr>
                <w:p w14:paraId="2BC35348">
                  <w:pPr>
                    <w:pStyle w:val="28"/>
                    <w:jc w:val="center"/>
                    <w:rPr>
                      <w:color w:val="auto"/>
                    </w:rPr>
                  </w:pPr>
                  <w:r>
                    <w:rPr>
                      <w:rFonts w:hint="eastAsia"/>
                      <w:color w:val="auto"/>
                    </w:rPr>
                    <w:t>套</w:t>
                  </w:r>
                </w:p>
              </w:tc>
              <w:tc>
                <w:tcPr>
                  <w:tcW w:w="446" w:type="pct"/>
                  <w:noWrap w:val="0"/>
                  <w:vAlign w:val="center"/>
                </w:tcPr>
                <w:p w14:paraId="6D731C35">
                  <w:pPr>
                    <w:pStyle w:val="28"/>
                    <w:jc w:val="center"/>
                    <w:rPr>
                      <w:color w:val="auto"/>
                    </w:rPr>
                  </w:pPr>
                  <w:r>
                    <w:rPr>
                      <w:rFonts w:hint="eastAsia"/>
                      <w:color w:val="auto"/>
                    </w:rPr>
                    <w:t>1</w:t>
                  </w:r>
                </w:p>
              </w:tc>
              <w:tc>
                <w:tcPr>
                  <w:tcW w:w="1279" w:type="pct"/>
                  <w:noWrap w:val="0"/>
                  <w:vAlign w:val="center"/>
                </w:tcPr>
                <w:p w14:paraId="5EA4B535">
                  <w:pPr>
                    <w:pStyle w:val="28"/>
                    <w:jc w:val="center"/>
                    <w:rPr>
                      <w:rFonts w:hint="eastAsia"/>
                      <w:color w:val="auto"/>
                    </w:rPr>
                  </w:pPr>
                  <w:r>
                    <w:rPr>
                      <w:rFonts w:hint="eastAsia"/>
                      <w:color w:val="auto"/>
                    </w:rPr>
                    <w:t>蒸汽养护通道监</w:t>
                  </w:r>
                </w:p>
                <w:p w14:paraId="31725D84">
                  <w:pPr>
                    <w:pStyle w:val="28"/>
                    <w:jc w:val="center"/>
                    <w:rPr>
                      <w:color w:val="auto"/>
                    </w:rPr>
                  </w:pPr>
                  <w:r>
                    <w:rPr>
                      <w:rFonts w:hint="eastAsia"/>
                      <w:color w:val="auto"/>
                    </w:rPr>
                    <w:t>控装置</w:t>
                  </w:r>
                </w:p>
              </w:tc>
            </w:tr>
            <w:tr w14:paraId="7B5C2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 w:type="pct"/>
                  <w:noWrap w:val="0"/>
                  <w:vAlign w:val="center"/>
                </w:tcPr>
                <w:p w14:paraId="22196D8A">
                  <w:pPr>
                    <w:pStyle w:val="28"/>
                    <w:jc w:val="center"/>
                    <w:rPr>
                      <w:color w:val="auto"/>
                    </w:rPr>
                  </w:pPr>
                  <w:r>
                    <w:rPr>
                      <w:rFonts w:hint="eastAsia"/>
                      <w:color w:val="auto"/>
                    </w:rPr>
                    <w:t>5</w:t>
                  </w:r>
                </w:p>
              </w:tc>
              <w:tc>
                <w:tcPr>
                  <w:tcW w:w="1576" w:type="pct"/>
                  <w:gridSpan w:val="2"/>
                  <w:noWrap w:val="0"/>
                  <w:vAlign w:val="center"/>
                </w:tcPr>
                <w:p w14:paraId="6780EBAC">
                  <w:pPr>
                    <w:pStyle w:val="28"/>
                    <w:jc w:val="center"/>
                    <w:rPr>
                      <w:color w:val="auto"/>
                    </w:rPr>
                  </w:pPr>
                  <w:r>
                    <w:rPr>
                      <w:rFonts w:hint="eastAsia"/>
                      <w:color w:val="auto"/>
                    </w:rPr>
                    <w:t>钢模专用吊具</w:t>
                  </w:r>
                </w:p>
              </w:tc>
              <w:tc>
                <w:tcPr>
                  <w:tcW w:w="666" w:type="pct"/>
                  <w:noWrap w:val="0"/>
                  <w:vAlign w:val="center"/>
                </w:tcPr>
                <w:p w14:paraId="5D6835C4">
                  <w:pPr>
                    <w:pStyle w:val="28"/>
                    <w:jc w:val="center"/>
                    <w:rPr>
                      <w:rFonts w:hint="eastAsia"/>
                      <w:color w:val="auto"/>
                    </w:rPr>
                  </w:pPr>
                  <w:r>
                    <w:rPr>
                      <w:rFonts w:hint="eastAsia"/>
                      <w:color w:val="auto"/>
                    </w:rPr>
                    <w:t>/</w:t>
                  </w:r>
                </w:p>
              </w:tc>
              <w:tc>
                <w:tcPr>
                  <w:tcW w:w="617" w:type="pct"/>
                  <w:noWrap w:val="0"/>
                  <w:vAlign w:val="center"/>
                </w:tcPr>
                <w:p w14:paraId="56BF259E">
                  <w:pPr>
                    <w:pStyle w:val="28"/>
                    <w:jc w:val="center"/>
                    <w:rPr>
                      <w:color w:val="auto"/>
                    </w:rPr>
                  </w:pPr>
                  <w:r>
                    <w:rPr>
                      <w:rFonts w:hint="eastAsia"/>
                      <w:color w:val="auto"/>
                    </w:rPr>
                    <w:t>个</w:t>
                  </w:r>
                </w:p>
              </w:tc>
              <w:tc>
                <w:tcPr>
                  <w:tcW w:w="446" w:type="pct"/>
                  <w:noWrap w:val="0"/>
                  <w:vAlign w:val="center"/>
                </w:tcPr>
                <w:p w14:paraId="3478DF8B">
                  <w:pPr>
                    <w:pStyle w:val="28"/>
                    <w:jc w:val="center"/>
                    <w:rPr>
                      <w:color w:val="auto"/>
                    </w:rPr>
                  </w:pPr>
                  <w:r>
                    <w:rPr>
                      <w:rFonts w:hint="eastAsia"/>
                      <w:color w:val="auto"/>
                    </w:rPr>
                    <w:t>2</w:t>
                  </w:r>
                </w:p>
              </w:tc>
              <w:tc>
                <w:tcPr>
                  <w:tcW w:w="1279" w:type="pct"/>
                  <w:noWrap w:val="0"/>
                  <w:vAlign w:val="center"/>
                </w:tcPr>
                <w:p w14:paraId="3C556CC1">
                  <w:pPr>
                    <w:pStyle w:val="28"/>
                    <w:jc w:val="center"/>
                    <w:rPr>
                      <w:color w:val="auto"/>
                    </w:rPr>
                  </w:pPr>
                  <w:r>
                    <w:rPr>
                      <w:rFonts w:hint="eastAsia"/>
                      <w:color w:val="auto"/>
                    </w:rPr>
                    <w:t>养护通道前后各1个</w:t>
                  </w:r>
                </w:p>
              </w:tc>
            </w:tr>
            <w:tr w14:paraId="22DE5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 w:type="pct"/>
                  <w:noWrap w:val="0"/>
                  <w:vAlign w:val="center"/>
                </w:tcPr>
                <w:p w14:paraId="4617535B">
                  <w:pPr>
                    <w:pStyle w:val="28"/>
                    <w:jc w:val="center"/>
                    <w:rPr>
                      <w:color w:val="auto"/>
                    </w:rPr>
                  </w:pPr>
                  <w:r>
                    <w:rPr>
                      <w:rFonts w:hint="eastAsia"/>
                      <w:color w:val="auto"/>
                    </w:rPr>
                    <w:t>6</w:t>
                  </w:r>
                </w:p>
              </w:tc>
              <w:tc>
                <w:tcPr>
                  <w:tcW w:w="1576" w:type="pct"/>
                  <w:gridSpan w:val="2"/>
                  <w:noWrap w:val="0"/>
                  <w:vAlign w:val="center"/>
                </w:tcPr>
                <w:p w14:paraId="58BAFE6B">
                  <w:pPr>
                    <w:pStyle w:val="28"/>
                    <w:jc w:val="center"/>
                    <w:rPr>
                      <w:color w:val="auto"/>
                    </w:rPr>
                  </w:pPr>
                  <w:r>
                    <w:rPr>
                      <w:rFonts w:hint="eastAsia"/>
                      <w:color w:val="auto"/>
                    </w:rPr>
                    <w:t>养护通道用液压推进装置</w:t>
                  </w:r>
                </w:p>
              </w:tc>
              <w:tc>
                <w:tcPr>
                  <w:tcW w:w="666" w:type="pct"/>
                  <w:noWrap w:val="0"/>
                  <w:vAlign w:val="center"/>
                </w:tcPr>
                <w:p w14:paraId="73A3D295">
                  <w:pPr>
                    <w:pStyle w:val="28"/>
                    <w:jc w:val="center"/>
                    <w:rPr>
                      <w:rFonts w:hint="eastAsia"/>
                      <w:color w:val="auto"/>
                    </w:rPr>
                  </w:pPr>
                  <w:r>
                    <w:rPr>
                      <w:rFonts w:hint="eastAsia"/>
                      <w:color w:val="auto"/>
                    </w:rPr>
                    <w:t>/</w:t>
                  </w:r>
                </w:p>
              </w:tc>
              <w:tc>
                <w:tcPr>
                  <w:tcW w:w="617" w:type="pct"/>
                  <w:noWrap w:val="0"/>
                  <w:vAlign w:val="center"/>
                </w:tcPr>
                <w:p w14:paraId="0740A204">
                  <w:pPr>
                    <w:pStyle w:val="28"/>
                    <w:jc w:val="center"/>
                    <w:rPr>
                      <w:color w:val="auto"/>
                    </w:rPr>
                  </w:pPr>
                  <w:r>
                    <w:rPr>
                      <w:rFonts w:hint="eastAsia"/>
                      <w:color w:val="auto"/>
                    </w:rPr>
                    <w:t>套</w:t>
                  </w:r>
                </w:p>
              </w:tc>
              <w:tc>
                <w:tcPr>
                  <w:tcW w:w="446" w:type="pct"/>
                  <w:noWrap w:val="0"/>
                  <w:vAlign w:val="center"/>
                </w:tcPr>
                <w:p w14:paraId="5EA38FF0">
                  <w:pPr>
                    <w:pStyle w:val="28"/>
                    <w:jc w:val="center"/>
                    <w:rPr>
                      <w:color w:val="auto"/>
                    </w:rPr>
                  </w:pPr>
                  <w:r>
                    <w:rPr>
                      <w:rFonts w:hint="eastAsia"/>
                      <w:color w:val="auto"/>
                    </w:rPr>
                    <w:t>2</w:t>
                  </w:r>
                </w:p>
              </w:tc>
              <w:tc>
                <w:tcPr>
                  <w:tcW w:w="1279" w:type="pct"/>
                  <w:noWrap w:val="0"/>
                  <w:vAlign w:val="center"/>
                </w:tcPr>
                <w:p w14:paraId="7D994F49">
                  <w:pPr>
                    <w:pStyle w:val="28"/>
                    <w:jc w:val="center"/>
                    <w:rPr>
                      <w:color w:val="auto"/>
                    </w:rPr>
                  </w:pPr>
                  <w:r>
                    <w:rPr>
                      <w:color w:val="auto"/>
                    </w:rPr>
                    <w:t>/</w:t>
                  </w:r>
                </w:p>
              </w:tc>
            </w:tr>
            <w:tr w14:paraId="28577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 w:type="pct"/>
                  <w:noWrap w:val="0"/>
                  <w:vAlign w:val="center"/>
                </w:tcPr>
                <w:p w14:paraId="0B1FD205">
                  <w:pPr>
                    <w:pStyle w:val="28"/>
                    <w:jc w:val="center"/>
                    <w:rPr>
                      <w:color w:val="auto"/>
                    </w:rPr>
                  </w:pPr>
                  <w:r>
                    <w:rPr>
                      <w:rFonts w:hint="eastAsia"/>
                      <w:color w:val="auto"/>
                    </w:rPr>
                    <w:t>7</w:t>
                  </w:r>
                </w:p>
              </w:tc>
              <w:tc>
                <w:tcPr>
                  <w:tcW w:w="1576" w:type="pct"/>
                  <w:gridSpan w:val="2"/>
                  <w:noWrap w:val="0"/>
                  <w:vAlign w:val="center"/>
                </w:tcPr>
                <w:p w14:paraId="20C12624">
                  <w:pPr>
                    <w:pStyle w:val="28"/>
                    <w:jc w:val="center"/>
                    <w:rPr>
                      <w:color w:val="auto"/>
                    </w:rPr>
                  </w:pPr>
                  <w:r>
                    <w:rPr>
                      <w:rFonts w:hint="eastAsia"/>
                      <w:color w:val="auto"/>
                    </w:rPr>
                    <w:t>导轨</w:t>
                  </w:r>
                </w:p>
              </w:tc>
              <w:tc>
                <w:tcPr>
                  <w:tcW w:w="666" w:type="pct"/>
                  <w:noWrap w:val="0"/>
                  <w:vAlign w:val="center"/>
                </w:tcPr>
                <w:p w14:paraId="45154EB0">
                  <w:pPr>
                    <w:pStyle w:val="28"/>
                    <w:jc w:val="center"/>
                    <w:rPr>
                      <w:rFonts w:hint="eastAsia"/>
                      <w:color w:val="auto"/>
                    </w:rPr>
                  </w:pPr>
                  <w:r>
                    <w:rPr>
                      <w:rFonts w:hint="eastAsia"/>
                      <w:color w:val="auto"/>
                    </w:rPr>
                    <w:t>/</w:t>
                  </w:r>
                </w:p>
              </w:tc>
              <w:tc>
                <w:tcPr>
                  <w:tcW w:w="617" w:type="pct"/>
                  <w:noWrap w:val="0"/>
                  <w:vAlign w:val="center"/>
                </w:tcPr>
                <w:p w14:paraId="33E34997">
                  <w:pPr>
                    <w:pStyle w:val="28"/>
                    <w:jc w:val="center"/>
                    <w:rPr>
                      <w:color w:val="auto"/>
                    </w:rPr>
                  </w:pPr>
                  <w:r>
                    <w:rPr>
                      <w:rFonts w:hint="eastAsia"/>
                      <w:color w:val="auto"/>
                    </w:rPr>
                    <w:t>米</w:t>
                  </w:r>
                </w:p>
              </w:tc>
              <w:tc>
                <w:tcPr>
                  <w:tcW w:w="446" w:type="pct"/>
                  <w:noWrap w:val="0"/>
                  <w:vAlign w:val="center"/>
                </w:tcPr>
                <w:p w14:paraId="06FFE78E">
                  <w:pPr>
                    <w:pStyle w:val="28"/>
                    <w:jc w:val="center"/>
                    <w:rPr>
                      <w:color w:val="auto"/>
                    </w:rPr>
                  </w:pPr>
                  <w:r>
                    <w:rPr>
                      <w:rFonts w:hint="eastAsia"/>
                      <w:color w:val="auto"/>
                    </w:rPr>
                    <w:t>240</w:t>
                  </w:r>
                </w:p>
              </w:tc>
              <w:tc>
                <w:tcPr>
                  <w:tcW w:w="1279" w:type="pct"/>
                  <w:noWrap w:val="0"/>
                  <w:vAlign w:val="center"/>
                </w:tcPr>
                <w:p w14:paraId="74B12B78">
                  <w:pPr>
                    <w:pStyle w:val="28"/>
                    <w:jc w:val="center"/>
                    <w:rPr>
                      <w:color w:val="auto"/>
                    </w:rPr>
                  </w:pPr>
                  <w:r>
                    <w:rPr>
                      <w:rFonts w:hint="eastAsia"/>
                      <w:color w:val="auto"/>
                    </w:rPr>
                    <w:t>双轨</w:t>
                  </w:r>
                </w:p>
              </w:tc>
            </w:tr>
            <w:tr w14:paraId="19077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 w:type="pct"/>
                  <w:noWrap w:val="0"/>
                  <w:vAlign w:val="center"/>
                </w:tcPr>
                <w:p w14:paraId="0D0B540F">
                  <w:pPr>
                    <w:pStyle w:val="28"/>
                    <w:jc w:val="center"/>
                    <w:rPr>
                      <w:color w:val="auto"/>
                    </w:rPr>
                  </w:pPr>
                  <w:r>
                    <w:rPr>
                      <w:rFonts w:hint="eastAsia"/>
                      <w:color w:val="auto"/>
                    </w:rPr>
                    <w:t>8</w:t>
                  </w:r>
                </w:p>
              </w:tc>
              <w:tc>
                <w:tcPr>
                  <w:tcW w:w="1576" w:type="pct"/>
                  <w:gridSpan w:val="2"/>
                  <w:noWrap w:val="0"/>
                  <w:vAlign w:val="center"/>
                </w:tcPr>
                <w:p w14:paraId="6FA22C54">
                  <w:pPr>
                    <w:pStyle w:val="28"/>
                    <w:jc w:val="center"/>
                    <w:rPr>
                      <w:color w:val="auto"/>
                    </w:rPr>
                  </w:pPr>
                  <w:r>
                    <w:rPr>
                      <w:rFonts w:hint="eastAsia"/>
                      <w:color w:val="auto"/>
                    </w:rPr>
                    <w:t>养护通道用钢丝绳传动装置</w:t>
                  </w:r>
                </w:p>
              </w:tc>
              <w:tc>
                <w:tcPr>
                  <w:tcW w:w="666" w:type="pct"/>
                  <w:noWrap w:val="0"/>
                  <w:vAlign w:val="center"/>
                </w:tcPr>
                <w:p w14:paraId="3D0E5DDF">
                  <w:pPr>
                    <w:pStyle w:val="28"/>
                    <w:jc w:val="center"/>
                    <w:rPr>
                      <w:rFonts w:hint="eastAsia"/>
                      <w:color w:val="auto"/>
                    </w:rPr>
                  </w:pPr>
                  <w:r>
                    <w:rPr>
                      <w:rFonts w:hint="eastAsia"/>
                      <w:color w:val="auto"/>
                    </w:rPr>
                    <w:t>/</w:t>
                  </w:r>
                </w:p>
              </w:tc>
              <w:tc>
                <w:tcPr>
                  <w:tcW w:w="617" w:type="pct"/>
                  <w:noWrap w:val="0"/>
                  <w:vAlign w:val="center"/>
                </w:tcPr>
                <w:p w14:paraId="7E0AE797">
                  <w:pPr>
                    <w:pStyle w:val="28"/>
                    <w:jc w:val="center"/>
                    <w:rPr>
                      <w:color w:val="auto"/>
                    </w:rPr>
                  </w:pPr>
                  <w:r>
                    <w:rPr>
                      <w:rFonts w:hint="eastAsia"/>
                      <w:color w:val="auto"/>
                    </w:rPr>
                    <w:t>条</w:t>
                  </w:r>
                </w:p>
              </w:tc>
              <w:tc>
                <w:tcPr>
                  <w:tcW w:w="446" w:type="pct"/>
                  <w:noWrap w:val="0"/>
                  <w:vAlign w:val="center"/>
                </w:tcPr>
                <w:p w14:paraId="0A749298">
                  <w:pPr>
                    <w:pStyle w:val="28"/>
                    <w:jc w:val="center"/>
                    <w:rPr>
                      <w:color w:val="auto"/>
                    </w:rPr>
                  </w:pPr>
                  <w:r>
                    <w:rPr>
                      <w:rFonts w:hint="eastAsia"/>
                      <w:color w:val="auto"/>
                    </w:rPr>
                    <w:t>2</w:t>
                  </w:r>
                </w:p>
              </w:tc>
              <w:tc>
                <w:tcPr>
                  <w:tcW w:w="1279" w:type="pct"/>
                  <w:noWrap w:val="0"/>
                  <w:vAlign w:val="center"/>
                </w:tcPr>
                <w:p w14:paraId="7A985AB5">
                  <w:pPr>
                    <w:pStyle w:val="28"/>
                    <w:jc w:val="center"/>
                    <w:rPr>
                      <w:color w:val="auto"/>
                    </w:rPr>
                  </w:pPr>
                  <w:r>
                    <w:rPr>
                      <w:color w:val="auto"/>
                    </w:rPr>
                    <w:t>/</w:t>
                  </w:r>
                </w:p>
              </w:tc>
            </w:tr>
            <w:tr w14:paraId="5E89F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 w:type="pct"/>
                  <w:noWrap w:val="0"/>
                  <w:vAlign w:val="center"/>
                </w:tcPr>
                <w:p w14:paraId="74CFF582">
                  <w:pPr>
                    <w:pStyle w:val="28"/>
                    <w:jc w:val="center"/>
                    <w:rPr>
                      <w:color w:val="auto"/>
                    </w:rPr>
                  </w:pPr>
                  <w:r>
                    <w:rPr>
                      <w:rFonts w:hint="eastAsia"/>
                      <w:color w:val="auto"/>
                    </w:rPr>
                    <w:t>9</w:t>
                  </w:r>
                </w:p>
              </w:tc>
              <w:tc>
                <w:tcPr>
                  <w:tcW w:w="1576" w:type="pct"/>
                  <w:gridSpan w:val="2"/>
                  <w:noWrap w:val="0"/>
                  <w:vAlign w:val="center"/>
                </w:tcPr>
                <w:p w14:paraId="73144D0E">
                  <w:pPr>
                    <w:pStyle w:val="28"/>
                    <w:jc w:val="center"/>
                    <w:rPr>
                      <w:color w:val="auto"/>
                    </w:rPr>
                  </w:pPr>
                  <w:r>
                    <w:rPr>
                      <w:rFonts w:hint="eastAsia"/>
                      <w:color w:val="auto"/>
                    </w:rPr>
                    <w:t>钢模运输小车</w:t>
                  </w:r>
                </w:p>
              </w:tc>
              <w:tc>
                <w:tcPr>
                  <w:tcW w:w="666" w:type="pct"/>
                  <w:noWrap w:val="0"/>
                  <w:vAlign w:val="center"/>
                </w:tcPr>
                <w:p w14:paraId="6922FFF5">
                  <w:pPr>
                    <w:pStyle w:val="28"/>
                    <w:jc w:val="center"/>
                    <w:rPr>
                      <w:rFonts w:hint="eastAsia"/>
                      <w:color w:val="auto"/>
                    </w:rPr>
                  </w:pPr>
                  <w:r>
                    <w:rPr>
                      <w:rFonts w:hint="eastAsia"/>
                      <w:color w:val="auto"/>
                    </w:rPr>
                    <w:t>/</w:t>
                  </w:r>
                </w:p>
              </w:tc>
              <w:tc>
                <w:tcPr>
                  <w:tcW w:w="617" w:type="pct"/>
                  <w:noWrap w:val="0"/>
                  <w:vAlign w:val="center"/>
                </w:tcPr>
                <w:p w14:paraId="0EE9F000">
                  <w:pPr>
                    <w:pStyle w:val="28"/>
                    <w:jc w:val="center"/>
                    <w:rPr>
                      <w:color w:val="auto"/>
                    </w:rPr>
                  </w:pPr>
                  <w:r>
                    <w:rPr>
                      <w:rFonts w:hint="eastAsia"/>
                      <w:color w:val="auto"/>
                    </w:rPr>
                    <w:t>台</w:t>
                  </w:r>
                </w:p>
              </w:tc>
              <w:tc>
                <w:tcPr>
                  <w:tcW w:w="446" w:type="pct"/>
                  <w:noWrap w:val="0"/>
                  <w:vAlign w:val="center"/>
                </w:tcPr>
                <w:p w14:paraId="3F5954A0">
                  <w:pPr>
                    <w:pStyle w:val="28"/>
                    <w:jc w:val="center"/>
                    <w:rPr>
                      <w:color w:val="auto"/>
                    </w:rPr>
                  </w:pPr>
                  <w:r>
                    <w:rPr>
                      <w:rFonts w:hint="eastAsia"/>
                      <w:color w:val="auto"/>
                    </w:rPr>
                    <w:t>41</w:t>
                  </w:r>
                </w:p>
              </w:tc>
              <w:tc>
                <w:tcPr>
                  <w:tcW w:w="1279" w:type="pct"/>
                  <w:noWrap w:val="0"/>
                  <w:vAlign w:val="center"/>
                </w:tcPr>
                <w:p w14:paraId="647D2FFA">
                  <w:pPr>
                    <w:pStyle w:val="28"/>
                    <w:jc w:val="center"/>
                    <w:rPr>
                      <w:color w:val="auto"/>
                    </w:rPr>
                  </w:pPr>
                  <w:r>
                    <w:rPr>
                      <w:color w:val="auto"/>
                    </w:rPr>
                    <w:t>/</w:t>
                  </w:r>
                </w:p>
              </w:tc>
            </w:tr>
            <w:tr w14:paraId="50317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 w:type="pct"/>
                  <w:noWrap w:val="0"/>
                  <w:vAlign w:val="center"/>
                </w:tcPr>
                <w:p w14:paraId="2B45F176">
                  <w:pPr>
                    <w:pStyle w:val="28"/>
                    <w:jc w:val="center"/>
                    <w:rPr>
                      <w:color w:val="auto"/>
                    </w:rPr>
                  </w:pPr>
                  <w:r>
                    <w:rPr>
                      <w:rFonts w:hint="eastAsia"/>
                      <w:color w:val="auto"/>
                    </w:rPr>
                    <w:t>10</w:t>
                  </w:r>
                </w:p>
              </w:tc>
              <w:tc>
                <w:tcPr>
                  <w:tcW w:w="1576" w:type="pct"/>
                  <w:gridSpan w:val="2"/>
                  <w:noWrap w:val="0"/>
                  <w:vAlign w:val="center"/>
                </w:tcPr>
                <w:p w14:paraId="0AFEAF4B">
                  <w:pPr>
                    <w:pStyle w:val="28"/>
                    <w:jc w:val="center"/>
                    <w:rPr>
                      <w:color w:val="auto"/>
                    </w:rPr>
                  </w:pPr>
                  <w:r>
                    <w:rPr>
                      <w:rFonts w:hint="eastAsia"/>
                      <w:color w:val="auto"/>
                    </w:rPr>
                    <w:t>带提升装置的脱模站</w:t>
                  </w:r>
                </w:p>
              </w:tc>
              <w:tc>
                <w:tcPr>
                  <w:tcW w:w="666" w:type="pct"/>
                  <w:noWrap w:val="0"/>
                  <w:vAlign w:val="center"/>
                </w:tcPr>
                <w:p w14:paraId="13EA955F">
                  <w:pPr>
                    <w:pStyle w:val="28"/>
                    <w:jc w:val="center"/>
                    <w:rPr>
                      <w:rFonts w:hint="eastAsia"/>
                      <w:color w:val="auto"/>
                    </w:rPr>
                  </w:pPr>
                  <w:r>
                    <w:rPr>
                      <w:rFonts w:hint="eastAsia"/>
                      <w:color w:val="auto"/>
                    </w:rPr>
                    <w:t>/</w:t>
                  </w:r>
                </w:p>
              </w:tc>
              <w:tc>
                <w:tcPr>
                  <w:tcW w:w="617" w:type="pct"/>
                  <w:noWrap w:val="0"/>
                  <w:vAlign w:val="center"/>
                </w:tcPr>
                <w:p w14:paraId="4AD1E1DE">
                  <w:pPr>
                    <w:pStyle w:val="28"/>
                    <w:jc w:val="center"/>
                    <w:rPr>
                      <w:color w:val="auto"/>
                    </w:rPr>
                  </w:pPr>
                  <w:r>
                    <w:rPr>
                      <w:rFonts w:hint="eastAsia"/>
                      <w:color w:val="auto"/>
                    </w:rPr>
                    <w:t>套</w:t>
                  </w:r>
                </w:p>
              </w:tc>
              <w:tc>
                <w:tcPr>
                  <w:tcW w:w="446" w:type="pct"/>
                  <w:noWrap w:val="0"/>
                  <w:vAlign w:val="center"/>
                </w:tcPr>
                <w:p w14:paraId="095C7433">
                  <w:pPr>
                    <w:pStyle w:val="28"/>
                    <w:jc w:val="center"/>
                    <w:rPr>
                      <w:color w:val="auto"/>
                    </w:rPr>
                  </w:pPr>
                  <w:r>
                    <w:rPr>
                      <w:rFonts w:hint="eastAsia"/>
                      <w:color w:val="auto"/>
                    </w:rPr>
                    <w:t>1</w:t>
                  </w:r>
                </w:p>
              </w:tc>
              <w:tc>
                <w:tcPr>
                  <w:tcW w:w="1279" w:type="pct"/>
                  <w:noWrap w:val="0"/>
                  <w:vAlign w:val="center"/>
                </w:tcPr>
                <w:p w14:paraId="51006771">
                  <w:pPr>
                    <w:pStyle w:val="28"/>
                    <w:jc w:val="center"/>
                    <w:rPr>
                      <w:color w:val="auto"/>
                    </w:rPr>
                  </w:pPr>
                  <w:r>
                    <w:rPr>
                      <w:rFonts w:hint="eastAsia"/>
                      <w:color w:val="auto"/>
                    </w:rPr>
                    <w:t>提升、翻转脱模装置</w:t>
                  </w:r>
                </w:p>
              </w:tc>
            </w:tr>
            <w:tr w14:paraId="3C476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 w:type="pct"/>
                  <w:noWrap w:val="0"/>
                  <w:vAlign w:val="center"/>
                </w:tcPr>
                <w:p w14:paraId="1C180116">
                  <w:pPr>
                    <w:pStyle w:val="28"/>
                    <w:jc w:val="center"/>
                    <w:rPr>
                      <w:color w:val="auto"/>
                    </w:rPr>
                  </w:pPr>
                  <w:r>
                    <w:rPr>
                      <w:rFonts w:hint="eastAsia"/>
                      <w:color w:val="auto"/>
                    </w:rPr>
                    <w:t>11</w:t>
                  </w:r>
                </w:p>
              </w:tc>
              <w:tc>
                <w:tcPr>
                  <w:tcW w:w="1576" w:type="pct"/>
                  <w:gridSpan w:val="2"/>
                  <w:noWrap w:val="0"/>
                  <w:vAlign w:val="center"/>
                </w:tcPr>
                <w:p w14:paraId="5744AD7F">
                  <w:pPr>
                    <w:pStyle w:val="28"/>
                    <w:jc w:val="center"/>
                    <w:rPr>
                      <w:color w:val="auto"/>
                    </w:rPr>
                  </w:pPr>
                  <w:r>
                    <w:rPr>
                      <w:rFonts w:hint="eastAsia"/>
                      <w:color w:val="auto"/>
                    </w:rPr>
                    <w:t>链式传送机</w:t>
                  </w:r>
                </w:p>
              </w:tc>
              <w:tc>
                <w:tcPr>
                  <w:tcW w:w="666" w:type="pct"/>
                  <w:noWrap w:val="0"/>
                  <w:vAlign w:val="center"/>
                </w:tcPr>
                <w:p w14:paraId="5F396AC2">
                  <w:pPr>
                    <w:pStyle w:val="28"/>
                    <w:jc w:val="center"/>
                    <w:rPr>
                      <w:rFonts w:hint="eastAsia"/>
                      <w:color w:val="auto"/>
                    </w:rPr>
                  </w:pPr>
                  <w:r>
                    <w:rPr>
                      <w:rFonts w:hint="eastAsia"/>
                      <w:color w:val="auto"/>
                    </w:rPr>
                    <w:t>/</w:t>
                  </w:r>
                </w:p>
              </w:tc>
              <w:tc>
                <w:tcPr>
                  <w:tcW w:w="617" w:type="pct"/>
                  <w:noWrap w:val="0"/>
                  <w:vAlign w:val="center"/>
                </w:tcPr>
                <w:p w14:paraId="0CB7704F">
                  <w:pPr>
                    <w:pStyle w:val="28"/>
                    <w:jc w:val="center"/>
                    <w:rPr>
                      <w:color w:val="auto"/>
                    </w:rPr>
                  </w:pPr>
                  <w:r>
                    <w:rPr>
                      <w:rFonts w:hint="eastAsia"/>
                      <w:color w:val="auto"/>
                    </w:rPr>
                    <w:t>台</w:t>
                  </w:r>
                </w:p>
              </w:tc>
              <w:tc>
                <w:tcPr>
                  <w:tcW w:w="446" w:type="pct"/>
                  <w:noWrap w:val="0"/>
                  <w:vAlign w:val="center"/>
                </w:tcPr>
                <w:p w14:paraId="4B6667E4">
                  <w:pPr>
                    <w:pStyle w:val="28"/>
                    <w:jc w:val="center"/>
                    <w:rPr>
                      <w:color w:val="auto"/>
                    </w:rPr>
                  </w:pPr>
                  <w:r>
                    <w:rPr>
                      <w:rFonts w:hint="eastAsia"/>
                      <w:color w:val="auto"/>
                    </w:rPr>
                    <w:t>1</w:t>
                  </w:r>
                </w:p>
              </w:tc>
              <w:tc>
                <w:tcPr>
                  <w:tcW w:w="1279" w:type="pct"/>
                  <w:noWrap w:val="0"/>
                  <w:vAlign w:val="center"/>
                </w:tcPr>
                <w:p w14:paraId="5F3B7AB7">
                  <w:pPr>
                    <w:pStyle w:val="28"/>
                    <w:jc w:val="center"/>
                    <w:rPr>
                      <w:color w:val="auto"/>
                    </w:rPr>
                  </w:pPr>
                  <w:r>
                    <w:rPr>
                      <w:color w:val="auto"/>
                    </w:rPr>
                    <w:t>/</w:t>
                  </w:r>
                </w:p>
              </w:tc>
            </w:tr>
            <w:tr w14:paraId="7125F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 w:type="pct"/>
                  <w:noWrap w:val="0"/>
                  <w:vAlign w:val="center"/>
                </w:tcPr>
                <w:p w14:paraId="23F16906">
                  <w:pPr>
                    <w:pStyle w:val="28"/>
                    <w:jc w:val="center"/>
                    <w:rPr>
                      <w:color w:val="auto"/>
                    </w:rPr>
                  </w:pPr>
                  <w:r>
                    <w:rPr>
                      <w:rFonts w:hint="eastAsia"/>
                      <w:color w:val="auto"/>
                    </w:rPr>
                    <w:t>12</w:t>
                  </w:r>
                </w:p>
              </w:tc>
              <w:tc>
                <w:tcPr>
                  <w:tcW w:w="1576" w:type="pct"/>
                  <w:gridSpan w:val="2"/>
                  <w:noWrap w:val="0"/>
                  <w:vAlign w:val="center"/>
                </w:tcPr>
                <w:p w14:paraId="21AA4BA8">
                  <w:pPr>
                    <w:pStyle w:val="28"/>
                    <w:jc w:val="center"/>
                    <w:rPr>
                      <w:color w:val="auto"/>
                    </w:rPr>
                  </w:pPr>
                  <w:r>
                    <w:rPr>
                      <w:rFonts w:hint="eastAsia"/>
                      <w:color w:val="auto"/>
                    </w:rPr>
                    <w:t>双块式轨枕专用吊具</w:t>
                  </w:r>
                </w:p>
              </w:tc>
              <w:tc>
                <w:tcPr>
                  <w:tcW w:w="666" w:type="pct"/>
                  <w:noWrap w:val="0"/>
                  <w:vAlign w:val="center"/>
                </w:tcPr>
                <w:p w14:paraId="40D57C95">
                  <w:pPr>
                    <w:pStyle w:val="28"/>
                    <w:jc w:val="center"/>
                    <w:rPr>
                      <w:rFonts w:hint="eastAsia"/>
                      <w:color w:val="auto"/>
                    </w:rPr>
                  </w:pPr>
                  <w:r>
                    <w:rPr>
                      <w:rFonts w:hint="eastAsia"/>
                      <w:color w:val="auto"/>
                    </w:rPr>
                    <w:t>/</w:t>
                  </w:r>
                </w:p>
              </w:tc>
              <w:tc>
                <w:tcPr>
                  <w:tcW w:w="617" w:type="pct"/>
                  <w:noWrap w:val="0"/>
                  <w:vAlign w:val="center"/>
                </w:tcPr>
                <w:p w14:paraId="5597DC69">
                  <w:pPr>
                    <w:pStyle w:val="28"/>
                    <w:jc w:val="center"/>
                    <w:rPr>
                      <w:color w:val="auto"/>
                    </w:rPr>
                  </w:pPr>
                  <w:r>
                    <w:rPr>
                      <w:rFonts w:hint="eastAsia"/>
                      <w:color w:val="auto"/>
                    </w:rPr>
                    <w:t>台</w:t>
                  </w:r>
                </w:p>
              </w:tc>
              <w:tc>
                <w:tcPr>
                  <w:tcW w:w="446" w:type="pct"/>
                  <w:noWrap w:val="0"/>
                  <w:vAlign w:val="center"/>
                </w:tcPr>
                <w:p w14:paraId="2769F764">
                  <w:pPr>
                    <w:pStyle w:val="28"/>
                    <w:jc w:val="center"/>
                    <w:rPr>
                      <w:color w:val="auto"/>
                    </w:rPr>
                  </w:pPr>
                  <w:r>
                    <w:rPr>
                      <w:rFonts w:hint="eastAsia"/>
                      <w:color w:val="auto"/>
                    </w:rPr>
                    <w:t>1</w:t>
                  </w:r>
                </w:p>
              </w:tc>
              <w:tc>
                <w:tcPr>
                  <w:tcW w:w="1279" w:type="pct"/>
                  <w:noWrap w:val="0"/>
                  <w:vAlign w:val="center"/>
                </w:tcPr>
                <w:p w14:paraId="0F0F223D">
                  <w:pPr>
                    <w:pStyle w:val="28"/>
                    <w:jc w:val="center"/>
                    <w:rPr>
                      <w:color w:val="auto"/>
                    </w:rPr>
                  </w:pPr>
                  <w:r>
                    <w:rPr>
                      <w:rFonts w:hint="eastAsia"/>
                      <w:color w:val="auto"/>
                    </w:rPr>
                    <w:t>吊装轨枕</w:t>
                  </w:r>
                </w:p>
              </w:tc>
            </w:tr>
            <w:tr w14:paraId="64AD9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 w:type="pct"/>
                  <w:noWrap w:val="0"/>
                  <w:vAlign w:val="center"/>
                </w:tcPr>
                <w:p w14:paraId="65930EB0">
                  <w:pPr>
                    <w:pStyle w:val="28"/>
                    <w:jc w:val="center"/>
                    <w:rPr>
                      <w:color w:val="auto"/>
                    </w:rPr>
                  </w:pPr>
                  <w:r>
                    <w:rPr>
                      <w:rFonts w:hint="eastAsia"/>
                      <w:color w:val="auto"/>
                    </w:rPr>
                    <w:t>13</w:t>
                  </w:r>
                </w:p>
              </w:tc>
              <w:tc>
                <w:tcPr>
                  <w:tcW w:w="1576" w:type="pct"/>
                  <w:gridSpan w:val="2"/>
                  <w:noWrap w:val="0"/>
                  <w:vAlign w:val="center"/>
                </w:tcPr>
                <w:p w14:paraId="42ADB022">
                  <w:pPr>
                    <w:pStyle w:val="28"/>
                    <w:jc w:val="center"/>
                    <w:rPr>
                      <w:color w:val="auto"/>
                    </w:rPr>
                  </w:pPr>
                  <w:r>
                    <w:rPr>
                      <w:rFonts w:hint="eastAsia"/>
                      <w:color w:val="auto"/>
                    </w:rPr>
                    <w:t>单独的辊轴传送机</w:t>
                  </w:r>
                </w:p>
              </w:tc>
              <w:tc>
                <w:tcPr>
                  <w:tcW w:w="666" w:type="pct"/>
                  <w:noWrap w:val="0"/>
                  <w:vAlign w:val="center"/>
                </w:tcPr>
                <w:p w14:paraId="05A31454">
                  <w:pPr>
                    <w:pStyle w:val="28"/>
                    <w:jc w:val="center"/>
                    <w:rPr>
                      <w:rFonts w:hint="eastAsia"/>
                      <w:color w:val="auto"/>
                    </w:rPr>
                  </w:pPr>
                  <w:r>
                    <w:rPr>
                      <w:rFonts w:hint="eastAsia"/>
                      <w:color w:val="auto"/>
                    </w:rPr>
                    <w:t>/</w:t>
                  </w:r>
                </w:p>
              </w:tc>
              <w:tc>
                <w:tcPr>
                  <w:tcW w:w="617" w:type="pct"/>
                  <w:noWrap w:val="0"/>
                  <w:vAlign w:val="center"/>
                </w:tcPr>
                <w:p w14:paraId="33213C6E">
                  <w:pPr>
                    <w:pStyle w:val="28"/>
                    <w:jc w:val="center"/>
                    <w:rPr>
                      <w:color w:val="auto"/>
                    </w:rPr>
                  </w:pPr>
                  <w:r>
                    <w:rPr>
                      <w:rFonts w:hint="eastAsia"/>
                      <w:color w:val="auto"/>
                    </w:rPr>
                    <w:t>台</w:t>
                  </w:r>
                </w:p>
              </w:tc>
              <w:tc>
                <w:tcPr>
                  <w:tcW w:w="446" w:type="pct"/>
                  <w:noWrap w:val="0"/>
                  <w:vAlign w:val="center"/>
                </w:tcPr>
                <w:p w14:paraId="0A8A288C">
                  <w:pPr>
                    <w:pStyle w:val="28"/>
                    <w:jc w:val="center"/>
                    <w:rPr>
                      <w:color w:val="auto"/>
                    </w:rPr>
                  </w:pPr>
                  <w:r>
                    <w:rPr>
                      <w:rFonts w:hint="eastAsia"/>
                      <w:color w:val="auto"/>
                    </w:rPr>
                    <w:t>1</w:t>
                  </w:r>
                </w:p>
              </w:tc>
              <w:tc>
                <w:tcPr>
                  <w:tcW w:w="1279" w:type="pct"/>
                  <w:noWrap w:val="0"/>
                  <w:vAlign w:val="center"/>
                </w:tcPr>
                <w:p w14:paraId="15891F6F">
                  <w:pPr>
                    <w:pStyle w:val="28"/>
                    <w:jc w:val="center"/>
                    <w:rPr>
                      <w:color w:val="auto"/>
                    </w:rPr>
                  </w:pPr>
                  <w:r>
                    <w:rPr>
                      <w:rFonts w:hint="eastAsia"/>
                      <w:color w:val="auto"/>
                    </w:rPr>
                    <w:t>模具运输传递装置</w:t>
                  </w:r>
                </w:p>
              </w:tc>
            </w:tr>
            <w:tr w14:paraId="053FE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 w:type="pct"/>
                  <w:noWrap w:val="0"/>
                  <w:vAlign w:val="center"/>
                </w:tcPr>
                <w:p w14:paraId="49DF2FC9">
                  <w:pPr>
                    <w:pStyle w:val="28"/>
                    <w:jc w:val="center"/>
                    <w:rPr>
                      <w:color w:val="auto"/>
                    </w:rPr>
                  </w:pPr>
                  <w:r>
                    <w:rPr>
                      <w:rFonts w:hint="eastAsia"/>
                      <w:color w:val="auto"/>
                    </w:rPr>
                    <w:t>14</w:t>
                  </w:r>
                </w:p>
              </w:tc>
              <w:tc>
                <w:tcPr>
                  <w:tcW w:w="1576" w:type="pct"/>
                  <w:gridSpan w:val="2"/>
                  <w:noWrap w:val="0"/>
                  <w:vAlign w:val="center"/>
                </w:tcPr>
                <w:p w14:paraId="303DF7D3">
                  <w:pPr>
                    <w:pStyle w:val="28"/>
                    <w:jc w:val="center"/>
                    <w:rPr>
                      <w:color w:val="auto"/>
                    </w:rPr>
                  </w:pPr>
                  <w:r>
                    <w:rPr>
                      <w:rFonts w:hint="eastAsia"/>
                      <w:color w:val="auto"/>
                    </w:rPr>
                    <w:t>倾斜台及辊轴传送机构</w:t>
                  </w:r>
                </w:p>
              </w:tc>
              <w:tc>
                <w:tcPr>
                  <w:tcW w:w="666" w:type="pct"/>
                  <w:noWrap w:val="0"/>
                  <w:vAlign w:val="center"/>
                </w:tcPr>
                <w:p w14:paraId="7A75ECCC">
                  <w:pPr>
                    <w:pStyle w:val="28"/>
                    <w:jc w:val="center"/>
                    <w:rPr>
                      <w:rFonts w:hint="eastAsia"/>
                      <w:color w:val="auto"/>
                    </w:rPr>
                  </w:pPr>
                  <w:r>
                    <w:rPr>
                      <w:rFonts w:hint="eastAsia"/>
                      <w:color w:val="auto"/>
                    </w:rPr>
                    <w:t>/</w:t>
                  </w:r>
                </w:p>
              </w:tc>
              <w:tc>
                <w:tcPr>
                  <w:tcW w:w="617" w:type="pct"/>
                  <w:noWrap w:val="0"/>
                  <w:vAlign w:val="center"/>
                </w:tcPr>
                <w:p w14:paraId="09EF3B79">
                  <w:pPr>
                    <w:pStyle w:val="28"/>
                    <w:jc w:val="center"/>
                    <w:rPr>
                      <w:color w:val="auto"/>
                    </w:rPr>
                  </w:pPr>
                  <w:r>
                    <w:rPr>
                      <w:rFonts w:hint="eastAsia"/>
                      <w:color w:val="auto"/>
                    </w:rPr>
                    <w:t>套</w:t>
                  </w:r>
                </w:p>
              </w:tc>
              <w:tc>
                <w:tcPr>
                  <w:tcW w:w="446" w:type="pct"/>
                  <w:noWrap w:val="0"/>
                  <w:vAlign w:val="center"/>
                </w:tcPr>
                <w:p w14:paraId="0B3296D3">
                  <w:pPr>
                    <w:pStyle w:val="28"/>
                    <w:jc w:val="center"/>
                    <w:rPr>
                      <w:color w:val="auto"/>
                    </w:rPr>
                  </w:pPr>
                  <w:r>
                    <w:rPr>
                      <w:rFonts w:hint="eastAsia"/>
                      <w:color w:val="auto"/>
                    </w:rPr>
                    <w:t>2</w:t>
                  </w:r>
                </w:p>
              </w:tc>
              <w:tc>
                <w:tcPr>
                  <w:tcW w:w="1279" w:type="pct"/>
                  <w:noWrap w:val="0"/>
                  <w:vAlign w:val="center"/>
                </w:tcPr>
                <w:p w14:paraId="44A0B65B">
                  <w:pPr>
                    <w:pStyle w:val="28"/>
                    <w:jc w:val="center"/>
                    <w:rPr>
                      <w:color w:val="auto"/>
                    </w:rPr>
                  </w:pPr>
                  <w:r>
                    <w:rPr>
                      <w:color w:val="auto"/>
                    </w:rPr>
                    <w:t>/</w:t>
                  </w:r>
                </w:p>
              </w:tc>
            </w:tr>
            <w:tr w14:paraId="62E02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 w:type="pct"/>
                  <w:noWrap w:val="0"/>
                  <w:vAlign w:val="center"/>
                </w:tcPr>
                <w:p w14:paraId="0A2C773C">
                  <w:pPr>
                    <w:pStyle w:val="28"/>
                    <w:jc w:val="center"/>
                    <w:rPr>
                      <w:color w:val="auto"/>
                    </w:rPr>
                  </w:pPr>
                  <w:r>
                    <w:rPr>
                      <w:rFonts w:hint="eastAsia"/>
                      <w:color w:val="auto"/>
                    </w:rPr>
                    <w:t>15</w:t>
                  </w:r>
                </w:p>
              </w:tc>
              <w:tc>
                <w:tcPr>
                  <w:tcW w:w="1576" w:type="pct"/>
                  <w:gridSpan w:val="2"/>
                  <w:noWrap w:val="0"/>
                  <w:vAlign w:val="center"/>
                </w:tcPr>
                <w:p w14:paraId="5D8A9393">
                  <w:pPr>
                    <w:pStyle w:val="28"/>
                    <w:jc w:val="center"/>
                    <w:rPr>
                      <w:color w:val="auto"/>
                    </w:rPr>
                  </w:pPr>
                  <w:r>
                    <w:rPr>
                      <w:rFonts w:hint="eastAsia"/>
                      <w:color w:val="auto"/>
                    </w:rPr>
                    <w:t>辊轴传送机</w:t>
                  </w:r>
                </w:p>
              </w:tc>
              <w:tc>
                <w:tcPr>
                  <w:tcW w:w="666" w:type="pct"/>
                  <w:noWrap w:val="0"/>
                  <w:vAlign w:val="center"/>
                </w:tcPr>
                <w:p w14:paraId="11BC9A55">
                  <w:pPr>
                    <w:pStyle w:val="28"/>
                    <w:jc w:val="center"/>
                    <w:rPr>
                      <w:rFonts w:hint="eastAsia"/>
                      <w:color w:val="auto"/>
                    </w:rPr>
                  </w:pPr>
                  <w:r>
                    <w:rPr>
                      <w:rFonts w:hint="eastAsia"/>
                      <w:color w:val="auto"/>
                    </w:rPr>
                    <w:t>/</w:t>
                  </w:r>
                </w:p>
              </w:tc>
              <w:tc>
                <w:tcPr>
                  <w:tcW w:w="617" w:type="pct"/>
                  <w:noWrap w:val="0"/>
                  <w:vAlign w:val="center"/>
                </w:tcPr>
                <w:p w14:paraId="75860C41">
                  <w:pPr>
                    <w:pStyle w:val="28"/>
                    <w:jc w:val="center"/>
                    <w:rPr>
                      <w:color w:val="auto"/>
                    </w:rPr>
                  </w:pPr>
                  <w:r>
                    <w:rPr>
                      <w:rFonts w:hint="eastAsia"/>
                      <w:color w:val="auto"/>
                    </w:rPr>
                    <w:t>台</w:t>
                  </w:r>
                </w:p>
              </w:tc>
              <w:tc>
                <w:tcPr>
                  <w:tcW w:w="446" w:type="pct"/>
                  <w:noWrap w:val="0"/>
                  <w:vAlign w:val="center"/>
                </w:tcPr>
                <w:p w14:paraId="24047AE2">
                  <w:pPr>
                    <w:pStyle w:val="28"/>
                    <w:jc w:val="center"/>
                    <w:rPr>
                      <w:color w:val="auto"/>
                    </w:rPr>
                  </w:pPr>
                  <w:r>
                    <w:rPr>
                      <w:rFonts w:hint="eastAsia"/>
                      <w:color w:val="auto"/>
                    </w:rPr>
                    <w:t>20</w:t>
                  </w:r>
                </w:p>
              </w:tc>
              <w:tc>
                <w:tcPr>
                  <w:tcW w:w="1279" w:type="pct"/>
                  <w:noWrap w:val="0"/>
                  <w:vAlign w:val="center"/>
                </w:tcPr>
                <w:p w14:paraId="58C436C6">
                  <w:pPr>
                    <w:pStyle w:val="28"/>
                    <w:jc w:val="center"/>
                    <w:rPr>
                      <w:color w:val="auto"/>
                    </w:rPr>
                  </w:pPr>
                  <w:r>
                    <w:rPr>
                      <w:rFonts w:hint="eastAsia"/>
                      <w:color w:val="auto"/>
                    </w:rPr>
                    <w:t>模具运输传递装置</w:t>
                  </w:r>
                </w:p>
              </w:tc>
            </w:tr>
            <w:tr w14:paraId="15FB6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 w:type="pct"/>
                  <w:noWrap w:val="0"/>
                  <w:vAlign w:val="center"/>
                </w:tcPr>
                <w:p w14:paraId="05978256">
                  <w:pPr>
                    <w:pStyle w:val="28"/>
                    <w:jc w:val="center"/>
                    <w:rPr>
                      <w:color w:val="auto"/>
                    </w:rPr>
                  </w:pPr>
                  <w:r>
                    <w:rPr>
                      <w:rFonts w:hint="eastAsia"/>
                      <w:color w:val="auto"/>
                    </w:rPr>
                    <w:t>16</w:t>
                  </w:r>
                </w:p>
              </w:tc>
              <w:tc>
                <w:tcPr>
                  <w:tcW w:w="1576" w:type="pct"/>
                  <w:gridSpan w:val="2"/>
                  <w:noWrap w:val="0"/>
                  <w:vAlign w:val="center"/>
                </w:tcPr>
                <w:p w14:paraId="5C0EE001">
                  <w:pPr>
                    <w:pStyle w:val="28"/>
                    <w:jc w:val="center"/>
                    <w:rPr>
                      <w:color w:val="auto"/>
                    </w:rPr>
                  </w:pPr>
                  <w:r>
                    <w:rPr>
                      <w:rFonts w:hint="eastAsia"/>
                      <w:color w:val="auto"/>
                    </w:rPr>
                    <w:t>电气控制系统</w:t>
                  </w:r>
                </w:p>
              </w:tc>
              <w:tc>
                <w:tcPr>
                  <w:tcW w:w="666" w:type="pct"/>
                  <w:noWrap w:val="0"/>
                  <w:vAlign w:val="center"/>
                </w:tcPr>
                <w:p w14:paraId="323B2496">
                  <w:pPr>
                    <w:pStyle w:val="28"/>
                    <w:jc w:val="center"/>
                    <w:rPr>
                      <w:rFonts w:hint="eastAsia"/>
                      <w:color w:val="auto"/>
                    </w:rPr>
                  </w:pPr>
                  <w:r>
                    <w:rPr>
                      <w:rFonts w:hint="eastAsia"/>
                      <w:color w:val="auto"/>
                    </w:rPr>
                    <w:t>/</w:t>
                  </w:r>
                </w:p>
              </w:tc>
              <w:tc>
                <w:tcPr>
                  <w:tcW w:w="617" w:type="pct"/>
                  <w:noWrap w:val="0"/>
                  <w:vAlign w:val="center"/>
                </w:tcPr>
                <w:p w14:paraId="33CC55F8">
                  <w:pPr>
                    <w:pStyle w:val="28"/>
                    <w:jc w:val="center"/>
                    <w:rPr>
                      <w:color w:val="auto"/>
                    </w:rPr>
                  </w:pPr>
                  <w:r>
                    <w:rPr>
                      <w:rFonts w:hint="eastAsia"/>
                      <w:color w:val="auto"/>
                    </w:rPr>
                    <w:t>套</w:t>
                  </w:r>
                </w:p>
              </w:tc>
              <w:tc>
                <w:tcPr>
                  <w:tcW w:w="446" w:type="pct"/>
                  <w:noWrap w:val="0"/>
                  <w:vAlign w:val="center"/>
                </w:tcPr>
                <w:p w14:paraId="0DF72514">
                  <w:pPr>
                    <w:pStyle w:val="28"/>
                    <w:jc w:val="center"/>
                    <w:rPr>
                      <w:color w:val="auto"/>
                    </w:rPr>
                  </w:pPr>
                  <w:r>
                    <w:rPr>
                      <w:rFonts w:hint="eastAsia"/>
                      <w:color w:val="auto"/>
                    </w:rPr>
                    <w:t>2</w:t>
                  </w:r>
                </w:p>
              </w:tc>
              <w:tc>
                <w:tcPr>
                  <w:tcW w:w="1279" w:type="pct"/>
                  <w:noWrap w:val="0"/>
                  <w:vAlign w:val="center"/>
                </w:tcPr>
                <w:p w14:paraId="5F395291">
                  <w:pPr>
                    <w:pStyle w:val="28"/>
                    <w:jc w:val="center"/>
                    <w:rPr>
                      <w:color w:val="auto"/>
                    </w:rPr>
                  </w:pPr>
                  <w:r>
                    <w:rPr>
                      <w:color w:val="auto"/>
                    </w:rPr>
                    <w:t>/</w:t>
                  </w:r>
                </w:p>
              </w:tc>
            </w:tr>
            <w:tr w14:paraId="09F07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 w:type="pct"/>
                  <w:noWrap w:val="0"/>
                  <w:vAlign w:val="center"/>
                </w:tcPr>
                <w:p w14:paraId="168585EB">
                  <w:pPr>
                    <w:pStyle w:val="28"/>
                    <w:jc w:val="center"/>
                    <w:rPr>
                      <w:color w:val="auto"/>
                    </w:rPr>
                  </w:pPr>
                  <w:r>
                    <w:rPr>
                      <w:rFonts w:hint="eastAsia"/>
                      <w:color w:val="auto"/>
                    </w:rPr>
                    <w:t>17</w:t>
                  </w:r>
                </w:p>
              </w:tc>
              <w:tc>
                <w:tcPr>
                  <w:tcW w:w="1576" w:type="pct"/>
                  <w:gridSpan w:val="2"/>
                  <w:noWrap w:val="0"/>
                  <w:vAlign w:val="center"/>
                </w:tcPr>
                <w:p w14:paraId="41087DEC">
                  <w:pPr>
                    <w:pStyle w:val="28"/>
                    <w:jc w:val="center"/>
                    <w:rPr>
                      <w:color w:val="auto"/>
                    </w:rPr>
                  </w:pPr>
                  <w:r>
                    <w:rPr>
                      <w:rFonts w:hint="eastAsia"/>
                      <w:color w:val="auto"/>
                    </w:rPr>
                    <w:t>钢模横向运输小车</w:t>
                  </w:r>
                </w:p>
              </w:tc>
              <w:tc>
                <w:tcPr>
                  <w:tcW w:w="666" w:type="pct"/>
                  <w:noWrap w:val="0"/>
                  <w:vAlign w:val="center"/>
                </w:tcPr>
                <w:p w14:paraId="57BE4F26">
                  <w:pPr>
                    <w:pStyle w:val="28"/>
                    <w:jc w:val="center"/>
                    <w:rPr>
                      <w:rFonts w:hint="eastAsia"/>
                      <w:color w:val="auto"/>
                    </w:rPr>
                  </w:pPr>
                  <w:r>
                    <w:rPr>
                      <w:rFonts w:hint="eastAsia"/>
                      <w:color w:val="auto"/>
                    </w:rPr>
                    <w:t>/</w:t>
                  </w:r>
                </w:p>
              </w:tc>
              <w:tc>
                <w:tcPr>
                  <w:tcW w:w="617" w:type="pct"/>
                  <w:noWrap w:val="0"/>
                  <w:vAlign w:val="center"/>
                </w:tcPr>
                <w:p w14:paraId="11C41B5E">
                  <w:pPr>
                    <w:pStyle w:val="28"/>
                    <w:jc w:val="center"/>
                    <w:rPr>
                      <w:color w:val="auto"/>
                    </w:rPr>
                  </w:pPr>
                  <w:r>
                    <w:rPr>
                      <w:rFonts w:hint="eastAsia"/>
                      <w:color w:val="auto"/>
                    </w:rPr>
                    <w:t>台</w:t>
                  </w:r>
                </w:p>
              </w:tc>
              <w:tc>
                <w:tcPr>
                  <w:tcW w:w="446" w:type="pct"/>
                  <w:noWrap w:val="0"/>
                  <w:vAlign w:val="center"/>
                </w:tcPr>
                <w:p w14:paraId="70E25692">
                  <w:pPr>
                    <w:pStyle w:val="28"/>
                    <w:jc w:val="center"/>
                    <w:rPr>
                      <w:color w:val="auto"/>
                    </w:rPr>
                  </w:pPr>
                  <w:r>
                    <w:rPr>
                      <w:rFonts w:hint="eastAsia"/>
                      <w:color w:val="auto"/>
                    </w:rPr>
                    <w:t>1</w:t>
                  </w:r>
                </w:p>
              </w:tc>
              <w:tc>
                <w:tcPr>
                  <w:tcW w:w="1279" w:type="pct"/>
                  <w:noWrap w:val="0"/>
                  <w:vAlign w:val="center"/>
                </w:tcPr>
                <w:p w14:paraId="4B9E129B">
                  <w:pPr>
                    <w:pStyle w:val="28"/>
                    <w:jc w:val="center"/>
                    <w:rPr>
                      <w:color w:val="auto"/>
                    </w:rPr>
                  </w:pPr>
                  <w:r>
                    <w:rPr>
                      <w:color w:val="auto"/>
                    </w:rPr>
                    <w:t>/</w:t>
                  </w:r>
                </w:p>
              </w:tc>
            </w:tr>
            <w:tr w14:paraId="0F7CA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 w:type="pct"/>
                  <w:noWrap w:val="0"/>
                  <w:vAlign w:val="center"/>
                </w:tcPr>
                <w:p w14:paraId="5CD84E0A">
                  <w:pPr>
                    <w:pStyle w:val="28"/>
                    <w:jc w:val="center"/>
                    <w:rPr>
                      <w:color w:val="auto"/>
                    </w:rPr>
                  </w:pPr>
                  <w:r>
                    <w:rPr>
                      <w:rFonts w:hint="eastAsia"/>
                      <w:color w:val="auto"/>
                    </w:rPr>
                    <w:t>18</w:t>
                  </w:r>
                </w:p>
              </w:tc>
              <w:tc>
                <w:tcPr>
                  <w:tcW w:w="1576" w:type="pct"/>
                  <w:gridSpan w:val="2"/>
                  <w:noWrap w:val="0"/>
                  <w:vAlign w:val="center"/>
                </w:tcPr>
                <w:p w14:paraId="55FA7B64">
                  <w:pPr>
                    <w:pStyle w:val="28"/>
                    <w:jc w:val="center"/>
                    <w:rPr>
                      <w:color w:val="auto"/>
                    </w:rPr>
                  </w:pPr>
                  <w:r>
                    <w:rPr>
                      <w:rFonts w:hint="eastAsia"/>
                      <w:color w:val="auto"/>
                    </w:rPr>
                    <w:t>生产用各种工具</w:t>
                  </w:r>
                </w:p>
              </w:tc>
              <w:tc>
                <w:tcPr>
                  <w:tcW w:w="666" w:type="pct"/>
                  <w:noWrap w:val="0"/>
                  <w:vAlign w:val="center"/>
                </w:tcPr>
                <w:p w14:paraId="6AA13334">
                  <w:pPr>
                    <w:pStyle w:val="28"/>
                    <w:jc w:val="center"/>
                    <w:rPr>
                      <w:rFonts w:hint="eastAsia"/>
                      <w:color w:val="auto"/>
                    </w:rPr>
                  </w:pPr>
                  <w:r>
                    <w:rPr>
                      <w:rFonts w:hint="eastAsia"/>
                      <w:color w:val="auto"/>
                    </w:rPr>
                    <w:t>/</w:t>
                  </w:r>
                </w:p>
              </w:tc>
              <w:tc>
                <w:tcPr>
                  <w:tcW w:w="617" w:type="pct"/>
                  <w:noWrap w:val="0"/>
                  <w:vAlign w:val="center"/>
                </w:tcPr>
                <w:p w14:paraId="066BC970">
                  <w:pPr>
                    <w:pStyle w:val="28"/>
                    <w:jc w:val="center"/>
                    <w:rPr>
                      <w:color w:val="auto"/>
                    </w:rPr>
                  </w:pPr>
                  <w:r>
                    <w:rPr>
                      <w:rFonts w:hint="eastAsia"/>
                      <w:color w:val="auto"/>
                    </w:rPr>
                    <w:t>套</w:t>
                  </w:r>
                </w:p>
              </w:tc>
              <w:tc>
                <w:tcPr>
                  <w:tcW w:w="446" w:type="pct"/>
                  <w:noWrap w:val="0"/>
                  <w:vAlign w:val="center"/>
                </w:tcPr>
                <w:p w14:paraId="2A39E4CF">
                  <w:pPr>
                    <w:pStyle w:val="28"/>
                    <w:jc w:val="center"/>
                    <w:rPr>
                      <w:color w:val="auto"/>
                    </w:rPr>
                  </w:pPr>
                  <w:r>
                    <w:rPr>
                      <w:rFonts w:hint="eastAsia"/>
                      <w:color w:val="auto"/>
                    </w:rPr>
                    <w:t>1</w:t>
                  </w:r>
                </w:p>
              </w:tc>
              <w:tc>
                <w:tcPr>
                  <w:tcW w:w="1279" w:type="pct"/>
                  <w:noWrap w:val="0"/>
                  <w:vAlign w:val="center"/>
                </w:tcPr>
                <w:p w14:paraId="388E1CE5">
                  <w:pPr>
                    <w:pStyle w:val="28"/>
                    <w:jc w:val="center"/>
                    <w:rPr>
                      <w:color w:val="auto"/>
                    </w:rPr>
                  </w:pPr>
                  <w:r>
                    <w:rPr>
                      <w:color w:val="auto"/>
                    </w:rPr>
                    <w:t>/</w:t>
                  </w:r>
                </w:p>
              </w:tc>
            </w:tr>
            <w:tr w14:paraId="14937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 w:type="pct"/>
                  <w:noWrap w:val="0"/>
                  <w:vAlign w:val="center"/>
                </w:tcPr>
                <w:p w14:paraId="1C4702BF">
                  <w:pPr>
                    <w:pStyle w:val="28"/>
                    <w:jc w:val="center"/>
                    <w:rPr>
                      <w:color w:val="auto"/>
                    </w:rPr>
                  </w:pPr>
                  <w:r>
                    <w:rPr>
                      <w:rFonts w:hint="eastAsia"/>
                      <w:color w:val="auto"/>
                    </w:rPr>
                    <w:t>19</w:t>
                  </w:r>
                </w:p>
              </w:tc>
              <w:tc>
                <w:tcPr>
                  <w:tcW w:w="1576" w:type="pct"/>
                  <w:gridSpan w:val="2"/>
                  <w:noWrap w:val="0"/>
                  <w:vAlign w:val="center"/>
                </w:tcPr>
                <w:p w14:paraId="751B0FDA">
                  <w:pPr>
                    <w:pStyle w:val="28"/>
                    <w:jc w:val="center"/>
                    <w:rPr>
                      <w:color w:val="auto"/>
                    </w:rPr>
                  </w:pPr>
                  <w:r>
                    <w:rPr>
                      <w:rFonts w:hint="eastAsia"/>
                      <w:color w:val="auto"/>
                    </w:rPr>
                    <w:t>定型轨枕钢模</w:t>
                  </w:r>
                </w:p>
              </w:tc>
              <w:tc>
                <w:tcPr>
                  <w:tcW w:w="666" w:type="pct"/>
                  <w:noWrap w:val="0"/>
                  <w:vAlign w:val="center"/>
                </w:tcPr>
                <w:p w14:paraId="7CD43A24">
                  <w:pPr>
                    <w:pStyle w:val="28"/>
                    <w:jc w:val="center"/>
                    <w:rPr>
                      <w:rFonts w:hint="eastAsia"/>
                      <w:color w:val="auto"/>
                    </w:rPr>
                  </w:pPr>
                  <w:r>
                    <w:rPr>
                      <w:rFonts w:hint="eastAsia"/>
                      <w:color w:val="auto"/>
                    </w:rPr>
                    <w:t>/</w:t>
                  </w:r>
                </w:p>
              </w:tc>
              <w:tc>
                <w:tcPr>
                  <w:tcW w:w="617" w:type="pct"/>
                  <w:noWrap w:val="0"/>
                  <w:vAlign w:val="center"/>
                </w:tcPr>
                <w:p w14:paraId="34EA0101">
                  <w:pPr>
                    <w:pStyle w:val="28"/>
                    <w:jc w:val="center"/>
                    <w:rPr>
                      <w:color w:val="auto"/>
                    </w:rPr>
                  </w:pPr>
                  <w:r>
                    <w:rPr>
                      <w:rFonts w:hint="eastAsia"/>
                      <w:color w:val="auto"/>
                    </w:rPr>
                    <w:t>套</w:t>
                  </w:r>
                </w:p>
              </w:tc>
              <w:tc>
                <w:tcPr>
                  <w:tcW w:w="446" w:type="pct"/>
                  <w:noWrap w:val="0"/>
                  <w:vAlign w:val="center"/>
                </w:tcPr>
                <w:p w14:paraId="5560D877">
                  <w:pPr>
                    <w:pStyle w:val="28"/>
                    <w:jc w:val="center"/>
                    <w:rPr>
                      <w:color w:val="auto"/>
                    </w:rPr>
                  </w:pPr>
                  <w:r>
                    <w:rPr>
                      <w:rFonts w:hint="eastAsia"/>
                      <w:color w:val="auto"/>
                    </w:rPr>
                    <w:t>180</w:t>
                  </w:r>
                </w:p>
              </w:tc>
              <w:tc>
                <w:tcPr>
                  <w:tcW w:w="1279" w:type="pct"/>
                  <w:noWrap w:val="0"/>
                  <w:vAlign w:val="center"/>
                </w:tcPr>
                <w:p w14:paraId="247E73D6">
                  <w:pPr>
                    <w:pStyle w:val="28"/>
                    <w:jc w:val="center"/>
                    <w:rPr>
                      <w:color w:val="auto"/>
                    </w:rPr>
                  </w:pPr>
                  <w:r>
                    <w:rPr>
                      <w:color w:val="auto"/>
                    </w:rPr>
                    <w:t>/</w:t>
                  </w:r>
                </w:p>
              </w:tc>
            </w:tr>
            <w:tr w14:paraId="2EE7F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 w:type="pct"/>
                  <w:noWrap w:val="0"/>
                  <w:vAlign w:val="center"/>
                </w:tcPr>
                <w:p w14:paraId="10FE78C5">
                  <w:pPr>
                    <w:pStyle w:val="28"/>
                    <w:jc w:val="center"/>
                    <w:rPr>
                      <w:color w:val="auto"/>
                    </w:rPr>
                  </w:pPr>
                  <w:r>
                    <w:rPr>
                      <w:rFonts w:hint="eastAsia"/>
                      <w:color w:val="auto"/>
                    </w:rPr>
                    <w:t>20</w:t>
                  </w:r>
                </w:p>
              </w:tc>
              <w:tc>
                <w:tcPr>
                  <w:tcW w:w="1576" w:type="pct"/>
                  <w:gridSpan w:val="2"/>
                  <w:noWrap w:val="0"/>
                  <w:vAlign w:val="center"/>
                </w:tcPr>
                <w:p w14:paraId="7393FEE2">
                  <w:pPr>
                    <w:pStyle w:val="28"/>
                    <w:jc w:val="center"/>
                    <w:rPr>
                      <w:color w:val="auto"/>
                    </w:rPr>
                  </w:pPr>
                  <w:r>
                    <w:rPr>
                      <w:rFonts w:hint="eastAsia"/>
                      <w:color w:val="auto"/>
                    </w:rPr>
                    <w:t>脱模剂喷洒设备</w:t>
                  </w:r>
                </w:p>
              </w:tc>
              <w:tc>
                <w:tcPr>
                  <w:tcW w:w="666" w:type="pct"/>
                  <w:noWrap w:val="0"/>
                  <w:vAlign w:val="center"/>
                </w:tcPr>
                <w:p w14:paraId="3554C4C5">
                  <w:pPr>
                    <w:pStyle w:val="28"/>
                    <w:jc w:val="center"/>
                    <w:rPr>
                      <w:rFonts w:hint="eastAsia"/>
                      <w:color w:val="auto"/>
                    </w:rPr>
                  </w:pPr>
                  <w:r>
                    <w:rPr>
                      <w:rFonts w:hint="eastAsia"/>
                      <w:color w:val="auto"/>
                    </w:rPr>
                    <w:t>/</w:t>
                  </w:r>
                </w:p>
              </w:tc>
              <w:tc>
                <w:tcPr>
                  <w:tcW w:w="617" w:type="pct"/>
                  <w:noWrap w:val="0"/>
                  <w:vAlign w:val="center"/>
                </w:tcPr>
                <w:p w14:paraId="2FF827C4">
                  <w:pPr>
                    <w:pStyle w:val="28"/>
                    <w:jc w:val="center"/>
                    <w:rPr>
                      <w:color w:val="auto"/>
                    </w:rPr>
                  </w:pPr>
                  <w:r>
                    <w:rPr>
                      <w:rFonts w:hint="eastAsia"/>
                      <w:color w:val="auto"/>
                    </w:rPr>
                    <w:t>台</w:t>
                  </w:r>
                </w:p>
              </w:tc>
              <w:tc>
                <w:tcPr>
                  <w:tcW w:w="446" w:type="pct"/>
                  <w:noWrap w:val="0"/>
                  <w:vAlign w:val="center"/>
                </w:tcPr>
                <w:p w14:paraId="24E0C426">
                  <w:pPr>
                    <w:pStyle w:val="28"/>
                    <w:jc w:val="center"/>
                    <w:rPr>
                      <w:color w:val="auto"/>
                    </w:rPr>
                  </w:pPr>
                  <w:r>
                    <w:rPr>
                      <w:rFonts w:hint="eastAsia"/>
                      <w:color w:val="auto"/>
                    </w:rPr>
                    <w:t>3</w:t>
                  </w:r>
                </w:p>
              </w:tc>
              <w:tc>
                <w:tcPr>
                  <w:tcW w:w="1279" w:type="pct"/>
                  <w:noWrap w:val="0"/>
                  <w:vAlign w:val="center"/>
                </w:tcPr>
                <w:p w14:paraId="2C7B5246">
                  <w:pPr>
                    <w:pStyle w:val="28"/>
                    <w:jc w:val="center"/>
                    <w:rPr>
                      <w:color w:val="auto"/>
                    </w:rPr>
                  </w:pPr>
                  <w:r>
                    <w:rPr>
                      <w:color w:val="auto"/>
                    </w:rPr>
                    <w:t>/</w:t>
                  </w:r>
                </w:p>
              </w:tc>
            </w:tr>
            <w:tr w14:paraId="76FD4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 w:type="pct"/>
                  <w:noWrap w:val="0"/>
                  <w:vAlign w:val="center"/>
                </w:tcPr>
                <w:p w14:paraId="1392328D">
                  <w:pPr>
                    <w:pStyle w:val="28"/>
                    <w:jc w:val="center"/>
                    <w:rPr>
                      <w:color w:val="auto"/>
                    </w:rPr>
                  </w:pPr>
                  <w:r>
                    <w:rPr>
                      <w:rFonts w:hint="eastAsia"/>
                      <w:color w:val="auto"/>
                    </w:rPr>
                    <w:t>21</w:t>
                  </w:r>
                </w:p>
              </w:tc>
              <w:tc>
                <w:tcPr>
                  <w:tcW w:w="1576" w:type="pct"/>
                  <w:gridSpan w:val="2"/>
                  <w:noWrap w:val="0"/>
                  <w:vAlign w:val="center"/>
                </w:tcPr>
                <w:p w14:paraId="0DA2D73E">
                  <w:pPr>
                    <w:pStyle w:val="28"/>
                    <w:jc w:val="center"/>
                    <w:rPr>
                      <w:color w:val="auto"/>
                    </w:rPr>
                  </w:pPr>
                  <w:r>
                    <w:rPr>
                      <w:rFonts w:hint="eastAsia"/>
                      <w:color w:val="auto"/>
                    </w:rPr>
                    <w:t>扣件安装风动装置</w:t>
                  </w:r>
                </w:p>
              </w:tc>
              <w:tc>
                <w:tcPr>
                  <w:tcW w:w="666" w:type="pct"/>
                  <w:noWrap w:val="0"/>
                  <w:vAlign w:val="center"/>
                </w:tcPr>
                <w:p w14:paraId="265158BC">
                  <w:pPr>
                    <w:pStyle w:val="28"/>
                    <w:jc w:val="center"/>
                    <w:rPr>
                      <w:rFonts w:hint="eastAsia"/>
                      <w:color w:val="auto"/>
                    </w:rPr>
                  </w:pPr>
                  <w:r>
                    <w:rPr>
                      <w:rFonts w:hint="eastAsia"/>
                      <w:color w:val="auto"/>
                    </w:rPr>
                    <w:t>/</w:t>
                  </w:r>
                </w:p>
              </w:tc>
              <w:tc>
                <w:tcPr>
                  <w:tcW w:w="617" w:type="pct"/>
                  <w:noWrap w:val="0"/>
                  <w:vAlign w:val="center"/>
                </w:tcPr>
                <w:p w14:paraId="39CDAC50">
                  <w:pPr>
                    <w:pStyle w:val="28"/>
                    <w:jc w:val="center"/>
                    <w:rPr>
                      <w:color w:val="auto"/>
                    </w:rPr>
                  </w:pPr>
                  <w:r>
                    <w:rPr>
                      <w:rFonts w:hint="eastAsia"/>
                      <w:color w:val="auto"/>
                    </w:rPr>
                    <w:t>台</w:t>
                  </w:r>
                </w:p>
              </w:tc>
              <w:tc>
                <w:tcPr>
                  <w:tcW w:w="446" w:type="pct"/>
                  <w:noWrap w:val="0"/>
                  <w:vAlign w:val="center"/>
                </w:tcPr>
                <w:p w14:paraId="256B908E">
                  <w:pPr>
                    <w:pStyle w:val="28"/>
                    <w:jc w:val="center"/>
                    <w:rPr>
                      <w:color w:val="auto"/>
                    </w:rPr>
                  </w:pPr>
                  <w:r>
                    <w:rPr>
                      <w:rFonts w:hint="eastAsia"/>
                      <w:color w:val="auto"/>
                    </w:rPr>
                    <w:t>2</w:t>
                  </w:r>
                </w:p>
              </w:tc>
              <w:tc>
                <w:tcPr>
                  <w:tcW w:w="1279" w:type="pct"/>
                  <w:noWrap w:val="0"/>
                  <w:vAlign w:val="center"/>
                </w:tcPr>
                <w:p w14:paraId="642AF6A5">
                  <w:pPr>
                    <w:pStyle w:val="28"/>
                    <w:jc w:val="center"/>
                    <w:rPr>
                      <w:color w:val="auto"/>
                    </w:rPr>
                  </w:pPr>
                  <w:r>
                    <w:rPr>
                      <w:color w:val="auto"/>
                    </w:rPr>
                    <w:t>/</w:t>
                  </w:r>
                </w:p>
              </w:tc>
            </w:tr>
            <w:tr w14:paraId="78FB2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 w:type="pct"/>
                  <w:noWrap w:val="0"/>
                  <w:vAlign w:val="center"/>
                </w:tcPr>
                <w:p w14:paraId="685A7828">
                  <w:pPr>
                    <w:pStyle w:val="28"/>
                    <w:jc w:val="center"/>
                    <w:rPr>
                      <w:color w:val="auto"/>
                    </w:rPr>
                  </w:pPr>
                  <w:r>
                    <w:rPr>
                      <w:rFonts w:hint="eastAsia"/>
                      <w:color w:val="auto"/>
                    </w:rPr>
                    <w:t>22</w:t>
                  </w:r>
                </w:p>
              </w:tc>
              <w:tc>
                <w:tcPr>
                  <w:tcW w:w="1576" w:type="pct"/>
                  <w:gridSpan w:val="2"/>
                  <w:noWrap w:val="0"/>
                  <w:vAlign w:val="center"/>
                </w:tcPr>
                <w:p w14:paraId="3CF0F775">
                  <w:pPr>
                    <w:pStyle w:val="28"/>
                    <w:jc w:val="center"/>
                    <w:rPr>
                      <w:color w:val="auto"/>
                    </w:rPr>
                  </w:pPr>
                  <w:r>
                    <w:rPr>
                      <w:rFonts w:hint="eastAsia"/>
                      <w:color w:val="auto"/>
                    </w:rPr>
                    <w:t>脱模站往返式运输小车</w:t>
                  </w:r>
                </w:p>
              </w:tc>
              <w:tc>
                <w:tcPr>
                  <w:tcW w:w="666" w:type="pct"/>
                  <w:noWrap w:val="0"/>
                  <w:vAlign w:val="center"/>
                </w:tcPr>
                <w:p w14:paraId="1C385891">
                  <w:pPr>
                    <w:pStyle w:val="28"/>
                    <w:jc w:val="center"/>
                    <w:rPr>
                      <w:rFonts w:hint="eastAsia"/>
                      <w:color w:val="auto"/>
                    </w:rPr>
                  </w:pPr>
                  <w:r>
                    <w:rPr>
                      <w:rFonts w:hint="eastAsia"/>
                      <w:color w:val="auto"/>
                    </w:rPr>
                    <w:t>/</w:t>
                  </w:r>
                </w:p>
              </w:tc>
              <w:tc>
                <w:tcPr>
                  <w:tcW w:w="617" w:type="pct"/>
                  <w:noWrap w:val="0"/>
                  <w:vAlign w:val="center"/>
                </w:tcPr>
                <w:p w14:paraId="53F948EA">
                  <w:pPr>
                    <w:pStyle w:val="28"/>
                    <w:jc w:val="center"/>
                    <w:rPr>
                      <w:color w:val="auto"/>
                    </w:rPr>
                  </w:pPr>
                  <w:r>
                    <w:rPr>
                      <w:rFonts w:hint="eastAsia"/>
                      <w:color w:val="auto"/>
                    </w:rPr>
                    <w:t>台</w:t>
                  </w:r>
                </w:p>
              </w:tc>
              <w:tc>
                <w:tcPr>
                  <w:tcW w:w="446" w:type="pct"/>
                  <w:noWrap w:val="0"/>
                  <w:vAlign w:val="center"/>
                </w:tcPr>
                <w:p w14:paraId="7F7590F0">
                  <w:pPr>
                    <w:pStyle w:val="28"/>
                    <w:jc w:val="center"/>
                    <w:rPr>
                      <w:color w:val="auto"/>
                    </w:rPr>
                  </w:pPr>
                  <w:r>
                    <w:rPr>
                      <w:rFonts w:hint="eastAsia"/>
                      <w:color w:val="auto"/>
                    </w:rPr>
                    <w:t>1</w:t>
                  </w:r>
                </w:p>
              </w:tc>
              <w:tc>
                <w:tcPr>
                  <w:tcW w:w="1279" w:type="pct"/>
                  <w:noWrap w:val="0"/>
                  <w:vAlign w:val="center"/>
                </w:tcPr>
                <w:p w14:paraId="2DF9C1E4">
                  <w:pPr>
                    <w:pStyle w:val="28"/>
                    <w:jc w:val="center"/>
                    <w:rPr>
                      <w:color w:val="auto"/>
                    </w:rPr>
                  </w:pPr>
                  <w:r>
                    <w:rPr>
                      <w:rFonts w:hint="eastAsia"/>
                      <w:color w:val="auto"/>
                    </w:rPr>
                    <w:t>往返运输轨枕及脱枕后的模具</w:t>
                  </w:r>
                </w:p>
              </w:tc>
            </w:tr>
            <w:tr w14:paraId="78FA5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 w:type="pct"/>
                  <w:noWrap w:val="0"/>
                  <w:vAlign w:val="center"/>
                </w:tcPr>
                <w:p w14:paraId="16E33712">
                  <w:pPr>
                    <w:pStyle w:val="28"/>
                    <w:jc w:val="center"/>
                    <w:rPr>
                      <w:color w:val="auto"/>
                    </w:rPr>
                  </w:pPr>
                  <w:r>
                    <w:rPr>
                      <w:rFonts w:hint="eastAsia"/>
                      <w:color w:val="auto"/>
                    </w:rPr>
                    <w:t>23</w:t>
                  </w:r>
                </w:p>
              </w:tc>
              <w:tc>
                <w:tcPr>
                  <w:tcW w:w="1576" w:type="pct"/>
                  <w:gridSpan w:val="2"/>
                  <w:noWrap w:val="0"/>
                  <w:vAlign w:val="center"/>
                </w:tcPr>
                <w:p w14:paraId="6881BDE1">
                  <w:pPr>
                    <w:pStyle w:val="28"/>
                    <w:jc w:val="center"/>
                    <w:rPr>
                      <w:color w:val="auto"/>
                    </w:rPr>
                  </w:pPr>
                  <w:r>
                    <w:rPr>
                      <w:rFonts w:hint="eastAsia"/>
                      <w:color w:val="auto"/>
                    </w:rPr>
                    <w:t>牵引装置</w:t>
                  </w:r>
                </w:p>
              </w:tc>
              <w:tc>
                <w:tcPr>
                  <w:tcW w:w="666" w:type="pct"/>
                  <w:noWrap w:val="0"/>
                  <w:vAlign w:val="center"/>
                </w:tcPr>
                <w:p w14:paraId="1D68A30A">
                  <w:pPr>
                    <w:pStyle w:val="28"/>
                    <w:jc w:val="center"/>
                    <w:rPr>
                      <w:rFonts w:hint="eastAsia"/>
                      <w:color w:val="auto"/>
                    </w:rPr>
                  </w:pPr>
                  <w:r>
                    <w:rPr>
                      <w:rFonts w:hint="eastAsia"/>
                      <w:color w:val="auto"/>
                    </w:rPr>
                    <w:t>/</w:t>
                  </w:r>
                </w:p>
              </w:tc>
              <w:tc>
                <w:tcPr>
                  <w:tcW w:w="617" w:type="pct"/>
                  <w:noWrap w:val="0"/>
                  <w:vAlign w:val="center"/>
                </w:tcPr>
                <w:p w14:paraId="6305AB12">
                  <w:pPr>
                    <w:pStyle w:val="28"/>
                    <w:jc w:val="center"/>
                    <w:rPr>
                      <w:color w:val="auto"/>
                    </w:rPr>
                  </w:pPr>
                  <w:r>
                    <w:rPr>
                      <w:rFonts w:hint="eastAsia"/>
                      <w:color w:val="auto"/>
                    </w:rPr>
                    <w:t>套</w:t>
                  </w:r>
                </w:p>
              </w:tc>
              <w:tc>
                <w:tcPr>
                  <w:tcW w:w="446" w:type="pct"/>
                  <w:noWrap w:val="0"/>
                  <w:vAlign w:val="center"/>
                </w:tcPr>
                <w:p w14:paraId="16335B5C">
                  <w:pPr>
                    <w:pStyle w:val="28"/>
                    <w:jc w:val="center"/>
                    <w:rPr>
                      <w:color w:val="auto"/>
                    </w:rPr>
                  </w:pPr>
                  <w:r>
                    <w:rPr>
                      <w:rFonts w:hint="eastAsia"/>
                      <w:color w:val="auto"/>
                    </w:rPr>
                    <w:t>2</w:t>
                  </w:r>
                </w:p>
              </w:tc>
              <w:tc>
                <w:tcPr>
                  <w:tcW w:w="1279" w:type="pct"/>
                  <w:noWrap w:val="0"/>
                  <w:vAlign w:val="center"/>
                </w:tcPr>
                <w:p w14:paraId="2DBD6583">
                  <w:pPr>
                    <w:pStyle w:val="28"/>
                    <w:jc w:val="center"/>
                    <w:rPr>
                      <w:color w:val="auto"/>
                    </w:rPr>
                  </w:pPr>
                  <w:r>
                    <w:rPr>
                      <w:color w:val="auto"/>
                    </w:rPr>
                    <w:t>/</w:t>
                  </w:r>
                </w:p>
              </w:tc>
            </w:tr>
            <w:tr w14:paraId="44451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000" w:type="pct"/>
                  <w:gridSpan w:val="7"/>
                  <w:noWrap w:val="0"/>
                  <w:vAlign w:val="center"/>
                </w:tcPr>
                <w:p w14:paraId="4AC5E8BE">
                  <w:pPr>
                    <w:pStyle w:val="28"/>
                    <w:jc w:val="center"/>
                    <w:rPr>
                      <w:b/>
                      <w:bCs/>
                      <w:color w:val="auto"/>
                    </w:rPr>
                  </w:pPr>
                  <w:r>
                    <w:rPr>
                      <w:rFonts w:hint="eastAsia"/>
                      <w:b/>
                      <w:bCs/>
                      <w:color w:val="auto"/>
                    </w:rPr>
                    <w:t>钢筋桁架生产线设备清单</w:t>
                  </w:r>
                </w:p>
              </w:tc>
            </w:tr>
            <w:tr w14:paraId="3454A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000" w:type="pct"/>
                  <w:gridSpan w:val="7"/>
                  <w:noWrap w:val="0"/>
                  <w:vAlign w:val="center"/>
                </w:tcPr>
                <w:p w14:paraId="6845D3EA">
                  <w:pPr>
                    <w:pStyle w:val="28"/>
                    <w:jc w:val="center"/>
                    <w:rPr>
                      <w:b/>
                      <w:bCs/>
                      <w:color w:val="auto"/>
                    </w:rPr>
                  </w:pPr>
                  <w:r>
                    <w:rPr>
                      <w:rFonts w:hint="eastAsia"/>
                      <w:b/>
                      <w:bCs/>
                      <w:color w:val="auto"/>
                    </w:rPr>
                    <w:t>冷轧带肋钢筋生产线</w:t>
                  </w:r>
                </w:p>
              </w:tc>
            </w:tr>
            <w:tr w14:paraId="1B79F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 w:type="pct"/>
                  <w:noWrap w:val="0"/>
                  <w:vAlign w:val="center"/>
                </w:tcPr>
                <w:p w14:paraId="27259685">
                  <w:pPr>
                    <w:pStyle w:val="28"/>
                    <w:jc w:val="center"/>
                    <w:rPr>
                      <w:rFonts w:hint="eastAsia"/>
                      <w:color w:val="auto"/>
                    </w:rPr>
                  </w:pPr>
                  <w:r>
                    <w:rPr>
                      <w:rFonts w:hint="eastAsia"/>
                      <w:color w:val="auto"/>
                    </w:rPr>
                    <w:t>1</w:t>
                  </w:r>
                </w:p>
              </w:tc>
              <w:tc>
                <w:tcPr>
                  <w:tcW w:w="1576" w:type="pct"/>
                  <w:gridSpan w:val="2"/>
                  <w:noWrap w:val="0"/>
                  <w:vAlign w:val="center"/>
                </w:tcPr>
                <w:p w14:paraId="2EE72E74">
                  <w:pPr>
                    <w:pStyle w:val="28"/>
                    <w:jc w:val="center"/>
                    <w:rPr>
                      <w:rFonts w:hint="eastAsia"/>
                      <w:color w:val="auto"/>
                    </w:rPr>
                  </w:pPr>
                  <w:r>
                    <w:rPr>
                      <w:rFonts w:hint="eastAsia"/>
                      <w:color w:val="auto"/>
                    </w:rPr>
                    <w:t>收线机</w:t>
                  </w:r>
                </w:p>
              </w:tc>
              <w:tc>
                <w:tcPr>
                  <w:tcW w:w="666" w:type="pct"/>
                  <w:noWrap w:val="0"/>
                  <w:vAlign w:val="center"/>
                </w:tcPr>
                <w:p w14:paraId="13CD86AA">
                  <w:pPr>
                    <w:pStyle w:val="28"/>
                    <w:jc w:val="center"/>
                    <w:rPr>
                      <w:rFonts w:hint="eastAsia"/>
                      <w:color w:val="auto"/>
                    </w:rPr>
                  </w:pPr>
                  <w:r>
                    <w:rPr>
                      <w:rFonts w:hint="eastAsia"/>
                      <w:color w:val="auto"/>
                    </w:rPr>
                    <w:t>/</w:t>
                  </w:r>
                </w:p>
              </w:tc>
              <w:tc>
                <w:tcPr>
                  <w:tcW w:w="617" w:type="pct"/>
                  <w:noWrap w:val="0"/>
                  <w:vAlign w:val="center"/>
                </w:tcPr>
                <w:p w14:paraId="3A22833A">
                  <w:pPr>
                    <w:pStyle w:val="28"/>
                    <w:jc w:val="center"/>
                    <w:rPr>
                      <w:rFonts w:hint="eastAsia"/>
                      <w:color w:val="auto"/>
                    </w:rPr>
                  </w:pPr>
                  <w:r>
                    <w:rPr>
                      <w:rFonts w:hint="eastAsia"/>
                      <w:color w:val="auto"/>
                    </w:rPr>
                    <w:t>台</w:t>
                  </w:r>
                </w:p>
              </w:tc>
              <w:tc>
                <w:tcPr>
                  <w:tcW w:w="446" w:type="pct"/>
                  <w:noWrap w:val="0"/>
                  <w:vAlign w:val="center"/>
                </w:tcPr>
                <w:p w14:paraId="22C55683">
                  <w:pPr>
                    <w:pStyle w:val="28"/>
                    <w:jc w:val="center"/>
                    <w:rPr>
                      <w:rFonts w:hint="eastAsia"/>
                      <w:color w:val="auto"/>
                    </w:rPr>
                  </w:pPr>
                  <w:r>
                    <w:rPr>
                      <w:rFonts w:hint="eastAsia"/>
                      <w:color w:val="auto"/>
                    </w:rPr>
                    <w:t>1</w:t>
                  </w:r>
                </w:p>
              </w:tc>
              <w:tc>
                <w:tcPr>
                  <w:tcW w:w="1279" w:type="pct"/>
                  <w:noWrap w:val="0"/>
                  <w:vAlign w:val="center"/>
                </w:tcPr>
                <w:p w14:paraId="34936A6B">
                  <w:pPr>
                    <w:pStyle w:val="28"/>
                    <w:jc w:val="center"/>
                    <w:rPr>
                      <w:color w:val="auto"/>
                    </w:rPr>
                  </w:pPr>
                  <w:r>
                    <w:rPr>
                      <w:color w:val="auto"/>
                    </w:rPr>
                    <w:t>/</w:t>
                  </w:r>
                </w:p>
              </w:tc>
            </w:tr>
            <w:tr w14:paraId="32DF7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 w:type="pct"/>
                  <w:noWrap w:val="0"/>
                  <w:vAlign w:val="center"/>
                </w:tcPr>
                <w:p w14:paraId="144C0E2C">
                  <w:pPr>
                    <w:pStyle w:val="28"/>
                    <w:jc w:val="center"/>
                    <w:rPr>
                      <w:rFonts w:hint="eastAsia"/>
                      <w:color w:val="auto"/>
                    </w:rPr>
                  </w:pPr>
                  <w:r>
                    <w:rPr>
                      <w:rFonts w:hint="eastAsia"/>
                      <w:color w:val="auto"/>
                    </w:rPr>
                    <w:t>2</w:t>
                  </w:r>
                </w:p>
              </w:tc>
              <w:tc>
                <w:tcPr>
                  <w:tcW w:w="1576" w:type="pct"/>
                  <w:gridSpan w:val="2"/>
                  <w:noWrap w:val="0"/>
                  <w:vAlign w:val="center"/>
                </w:tcPr>
                <w:p w14:paraId="2E558496">
                  <w:pPr>
                    <w:pStyle w:val="28"/>
                    <w:jc w:val="center"/>
                    <w:rPr>
                      <w:rFonts w:hint="eastAsia"/>
                      <w:color w:val="auto"/>
                    </w:rPr>
                  </w:pPr>
                  <w:r>
                    <w:rPr>
                      <w:rFonts w:hint="eastAsia"/>
                      <w:color w:val="auto"/>
                    </w:rPr>
                    <w:t>线材盘条高架放线架</w:t>
                  </w:r>
                </w:p>
              </w:tc>
              <w:tc>
                <w:tcPr>
                  <w:tcW w:w="666" w:type="pct"/>
                  <w:noWrap w:val="0"/>
                  <w:vAlign w:val="center"/>
                </w:tcPr>
                <w:p w14:paraId="17CCA79A">
                  <w:pPr>
                    <w:pStyle w:val="28"/>
                    <w:jc w:val="center"/>
                    <w:rPr>
                      <w:rFonts w:hint="eastAsia"/>
                      <w:color w:val="auto"/>
                    </w:rPr>
                  </w:pPr>
                  <w:r>
                    <w:rPr>
                      <w:rFonts w:hint="eastAsia"/>
                      <w:color w:val="auto"/>
                    </w:rPr>
                    <w:t>/</w:t>
                  </w:r>
                </w:p>
              </w:tc>
              <w:tc>
                <w:tcPr>
                  <w:tcW w:w="617" w:type="pct"/>
                  <w:noWrap w:val="0"/>
                  <w:vAlign w:val="center"/>
                </w:tcPr>
                <w:p w14:paraId="6FEC6A83">
                  <w:pPr>
                    <w:pStyle w:val="28"/>
                    <w:jc w:val="center"/>
                    <w:rPr>
                      <w:rFonts w:hint="eastAsia"/>
                      <w:color w:val="auto"/>
                    </w:rPr>
                  </w:pPr>
                  <w:r>
                    <w:rPr>
                      <w:rFonts w:hint="eastAsia"/>
                      <w:color w:val="auto"/>
                    </w:rPr>
                    <w:t>台</w:t>
                  </w:r>
                </w:p>
              </w:tc>
              <w:tc>
                <w:tcPr>
                  <w:tcW w:w="446" w:type="pct"/>
                  <w:noWrap w:val="0"/>
                  <w:vAlign w:val="center"/>
                </w:tcPr>
                <w:p w14:paraId="669CD17F">
                  <w:pPr>
                    <w:pStyle w:val="28"/>
                    <w:jc w:val="center"/>
                    <w:rPr>
                      <w:rFonts w:hint="eastAsia"/>
                      <w:color w:val="auto"/>
                    </w:rPr>
                  </w:pPr>
                  <w:r>
                    <w:rPr>
                      <w:rFonts w:hint="eastAsia"/>
                      <w:color w:val="auto"/>
                    </w:rPr>
                    <w:t>1</w:t>
                  </w:r>
                </w:p>
              </w:tc>
              <w:tc>
                <w:tcPr>
                  <w:tcW w:w="1279" w:type="pct"/>
                  <w:noWrap w:val="0"/>
                  <w:vAlign w:val="center"/>
                </w:tcPr>
                <w:p w14:paraId="256995CD">
                  <w:pPr>
                    <w:pStyle w:val="28"/>
                    <w:jc w:val="center"/>
                    <w:rPr>
                      <w:color w:val="auto"/>
                    </w:rPr>
                  </w:pPr>
                  <w:r>
                    <w:rPr>
                      <w:color w:val="auto"/>
                    </w:rPr>
                    <w:t>/</w:t>
                  </w:r>
                </w:p>
              </w:tc>
            </w:tr>
            <w:tr w14:paraId="0E6A2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 w:type="pct"/>
                  <w:noWrap w:val="0"/>
                  <w:vAlign w:val="center"/>
                </w:tcPr>
                <w:p w14:paraId="32F5080B">
                  <w:pPr>
                    <w:pStyle w:val="28"/>
                    <w:jc w:val="center"/>
                    <w:rPr>
                      <w:rFonts w:hint="eastAsia"/>
                      <w:color w:val="auto"/>
                    </w:rPr>
                  </w:pPr>
                  <w:r>
                    <w:rPr>
                      <w:rFonts w:hint="eastAsia"/>
                      <w:color w:val="auto"/>
                    </w:rPr>
                    <w:t>3</w:t>
                  </w:r>
                </w:p>
              </w:tc>
              <w:tc>
                <w:tcPr>
                  <w:tcW w:w="1576" w:type="pct"/>
                  <w:gridSpan w:val="2"/>
                  <w:noWrap w:val="0"/>
                  <w:vAlign w:val="center"/>
                </w:tcPr>
                <w:p w14:paraId="77AC33A7">
                  <w:pPr>
                    <w:pStyle w:val="28"/>
                    <w:jc w:val="center"/>
                    <w:rPr>
                      <w:rFonts w:hint="eastAsia"/>
                      <w:color w:val="auto"/>
                    </w:rPr>
                  </w:pPr>
                  <w:r>
                    <w:rPr>
                      <w:rFonts w:hint="eastAsia"/>
                      <w:color w:val="auto"/>
                    </w:rPr>
                    <w:t>除磷机</w:t>
                  </w:r>
                </w:p>
              </w:tc>
              <w:tc>
                <w:tcPr>
                  <w:tcW w:w="666" w:type="pct"/>
                  <w:noWrap w:val="0"/>
                  <w:vAlign w:val="center"/>
                </w:tcPr>
                <w:p w14:paraId="736A7D99">
                  <w:pPr>
                    <w:pStyle w:val="28"/>
                    <w:jc w:val="center"/>
                    <w:rPr>
                      <w:rFonts w:hint="eastAsia"/>
                      <w:color w:val="auto"/>
                    </w:rPr>
                  </w:pPr>
                  <w:r>
                    <w:rPr>
                      <w:rFonts w:hint="eastAsia"/>
                      <w:color w:val="auto"/>
                    </w:rPr>
                    <w:t>/</w:t>
                  </w:r>
                </w:p>
              </w:tc>
              <w:tc>
                <w:tcPr>
                  <w:tcW w:w="617" w:type="pct"/>
                  <w:noWrap w:val="0"/>
                  <w:vAlign w:val="center"/>
                </w:tcPr>
                <w:p w14:paraId="00008FBC">
                  <w:pPr>
                    <w:pStyle w:val="28"/>
                    <w:jc w:val="center"/>
                    <w:rPr>
                      <w:rFonts w:hint="eastAsia"/>
                      <w:color w:val="auto"/>
                    </w:rPr>
                  </w:pPr>
                  <w:r>
                    <w:rPr>
                      <w:rFonts w:hint="eastAsia"/>
                      <w:color w:val="auto"/>
                    </w:rPr>
                    <w:t>台</w:t>
                  </w:r>
                </w:p>
              </w:tc>
              <w:tc>
                <w:tcPr>
                  <w:tcW w:w="446" w:type="pct"/>
                  <w:noWrap w:val="0"/>
                  <w:vAlign w:val="center"/>
                </w:tcPr>
                <w:p w14:paraId="11667B8C">
                  <w:pPr>
                    <w:pStyle w:val="28"/>
                    <w:jc w:val="center"/>
                    <w:rPr>
                      <w:rFonts w:hint="eastAsia"/>
                      <w:color w:val="auto"/>
                    </w:rPr>
                  </w:pPr>
                  <w:r>
                    <w:rPr>
                      <w:rFonts w:hint="eastAsia"/>
                      <w:color w:val="auto"/>
                    </w:rPr>
                    <w:t>1</w:t>
                  </w:r>
                </w:p>
              </w:tc>
              <w:tc>
                <w:tcPr>
                  <w:tcW w:w="1279" w:type="pct"/>
                  <w:noWrap w:val="0"/>
                  <w:vAlign w:val="center"/>
                </w:tcPr>
                <w:p w14:paraId="6C42E3B9">
                  <w:pPr>
                    <w:pStyle w:val="28"/>
                    <w:jc w:val="center"/>
                    <w:rPr>
                      <w:color w:val="auto"/>
                    </w:rPr>
                  </w:pPr>
                  <w:r>
                    <w:rPr>
                      <w:color w:val="auto"/>
                    </w:rPr>
                    <w:t>/</w:t>
                  </w:r>
                </w:p>
              </w:tc>
            </w:tr>
            <w:tr w14:paraId="728A6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 w:type="pct"/>
                  <w:noWrap w:val="0"/>
                  <w:vAlign w:val="center"/>
                </w:tcPr>
                <w:p w14:paraId="39A18BC3">
                  <w:pPr>
                    <w:pStyle w:val="28"/>
                    <w:jc w:val="center"/>
                    <w:rPr>
                      <w:rFonts w:hint="eastAsia"/>
                      <w:color w:val="auto"/>
                    </w:rPr>
                  </w:pPr>
                  <w:r>
                    <w:rPr>
                      <w:rFonts w:hint="eastAsia"/>
                      <w:color w:val="auto"/>
                    </w:rPr>
                    <w:t>4</w:t>
                  </w:r>
                </w:p>
              </w:tc>
              <w:tc>
                <w:tcPr>
                  <w:tcW w:w="1576" w:type="pct"/>
                  <w:gridSpan w:val="2"/>
                  <w:noWrap w:val="0"/>
                  <w:vAlign w:val="center"/>
                </w:tcPr>
                <w:p w14:paraId="0CF6A464">
                  <w:pPr>
                    <w:pStyle w:val="28"/>
                    <w:jc w:val="center"/>
                    <w:rPr>
                      <w:rFonts w:hint="eastAsia"/>
                      <w:color w:val="auto"/>
                    </w:rPr>
                  </w:pPr>
                  <w:r>
                    <w:rPr>
                      <w:rFonts w:hint="eastAsia"/>
                      <w:color w:val="auto"/>
                    </w:rPr>
                    <w:t>润滑涂复机</w:t>
                  </w:r>
                </w:p>
              </w:tc>
              <w:tc>
                <w:tcPr>
                  <w:tcW w:w="666" w:type="pct"/>
                  <w:noWrap w:val="0"/>
                  <w:vAlign w:val="center"/>
                </w:tcPr>
                <w:p w14:paraId="79A4F690">
                  <w:pPr>
                    <w:pStyle w:val="28"/>
                    <w:jc w:val="center"/>
                    <w:rPr>
                      <w:rFonts w:hint="eastAsia"/>
                      <w:color w:val="auto"/>
                    </w:rPr>
                  </w:pPr>
                  <w:r>
                    <w:rPr>
                      <w:rFonts w:hint="eastAsia"/>
                      <w:color w:val="auto"/>
                    </w:rPr>
                    <w:t>/</w:t>
                  </w:r>
                </w:p>
              </w:tc>
              <w:tc>
                <w:tcPr>
                  <w:tcW w:w="617" w:type="pct"/>
                  <w:noWrap w:val="0"/>
                  <w:vAlign w:val="center"/>
                </w:tcPr>
                <w:p w14:paraId="46021D37">
                  <w:pPr>
                    <w:pStyle w:val="28"/>
                    <w:jc w:val="center"/>
                    <w:rPr>
                      <w:rFonts w:hint="eastAsia"/>
                      <w:color w:val="auto"/>
                    </w:rPr>
                  </w:pPr>
                  <w:r>
                    <w:rPr>
                      <w:rFonts w:hint="eastAsia"/>
                      <w:color w:val="auto"/>
                    </w:rPr>
                    <w:t>台</w:t>
                  </w:r>
                </w:p>
              </w:tc>
              <w:tc>
                <w:tcPr>
                  <w:tcW w:w="446" w:type="pct"/>
                  <w:noWrap w:val="0"/>
                  <w:vAlign w:val="center"/>
                </w:tcPr>
                <w:p w14:paraId="6081CDFD">
                  <w:pPr>
                    <w:pStyle w:val="28"/>
                    <w:jc w:val="center"/>
                    <w:rPr>
                      <w:rFonts w:hint="eastAsia"/>
                      <w:color w:val="auto"/>
                    </w:rPr>
                  </w:pPr>
                  <w:r>
                    <w:rPr>
                      <w:rFonts w:hint="eastAsia"/>
                      <w:color w:val="auto"/>
                    </w:rPr>
                    <w:t>1</w:t>
                  </w:r>
                </w:p>
              </w:tc>
              <w:tc>
                <w:tcPr>
                  <w:tcW w:w="1279" w:type="pct"/>
                  <w:noWrap w:val="0"/>
                  <w:vAlign w:val="center"/>
                </w:tcPr>
                <w:p w14:paraId="2FBB8646">
                  <w:pPr>
                    <w:pStyle w:val="28"/>
                    <w:jc w:val="center"/>
                    <w:rPr>
                      <w:color w:val="auto"/>
                    </w:rPr>
                  </w:pPr>
                  <w:r>
                    <w:rPr>
                      <w:color w:val="auto"/>
                    </w:rPr>
                    <w:t>/</w:t>
                  </w:r>
                </w:p>
              </w:tc>
            </w:tr>
            <w:tr w14:paraId="060B1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 w:type="pct"/>
                  <w:noWrap w:val="0"/>
                  <w:vAlign w:val="center"/>
                </w:tcPr>
                <w:p w14:paraId="10D6BBD5">
                  <w:pPr>
                    <w:pStyle w:val="28"/>
                    <w:jc w:val="center"/>
                    <w:rPr>
                      <w:rFonts w:hint="eastAsia"/>
                      <w:color w:val="auto"/>
                    </w:rPr>
                  </w:pPr>
                  <w:r>
                    <w:rPr>
                      <w:rFonts w:hint="eastAsia"/>
                      <w:color w:val="auto"/>
                    </w:rPr>
                    <w:t>5</w:t>
                  </w:r>
                </w:p>
              </w:tc>
              <w:tc>
                <w:tcPr>
                  <w:tcW w:w="1576" w:type="pct"/>
                  <w:gridSpan w:val="2"/>
                  <w:noWrap w:val="0"/>
                  <w:vAlign w:val="center"/>
                </w:tcPr>
                <w:p w14:paraId="66C81CD9">
                  <w:pPr>
                    <w:pStyle w:val="28"/>
                    <w:jc w:val="center"/>
                    <w:rPr>
                      <w:rFonts w:hint="eastAsia"/>
                      <w:color w:val="auto"/>
                    </w:rPr>
                  </w:pPr>
                  <w:r>
                    <w:rPr>
                      <w:rFonts w:hint="eastAsia"/>
                      <w:color w:val="auto"/>
                    </w:rPr>
                    <w:t>Y型轧机轧制机</w:t>
                  </w:r>
                </w:p>
              </w:tc>
              <w:tc>
                <w:tcPr>
                  <w:tcW w:w="666" w:type="pct"/>
                  <w:noWrap w:val="0"/>
                  <w:vAlign w:val="center"/>
                </w:tcPr>
                <w:p w14:paraId="54FC5972">
                  <w:pPr>
                    <w:pStyle w:val="28"/>
                    <w:jc w:val="center"/>
                    <w:rPr>
                      <w:rFonts w:hint="eastAsia"/>
                      <w:color w:val="auto"/>
                    </w:rPr>
                  </w:pPr>
                  <w:r>
                    <w:rPr>
                      <w:rFonts w:hint="eastAsia"/>
                      <w:color w:val="auto"/>
                    </w:rPr>
                    <w:t>/</w:t>
                  </w:r>
                </w:p>
              </w:tc>
              <w:tc>
                <w:tcPr>
                  <w:tcW w:w="617" w:type="pct"/>
                  <w:noWrap w:val="0"/>
                  <w:vAlign w:val="center"/>
                </w:tcPr>
                <w:p w14:paraId="5C7ACAC6">
                  <w:pPr>
                    <w:pStyle w:val="28"/>
                    <w:jc w:val="center"/>
                    <w:rPr>
                      <w:rFonts w:hint="eastAsia"/>
                      <w:color w:val="auto"/>
                    </w:rPr>
                  </w:pPr>
                  <w:r>
                    <w:rPr>
                      <w:rFonts w:hint="eastAsia"/>
                      <w:color w:val="auto"/>
                    </w:rPr>
                    <w:t>台</w:t>
                  </w:r>
                </w:p>
              </w:tc>
              <w:tc>
                <w:tcPr>
                  <w:tcW w:w="446" w:type="pct"/>
                  <w:noWrap w:val="0"/>
                  <w:vAlign w:val="center"/>
                </w:tcPr>
                <w:p w14:paraId="2085EAB7">
                  <w:pPr>
                    <w:pStyle w:val="28"/>
                    <w:jc w:val="center"/>
                    <w:rPr>
                      <w:rFonts w:hint="eastAsia"/>
                      <w:color w:val="auto"/>
                    </w:rPr>
                  </w:pPr>
                  <w:r>
                    <w:rPr>
                      <w:rFonts w:hint="eastAsia"/>
                      <w:color w:val="auto"/>
                    </w:rPr>
                    <w:t>1</w:t>
                  </w:r>
                </w:p>
              </w:tc>
              <w:tc>
                <w:tcPr>
                  <w:tcW w:w="1279" w:type="pct"/>
                  <w:noWrap w:val="0"/>
                  <w:vAlign w:val="center"/>
                </w:tcPr>
                <w:p w14:paraId="2F2F6562">
                  <w:pPr>
                    <w:pStyle w:val="28"/>
                    <w:jc w:val="center"/>
                    <w:rPr>
                      <w:color w:val="auto"/>
                    </w:rPr>
                  </w:pPr>
                  <w:r>
                    <w:rPr>
                      <w:color w:val="auto"/>
                    </w:rPr>
                    <w:t>/</w:t>
                  </w:r>
                </w:p>
              </w:tc>
            </w:tr>
            <w:tr w14:paraId="05B93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 w:type="pct"/>
                  <w:noWrap w:val="0"/>
                  <w:vAlign w:val="center"/>
                </w:tcPr>
                <w:p w14:paraId="381EB41F">
                  <w:pPr>
                    <w:pStyle w:val="28"/>
                    <w:jc w:val="center"/>
                    <w:rPr>
                      <w:rFonts w:hint="eastAsia"/>
                      <w:color w:val="auto"/>
                    </w:rPr>
                  </w:pPr>
                  <w:r>
                    <w:rPr>
                      <w:rFonts w:hint="eastAsia"/>
                      <w:color w:val="auto"/>
                    </w:rPr>
                    <w:t>6</w:t>
                  </w:r>
                </w:p>
              </w:tc>
              <w:tc>
                <w:tcPr>
                  <w:tcW w:w="1576" w:type="pct"/>
                  <w:gridSpan w:val="2"/>
                  <w:noWrap w:val="0"/>
                  <w:vAlign w:val="center"/>
                </w:tcPr>
                <w:p w14:paraId="793C36B8">
                  <w:pPr>
                    <w:pStyle w:val="28"/>
                    <w:jc w:val="center"/>
                    <w:rPr>
                      <w:rFonts w:hint="eastAsia"/>
                      <w:color w:val="auto"/>
                    </w:rPr>
                  </w:pPr>
                  <w:r>
                    <w:rPr>
                      <w:rFonts w:hint="eastAsia"/>
                      <w:color w:val="auto"/>
                    </w:rPr>
                    <w:t>水平牵引机</w:t>
                  </w:r>
                </w:p>
              </w:tc>
              <w:tc>
                <w:tcPr>
                  <w:tcW w:w="666" w:type="pct"/>
                  <w:noWrap w:val="0"/>
                  <w:vAlign w:val="center"/>
                </w:tcPr>
                <w:p w14:paraId="35788965">
                  <w:pPr>
                    <w:pStyle w:val="28"/>
                    <w:jc w:val="center"/>
                    <w:rPr>
                      <w:rFonts w:hint="eastAsia"/>
                      <w:color w:val="auto"/>
                    </w:rPr>
                  </w:pPr>
                  <w:r>
                    <w:rPr>
                      <w:rFonts w:hint="eastAsia"/>
                      <w:color w:val="auto"/>
                    </w:rPr>
                    <w:t>/</w:t>
                  </w:r>
                </w:p>
              </w:tc>
              <w:tc>
                <w:tcPr>
                  <w:tcW w:w="617" w:type="pct"/>
                  <w:noWrap w:val="0"/>
                  <w:vAlign w:val="center"/>
                </w:tcPr>
                <w:p w14:paraId="61E0FCE9">
                  <w:pPr>
                    <w:pStyle w:val="28"/>
                    <w:jc w:val="center"/>
                    <w:rPr>
                      <w:rFonts w:hint="eastAsia"/>
                      <w:color w:val="auto"/>
                    </w:rPr>
                  </w:pPr>
                  <w:r>
                    <w:rPr>
                      <w:rFonts w:hint="eastAsia"/>
                      <w:color w:val="auto"/>
                    </w:rPr>
                    <w:t>台</w:t>
                  </w:r>
                </w:p>
              </w:tc>
              <w:tc>
                <w:tcPr>
                  <w:tcW w:w="446" w:type="pct"/>
                  <w:noWrap w:val="0"/>
                  <w:vAlign w:val="center"/>
                </w:tcPr>
                <w:p w14:paraId="175DB0C6">
                  <w:pPr>
                    <w:pStyle w:val="28"/>
                    <w:jc w:val="center"/>
                    <w:rPr>
                      <w:rFonts w:hint="eastAsia"/>
                      <w:color w:val="auto"/>
                    </w:rPr>
                  </w:pPr>
                  <w:r>
                    <w:rPr>
                      <w:rFonts w:hint="eastAsia"/>
                      <w:color w:val="auto"/>
                    </w:rPr>
                    <w:t>1</w:t>
                  </w:r>
                </w:p>
              </w:tc>
              <w:tc>
                <w:tcPr>
                  <w:tcW w:w="1279" w:type="pct"/>
                  <w:noWrap w:val="0"/>
                  <w:vAlign w:val="center"/>
                </w:tcPr>
                <w:p w14:paraId="5F4E2457">
                  <w:pPr>
                    <w:pStyle w:val="28"/>
                    <w:jc w:val="center"/>
                    <w:rPr>
                      <w:color w:val="auto"/>
                    </w:rPr>
                  </w:pPr>
                  <w:r>
                    <w:rPr>
                      <w:color w:val="auto"/>
                    </w:rPr>
                    <w:t>/</w:t>
                  </w:r>
                </w:p>
              </w:tc>
            </w:tr>
            <w:tr w14:paraId="29258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 w:type="pct"/>
                  <w:noWrap w:val="0"/>
                  <w:vAlign w:val="center"/>
                </w:tcPr>
                <w:p w14:paraId="16669682">
                  <w:pPr>
                    <w:pStyle w:val="28"/>
                    <w:jc w:val="center"/>
                    <w:rPr>
                      <w:rFonts w:hint="eastAsia"/>
                      <w:color w:val="auto"/>
                    </w:rPr>
                  </w:pPr>
                  <w:r>
                    <w:rPr>
                      <w:rFonts w:hint="eastAsia"/>
                      <w:color w:val="auto"/>
                    </w:rPr>
                    <w:t>7</w:t>
                  </w:r>
                </w:p>
              </w:tc>
              <w:tc>
                <w:tcPr>
                  <w:tcW w:w="1576" w:type="pct"/>
                  <w:gridSpan w:val="2"/>
                  <w:noWrap w:val="0"/>
                  <w:vAlign w:val="center"/>
                </w:tcPr>
                <w:p w14:paraId="665A741D">
                  <w:pPr>
                    <w:pStyle w:val="28"/>
                    <w:jc w:val="center"/>
                    <w:rPr>
                      <w:rFonts w:hint="eastAsia"/>
                      <w:color w:val="auto"/>
                    </w:rPr>
                  </w:pPr>
                  <w:r>
                    <w:rPr>
                      <w:rFonts w:hint="eastAsia"/>
                      <w:color w:val="auto"/>
                    </w:rPr>
                    <w:t>应力消除机</w:t>
                  </w:r>
                </w:p>
              </w:tc>
              <w:tc>
                <w:tcPr>
                  <w:tcW w:w="666" w:type="pct"/>
                  <w:noWrap w:val="0"/>
                  <w:vAlign w:val="center"/>
                </w:tcPr>
                <w:p w14:paraId="3B17D172">
                  <w:pPr>
                    <w:pStyle w:val="28"/>
                    <w:jc w:val="center"/>
                    <w:rPr>
                      <w:rFonts w:hint="eastAsia"/>
                      <w:color w:val="auto"/>
                    </w:rPr>
                  </w:pPr>
                  <w:r>
                    <w:rPr>
                      <w:rFonts w:hint="eastAsia"/>
                      <w:color w:val="auto"/>
                    </w:rPr>
                    <w:t>/</w:t>
                  </w:r>
                </w:p>
              </w:tc>
              <w:tc>
                <w:tcPr>
                  <w:tcW w:w="617" w:type="pct"/>
                  <w:noWrap w:val="0"/>
                  <w:vAlign w:val="center"/>
                </w:tcPr>
                <w:p w14:paraId="1299B22E">
                  <w:pPr>
                    <w:pStyle w:val="28"/>
                    <w:jc w:val="center"/>
                    <w:rPr>
                      <w:rFonts w:hint="eastAsia"/>
                      <w:color w:val="auto"/>
                    </w:rPr>
                  </w:pPr>
                  <w:r>
                    <w:rPr>
                      <w:rFonts w:hint="eastAsia"/>
                      <w:color w:val="auto"/>
                    </w:rPr>
                    <w:t>台</w:t>
                  </w:r>
                </w:p>
              </w:tc>
              <w:tc>
                <w:tcPr>
                  <w:tcW w:w="446" w:type="pct"/>
                  <w:noWrap w:val="0"/>
                  <w:vAlign w:val="center"/>
                </w:tcPr>
                <w:p w14:paraId="63B6F517">
                  <w:pPr>
                    <w:pStyle w:val="28"/>
                    <w:jc w:val="center"/>
                    <w:rPr>
                      <w:rFonts w:hint="eastAsia"/>
                      <w:color w:val="auto"/>
                    </w:rPr>
                  </w:pPr>
                  <w:r>
                    <w:rPr>
                      <w:rFonts w:hint="eastAsia"/>
                      <w:color w:val="auto"/>
                    </w:rPr>
                    <w:t>1</w:t>
                  </w:r>
                </w:p>
              </w:tc>
              <w:tc>
                <w:tcPr>
                  <w:tcW w:w="1279" w:type="pct"/>
                  <w:noWrap w:val="0"/>
                  <w:vAlign w:val="center"/>
                </w:tcPr>
                <w:p w14:paraId="7B03E2F7">
                  <w:pPr>
                    <w:pStyle w:val="28"/>
                    <w:jc w:val="center"/>
                    <w:rPr>
                      <w:color w:val="auto"/>
                    </w:rPr>
                  </w:pPr>
                  <w:r>
                    <w:rPr>
                      <w:color w:val="auto"/>
                    </w:rPr>
                    <w:t>/</w:t>
                  </w:r>
                </w:p>
              </w:tc>
            </w:tr>
            <w:tr w14:paraId="3B6E4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 w:type="pct"/>
                  <w:noWrap w:val="0"/>
                  <w:vAlign w:val="center"/>
                </w:tcPr>
                <w:p w14:paraId="72D58B61">
                  <w:pPr>
                    <w:pStyle w:val="28"/>
                    <w:jc w:val="center"/>
                    <w:rPr>
                      <w:rFonts w:hint="eastAsia"/>
                      <w:color w:val="auto"/>
                    </w:rPr>
                  </w:pPr>
                  <w:r>
                    <w:rPr>
                      <w:rFonts w:hint="eastAsia"/>
                      <w:color w:val="auto"/>
                    </w:rPr>
                    <w:t>8</w:t>
                  </w:r>
                </w:p>
              </w:tc>
              <w:tc>
                <w:tcPr>
                  <w:tcW w:w="1576" w:type="pct"/>
                  <w:gridSpan w:val="2"/>
                  <w:noWrap w:val="0"/>
                  <w:vAlign w:val="center"/>
                </w:tcPr>
                <w:p w14:paraId="3407B72A">
                  <w:pPr>
                    <w:pStyle w:val="28"/>
                    <w:jc w:val="center"/>
                    <w:rPr>
                      <w:rFonts w:hint="eastAsia"/>
                      <w:color w:val="auto"/>
                    </w:rPr>
                  </w:pPr>
                  <w:r>
                    <w:rPr>
                      <w:rFonts w:hint="eastAsia"/>
                      <w:color w:val="auto"/>
                    </w:rPr>
                    <w:t>电器控制系统1</w:t>
                  </w:r>
                </w:p>
              </w:tc>
              <w:tc>
                <w:tcPr>
                  <w:tcW w:w="666" w:type="pct"/>
                  <w:noWrap w:val="0"/>
                  <w:vAlign w:val="center"/>
                </w:tcPr>
                <w:p w14:paraId="31BD0A9A">
                  <w:pPr>
                    <w:pStyle w:val="28"/>
                    <w:jc w:val="center"/>
                    <w:rPr>
                      <w:rFonts w:hint="eastAsia"/>
                      <w:color w:val="auto"/>
                    </w:rPr>
                  </w:pPr>
                  <w:r>
                    <w:rPr>
                      <w:rFonts w:hint="eastAsia"/>
                      <w:color w:val="auto"/>
                    </w:rPr>
                    <w:t>/</w:t>
                  </w:r>
                </w:p>
              </w:tc>
              <w:tc>
                <w:tcPr>
                  <w:tcW w:w="617" w:type="pct"/>
                  <w:noWrap w:val="0"/>
                  <w:vAlign w:val="center"/>
                </w:tcPr>
                <w:p w14:paraId="633D3729">
                  <w:pPr>
                    <w:pStyle w:val="28"/>
                    <w:jc w:val="center"/>
                    <w:rPr>
                      <w:rFonts w:hint="eastAsia"/>
                      <w:color w:val="auto"/>
                    </w:rPr>
                  </w:pPr>
                  <w:r>
                    <w:rPr>
                      <w:rFonts w:hint="eastAsia"/>
                      <w:color w:val="auto"/>
                    </w:rPr>
                    <w:t>套</w:t>
                  </w:r>
                </w:p>
              </w:tc>
              <w:tc>
                <w:tcPr>
                  <w:tcW w:w="446" w:type="pct"/>
                  <w:noWrap w:val="0"/>
                  <w:vAlign w:val="center"/>
                </w:tcPr>
                <w:p w14:paraId="6302AF14">
                  <w:pPr>
                    <w:pStyle w:val="28"/>
                    <w:jc w:val="center"/>
                    <w:rPr>
                      <w:rFonts w:hint="eastAsia"/>
                      <w:color w:val="auto"/>
                    </w:rPr>
                  </w:pPr>
                  <w:r>
                    <w:rPr>
                      <w:rFonts w:hint="eastAsia"/>
                      <w:color w:val="auto"/>
                    </w:rPr>
                    <w:t>1</w:t>
                  </w:r>
                </w:p>
              </w:tc>
              <w:tc>
                <w:tcPr>
                  <w:tcW w:w="1279" w:type="pct"/>
                  <w:noWrap w:val="0"/>
                  <w:vAlign w:val="center"/>
                </w:tcPr>
                <w:p w14:paraId="1C3AEBC1">
                  <w:pPr>
                    <w:pStyle w:val="28"/>
                    <w:jc w:val="center"/>
                    <w:rPr>
                      <w:color w:val="auto"/>
                    </w:rPr>
                  </w:pPr>
                  <w:r>
                    <w:rPr>
                      <w:color w:val="auto"/>
                    </w:rPr>
                    <w:t>/</w:t>
                  </w:r>
                </w:p>
              </w:tc>
            </w:tr>
            <w:tr w14:paraId="1A2A3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000" w:type="pct"/>
                  <w:gridSpan w:val="7"/>
                  <w:noWrap w:val="0"/>
                  <w:vAlign w:val="center"/>
                </w:tcPr>
                <w:p w14:paraId="46463878">
                  <w:pPr>
                    <w:pStyle w:val="28"/>
                    <w:jc w:val="center"/>
                    <w:rPr>
                      <w:b/>
                      <w:bCs/>
                      <w:color w:val="auto"/>
                    </w:rPr>
                  </w:pPr>
                  <w:r>
                    <w:rPr>
                      <w:rFonts w:hint="eastAsia"/>
                      <w:b/>
                      <w:bCs/>
                      <w:color w:val="auto"/>
                    </w:rPr>
                    <w:t>钢筋桁架自动化焊接生产线</w:t>
                  </w:r>
                </w:p>
              </w:tc>
            </w:tr>
            <w:tr w14:paraId="18282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 w:type="pct"/>
                  <w:noWrap w:val="0"/>
                  <w:vAlign w:val="center"/>
                </w:tcPr>
                <w:p w14:paraId="6A75A5C7">
                  <w:pPr>
                    <w:pStyle w:val="28"/>
                    <w:jc w:val="center"/>
                    <w:rPr>
                      <w:rFonts w:hint="eastAsia"/>
                      <w:color w:val="auto"/>
                    </w:rPr>
                  </w:pPr>
                  <w:r>
                    <w:rPr>
                      <w:rFonts w:hint="eastAsia"/>
                      <w:color w:val="auto"/>
                    </w:rPr>
                    <w:t>9</w:t>
                  </w:r>
                </w:p>
              </w:tc>
              <w:tc>
                <w:tcPr>
                  <w:tcW w:w="1576" w:type="pct"/>
                  <w:gridSpan w:val="2"/>
                  <w:noWrap w:val="0"/>
                  <w:vAlign w:val="center"/>
                </w:tcPr>
                <w:p w14:paraId="1207CC7A">
                  <w:pPr>
                    <w:pStyle w:val="28"/>
                    <w:jc w:val="center"/>
                    <w:rPr>
                      <w:rFonts w:hint="eastAsia"/>
                      <w:color w:val="auto"/>
                    </w:rPr>
                  </w:pPr>
                  <w:r>
                    <w:rPr>
                      <w:rFonts w:hint="eastAsia"/>
                      <w:color w:val="auto"/>
                    </w:rPr>
                    <w:t>盘料放线架</w:t>
                  </w:r>
                </w:p>
              </w:tc>
              <w:tc>
                <w:tcPr>
                  <w:tcW w:w="666" w:type="pct"/>
                  <w:noWrap w:val="0"/>
                  <w:vAlign w:val="center"/>
                </w:tcPr>
                <w:p w14:paraId="417A808E">
                  <w:pPr>
                    <w:pStyle w:val="28"/>
                    <w:jc w:val="center"/>
                    <w:rPr>
                      <w:rFonts w:hint="eastAsia"/>
                      <w:color w:val="auto"/>
                    </w:rPr>
                  </w:pPr>
                  <w:r>
                    <w:rPr>
                      <w:rFonts w:hint="eastAsia"/>
                      <w:color w:val="auto"/>
                    </w:rPr>
                    <w:t>/</w:t>
                  </w:r>
                </w:p>
              </w:tc>
              <w:tc>
                <w:tcPr>
                  <w:tcW w:w="617" w:type="pct"/>
                  <w:noWrap w:val="0"/>
                  <w:vAlign w:val="center"/>
                </w:tcPr>
                <w:p w14:paraId="76948CD6">
                  <w:pPr>
                    <w:pStyle w:val="28"/>
                    <w:jc w:val="center"/>
                    <w:rPr>
                      <w:rFonts w:hint="eastAsia"/>
                      <w:color w:val="auto"/>
                    </w:rPr>
                  </w:pPr>
                  <w:r>
                    <w:rPr>
                      <w:rFonts w:hint="eastAsia"/>
                      <w:color w:val="auto"/>
                    </w:rPr>
                    <w:t>台</w:t>
                  </w:r>
                </w:p>
              </w:tc>
              <w:tc>
                <w:tcPr>
                  <w:tcW w:w="446" w:type="pct"/>
                  <w:noWrap w:val="0"/>
                  <w:vAlign w:val="center"/>
                </w:tcPr>
                <w:p w14:paraId="01EAD73E">
                  <w:pPr>
                    <w:pStyle w:val="28"/>
                    <w:jc w:val="center"/>
                    <w:rPr>
                      <w:rFonts w:hint="eastAsia"/>
                      <w:color w:val="auto"/>
                    </w:rPr>
                  </w:pPr>
                  <w:r>
                    <w:rPr>
                      <w:rFonts w:hint="eastAsia"/>
                      <w:color w:val="auto"/>
                    </w:rPr>
                    <w:t>1</w:t>
                  </w:r>
                </w:p>
              </w:tc>
              <w:tc>
                <w:tcPr>
                  <w:tcW w:w="1279" w:type="pct"/>
                  <w:noWrap w:val="0"/>
                  <w:vAlign w:val="center"/>
                </w:tcPr>
                <w:p w14:paraId="3959EC08">
                  <w:pPr>
                    <w:pStyle w:val="28"/>
                    <w:jc w:val="center"/>
                    <w:rPr>
                      <w:color w:val="auto"/>
                    </w:rPr>
                  </w:pPr>
                  <w:r>
                    <w:rPr>
                      <w:color w:val="auto"/>
                    </w:rPr>
                    <w:t>/</w:t>
                  </w:r>
                </w:p>
              </w:tc>
            </w:tr>
            <w:tr w14:paraId="7BC86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 w:type="pct"/>
                  <w:noWrap w:val="0"/>
                  <w:vAlign w:val="center"/>
                </w:tcPr>
                <w:p w14:paraId="50DEFD18">
                  <w:pPr>
                    <w:pStyle w:val="28"/>
                    <w:jc w:val="center"/>
                    <w:rPr>
                      <w:rFonts w:hint="eastAsia"/>
                      <w:color w:val="auto"/>
                    </w:rPr>
                  </w:pPr>
                  <w:r>
                    <w:rPr>
                      <w:rFonts w:hint="eastAsia"/>
                      <w:color w:val="auto"/>
                    </w:rPr>
                    <w:t>10</w:t>
                  </w:r>
                </w:p>
              </w:tc>
              <w:tc>
                <w:tcPr>
                  <w:tcW w:w="1576" w:type="pct"/>
                  <w:gridSpan w:val="2"/>
                  <w:noWrap w:val="0"/>
                  <w:vAlign w:val="center"/>
                </w:tcPr>
                <w:p w14:paraId="3AE0B721">
                  <w:pPr>
                    <w:pStyle w:val="28"/>
                    <w:jc w:val="center"/>
                    <w:rPr>
                      <w:rFonts w:hint="eastAsia"/>
                      <w:color w:val="auto"/>
                    </w:rPr>
                  </w:pPr>
                  <w:r>
                    <w:rPr>
                      <w:rFonts w:hint="eastAsia"/>
                      <w:color w:val="auto"/>
                    </w:rPr>
                    <w:t>钢筋矫直导向系统</w:t>
                  </w:r>
                </w:p>
              </w:tc>
              <w:tc>
                <w:tcPr>
                  <w:tcW w:w="666" w:type="pct"/>
                  <w:noWrap w:val="0"/>
                  <w:vAlign w:val="center"/>
                </w:tcPr>
                <w:p w14:paraId="07B946A2">
                  <w:pPr>
                    <w:pStyle w:val="28"/>
                    <w:jc w:val="center"/>
                    <w:rPr>
                      <w:rFonts w:hint="eastAsia"/>
                      <w:color w:val="auto"/>
                    </w:rPr>
                  </w:pPr>
                  <w:r>
                    <w:rPr>
                      <w:rFonts w:hint="eastAsia"/>
                      <w:color w:val="auto"/>
                    </w:rPr>
                    <w:t>/</w:t>
                  </w:r>
                </w:p>
              </w:tc>
              <w:tc>
                <w:tcPr>
                  <w:tcW w:w="617" w:type="pct"/>
                  <w:noWrap w:val="0"/>
                  <w:vAlign w:val="center"/>
                </w:tcPr>
                <w:p w14:paraId="2A46EBE4">
                  <w:pPr>
                    <w:pStyle w:val="28"/>
                    <w:jc w:val="center"/>
                    <w:rPr>
                      <w:rFonts w:hint="eastAsia"/>
                      <w:color w:val="auto"/>
                    </w:rPr>
                  </w:pPr>
                  <w:r>
                    <w:rPr>
                      <w:rFonts w:hint="eastAsia"/>
                      <w:color w:val="auto"/>
                    </w:rPr>
                    <w:t>台</w:t>
                  </w:r>
                </w:p>
              </w:tc>
              <w:tc>
                <w:tcPr>
                  <w:tcW w:w="446" w:type="pct"/>
                  <w:noWrap w:val="0"/>
                  <w:vAlign w:val="center"/>
                </w:tcPr>
                <w:p w14:paraId="79290D6D">
                  <w:pPr>
                    <w:pStyle w:val="28"/>
                    <w:jc w:val="center"/>
                    <w:rPr>
                      <w:rFonts w:hint="eastAsia"/>
                      <w:color w:val="auto"/>
                    </w:rPr>
                  </w:pPr>
                  <w:r>
                    <w:rPr>
                      <w:rFonts w:hint="eastAsia"/>
                      <w:color w:val="auto"/>
                    </w:rPr>
                    <w:t>1</w:t>
                  </w:r>
                </w:p>
              </w:tc>
              <w:tc>
                <w:tcPr>
                  <w:tcW w:w="1279" w:type="pct"/>
                  <w:noWrap w:val="0"/>
                  <w:vAlign w:val="center"/>
                </w:tcPr>
                <w:p w14:paraId="2786FF4E">
                  <w:pPr>
                    <w:pStyle w:val="28"/>
                    <w:jc w:val="center"/>
                    <w:rPr>
                      <w:color w:val="auto"/>
                    </w:rPr>
                  </w:pPr>
                  <w:r>
                    <w:rPr>
                      <w:color w:val="auto"/>
                    </w:rPr>
                    <w:t>/</w:t>
                  </w:r>
                </w:p>
              </w:tc>
            </w:tr>
            <w:tr w14:paraId="2D2CA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 w:type="pct"/>
                  <w:noWrap w:val="0"/>
                  <w:vAlign w:val="center"/>
                </w:tcPr>
                <w:p w14:paraId="024732BE">
                  <w:pPr>
                    <w:pStyle w:val="28"/>
                    <w:jc w:val="center"/>
                    <w:rPr>
                      <w:rFonts w:hint="eastAsia"/>
                      <w:color w:val="auto"/>
                    </w:rPr>
                  </w:pPr>
                  <w:r>
                    <w:rPr>
                      <w:rFonts w:hint="eastAsia"/>
                      <w:color w:val="auto"/>
                    </w:rPr>
                    <w:t>11</w:t>
                  </w:r>
                </w:p>
              </w:tc>
              <w:tc>
                <w:tcPr>
                  <w:tcW w:w="1576" w:type="pct"/>
                  <w:gridSpan w:val="2"/>
                  <w:noWrap w:val="0"/>
                  <w:vAlign w:val="center"/>
                </w:tcPr>
                <w:p w14:paraId="3926F1DB">
                  <w:pPr>
                    <w:pStyle w:val="28"/>
                    <w:jc w:val="center"/>
                    <w:rPr>
                      <w:rFonts w:hint="eastAsia"/>
                      <w:color w:val="auto"/>
                    </w:rPr>
                  </w:pPr>
                  <w:r>
                    <w:rPr>
                      <w:rFonts w:hint="eastAsia"/>
                      <w:color w:val="auto"/>
                    </w:rPr>
                    <w:t>钢筋环形存储系统</w:t>
                  </w:r>
                </w:p>
              </w:tc>
              <w:tc>
                <w:tcPr>
                  <w:tcW w:w="666" w:type="pct"/>
                  <w:noWrap w:val="0"/>
                  <w:vAlign w:val="center"/>
                </w:tcPr>
                <w:p w14:paraId="2BA8397F">
                  <w:pPr>
                    <w:pStyle w:val="28"/>
                    <w:jc w:val="center"/>
                    <w:rPr>
                      <w:rFonts w:hint="eastAsia"/>
                      <w:color w:val="auto"/>
                    </w:rPr>
                  </w:pPr>
                  <w:r>
                    <w:rPr>
                      <w:rFonts w:hint="eastAsia"/>
                      <w:color w:val="auto"/>
                    </w:rPr>
                    <w:t>/</w:t>
                  </w:r>
                </w:p>
              </w:tc>
              <w:tc>
                <w:tcPr>
                  <w:tcW w:w="617" w:type="pct"/>
                  <w:noWrap w:val="0"/>
                  <w:vAlign w:val="center"/>
                </w:tcPr>
                <w:p w14:paraId="7A0DC584">
                  <w:pPr>
                    <w:pStyle w:val="28"/>
                    <w:jc w:val="center"/>
                    <w:rPr>
                      <w:rFonts w:hint="eastAsia"/>
                      <w:color w:val="auto"/>
                    </w:rPr>
                  </w:pPr>
                  <w:r>
                    <w:rPr>
                      <w:rFonts w:hint="eastAsia"/>
                      <w:color w:val="auto"/>
                    </w:rPr>
                    <w:t>台</w:t>
                  </w:r>
                </w:p>
              </w:tc>
              <w:tc>
                <w:tcPr>
                  <w:tcW w:w="446" w:type="pct"/>
                  <w:noWrap w:val="0"/>
                  <w:vAlign w:val="center"/>
                </w:tcPr>
                <w:p w14:paraId="78B16B22">
                  <w:pPr>
                    <w:pStyle w:val="28"/>
                    <w:jc w:val="center"/>
                    <w:rPr>
                      <w:rFonts w:hint="eastAsia"/>
                      <w:color w:val="auto"/>
                    </w:rPr>
                  </w:pPr>
                  <w:r>
                    <w:rPr>
                      <w:rFonts w:hint="eastAsia"/>
                      <w:color w:val="auto"/>
                    </w:rPr>
                    <w:t>1</w:t>
                  </w:r>
                </w:p>
              </w:tc>
              <w:tc>
                <w:tcPr>
                  <w:tcW w:w="1279" w:type="pct"/>
                  <w:noWrap w:val="0"/>
                  <w:vAlign w:val="center"/>
                </w:tcPr>
                <w:p w14:paraId="1FB0952C">
                  <w:pPr>
                    <w:pStyle w:val="28"/>
                    <w:jc w:val="center"/>
                    <w:rPr>
                      <w:color w:val="auto"/>
                    </w:rPr>
                  </w:pPr>
                  <w:r>
                    <w:rPr>
                      <w:color w:val="auto"/>
                    </w:rPr>
                    <w:t>/</w:t>
                  </w:r>
                </w:p>
              </w:tc>
            </w:tr>
            <w:tr w14:paraId="74069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 w:type="pct"/>
                  <w:noWrap w:val="0"/>
                  <w:vAlign w:val="center"/>
                </w:tcPr>
                <w:p w14:paraId="157DD10E">
                  <w:pPr>
                    <w:pStyle w:val="28"/>
                    <w:jc w:val="center"/>
                    <w:rPr>
                      <w:rFonts w:hint="eastAsia"/>
                      <w:color w:val="auto"/>
                    </w:rPr>
                  </w:pPr>
                  <w:r>
                    <w:rPr>
                      <w:rFonts w:hint="eastAsia"/>
                      <w:color w:val="auto"/>
                    </w:rPr>
                    <w:t>12</w:t>
                  </w:r>
                </w:p>
              </w:tc>
              <w:tc>
                <w:tcPr>
                  <w:tcW w:w="1576" w:type="pct"/>
                  <w:gridSpan w:val="2"/>
                  <w:noWrap w:val="0"/>
                  <w:vAlign w:val="center"/>
                </w:tcPr>
                <w:p w14:paraId="146209CD">
                  <w:pPr>
                    <w:pStyle w:val="28"/>
                    <w:jc w:val="center"/>
                    <w:rPr>
                      <w:rFonts w:hint="eastAsia"/>
                      <w:color w:val="auto"/>
                    </w:rPr>
                  </w:pPr>
                  <w:r>
                    <w:rPr>
                      <w:rFonts w:hint="eastAsia"/>
                      <w:color w:val="auto"/>
                    </w:rPr>
                    <w:t>链式斜筋</w:t>
                  </w:r>
                  <w:r>
                    <w:rPr>
                      <w:rFonts w:hint="eastAsia"/>
                      <w:color w:val="auto"/>
                      <w:lang w:eastAsia="zh-CN"/>
                    </w:rPr>
                    <w:t>弯曲</w:t>
                  </w:r>
                  <w:r>
                    <w:rPr>
                      <w:rFonts w:hint="eastAsia"/>
                      <w:color w:val="auto"/>
                    </w:rPr>
                    <w:t>成型</w:t>
                  </w:r>
                </w:p>
                <w:p w14:paraId="74FF2AAF">
                  <w:pPr>
                    <w:pStyle w:val="28"/>
                    <w:jc w:val="center"/>
                    <w:rPr>
                      <w:rFonts w:hint="eastAsia"/>
                      <w:color w:val="auto"/>
                    </w:rPr>
                  </w:pPr>
                  <w:r>
                    <w:rPr>
                      <w:rFonts w:hint="eastAsia"/>
                      <w:color w:val="auto"/>
                    </w:rPr>
                    <w:t>加工机构</w:t>
                  </w:r>
                </w:p>
              </w:tc>
              <w:tc>
                <w:tcPr>
                  <w:tcW w:w="666" w:type="pct"/>
                  <w:noWrap w:val="0"/>
                  <w:vAlign w:val="center"/>
                </w:tcPr>
                <w:p w14:paraId="69AC14A0">
                  <w:pPr>
                    <w:pStyle w:val="28"/>
                    <w:jc w:val="center"/>
                    <w:rPr>
                      <w:rFonts w:hint="eastAsia"/>
                      <w:color w:val="auto"/>
                    </w:rPr>
                  </w:pPr>
                  <w:r>
                    <w:rPr>
                      <w:rFonts w:hint="eastAsia"/>
                      <w:color w:val="auto"/>
                    </w:rPr>
                    <w:t>/</w:t>
                  </w:r>
                </w:p>
              </w:tc>
              <w:tc>
                <w:tcPr>
                  <w:tcW w:w="617" w:type="pct"/>
                  <w:noWrap w:val="0"/>
                  <w:vAlign w:val="center"/>
                </w:tcPr>
                <w:p w14:paraId="4B5F27ED">
                  <w:pPr>
                    <w:pStyle w:val="28"/>
                    <w:jc w:val="center"/>
                    <w:rPr>
                      <w:rFonts w:hint="eastAsia"/>
                      <w:color w:val="auto"/>
                    </w:rPr>
                  </w:pPr>
                  <w:r>
                    <w:rPr>
                      <w:rFonts w:hint="eastAsia"/>
                      <w:color w:val="auto"/>
                    </w:rPr>
                    <w:t>台</w:t>
                  </w:r>
                </w:p>
              </w:tc>
              <w:tc>
                <w:tcPr>
                  <w:tcW w:w="446" w:type="pct"/>
                  <w:noWrap w:val="0"/>
                  <w:vAlign w:val="center"/>
                </w:tcPr>
                <w:p w14:paraId="57FF59D4">
                  <w:pPr>
                    <w:pStyle w:val="28"/>
                    <w:jc w:val="center"/>
                    <w:rPr>
                      <w:rFonts w:hint="eastAsia"/>
                      <w:color w:val="auto"/>
                    </w:rPr>
                  </w:pPr>
                  <w:r>
                    <w:rPr>
                      <w:rFonts w:hint="eastAsia"/>
                      <w:color w:val="auto"/>
                    </w:rPr>
                    <w:t>1</w:t>
                  </w:r>
                </w:p>
              </w:tc>
              <w:tc>
                <w:tcPr>
                  <w:tcW w:w="1279" w:type="pct"/>
                  <w:noWrap w:val="0"/>
                  <w:vAlign w:val="center"/>
                </w:tcPr>
                <w:p w14:paraId="1B332170">
                  <w:pPr>
                    <w:pStyle w:val="28"/>
                    <w:jc w:val="center"/>
                    <w:rPr>
                      <w:color w:val="auto"/>
                    </w:rPr>
                  </w:pPr>
                  <w:r>
                    <w:rPr>
                      <w:color w:val="auto"/>
                    </w:rPr>
                    <w:t>/</w:t>
                  </w:r>
                </w:p>
              </w:tc>
            </w:tr>
            <w:tr w14:paraId="4CC4A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 w:type="pct"/>
                  <w:noWrap w:val="0"/>
                  <w:vAlign w:val="center"/>
                </w:tcPr>
                <w:p w14:paraId="64B9C360">
                  <w:pPr>
                    <w:pStyle w:val="28"/>
                    <w:jc w:val="center"/>
                    <w:rPr>
                      <w:rFonts w:hint="eastAsia"/>
                      <w:color w:val="auto"/>
                    </w:rPr>
                  </w:pPr>
                  <w:r>
                    <w:rPr>
                      <w:rFonts w:hint="eastAsia"/>
                      <w:color w:val="auto"/>
                    </w:rPr>
                    <w:t>13</w:t>
                  </w:r>
                </w:p>
              </w:tc>
              <w:tc>
                <w:tcPr>
                  <w:tcW w:w="1576" w:type="pct"/>
                  <w:gridSpan w:val="2"/>
                  <w:noWrap w:val="0"/>
                  <w:vAlign w:val="center"/>
                </w:tcPr>
                <w:p w14:paraId="1F643FA6">
                  <w:pPr>
                    <w:pStyle w:val="28"/>
                    <w:jc w:val="center"/>
                    <w:rPr>
                      <w:rFonts w:hint="eastAsia"/>
                      <w:color w:val="auto"/>
                    </w:rPr>
                  </w:pPr>
                  <w:r>
                    <w:rPr>
                      <w:rFonts w:hint="eastAsia"/>
                      <w:color w:val="auto"/>
                    </w:rPr>
                    <w:t>焊接主机</w:t>
                  </w:r>
                </w:p>
              </w:tc>
              <w:tc>
                <w:tcPr>
                  <w:tcW w:w="666" w:type="pct"/>
                  <w:noWrap w:val="0"/>
                  <w:vAlign w:val="center"/>
                </w:tcPr>
                <w:p w14:paraId="43677D78">
                  <w:pPr>
                    <w:pStyle w:val="28"/>
                    <w:jc w:val="center"/>
                    <w:rPr>
                      <w:rFonts w:hint="eastAsia"/>
                      <w:color w:val="auto"/>
                    </w:rPr>
                  </w:pPr>
                  <w:r>
                    <w:rPr>
                      <w:rFonts w:hint="eastAsia"/>
                      <w:color w:val="auto"/>
                    </w:rPr>
                    <w:t>/</w:t>
                  </w:r>
                </w:p>
              </w:tc>
              <w:tc>
                <w:tcPr>
                  <w:tcW w:w="617" w:type="pct"/>
                  <w:noWrap w:val="0"/>
                  <w:vAlign w:val="center"/>
                </w:tcPr>
                <w:p w14:paraId="10FC0AA1">
                  <w:pPr>
                    <w:pStyle w:val="28"/>
                    <w:jc w:val="center"/>
                    <w:rPr>
                      <w:rFonts w:hint="eastAsia"/>
                      <w:color w:val="auto"/>
                    </w:rPr>
                  </w:pPr>
                  <w:r>
                    <w:rPr>
                      <w:rFonts w:hint="eastAsia"/>
                      <w:color w:val="auto"/>
                    </w:rPr>
                    <w:t>台</w:t>
                  </w:r>
                </w:p>
              </w:tc>
              <w:tc>
                <w:tcPr>
                  <w:tcW w:w="446" w:type="pct"/>
                  <w:noWrap w:val="0"/>
                  <w:vAlign w:val="center"/>
                </w:tcPr>
                <w:p w14:paraId="1921B6C9">
                  <w:pPr>
                    <w:pStyle w:val="28"/>
                    <w:jc w:val="center"/>
                    <w:rPr>
                      <w:rFonts w:hint="eastAsia"/>
                      <w:color w:val="auto"/>
                    </w:rPr>
                  </w:pPr>
                  <w:r>
                    <w:rPr>
                      <w:rFonts w:hint="eastAsia"/>
                      <w:color w:val="auto"/>
                    </w:rPr>
                    <w:t>1</w:t>
                  </w:r>
                </w:p>
              </w:tc>
              <w:tc>
                <w:tcPr>
                  <w:tcW w:w="1279" w:type="pct"/>
                  <w:noWrap w:val="0"/>
                  <w:vAlign w:val="center"/>
                </w:tcPr>
                <w:p w14:paraId="2AFA28A9">
                  <w:pPr>
                    <w:pStyle w:val="28"/>
                    <w:jc w:val="center"/>
                    <w:rPr>
                      <w:color w:val="auto"/>
                    </w:rPr>
                  </w:pPr>
                  <w:r>
                    <w:rPr>
                      <w:color w:val="auto"/>
                    </w:rPr>
                    <w:t>/</w:t>
                  </w:r>
                </w:p>
              </w:tc>
            </w:tr>
            <w:tr w14:paraId="3AC98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 w:type="pct"/>
                  <w:noWrap w:val="0"/>
                  <w:vAlign w:val="center"/>
                </w:tcPr>
                <w:p w14:paraId="331BF951">
                  <w:pPr>
                    <w:pStyle w:val="28"/>
                    <w:jc w:val="center"/>
                    <w:rPr>
                      <w:rFonts w:hint="eastAsia"/>
                      <w:color w:val="auto"/>
                    </w:rPr>
                  </w:pPr>
                  <w:r>
                    <w:rPr>
                      <w:rFonts w:hint="eastAsia"/>
                      <w:color w:val="auto"/>
                    </w:rPr>
                    <w:t>14</w:t>
                  </w:r>
                </w:p>
              </w:tc>
              <w:tc>
                <w:tcPr>
                  <w:tcW w:w="1576" w:type="pct"/>
                  <w:gridSpan w:val="2"/>
                  <w:noWrap w:val="0"/>
                  <w:vAlign w:val="center"/>
                </w:tcPr>
                <w:p w14:paraId="082CAA3F">
                  <w:pPr>
                    <w:pStyle w:val="28"/>
                    <w:jc w:val="center"/>
                    <w:rPr>
                      <w:rFonts w:hint="eastAsia"/>
                      <w:color w:val="auto"/>
                    </w:rPr>
                  </w:pPr>
                  <w:r>
                    <w:rPr>
                      <w:rFonts w:hint="eastAsia"/>
                      <w:color w:val="auto"/>
                    </w:rPr>
                    <w:t>桁架输出机构</w:t>
                  </w:r>
                </w:p>
              </w:tc>
              <w:tc>
                <w:tcPr>
                  <w:tcW w:w="666" w:type="pct"/>
                  <w:noWrap w:val="0"/>
                  <w:vAlign w:val="center"/>
                </w:tcPr>
                <w:p w14:paraId="7A4EF2AC">
                  <w:pPr>
                    <w:pStyle w:val="28"/>
                    <w:jc w:val="center"/>
                    <w:rPr>
                      <w:rFonts w:hint="eastAsia"/>
                      <w:color w:val="auto"/>
                    </w:rPr>
                  </w:pPr>
                  <w:r>
                    <w:rPr>
                      <w:rFonts w:hint="eastAsia"/>
                      <w:color w:val="auto"/>
                    </w:rPr>
                    <w:t>/</w:t>
                  </w:r>
                </w:p>
              </w:tc>
              <w:tc>
                <w:tcPr>
                  <w:tcW w:w="617" w:type="pct"/>
                  <w:noWrap w:val="0"/>
                  <w:vAlign w:val="center"/>
                </w:tcPr>
                <w:p w14:paraId="28A00A8A">
                  <w:pPr>
                    <w:pStyle w:val="28"/>
                    <w:jc w:val="center"/>
                    <w:rPr>
                      <w:rFonts w:hint="eastAsia"/>
                      <w:color w:val="auto"/>
                    </w:rPr>
                  </w:pPr>
                  <w:r>
                    <w:rPr>
                      <w:rFonts w:hint="eastAsia"/>
                      <w:color w:val="auto"/>
                    </w:rPr>
                    <w:t>台</w:t>
                  </w:r>
                </w:p>
              </w:tc>
              <w:tc>
                <w:tcPr>
                  <w:tcW w:w="446" w:type="pct"/>
                  <w:noWrap w:val="0"/>
                  <w:vAlign w:val="center"/>
                </w:tcPr>
                <w:p w14:paraId="418681C7">
                  <w:pPr>
                    <w:pStyle w:val="28"/>
                    <w:jc w:val="center"/>
                    <w:rPr>
                      <w:rFonts w:hint="eastAsia"/>
                      <w:color w:val="auto"/>
                    </w:rPr>
                  </w:pPr>
                  <w:r>
                    <w:rPr>
                      <w:rFonts w:hint="eastAsia"/>
                      <w:color w:val="auto"/>
                    </w:rPr>
                    <w:t>2</w:t>
                  </w:r>
                </w:p>
              </w:tc>
              <w:tc>
                <w:tcPr>
                  <w:tcW w:w="1279" w:type="pct"/>
                  <w:noWrap w:val="0"/>
                  <w:vAlign w:val="center"/>
                </w:tcPr>
                <w:p w14:paraId="2C601AFE">
                  <w:pPr>
                    <w:pStyle w:val="28"/>
                    <w:jc w:val="center"/>
                    <w:rPr>
                      <w:color w:val="auto"/>
                    </w:rPr>
                  </w:pPr>
                  <w:r>
                    <w:rPr>
                      <w:color w:val="auto"/>
                    </w:rPr>
                    <w:t>/</w:t>
                  </w:r>
                </w:p>
              </w:tc>
            </w:tr>
            <w:tr w14:paraId="15398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 w:type="pct"/>
                  <w:noWrap w:val="0"/>
                  <w:vAlign w:val="center"/>
                </w:tcPr>
                <w:p w14:paraId="7A82F140">
                  <w:pPr>
                    <w:pStyle w:val="28"/>
                    <w:jc w:val="center"/>
                    <w:rPr>
                      <w:rFonts w:hint="eastAsia"/>
                      <w:color w:val="auto"/>
                    </w:rPr>
                  </w:pPr>
                  <w:r>
                    <w:rPr>
                      <w:rFonts w:hint="eastAsia"/>
                      <w:color w:val="auto"/>
                    </w:rPr>
                    <w:t>15</w:t>
                  </w:r>
                </w:p>
              </w:tc>
              <w:tc>
                <w:tcPr>
                  <w:tcW w:w="1576" w:type="pct"/>
                  <w:gridSpan w:val="2"/>
                  <w:noWrap w:val="0"/>
                  <w:vAlign w:val="center"/>
                </w:tcPr>
                <w:p w14:paraId="5B49AD8D">
                  <w:pPr>
                    <w:pStyle w:val="28"/>
                    <w:jc w:val="center"/>
                    <w:rPr>
                      <w:rFonts w:hint="eastAsia"/>
                      <w:color w:val="auto"/>
                    </w:rPr>
                  </w:pPr>
                  <w:r>
                    <w:rPr>
                      <w:rFonts w:hint="eastAsia"/>
                      <w:color w:val="auto"/>
                    </w:rPr>
                    <w:t>桁架剪切机</w:t>
                  </w:r>
                </w:p>
              </w:tc>
              <w:tc>
                <w:tcPr>
                  <w:tcW w:w="666" w:type="pct"/>
                  <w:noWrap w:val="0"/>
                  <w:vAlign w:val="center"/>
                </w:tcPr>
                <w:p w14:paraId="7A3700B6">
                  <w:pPr>
                    <w:pStyle w:val="28"/>
                    <w:jc w:val="center"/>
                    <w:rPr>
                      <w:rFonts w:hint="eastAsia"/>
                      <w:color w:val="auto"/>
                    </w:rPr>
                  </w:pPr>
                  <w:r>
                    <w:rPr>
                      <w:rFonts w:hint="eastAsia"/>
                      <w:color w:val="auto"/>
                    </w:rPr>
                    <w:t>/</w:t>
                  </w:r>
                </w:p>
              </w:tc>
              <w:tc>
                <w:tcPr>
                  <w:tcW w:w="617" w:type="pct"/>
                  <w:noWrap w:val="0"/>
                  <w:vAlign w:val="center"/>
                </w:tcPr>
                <w:p w14:paraId="6BDC9203">
                  <w:pPr>
                    <w:pStyle w:val="28"/>
                    <w:jc w:val="center"/>
                    <w:rPr>
                      <w:rFonts w:hint="eastAsia"/>
                      <w:color w:val="auto"/>
                    </w:rPr>
                  </w:pPr>
                  <w:r>
                    <w:rPr>
                      <w:rFonts w:hint="eastAsia"/>
                      <w:color w:val="auto"/>
                    </w:rPr>
                    <w:t>台</w:t>
                  </w:r>
                </w:p>
              </w:tc>
              <w:tc>
                <w:tcPr>
                  <w:tcW w:w="446" w:type="pct"/>
                  <w:noWrap w:val="0"/>
                  <w:vAlign w:val="center"/>
                </w:tcPr>
                <w:p w14:paraId="001B6A2F">
                  <w:pPr>
                    <w:pStyle w:val="28"/>
                    <w:jc w:val="center"/>
                    <w:rPr>
                      <w:rFonts w:hint="eastAsia"/>
                      <w:color w:val="auto"/>
                    </w:rPr>
                  </w:pPr>
                  <w:r>
                    <w:rPr>
                      <w:rFonts w:hint="eastAsia"/>
                      <w:color w:val="auto"/>
                    </w:rPr>
                    <w:t>1</w:t>
                  </w:r>
                </w:p>
              </w:tc>
              <w:tc>
                <w:tcPr>
                  <w:tcW w:w="1279" w:type="pct"/>
                  <w:noWrap w:val="0"/>
                  <w:vAlign w:val="center"/>
                </w:tcPr>
                <w:p w14:paraId="2E6BF34A">
                  <w:pPr>
                    <w:pStyle w:val="28"/>
                    <w:jc w:val="center"/>
                    <w:rPr>
                      <w:color w:val="auto"/>
                    </w:rPr>
                  </w:pPr>
                  <w:r>
                    <w:rPr>
                      <w:color w:val="auto"/>
                    </w:rPr>
                    <w:t>/</w:t>
                  </w:r>
                </w:p>
              </w:tc>
            </w:tr>
            <w:tr w14:paraId="41668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 w:type="pct"/>
                  <w:noWrap w:val="0"/>
                  <w:vAlign w:val="center"/>
                </w:tcPr>
                <w:p w14:paraId="15FB950C">
                  <w:pPr>
                    <w:pStyle w:val="28"/>
                    <w:jc w:val="center"/>
                    <w:rPr>
                      <w:rFonts w:hint="eastAsia"/>
                      <w:color w:val="auto"/>
                    </w:rPr>
                  </w:pPr>
                  <w:r>
                    <w:rPr>
                      <w:rFonts w:hint="eastAsia"/>
                      <w:color w:val="auto"/>
                    </w:rPr>
                    <w:t>16</w:t>
                  </w:r>
                </w:p>
              </w:tc>
              <w:tc>
                <w:tcPr>
                  <w:tcW w:w="1576" w:type="pct"/>
                  <w:gridSpan w:val="2"/>
                  <w:noWrap w:val="0"/>
                  <w:vAlign w:val="center"/>
                </w:tcPr>
                <w:p w14:paraId="2742EB4F">
                  <w:pPr>
                    <w:pStyle w:val="28"/>
                    <w:jc w:val="center"/>
                    <w:rPr>
                      <w:rFonts w:hint="eastAsia"/>
                      <w:color w:val="auto"/>
                    </w:rPr>
                  </w:pPr>
                  <w:r>
                    <w:rPr>
                      <w:rFonts w:hint="eastAsia"/>
                      <w:color w:val="auto"/>
                    </w:rPr>
                    <w:t>收线机</w:t>
                  </w:r>
                </w:p>
              </w:tc>
              <w:tc>
                <w:tcPr>
                  <w:tcW w:w="666" w:type="pct"/>
                  <w:noWrap w:val="0"/>
                  <w:vAlign w:val="center"/>
                </w:tcPr>
                <w:p w14:paraId="02A71AA8">
                  <w:pPr>
                    <w:pStyle w:val="28"/>
                    <w:jc w:val="center"/>
                    <w:rPr>
                      <w:rFonts w:hint="eastAsia"/>
                      <w:color w:val="auto"/>
                    </w:rPr>
                  </w:pPr>
                  <w:r>
                    <w:rPr>
                      <w:rFonts w:hint="eastAsia"/>
                      <w:color w:val="auto"/>
                    </w:rPr>
                    <w:t>/</w:t>
                  </w:r>
                </w:p>
              </w:tc>
              <w:tc>
                <w:tcPr>
                  <w:tcW w:w="617" w:type="pct"/>
                  <w:noWrap w:val="0"/>
                  <w:vAlign w:val="center"/>
                </w:tcPr>
                <w:p w14:paraId="51CED701">
                  <w:pPr>
                    <w:pStyle w:val="28"/>
                    <w:jc w:val="center"/>
                    <w:rPr>
                      <w:rFonts w:hint="eastAsia"/>
                      <w:color w:val="auto"/>
                    </w:rPr>
                  </w:pPr>
                  <w:r>
                    <w:rPr>
                      <w:rFonts w:hint="eastAsia"/>
                      <w:color w:val="auto"/>
                    </w:rPr>
                    <w:t>台</w:t>
                  </w:r>
                </w:p>
              </w:tc>
              <w:tc>
                <w:tcPr>
                  <w:tcW w:w="446" w:type="pct"/>
                  <w:noWrap w:val="0"/>
                  <w:vAlign w:val="center"/>
                </w:tcPr>
                <w:p w14:paraId="03BF28EA">
                  <w:pPr>
                    <w:pStyle w:val="28"/>
                    <w:jc w:val="center"/>
                    <w:rPr>
                      <w:rFonts w:hint="eastAsia"/>
                      <w:color w:val="auto"/>
                    </w:rPr>
                  </w:pPr>
                  <w:r>
                    <w:rPr>
                      <w:rFonts w:hint="eastAsia"/>
                      <w:color w:val="auto"/>
                    </w:rPr>
                    <w:t>2</w:t>
                  </w:r>
                </w:p>
              </w:tc>
              <w:tc>
                <w:tcPr>
                  <w:tcW w:w="1279" w:type="pct"/>
                  <w:noWrap w:val="0"/>
                  <w:vAlign w:val="center"/>
                </w:tcPr>
                <w:p w14:paraId="3ADD55C9">
                  <w:pPr>
                    <w:pStyle w:val="28"/>
                    <w:jc w:val="center"/>
                    <w:rPr>
                      <w:color w:val="auto"/>
                    </w:rPr>
                  </w:pPr>
                  <w:r>
                    <w:rPr>
                      <w:color w:val="auto"/>
                    </w:rPr>
                    <w:t>/</w:t>
                  </w:r>
                </w:p>
              </w:tc>
            </w:tr>
            <w:tr w14:paraId="06F11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 w:type="pct"/>
                  <w:noWrap w:val="0"/>
                  <w:vAlign w:val="center"/>
                </w:tcPr>
                <w:p w14:paraId="1261D948">
                  <w:pPr>
                    <w:pStyle w:val="28"/>
                    <w:jc w:val="center"/>
                    <w:rPr>
                      <w:rFonts w:hint="eastAsia"/>
                      <w:color w:val="auto"/>
                    </w:rPr>
                  </w:pPr>
                  <w:r>
                    <w:rPr>
                      <w:rFonts w:hint="eastAsia"/>
                      <w:color w:val="auto"/>
                    </w:rPr>
                    <w:t>17</w:t>
                  </w:r>
                </w:p>
              </w:tc>
              <w:tc>
                <w:tcPr>
                  <w:tcW w:w="1576" w:type="pct"/>
                  <w:gridSpan w:val="2"/>
                  <w:noWrap w:val="0"/>
                  <w:vAlign w:val="center"/>
                </w:tcPr>
                <w:p w14:paraId="765CE276">
                  <w:pPr>
                    <w:pStyle w:val="28"/>
                    <w:jc w:val="center"/>
                    <w:rPr>
                      <w:rFonts w:hint="eastAsia"/>
                      <w:color w:val="auto"/>
                    </w:rPr>
                  </w:pPr>
                  <w:r>
                    <w:rPr>
                      <w:rFonts w:hint="eastAsia"/>
                      <w:color w:val="auto"/>
                    </w:rPr>
                    <w:t>电器控制系统</w:t>
                  </w:r>
                </w:p>
              </w:tc>
              <w:tc>
                <w:tcPr>
                  <w:tcW w:w="666" w:type="pct"/>
                  <w:noWrap w:val="0"/>
                  <w:vAlign w:val="center"/>
                </w:tcPr>
                <w:p w14:paraId="481A0BA7">
                  <w:pPr>
                    <w:pStyle w:val="28"/>
                    <w:jc w:val="center"/>
                    <w:rPr>
                      <w:rFonts w:hint="eastAsia"/>
                      <w:color w:val="auto"/>
                    </w:rPr>
                  </w:pPr>
                  <w:r>
                    <w:rPr>
                      <w:rFonts w:hint="eastAsia"/>
                      <w:color w:val="auto"/>
                    </w:rPr>
                    <w:t>/</w:t>
                  </w:r>
                </w:p>
              </w:tc>
              <w:tc>
                <w:tcPr>
                  <w:tcW w:w="617" w:type="pct"/>
                  <w:noWrap w:val="0"/>
                  <w:vAlign w:val="center"/>
                </w:tcPr>
                <w:p w14:paraId="4AEB2A8D">
                  <w:pPr>
                    <w:pStyle w:val="28"/>
                    <w:jc w:val="center"/>
                    <w:rPr>
                      <w:rFonts w:hint="eastAsia"/>
                      <w:color w:val="auto"/>
                    </w:rPr>
                  </w:pPr>
                  <w:r>
                    <w:rPr>
                      <w:rFonts w:hint="eastAsia"/>
                      <w:color w:val="auto"/>
                    </w:rPr>
                    <w:t>台</w:t>
                  </w:r>
                </w:p>
              </w:tc>
              <w:tc>
                <w:tcPr>
                  <w:tcW w:w="446" w:type="pct"/>
                  <w:noWrap w:val="0"/>
                  <w:vAlign w:val="center"/>
                </w:tcPr>
                <w:p w14:paraId="36FE0F36">
                  <w:pPr>
                    <w:pStyle w:val="28"/>
                    <w:jc w:val="center"/>
                    <w:rPr>
                      <w:rFonts w:hint="eastAsia"/>
                      <w:color w:val="auto"/>
                    </w:rPr>
                  </w:pPr>
                  <w:r>
                    <w:rPr>
                      <w:rFonts w:hint="eastAsia"/>
                      <w:color w:val="auto"/>
                    </w:rPr>
                    <w:t>2</w:t>
                  </w:r>
                </w:p>
              </w:tc>
              <w:tc>
                <w:tcPr>
                  <w:tcW w:w="1279" w:type="pct"/>
                  <w:noWrap w:val="0"/>
                  <w:vAlign w:val="center"/>
                </w:tcPr>
                <w:p w14:paraId="0D7E22E0">
                  <w:pPr>
                    <w:pStyle w:val="28"/>
                    <w:jc w:val="center"/>
                    <w:rPr>
                      <w:color w:val="auto"/>
                    </w:rPr>
                  </w:pPr>
                  <w:r>
                    <w:rPr>
                      <w:color w:val="auto"/>
                    </w:rPr>
                    <w:t>/</w:t>
                  </w:r>
                </w:p>
              </w:tc>
            </w:tr>
            <w:tr w14:paraId="6CE58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12" w:type="pct"/>
                  <w:noWrap w:val="0"/>
                  <w:vAlign w:val="center"/>
                </w:tcPr>
                <w:p w14:paraId="5832B5FE">
                  <w:pPr>
                    <w:pStyle w:val="28"/>
                    <w:jc w:val="center"/>
                    <w:rPr>
                      <w:rFonts w:hint="eastAsia"/>
                      <w:color w:val="auto"/>
                    </w:rPr>
                  </w:pPr>
                  <w:r>
                    <w:rPr>
                      <w:rFonts w:hint="eastAsia"/>
                      <w:color w:val="auto"/>
                    </w:rPr>
                    <w:t>18</w:t>
                  </w:r>
                </w:p>
              </w:tc>
              <w:tc>
                <w:tcPr>
                  <w:tcW w:w="1576" w:type="pct"/>
                  <w:gridSpan w:val="2"/>
                  <w:noWrap w:val="0"/>
                  <w:vAlign w:val="center"/>
                </w:tcPr>
                <w:p w14:paraId="3B0D00F6">
                  <w:pPr>
                    <w:pStyle w:val="28"/>
                    <w:jc w:val="center"/>
                    <w:rPr>
                      <w:rFonts w:hint="eastAsia"/>
                      <w:color w:val="auto"/>
                    </w:rPr>
                  </w:pPr>
                  <w:r>
                    <w:rPr>
                      <w:rFonts w:hint="eastAsia"/>
                      <w:color w:val="auto"/>
                    </w:rPr>
                    <w:t>Unw-63单机</w:t>
                  </w:r>
                </w:p>
              </w:tc>
              <w:tc>
                <w:tcPr>
                  <w:tcW w:w="666" w:type="pct"/>
                  <w:noWrap w:val="0"/>
                  <w:vAlign w:val="center"/>
                </w:tcPr>
                <w:p w14:paraId="5714EE0E">
                  <w:pPr>
                    <w:pStyle w:val="28"/>
                    <w:jc w:val="center"/>
                    <w:rPr>
                      <w:rFonts w:hint="eastAsia"/>
                      <w:color w:val="auto"/>
                    </w:rPr>
                  </w:pPr>
                  <w:r>
                    <w:rPr>
                      <w:rFonts w:hint="eastAsia"/>
                      <w:color w:val="auto"/>
                    </w:rPr>
                    <w:t>/</w:t>
                  </w:r>
                </w:p>
              </w:tc>
              <w:tc>
                <w:tcPr>
                  <w:tcW w:w="617" w:type="pct"/>
                  <w:noWrap w:val="0"/>
                  <w:vAlign w:val="center"/>
                </w:tcPr>
                <w:p w14:paraId="1C2C9A64">
                  <w:pPr>
                    <w:pStyle w:val="28"/>
                    <w:jc w:val="center"/>
                    <w:rPr>
                      <w:rFonts w:hint="eastAsia"/>
                      <w:color w:val="auto"/>
                    </w:rPr>
                  </w:pPr>
                  <w:r>
                    <w:rPr>
                      <w:rFonts w:hint="eastAsia"/>
                      <w:color w:val="auto"/>
                    </w:rPr>
                    <w:t>台</w:t>
                  </w:r>
                </w:p>
              </w:tc>
              <w:tc>
                <w:tcPr>
                  <w:tcW w:w="446" w:type="pct"/>
                  <w:noWrap w:val="0"/>
                  <w:vAlign w:val="center"/>
                </w:tcPr>
                <w:p w14:paraId="079A19F6">
                  <w:pPr>
                    <w:pStyle w:val="28"/>
                    <w:jc w:val="center"/>
                    <w:rPr>
                      <w:rFonts w:hint="eastAsia"/>
                      <w:color w:val="auto"/>
                    </w:rPr>
                  </w:pPr>
                  <w:r>
                    <w:rPr>
                      <w:rFonts w:hint="eastAsia"/>
                      <w:color w:val="auto"/>
                    </w:rPr>
                    <w:t>2</w:t>
                  </w:r>
                </w:p>
              </w:tc>
              <w:tc>
                <w:tcPr>
                  <w:tcW w:w="1279" w:type="pct"/>
                  <w:noWrap w:val="0"/>
                  <w:vAlign w:val="center"/>
                </w:tcPr>
                <w:p w14:paraId="75323CF7">
                  <w:pPr>
                    <w:pStyle w:val="28"/>
                    <w:jc w:val="center"/>
                    <w:rPr>
                      <w:color w:val="auto"/>
                    </w:rPr>
                  </w:pPr>
                  <w:r>
                    <w:rPr>
                      <w:rFonts w:hint="eastAsia"/>
                      <w:color w:val="auto"/>
                    </w:rPr>
                    <w:t>钢筋自动对焊机</w:t>
                  </w:r>
                </w:p>
              </w:tc>
            </w:tr>
          </w:tbl>
          <w:p w14:paraId="525BCF3F">
            <w:pPr>
              <w:pStyle w:val="18"/>
              <w:ind w:firstLine="0" w:firstLineChars="0"/>
              <w:rPr>
                <w:rFonts w:hint="eastAsia"/>
                <w:color w:val="auto"/>
              </w:rPr>
            </w:pPr>
          </w:p>
          <w:p w14:paraId="077894F6">
            <w:pPr>
              <w:ind w:firstLine="482"/>
              <w:rPr>
                <w:b/>
                <w:bCs/>
                <w:color w:val="auto"/>
              </w:rPr>
            </w:pPr>
            <w:r>
              <w:rPr>
                <w:b/>
                <w:bCs/>
                <w:color w:val="auto"/>
              </w:rPr>
              <w:t>2.2.4主要原辅材料及其理化性质</w:t>
            </w:r>
          </w:p>
          <w:p w14:paraId="1C16CCCC">
            <w:pPr>
              <w:ind w:firstLine="480"/>
              <w:rPr>
                <w:color w:val="auto"/>
                <w:szCs w:val="22"/>
              </w:rPr>
            </w:pPr>
            <w:r>
              <w:rPr>
                <w:color w:val="auto"/>
                <w:szCs w:val="22"/>
              </w:rPr>
              <w:t>项目主要原辅材料及</w:t>
            </w:r>
            <w:r>
              <w:rPr>
                <w:rFonts w:hint="eastAsia"/>
                <w:color w:val="auto"/>
                <w:szCs w:val="22"/>
              </w:rPr>
              <w:t>能源</w:t>
            </w:r>
            <w:r>
              <w:rPr>
                <w:color w:val="auto"/>
                <w:szCs w:val="22"/>
              </w:rPr>
              <w:t>消耗情况见</w:t>
            </w:r>
            <w:r>
              <w:rPr>
                <w:rFonts w:hint="eastAsia"/>
                <w:color w:val="auto"/>
                <w:szCs w:val="22"/>
              </w:rPr>
              <w:t>下</w:t>
            </w:r>
            <w:r>
              <w:rPr>
                <w:color w:val="auto"/>
                <w:szCs w:val="22"/>
              </w:rPr>
              <w:t>表</w:t>
            </w:r>
            <w:r>
              <w:rPr>
                <w:rFonts w:hint="eastAsia"/>
                <w:color w:val="auto"/>
                <w:szCs w:val="22"/>
              </w:rPr>
              <w:t>。</w:t>
            </w:r>
          </w:p>
          <w:p w14:paraId="4CFA7813">
            <w:pPr>
              <w:widowControl/>
              <w:spacing w:line="240" w:lineRule="auto"/>
              <w:ind w:firstLine="422"/>
              <w:jc w:val="center"/>
              <w:rPr>
                <w:b/>
                <w:bCs/>
                <w:color w:val="auto"/>
                <w:sz w:val="21"/>
                <w:szCs w:val="21"/>
              </w:rPr>
            </w:pPr>
            <w:r>
              <w:rPr>
                <w:rFonts w:hint="eastAsia"/>
                <w:b/>
                <w:bCs/>
                <w:color w:val="auto"/>
                <w:sz w:val="21"/>
                <w:szCs w:val="21"/>
              </w:rPr>
              <w:t>表</w:t>
            </w:r>
            <w:r>
              <w:rPr>
                <w:rFonts w:hint="eastAsia"/>
                <w:b/>
                <w:bCs/>
                <w:color w:val="auto"/>
                <w:sz w:val="21"/>
                <w:szCs w:val="21"/>
                <w:lang w:val="en-US" w:eastAsia="zh-CN"/>
              </w:rPr>
              <w:t>2-3</w:t>
            </w:r>
            <w:r>
              <w:rPr>
                <w:rFonts w:hint="eastAsia"/>
                <w:b/>
                <w:bCs/>
                <w:color w:val="auto"/>
                <w:sz w:val="21"/>
                <w:szCs w:val="21"/>
              </w:rPr>
              <w:t xml:space="preserve">  项目主要原辅材料及能源消耗情况一览表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3"/>
              <w:gridCol w:w="2121"/>
              <w:gridCol w:w="2154"/>
              <w:gridCol w:w="2101"/>
            </w:tblGrid>
            <w:tr w14:paraId="11B78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49" w:type="pct"/>
                  <w:noWrap w:val="0"/>
                  <w:vAlign w:val="center"/>
                </w:tcPr>
                <w:p w14:paraId="718AC9C5">
                  <w:pPr>
                    <w:pStyle w:val="28"/>
                    <w:rPr>
                      <w:b/>
                      <w:bCs/>
                      <w:color w:val="auto"/>
                    </w:rPr>
                  </w:pPr>
                  <w:r>
                    <w:rPr>
                      <w:b/>
                      <w:bCs/>
                      <w:color w:val="auto"/>
                    </w:rPr>
                    <w:t>原辅材料名称</w:t>
                  </w:r>
                </w:p>
              </w:tc>
              <w:tc>
                <w:tcPr>
                  <w:tcW w:w="1248" w:type="pct"/>
                  <w:noWrap w:val="0"/>
                  <w:vAlign w:val="center"/>
                </w:tcPr>
                <w:p w14:paraId="29AFB266">
                  <w:pPr>
                    <w:pStyle w:val="28"/>
                    <w:rPr>
                      <w:b/>
                      <w:bCs/>
                      <w:color w:val="auto"/>
                    </w:rPr>
                  </w:pPr>
                  <w:r>
                    <w:rPr>
                      <w:b/>
                      <w:bCs/>
                      <w:color w:val="auto"/>
                    </w:rPr>
                    <w:t>单位</w:t>
                  </w:r>
                </w:p>
              </w:tc>
              <w:tc>
                <w:tcPr>
                  <w:tcW w:w="1267" w:type="pct"/>
                  <w:noWrap w:val="0"/>
                  <w:vAlign w:val="center"/>
                </w:tcPr>
                <w:p w14:paraId="77F41297">
                  <w:pPr>
                    <w:pStyle w:val="28"/>
                    <w:rPr>
                      <w:b/>
                      <w:bCs/>
                      <w:color w:val="auto"/>
                    </w:rPr>
                  </w:pPr>
                  <w:r>
                    <w:rPr>
                      <w:b/>
                      <w:bCs/>
                      <w:color w:val="auto"/>
                    </w:rPr>
                    <w:t>数量</w:t>
                  </w:r>
                </w:p>
              </w:tc>
              <w:tc>
                <w:tcPr>
                  <w:tcW w:w="1236" w:type="pct"/>
                  <w:noWrap w:val="0"/>
                  <w:vAlign w:val="center"/>
                </w:tcPr>
                <w:p w14:paraId="79A76A8A">
                  <w:pPr>
                    <w:pStyle w:val="28"/>
                    <w:rPr>
                      <w:b/>
                      <w:bCs/>
                      <w:color w:val="auto"/>
                    </w:rPr>
                  </w:pPr>
                  <w:r>
                    <w:rPr>
                      <w:b/>
                      <w:bCs/>
                      <w:color w:val="auto"/>
                    </w:rPr>
                    <w:t>备注</w:t>
                  </w:r>
                </w:p>
              </w:tc>
            </w:tr>
            <w:tr w14:paraId="4A2F0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49" w:type="pct"/>
                  <w:noWrap w:val="0"/>
                  <w:vAlign w:val="center"/>
                </w:tcPr>
                <w:p w14:paraId="57D2CBB8">
                  <w:pPr>
                    <w:pStyle w:val="28"/>
                    <w:rPr>
                      <w:color w:val="auto"/>
                    </w:rPr>
                  </w:pPr>
                  <w:r>
                    <w:rPr>
                      <w:color w:val="auto"/>
                    </w:rPr>
                    <w:t>水泥</w:t>
                  </w:r>
                </w:p>
              </w:tc>
              <w:tc>
                <w:tcPr>
                  <w:tcW w:w="1248" w:type="pct"/>
                  <w:noWrap w:val="0"/>
                  <w:vAlign w:val="center"/>
                </w:tcPr>
                <w:p w14:paraId="28F8B22B">
                  <w:pPr>
                    <w:pStyle w:val="28"/>
                    <w:rPr>
                      <w:color w:val="auto"/>
                    </w:rPr>
                  </w:pPr>
                  <w:r>
                    <w:rPr>
                      <w:color w:val="auto"/>
                    </w:rPr>
                    <w:t>万t/a</w:t>
                  </w:r>
                </w:p>
              </w:tc>
              <w:tc>
                <w:tcPr>
                  <w:tcW w:w="1267" w:type="pct"/>
                  <w:noWrap w:val="0"/>
                  <w:vAlign w:val="center"/>
                </w:tcPr>
                <w:p w14:paraId="5205600E">
                  <w:pPr>
                    <w:pStyle w:val="28"/>
                    <w:rPr>
                      <w:color w:val="auto"/>
                    </w:rPr>
                  </w:pPr>
                  <w:r>
                    <w:rPr>
                      <w:color w:val="auto"/>
                    </w:rPr>
                    <w:t>2</w:t>
                  </w:r>
                  <w:r>
                    <w:rPr>
                      <w:rFonts w:hint="eastAsia"/>
                      <w:color w:val="auto"/>
                    </w:rPr>
                    <w:t>.0</w:t>
                  </w:r>
                </w:p>
              </w:tc>
              <w:tc>
                <w:tcPr>
                  <w:tcW w:w="1236" w:type="pct"/>
                  <w:noWrap w:val="0"/>
                  <w:vAlign w:val="center"/>
                </w:tcPr>
                <w:p w14:paraId="74F5BD2C">
                  <w:pPr>
                    <w:pStyle w:val="28"/>
                    <w:rPr>
                      <w:color w:val="auto"/>
                    </w:rPr>
                  </w:pPr>
                  <w:r>
                    <w:rPr>
                      <w:color w:val="auto"/>
                    </w:rPr>
                    <w:t>外购</w:t>
                  </w:r>
                </w:p>
              </w:tc>
            </w:tr>
            <w:tr w14:paraId="2E175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49" w:type="pct"/>
                  <w:noWrap w:val="0"/>
                  <w:vAlign w:val="center"/>
                </w:tcPr>
                <w:p w14:paraId="58049FF7">
                  <w:pPr>
                    <w:pStyle w:val="28"/>
                    <w:rPr>
                      <w:color w:val="auto"/>
                    </w:rPr>
                  </w:pPr>
                  <w:r>
                    <w:rPr>
                      <w:color w:val="auto"/>
                    </w:rPr>
                    <w:t>河砂</w:t>
                  </w:r>
                </w:p>
              </w:tc>
              <w:tc>
                <w:tcPr>
                  <w:tcW w:w="1248" w:type="pct"/>
                  <w:noWrap w:val="0"/>
                  <w:vAlign w:val="center"/>
                </w:tcPr>
                <w:p w14:paraId="0EB4CB4D">
                  <w:pPr>
                    <w:pStyle w:val="28"/>
                    <w:rPr>
                      <w:color w:val="auto"/>
                    </w:rPr>
                  </w:pPr>
                  <w:r>
                    <w:rPr>
                      <w:color w:val="auto"/>
                    </w:rPr>
                    <w:t>万t/a</w:t>
                  </w:r>
                </w:p>
              </w:tc>
              <w:tc>
                <w:tcPr>
                  <w:tcW w:w="1267" w:type="pct"/>
                  <w:noWrap w:val="0"/>
                  <w:vAlign w:val="center"/>
                </w:tcPr>
                <w:p w14:paraId="6F198484">
                  <w:pPr>
                    <w:pStyle w:val="28"/>
                    <w:rPr>
                      <w:color w:val="auto"/>
                    </w:rPr>
                  </w:pPr>
                  <w:r>
                    <w:rPr>
                      <w:color w:val="auto"/>
                    </w:rPr>
                    <w:t>3.32</w:t>
                  </w:r>
                </w:p>
              </w:tc>
              <w:tc>
                <w:tcPr>
                  <w:tcW w:w="1236" w:type="pct"/>
                  <w:noWrap w:val="0"/>
                  <w:vAlign w:val="center"/>
                </w:tcPr>
                <w:p w14:paraId="7EA810FA">
                  <w:pPr>
                    <w:pStyle w:val="28"/>
                    <w:rPr>
                      <w:color w:val="auto"/>
                    </w:rPr>
                  </w:pPr>
                  <w:r>
                    <w:rPr>
                      <w:rFonts w:hint="eastAsia"/>
                      <w:color w:val="auto"/>
                    </w:rPr>
                    <w:t>外购</w:t>
                  </w:r>
                </w:p>
              </w:tc>
            </w:tr>
            <w:tr w14:paraId="71B8D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49" w:type="pct"/>
                  <w:noWrap w:val="0"/>
                  <w:vAlign w:val="center"/>
                </w:tcPr>
                <w:p w14:paraId="2AC15392">
                  <w:pPr>
                    <w:pStyle w:val="28"/>
                    <w:rPr>
                      <w:color w:val="auto"/>
                    </w:rPr>
                  </w:pPr>
                  <w:r>
                    <w:rPr>
                      <w:rFonts w:hint="eastAsia"/>
                      <w:color w:val="auto"/>
                    </w:rPr>
                    <w:t>碎石5-10</w:t>
                  </w:r>
                </w:p>
              </w:tc>
              <w:tc>
                <w:tcPr>
                  <w:tcW w:w="1248" w:type="pct"/>
                  <w:noWrap w:val="0"/>
                  <w:vAlign w:val="center"/>
                </w:tcPr>
                <w:p w14:paraId="19D2E5FA">
                  <w:pPr>
                    <w:pStyle w:val="28"/>
                    <w:rPr>
                      <w:color w:val="auto"/>
                    </w:rPr>
                  </w:pPr>
                  <w:r>
                    <w:rPr>
                      <w:color w:val="auto"/>
                    </w:rPr>
                    <w:t>万t/a</w:t>
                  </w:r>
                </w:p>
              </w:tc>
              <w:tc>
                <w:tcPr>
                  <w:tcW w:w="1267" w:type="pct"/>
                  <w:noWrap w:val="0"/>
                  <w:vAlign w:val="center"/>
                </w:tcPr>
                <w:p w14:paraId="2C2B2F1D">
                  <w:pPr>
                    <w:pStyle w:val="28"/>
                    <w:rPr>
                      <w:color w:val="auto"/>
                    </w:rPr>
                  </w:pPr>
                  <w:r>
                    <w:rPr>
                      <w:rFonts w:hint="eastAsia"/>
                      <w:color w:val="auto"/>
                    </w:rPr>
                    <w:t>1.88</w:t>
                  </w:r>
                </w:p>
              </w:tc>
              <w:tc>
                <w:tcPr>
                  <w:tcW w:w="1236" w:type="pct"/>
                  <w:noWrap w:val="0"/>
                  <w:vAlign w:val="center"/>
                </w:tcPr>
                <w:p w14:paraId="5C3B2D05">
                  <w:pPr>
                    <w:pStyle w:val="28"/>
                    <w:rPr>
                      <w:color w:val="auto"/>
                    </w:rPr>
                  </w:pPr>
                  <w:r>
                    <w:rPr>
                      <w:color w:val="auto"/>
                    </w:rPr>
                    <w:t>外购</w:t>
                  </w:r>
                </w:p>
              </w:tc>
            </w:tr>
            <w:tr w14:paraId="25FD0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49" w:type="pct"/>
                  <w:noWrap w:val="0"/>
                  <w:vAlign w:val="center"/>
                </w:tcPr>
                <w:p w14:paraId="051772B3">
                  <w:pPr>
                    <w:pStyle w:val="28"/>
                    <w:rPr>
                      <w:color w:val="auto"/>
                    </w:rPr>
                  </w:pPr>
                  <w:r>
                    <w:rPr>
                      <w:rFonts w:hint="eastAsia"/>
                      <w:color w:val="auto"/>
                    </w:rPr>
                    <w:t>碎石10-20</w:t>
                  </w:r>
                </w:p>
              </w:tc>
              <w:tc>
                <w:tcPr>
                  <w:tcW w:w="1248" w:type="pct"/>
                  <w:noWrap w:val="0"/>
                  <w:vAlign w:val="center"/>
                </w:tcPr>
                <w:p w14:paraId="06877E2B">
                  <w:pPr>
                    <w:pStyle w:val="28"/>
                    <w:rPr>
                      <w:color w:val="auto"/>
                    </w:rPr>
                  </w:pPr>
                  <w:r>
                    <w:rPr>
                      <w:color w:val="auto"/>
                    </w:rPr>
                    <w:t>万t/a</w:t>
                  </w:r>
                </w:p>
              </w:tc>
              <w:tc>
                <w:tcPr>
                  <w:tcW w:w="1267" w:type="pct"/>
                  <w:noWrap w:val="0"/>
                  <w:vAlign w:val="center"/>
                </w:tcPr>
                <w:p w14:paraId="11CEBB8B">
                  <w:pPr>
                    <w:pStyle w:val="28"/>
                    <w:rPr>
                      <w:color w:val="auto"/>
                    </w:rPr>
                  </w:pPr>
                  <w:r>
                    <w:rPr>
                      <w:rFonts w:hint="eastAsia"/>
                      <w:color w:val="auto"/>
                    </w:rPr>
                    <w:t>2.82</w:t>
                  </w:r>
                </w:p>
              </w:tc>
              <w:tc>
                <w:tcPr>
                  <w:tcW w:w="1236" w:type="pct"/>
                  <w:noWrap w:val="0"/>
                  <w:vAlign w:val="center"/>
                </w:tcPr>
                <w:p w14:paraId="57E5F813">
                  <w:pPr>
                    <w:pStyle w:val="28"/>
                    <w:rPr>
                      <w:color w:val="auto"/>
                    </w:rPr>
                  </w:pPr>
                  <w:r>
                    <w:rPr>
                      <w:rFonts w:hint="eastAsia"/>
                      <w:color w:val="auto"/>
                    </w:rPr>
                    <w:t>外购</w:t>
                  </w:r>
                </w:p>
              </w:tc>
            </w:tr>
            <w:tr w14:paraId="18D8C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49" w:type="pct"/>
                  <w:noWrap w:val="0"/>
                  <w:vAlign w:val="center"/>
                </w:tcPr>
                <w:p w14:paraId="73BA56C3">
                  <w:pPr>
                    <w:pStyle w:val="28"/>
                    <w:rPr>
                      <w:color w:val="auto"/>
                    </w:rPr>
                  </w:pPr>
                  <w:r>
                    <w:rPr>
                      <w:rFonts w:hint="eastAsia"/>
                      <w:color w:val="auto"/>
                    </w:rPr>
                    <w:t>掺和料</w:t>
                  </w:r>
                </w:p>
              </w:tc>
              <w:tc>
                <w:tcPr>
                  <w:tcW w:w="1248" w:type="pct"/>
                  <w:noWrap w:val="0"/>
                  <w:vAlign w:val="center"/>
                </w:tcPr>
                <w:p w14:paraId="53EF1501">
                  <w:pPr>
                    <w:pStyle w:val="28"/>
                    <w:rPr>
                      <w:color w:val="auto"/>
                    </w:rPr>
                  </w:pPr>
                  <w:r>
                    <w:rPr>
                      <w:color w:val="auto"/>
                    </w:rPr>
                    <w:t>万t/a</w:t>
                  </w:r>
                </w:p>
              </w:tc>
              <w:tc>
                <w:tcPr>
                  <w:tcW w:w="1267" w:type="pct"/>
                  <w:noWrap w:val="0"/>
                  <w:vAlign w:val="center"/>
                </w:tcPr>
                <w:p w14:paraId="789C4CA1">
                  <w:pPr>
                    <w:pStyle w:val="28"/>
                    <w:rPr>
                      <w:color w:val="auto"/>
                    </w:rPr>
                  </w:pPr>
                  <w:r>
                    <w:rPr>
                      <w:color w:val="auto"/>
                    </w:rPr>
                    <w:t>0.25</w:t>
                  </w:r>
                </w:p>
              </w:tc>
              <w:tc>
                <w:tcPr>
                  <w:tcW w:w="1236" w:type="pct"/>
                  <w:noWrap w:val="0"/>
                  <w:vAlign w:val="center"/>
                </w:tcPr>
                <w:p w14:paraId="6F54B224">
                  <w:pPr>
                    <w:pStyle w:val="28"/>
                    <w:rPr>
                      <w:color w:val="auto"/>
                    </w:rPr>
                  </w:pPr>
                  <w:r>
                    <w:rPr>
                      <w:color w:val="auto"/>
                    </w:rPr>
                    <w:t>外购</w:t>
                  </w:r>
                </w:p>
              </w:tc>
            </w:tr>
            <w:tr w14:paraId="55F81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49" w:type="pct"/>
                  <w:noWrap w:val="0"/>
                  <w:vAlign w:val="center"/>
                </w:tcPr>
                <w:p w14:paraId="57544DA3">
                  <w:pPr>
                    <w:pStyle w:val="28"/>
                    <w:rPr>
                      <w:color w:val="auto"/>
                    </w:rPr>
                  </w:pPr>
                  <w:r>
                    <w:rPr>
                      <w:color w:val="auto"/>
                    </w:rPr>
                    <w:t>减水剂</w:t>
                  </w:r>
                </w:p>
              </w:tc>
              <w:tc>
                <w:tcPr>
                  <w:tcW w:w="1248" w:type="pct"/>
                  <w:noWrap w:val="0"/>
                  <w:vAlign w:val="center"/>
                </w:tcPr>
                <w:p w14:paraId="748612B7">
                  <w:pPr>
                    <w:pStyle w:val="28"/>
                    <w:rPr>
                      <w:color w:val="auto"/>
                    </w:rPr>
                  </w:pPr>
                  <w:r>
                    <w:rPr>
                      <w:color w:val="auto"/>
                    </w:rPr>
                    <w:t>万t/a</w:t>
                  </w:r>
                </w:p>
              </w:tc>
              <w:tc>
                <w:tcPr>
                  <w:tcW w:w="1267" w:type="pct"/>
                  <w:noWrap w:val="0"/>
                  <w:vAlign w:val="center"/>
                </w:tcPr>
                <w:p w14:paraId="25281B27">
                  <w:pPr>
                    <w:pStyle w:val="28"/>
                    <w:rPr>
                      <w:color w:val="auto"/>
                    </w:rPr>
                  </w:pPr>
                  <w:r>
                    <w:rPr>
                      <w:rFonts w:hint="eastAsia"/>
                      <w:color w:val="auto"/>
                    </w:rPr>
                    <w:t>0.02</w:t>
                  </w:r>
                </w:p>
              </w:tc>
              <w:tc>
                <w:tcPr>
                  <w:tcW w:w="1236" w:type="pct"/>
                  <w:noWrap w:val="0"/>
                  <w:vAlign w:val="center"/>
                </w:tcPr>
                <w:p w14:paraId="308FE886">
                  <w:pPr>
                    <w:pStyle w:val="28"/>
                    <w:rPr>
                      <w:color w:val="auto"/>
                    </w:rPr>
                  </w:pPr>
                  <w:r>
                    <w:rPr>
                      <w:rFonts w:hint="eastAsia"/>
                      <w:color w:val="auto"/>
                    </w:rPr>
                    <w:t>外购</w:t>
                  </w:r>
                </w:p>
              </w:tc>
            </w:tr>
            <w:tr w14:paraId="41A45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49" w:type="pct"/>
                  <w:noWrap w:val="0"/>
                  <w:vAlign w:val="center"/>
                </w:tcPr>
                <w:p w14:paraId="384E11D6">
                  <w:pPr>
                    <w:pStyle w:val="28"/>
                    <w:rPr>
                      <w:color w:val="auto"/>
                    </w:rPr>
                  </w:pPr>
                  <w:r>
                    <w:rPr>
                      <w:rFonts w:hint="eastAsia"/>
                      <w:color w:val="auto"/>
                    </w:rPr>
                    <w:t>生物质颗粒</w:t>
                  </w:r>
                </w:p>
              </w:tc>
              <w:tc>
                <w:tcPr>
                  <w:tcW w:w="1248" w:type="pct"/>
                  <w:noWrap w:val="0"/>
                  <w:vAlign w:val="center"/>
                </w:tcPr>
                <w:p w14:paraId="48594C21">
                  <w:pPr>
                    <w:pStyle w:val="28"/>
                    <w:rPr>
                      <w:color w:val="auto"/>
                    </w:rPr>
                  </w:pPr>
                  <w:r>
                    <w:rPr>
                      <w:rFonts w:hint="eastAsia"/>
                      <w:color w:val="auto"/>
                    </w:rPr>
                    <w:t>万t/a</w:t>
                  </w:r>
                </w:p>
              </w:tc>
              <w:tc>
                <w:tcPr>
                  <w:tcW w:w="1267" w:type="pct"/>
                  <w:noWrap w:val="0"/>
                  <w:vAlign w:val="center"/>
                </w:tcPr>
                <w:p w14:paraId="6D56B5EA">
                  <w:pPr>
                    <w:pStyle w:val="28"/>
                    <w:rPr>
                      <w:rFonts w:hint="eastAsia"/>
                      <w:color w:val="auto"/>
                    </w:rPr>
                  </w:pPr>
                  <w:r>
                    <w:rPr>
                      <w:rFonts w:hint="eastAsia"/>
                      <w:color w:val="auto"/>
                    </w:rPr>
                    <w:t>1.0</w:t>
                  </w:r>
                </w:p>
              </w:tc>
              <w:tc>
                <w:tcPr>
                  <w:tcW w:w="1236" w:type="pct"/>
                  <w:noWrap w:val="0"/>
                  <w:vAlign w:val="center"/>
                </w:tcPr>
                <w:p w14:paraId="0310B968">
                  <w:pPr>
                    <w:pStyle w:val="28"/>
                    <w:rPr>
                      <w:rFonts w:hint="eastAsia"/>
                      <w:color w:val="auto"/>
                    </w:rPr>
                  </w:pPr>
                  <w:r>
                    <w:rPr>
                      <w:rFonts w:hint="eastAsia"/>
                      <w:color w:val="auto"/>
                    </w:rPr>
                    <w:t>外购</w:t>
                  </w:r>
                </w:p>
              </w:tc>
            </w:tr>
            <w:tr w14:paraId="24569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49" w:type="pct"/>
                  <w:noWrap w:val="0"/>
                  <w:vAlign w:val="center"/>
                </w:tcPr>
                <w:p w14:paraId="72241C7E">
                  <w:pPr>
                    <w:pStyle w:val="28"/>
                    <w:rPr>
                      <w:rFonts w:hint="eastAsia"/>
                      <w:color w:val="auto"/>
                    </w:rPr>
                  </w:pPr>
                  <w:r>
                    <w:rPr>
                      <w:rFonts w:hint="eastAsia"/>
                      <w:color w:val="auto"/>
                    </w:rPr>
                    <w:t>套管</w:t>
                  </w:r>
                </w:p>
              </w:tc>
              <w:tc>
                <w:tcPr>
                  <w:tcW w:w="1248" w:type="pct"/>
                  <w:noWrap w:val="0"/>
                  <w:vAlign w:val="center"/>
                </w:tcPr>
                <w:p w14:paraId="70369555">
                  <w:pPr>
                    <w:pStyle w:val="28"/>
                    <w:rPr>
                      <w:color w:val="auto"/>
                    </w:rPr>
                  </w:pPr>
                  <w:r>
                    <w:rPr>
                      <w:rFonts w:hint="eastAsia"/>
                      <w:color w:val="auto"/>
                    </w:rPr>
                    <w:t>万根/a</w:t>
                  </w:r>
                </w:p>
              </w:tc>
              <w:tc>
                <w:tcPr>
                  <w:tcW w:w="1267" w:type="pct"/>
                  <w:noWrap w:val="0"/>
                  <w:vAlign w:val="center"/>
                </w:tcPr>
                <w:p w14:paraId="312F0E2F">
                  <w:pPr>
                    <w:pStyle w:val="28"/>
                    <w:rPr>
                      <w:rFonts w:hint="eastAsia"/>
                      <w:color w:val="auto"/>
                    </w:rPr>
                  </w:pPr>
                  <w:r>
                    <w:rPr>
                      <w:rFonts w:hint="eastAsia"/>
                      <w:color w:val="auto"/>
                    </w:rPr>
                    <w:t>202</w:t>
                  </w:r>
                </w:p>
              </w:tc>
              <w:tc>
                <w:tcPr>
                  <w:tcW w:w="1236" w:type="pct"/>
                  <w:noWrap w:val="0"/>
                  <w:vAlign w:val="center"/>
                </w:tcPr>
                <w:p w14:paraId="7F7BB9B0">
                  <w:pPr>
                    <w:pStyle w:val="28"/>
                    <w:rPr>
                      <w:color w:val="auto"/>
                    </w:rPr>
                  </w:pPr>
                  <w:r>
                    <w:rPr>
                      <w:color w:val="auto"/>
                    </w:rPr>
                    <w:t>外购</w:t>
                  </w:r>
                </w:p>
              </w:tc>
            </w:tr>
            <w:tr w14:paraId="4362B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49" w:type="pct"/>
                  <w:noWrap w:val="0"/>
                  <w:vAlign w:val="center"/>
                </w:tcPr>
                <w:p w14:paraId="46006D6B">
                  <w:pPr>
                    <w:pStyle w:val="28"/>
                    <w:rPr>
                      <w:rFonts w:hint="eastAsia"/>
                      <w:color w:val="auto"/>
                    </w:rPr>
                  </w:pPr>
                  <w:r>
                    <w:rPr>
                      <w:rFonts w:hint="eastAsia"/>
                      <w:color w:val="auto"/>
                    </w:rPr>
                    <w:t>螺旋筋</w:t>
                  </w:r>
                </w:p>
              </w:tc>
              <w:tc>
                <w:tcPr>
                  <w:tcW w:w="1248" w:type="pct"/>
                  <w:noWrap w:val="0"/>
                  <w:vAlign w:val="center"/>
                </w:tcPr>
                <w:p w14:paraId="7572402F">
                  <w:pPr>
                    <w:pStyle w:val="28"/>
                    <w:rPr>
                      <w:color w:val="auto"/>
                    </w:rPr>
                  </w:pPr>
                  <w:r>
                    <w:rPr>
                      <w:rFonts w:hint="eastAsia"/>
                      <w:color w:val="auto"/>
                    </w:rPr>
                    <w:t>个/a</w:t>
                  </w:r>
                </w:p>
              </w:tc>
              <w:tc>
                <w:tcPr>
                  <w:tcW w:w="1267" w:type="pct"/>
                  <w:noWrap w:val="0"/>
                  <w:vAlign w:val="center"/>
                </w:tcPr>
                <w:p w14:paraId="2D771689">
                  <w:pPr>
                    <w:pStyle w:val="28"/>
                    <w:rPr>
                      <w:rFonts w:hint="eastAsia"/>
                      <w:color w:val="auto"/>
                    </w:rPr>
                  </w:pPr>
                  <w:r>
                    <w:rPr>
                      <w:rFonts w:hint="eastAsia"/>
                      <w:color w:val="auto"/>
                    </w:rPr>
                    <w:t>202</w:t>
                  </w:r>
                </w:p>
              </w:tc>
              <w:tc>
                <w:tcPr>
                  <w:tcW w:w="1236" w:type="pct"/>
                  <w:noWrap w:val="0"/>
                  <w:vAlign w:val="center"/>
                </w:tcPr>
                <w:p w14:paraId="7E456686">
                  <w:pPr>
                    <w:pStyle w:val="28"/>
                    <w:rPr>
                      <w:color w:val="auto"/>
                    </w:rPr>
                  </w:pPr>
                  <w:r>
                    <w:rPr>
                      <w:rFonts w:hint="eastAsia"/>
                      <w:color w:val="auto"/>
                    </w:rPr>
                    <w:t>外购</w:t>
                  </w:r>
                </w:p>
              </w:tc>
            </w:tr>
            <w:tr w14:paraId="0FA28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49" w:type="pct"/>
                  <w:noWrap w:val="0"/>
                  <w:vAlign w:val="center"/>
                </w:tcPr>
                <w:p w14:paraId="0280E2F5">
                  <w:pPr>
                    <w:pStyle w:val="28"/>
                    <w:rPr>
                      <w:rFonts w:hint="eastAsia"/>
                      <w:color w:val="auto"/>
                    </w:rPr>
                  </w:pPr>
                  <w:r>
                    <w:rPr>
                      <w:rFonts w:hint="eastAsia"/>
                      <w:color w:val="auto"/>
                    </w:rPr>
                    <w:t>挂钩</w:t>
                  </w:r>
                </w:p>
              </w:tc>
              <w:tc>
                <w:tcPr>
                  <w:tcW w:w="1248" w:type="pct"/>
                  <w:noWrap w:val="0"/>
                  <w:vAlign w:val="center"/>
                </w:tcPr>
                <w:p w14:paraId="27ED8B5F">
                  <w:pPr>
                    <w:pStyle w:val="28"/>
                    <w:rPr>
                      <w:color w:val="auto"/>
                    </w:rPr>
                  </w:pPr>
                  <w:r>
                    <w:rPr>
                      <w:rFonts w:hint="eastAsia"/>
                      <w:color w:val="auto"/>
                    </w:rPr>
                    <w:t>个/a</w:t>
                  </w:r>
                </w:p>
              </w:tc>
              <w:tc>
                <w:tcPr>
                  <w:tcW w:w="1267" w:type="pct"/>
                  <w:noWrap w:val="0"/>
                  <w:vAlign w:val="center"/>
                </w:tcPr>
                <w:p w14:paraId="715F440E">
                  <w:pPr>
                    <w:pStyle w:val="28"/>
                    <w:rPr>
                      <w:rFonts w:hint="eastAsia"/>
                      <w:color w:val="auto"/>
                    </w:rPr>
                  </w:pPr>
                  <w:r>
                    <w:rPr>
                      <w:rFonts w:hint="eastAsia"/>
                      <w:color w:val="auto"/>
                    </w:rPr>
                    <w:t>404</w:t>
                  </w:r>
                </w:p>
              </w:tc>
              <w:tc>
                <w:tcPr>
                  <w:tcW w:w="1236" w:type="pct"/>
                  <w:noWrap w:val="0"/>
                  <w:vAlign w:val="center"/>
                </w:tcPr>
                <w:p w14:paraId="77B1A735">
                  <w:pPr>
                    <w:pStyle w:val="28"/>
                    <w:rPr>
                      <w:color w:val="auto"/>
                    </w:rPr>
                  </w:pPr>
                  <w:r>
                    <w:rPr>
                      <w:color w:val="auto"/>
                    </w:rPr>
                    <w:t>外购</w:t>
                  </w:r>
                </w:p>
              </w:tc>
            </w:tr>
            <w:tr w14:paraId="68A57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49" w:type="pct"/>
                  <w:noWrap w:val="0"/>
                  <w:vAlign w:val="center"/>
                </w:tcPr>
                <w:p w14:paraId="74E9EA5E">
                  <w:pPr>
                    <w:pStyle w:val="28"/>
                    <w:rPr>
                      <w:rFonts w:hint="eastAsia"/>
                      <w:color w:val="auto"/>
                    </w:rPr>
                  </w:pPr>
                  <w:r>
                    <w:rPr>
                      <w:rFonts w:hint="eastAsia"/>
                      <w:color w:val="auto"/>
                    </w:rPr>
                    <w:t>钢筋</w:t>
                  </w:r>
                </w:p>
              </w:tc>
              <w:tc>
                <w:tcPr>
                  <w:tcW w:w="1248" w:type="pct"/>
                  <w:noWrap w:val="0"/>
                  <w:vAlign w:val="center"/>
                </w:tcPr>
                <w:p w14:paraId="630C54B0">
                  <w:pPr>
                    <w:pStyle w:val="28"/>
                    <w:rPr>
                      <w:color w:val="auto"/>
                    </w:rPr>
                  </w:pPr>
                  <w:r>
                    <w:rPr>
                      <w:rFonts w:hint="eastAsia"/>
                      <w:color w:val="auto"/>
                    </w:rPr>
                    <w:t>万t/a</w:t>
                  </w:r>
                </w:p>
              </w:tc>
              <w:tc>
                <w:tcPr>
                  <w:tcW w:w="1267" w:type="pct"/>
                  <w:noWrap w:val="0"/>
                  <w:vAlign w:val="center"/>
                </w:tcPr>
                <w:p w14:paraId="41B67888">
                  <w:pPr>
                    <w:pStyle w:val="28"/>
                    <w:rPr>
                      <w:rFonts w:hint="eastAsia"/>
                      <w:color w:val="auto"/>
                    </w:rPr>
                  </w:pPr>
                  <w:r>
                    <w:rPr>
                      <w:rFonts w:hint="eastAsia"/>
                      <w:color w:val="auto"/>
                    </w:rPr>
                    <w:t>0.87</w:t>
                  </w:r>
                </w:p>
              </w:tc>
              <w:tc>
                <w:tcPr>
                  <w:tcW w:w="1236" w:type="pct"/>
                  <w:noWrap w:val="0"/>
                  <w:vAlign w:val="center"/>
                </w:tcPr>
                <w:p w14:paraId="7A356DA9">
                  <w:pPr>
                    <w:pStyle w:val="28"/>
                    <w:rPr>
                      <w:color w:val="auto"/>
                    </w:rPr>
                  </w:pPr>
                  <w:r>
                    <w:rPr>
                      <w:rFonts w:hint="eastAsia"/>
                      <w:color w:val="auto"/>
                    </w:rPr>
                    <w:t>外购</w:t>
                  </w:r>
                </w:p>
              </w:tc>
            </w:tr>
            <w:tr w14:paraId="24BAD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49" w:type="pct"/>
                  <w:noWrap w:val="0"/>
                  <w:vAlign w:val="center"/>
                </w:tcPr>
                <w:p w14:paraId="6FA33474">
                  <w:pPr>
                    <w:pStyle w:val="28"/>
                    <w:rPr>
                      <w:color w:val="auto"/>
                    </w:rPr>
                  </w:pPr>
                  <w:r>
                    <w:rPr>
                      <w:color w:val="auto"/>
                    </w:rPr>
                    <w:t>水</w:t>
                  </w:r>
                </w:p>
              </w:tc>
              <w:tc>
                <w:tcPr>
                  <w:tcW w:w="1248" w:type="pct"/>
                  <w:noWrap w:val="0"/>
                  <w:vAlign w:val="center"/>
                </w:tcPr>
                <w:p w14:paraId="3498462A">
                  <w:pPr>
                    <w:pStyle w:val="28"/>
                    <w:rPr>
                      <w:color w:val="auto"/>
                    </w:rPr>
                  </w:pPr>
                  <w:r>
                    <w:rPr>
                      <w:color w:val="auto"/>
                    </w:rPr>
                    <w:t>万m</w:t>
                  </w:r>
                  <w:r>
                    <w:rPr>
                      <w:color w:val="auto"/>
                      <w:vertAlign w:val="superscript"/>
                    </w:rPr>
                    <w:t>3</w:t>
                  </w:r>
                  <w:r>
                    <w:rPr>
                      <w:color w:val="auto"/>
                    </w:rPr>
                    <w:t>/a</w:t>
                  </w:r>
                </w:p>
              </w:tc>
              <w:tc>
                <w:tcPr>
                  <w:tcW w:w="1267" w:type="pct"/>
                  <w:noWrap w:val="0"/>
                  <w:vAlign w:val="center"/>
                </w:tcPr>
                <w:p w14:paraId="2BCD8FAE">
                  <w:pPr>
                    <w:pStyle w:val="28"/>
                    <w:rPr>
                      <w:color w:val="auto"/>
                    </w:rPr>
                  </w:pPr>
                  <w:r>
                    <w:rPr>
                      <w:rFonts w:hint="eastAsia"/>
                      <w:color w:val="auto"/>
                    </w:rPr>
                    <w:t>3.14</w:t>
                  </w:r>
                </w:p>
              </w:tc>
              <w:tc>
                <w:tcPr>
                  <w:tcW w:w="1236" w:type="pct"/>
                  <w:noWrap w:val="0"/>
                  <w:vAlign w:val="center"/>
                </w:tcPr>
                <w:p w14:paraId="27FDEBD9">
                  <w:pPr>
                    <w:pStyle w:val="28"/>
                    <w:rPr>
                      <w:color w:val="auto"/>
                    </w:rPr>
                  </w:pPr>
                  <w:r>
                    <w:rPr>
                      <w:rFonts w:hint="eastAsia"/>
                      <w:color w:val="auto"/>
                    </w:rPr>
                    <w:t>市政供水</w:t>
                  </w:r>
                  <w:r>
                    <w:rPr>
                      <w:color w:val="auto"/>
                    </w:rPr>
                    <w:t>及项目区内收集的雨水</w:t>
                  </w:r>
                </w:p>
              </w:tc>
            </w:tr>
            <w:tr w14:paraId="47FD4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49" w:type="pct"/>
                  <w:noWrap w:val="0"/>
                  <w:vAlign w:val="center"/>
                </w:tcPr>
                <w:p w14:paraId="3C88C2FA">
                  <w:pPr>
                    <w:pStyle w:val="28"/>
                    <w:rPr>
                      <w:color w:val="auto"/>
                    </w:rPr>
                  </w:pPr>
                  <w:r>
                    <w:rPr>
                      <w:color w:val="auto"/>
                    </w:rPr>
                    <w:t>电</w:t>
                  </w:r>
                </w:p>
              </w:tc>
              <w:tc>
                <w:tcPr>
                  <w:tcW w:w="1248" w:type="pct"/>
                  <w:noWrap w:val="0"/>
                  <w:vAlign w:val="center"/>
                </w:tcPr>
                <w:p w14:paraId="08D60FE4">
                  <w:pPr>
                    <w:pStyle w:val="28"/>
                    <w:rPr>
                      <w:color w:val="auto"/>
                    </w:rPr>
                  </w:pPr>
                  <w:r>
                    <w:rPr>
                      <w:color w:val="auto"/>
                    </w:rPr>
                    <w:t>万</w:t>
                  </w:r>
                  <w:r>
                    <w:rPr>
                      <w:rFonts w:hint="eastAsia"/>
                      <w:color w:val="auto"/>
                      <w:lang w:eastAsia="zh-CN"/>
                    </w:rPr>
                    <w:t>kW</w:t>
                  </w:r>
                  <w:r>
                    <w:rPr>
                      <w:color w:val="auto"/>
                    </w:rPr>
                    <w:t>·h</w:t>
                  </w:r>
                </w:p>
              </w:tc>
              <w:tc>
                <w:tcPr>
                  <w:tcW w:w="1267" w:type="pct"/>
                  <w:noWrap w:val="0"/>
                  <w:vAlign w:val="center"/>
                </w:tcPr>
                <w:p w14:paraId="37EE5034">
                  <w:pPr>
                    <w:pStyle w:val="28"/>
                    <w:rPr>
                      <w:color w:val="auto"/>
                    </w:rPr>
                  </w:pPr>
                  <w:r>
                    <w:rPr>
                      <w:rFonts w:hint="eastAsia"/>
                      <w:color w:val="auto"/>
                    </w:rPr>
                    <w:t>20</w:t>
                  </w:r>
                </w:p>
              </w:tc>
              <w:tc>
                <w:tcPr>
                  <w:tcW w:w="1236" w:type="pct"/>
                  <w:noWrap w:val="0"/>
                  <w:vAlign w:val="center"/>
                </w:tcPr>
                <w:p w14:paraId="35FBAE4B">
                  <w:pPr>
                    <w:pStyle w:val="28"/>
                    <w:rPr>
                      <w:color w:val="auto"/>
                    </w:rPr>
                  </w:pPr>
                  <w:r>
                    <w:rPr>
                      <w:color w:val="auto"/>
                    </w:rPr>
                    <w:t>当地供电电网供给</w:t>
                  </w:r>
                </w:p>
              </w:tc>
            </w:tr>
          </w:tbl>
          <w:p w14:paraId="351A2A93">
            <w:pPr>
              <w:ind w:firstLine="482"/>
              <w:rPr>
                <w:b/>
                <w:color w:val="auto"/>
                <w:szCs w:val="22"/>
              </w:rPr>
            </w:pPr>
            <w:r>
              <w:rPr>
                <w:b/>
                <w:color w:val="auto"/>
                <w:szCs w:val="22"/>
              </w:rPr>
              <w:t>部分原辅材料理化性质：</w:t>
            </w:r>
          </w:p>
          <w:p w14:paraId="68ECF144">
            <w:pPr>
              <w:snapToGrid w:val="0"/>
              <w:ind w:firstLine="482"/>
              <w:rPr>
                <w:rFonts w:hint="eastAsia" w:eastAsia="宋体"/>
                <w:color w:val="auto"/>
                <w:lang w:eastAsia="zh-CN"/>
              </w:rPr>
            </w:pPr>
            <w:r>
              <w:rPr>
                <w:rFonts w:hint="eastAsia"/>
                <w:b/>
                <w:color w:val="auto"/>
              </w:rPr>
              <w:t>水泥：</w:t>
            </w:r>
            <w:r>
              <w:rPr>
                <w:rFonts w:hint="eastAsia"/>
                <w:color w:val="auto"/>
              </w:rPr>
              <w:t>粉状水硬性无机胶凝材料，主要成分为硅酸盐</w:t>
            </w:r>
            <w:r>
              <w:rPr>
                <w:rFonts w:hint="eastAsia"/>
                <w:color w:val="auto"/>
                <w:lang w:eastAsia="zh-CN"/>
              </w:rPr>
              <w:t>。</w:t>
            </w:r>
          </w:p>
          <w:p w14:paraId="39946372">
            <w:pPr>
              <w:ind w:firstLine="482"/>
              <w:rPr>
                <w:color w:val="auto"/>
              </w:rPr>
            </w:pPr>
            <w:r>
              <w:rPr>
                <w:rFonts w:hint="eastAsia"/>
                <w:b/>
                <w:color w:val="auto"/>
              </w:rPr>
              <w:t>减水剂：</w:t>
            </w:r>
            <w:r>
              <w:rPr>
                <w:color w:val="auto"/>
              </w:rPr>
              <w:t>英文名：water-reducing</w:t>
            </w:r>
            <w:r>
              <w:rPr>
                <w:rFonts w:hint="eastAsia"/>
                <w:color w:val="auto"/>
              </w:rPr>
              <w:t xml:space="preserve"> </w:t>
            </w:r>
            <w:r>
              <w:rPr>
                <w:color w:val="auto"/>
              </w:rPr>
              <w:t>admixture</w:t>
            </w:r>
            <w:r>
              <w:rPr>
                <w:rFonts w:hint="eastAsia"/>
                <w:color w:val="auto"/>
              </w:rPr>
              <w:t>；</w:t>
            </w:r>
            <w:r>
              <w:rPr>
                <w:color w:val="auto"/>
              </w:rPr>
              <w:t>water reducer</w:t>
            </w:r>
            <w:r>
              <w:rPr>
                <w:rFonts w:hint="eastAsia"/>
                <w:color w:val="auto"/>
              </w:rPr>
              <w:t>；</w:t>
            </w:r>
            <w:r>
              <w:rPr>
                <w:color w:val="auto"/>
              </w:rPr>
              <w:t>plasticizer</w:t>
            </w:r>
            <w:r>
              <w:rPr>
                <w:rFonts w:hint="eastAsia"/>
                <w:color w:val="auto"/>
              </w:rPr>
              <w:t>。</w:t>
            </w:r>
            <w:r>
              <w:rPr>
                <w:color w:val="auto"/>
              </w:rPr>
              <w:t>外观形态分为水剂和粉剂。水剂含固量一般有20%，40%（又称母液），60%，粉剂含固量一般为98%。根据减水剂减水及增强能力，分为普通减水剂（又称塑化剂，减水率不小于8%）、高效减水剂（又称超塑化剂，减水率不小于14%）和高性能减水剂（减水率不小于25%），并又分别分为早强型、标准型和缓凝型。按组成</w:t>
            </w:r>
            <w:r>
              <w:rPr>
                <w:color w:val="auto"/>
              </w:rPr>
              <w:fldChar w:fldCharType="begin"/>
            </w:r>
            <w:r>
              <w:rPr>
                <w:color w:val="auto"/>
              </w:rPr>
              <w:instrText xml:space="preserve"> HYPERLINK "https://baike.so.com/doc/316987.html" \t "_blank" </w:instrText>
            </w:r>
            <w:r>
              <w:rPr>
                <w:color w:val="auto"/>
              </w:rPr>
              <w:fldChar w:fldCharType="separate"/>
            </w:r>
            <w:r>
              <w:rPr>
                <w:color w:val="auto"/>
              </w:rPr>
              <w:t>材料</w:t>
            </w:r>
            <w:r>
              <w:rPr>
                <w:color w:val="auto"/>
              </w:rPr>
              <w:fldChar w:fldCharType="end"/>
            </w:r>
            <w:r>
              <w:rPr>
                <w:color w:val="auto"/>
              </w:rPr>
              <w:t>分为：（1）木质素磺酸盐类；（2）多环芳香族盐类；（3）水溶性树脂磺酸盐类。普通减水剂宜用于日最低气温5℃以上施工的</w:t>
            </w:r>
            <w:r>
              <w:rPr>
                <w:color w:val="auto"/>
              </w:rPr>
              <w:fldChar w:fldCharType="begin"/>
            </w:r>
            <w:r>
              <w:rPr>
                <w:color w:val="auto"/>
              </w:rPr>
              <w:instrText xml:space="preserve"> HYPERLINK "https://baike.so.com/doc/2137594.html" \t "_blank" </w:instrText>
            </w:r>
            <w:r>
              <w:rPr>
                <w:color w:val="auto"/>
              </w:rPr>
              <w:fldChar w:fldCharType="separate"/>
            </w:r>
            <w:r>
              <w:rPr>
                <w:color w:val="auto"/>
              </w:rPr>
              <w:t>混凝土</w:t>
            </w:r>
            <w:r>
              <w:rPr>
                <w:color w:val="auto"/>
              </w:rPr>
              <w:fldChar w:fldCharType="end"/>
            </w:r>
            <w:r>
              <w:rPr>
                <w:color w:val="auto"/>
              </w:rPr>
              <w:t>。高效减水剂宜用于日最低气温0℃以上施工的混凝土，并适用于制备大流动性混凝土、高强混凝土以及蒸养混凝土。</w:t>
            </w:r>
          </w:p>
          <w:p w14:paraId="5B0E3EFD">
            <w:pPr>
              <w:ind w:firstLine="482"/>
              <w:rPr>
                <w:color w:val="auto"/>
              </w:rPr>
            </w:pPr>
            <w:r>
              <w:rPr>
                <w:rFonts w:hint="eastAsia"/>
                <w:b/>
                <w:bCs/>
                <w:color w:val="auto"/>
              </w:rPr>
              <w:t>掺和料：</w:t>
            </w:r>
            <w:r>
              <w:rPr>
                <w:rFonts w:hint="eastAsia"/>
                <w:color w:val="auto"/>
              </w:rPr>
              <w:t>主要成分：超细硅粉、高活性矿粉。</w:t>
            </w:r>
          </w:p>
          <w:p w14:paraId="058BDF25">
            <w:pPr>
              <w:ind w:firstLine="482"/>
              <w:rPr>
                <w:rFonts w:hint="eastAsia"/>
                <w:color w:val="auto"/>
              </w:rPr>
            </w:pPr>
            <w:r>
              <w:rPr>
                <w:rFonts w:hint="eastAsia"/>
                <w:b/>
                <w:bCs/>
                <w:color w:val="auto"/>
              </w:rPr>
              <w:t>脱模剂：</w:t>
            </w:r>
            <w:r>
              <w:rPr>
                <w:rFonts w:hint="eastAsia"/>
                <w:color w:val="auto"/>
              </w:rPr>
              <w:t>脱模剂是一种介于模具与成品之间的功能性物质，具有耐热及应力性能等特点，项目使用的脱模剂应符合《混凝土制品用脱模剂》（JC/T949-2021）的产品要求。本项目脱模剂选用环保型预制构件脱模剂，结合国内外同类产品的特点，该类脱模剂主要成分为高分子复合配方材料，适用于水泥桥梁厂、水泥预测制作的成型脱模混凝土施工的钢模、铝合金模、木模等。具有的特点：①无毒、无味，优异的隔离性能、轻松拆模；②成模迅速、耐水冲刷保护模板；③保护模板、延长模板使用寿命。</w:t>
            </w:r>
          </w:p>
          <w:p w14:paraId="19AA1E33">
            <w:pPr>
              <w:ind w:firstLine="482"/>
              <w:rPr>
                <w:rFonts w:hint="eastAsia"/>
                <w:color w:val="auto"/>
              </w:rPr>
            </w:pPr>
            <w:r>
              <w:rPr>
                <w:rFonts w:hint="eastAsia"/>
                <w:b/>
                <w:bCs/>
                <w:color w:val="auto"/>
              </w:rPr>
              <w:t>机油：</w:t>
            </w:r>
            <w:r>
              <w:rPr>
                <w:rFonts w:hint="eastAsia"/>
                <w:color w:val="auto"/>
              </w:rPr>
              <w:t>即发动机润滑油，英文名称：Engine oil。密度约为0.91×10</w:t>
            </w:r>
            <w:r>
              <w:rPr>
                <w:rFonts w:hint="default" w:ascii="Times New Roman" w:hAnsi="Times New Roman" w:cs="Times New Roman"/>
                <w:color w:val="auto"/>
              </w:rPr>
              <w:t>³</w:t>
            </w:r>
            <w:r>
              <w:rPr>
                <w:rFonts w:hint="eastAsia"/>
                <w:color w:val="auto"/>
              </w:rPr>
              <w:t>（kg/m</w:t>
            </w:r>
            <w:r>
              <w:rPr>
                <w:rFonts w:hint="default" w:ascii="Times New Roman" w:hAnsi="Times New Roman" w:cs="Times New Roman"/>
                <w:color w:val="auto"/>
              </w:rPr>
              <w:t>³</w:t>
            </w:r>
            <w:r>
              <w:rPr>
                <w:rFonts w:hint="eastAsia"/>
                <w:color w:val="auto"/>
              </w:rPr>
              <w:t>）能对</w:t>
            </w:r>
            <w:r>
              <w:rPr>
                <w:rFonts w:hint="eastAsia"/>
                <w:color w:val="auto"/>
              </w:rPr>
              <w:fldChar w:fldCharType="begin"/>
            </w:r>
            <w:r>
              <w:rPr>
                <w:rFonts w:hint="eastAsia"/>
                <w:color w:val="auto"/>
              </w:rPr>
              <w:instrText xml:space="preserve"> HYPERLINK "https://baike.baidu.com/item/%E5%8F%91%E5%8A%A8%E6%9C%BA/866440" \t "https://baike.baidu.com/item/%E6%9C%BA%E6%B2%B9/_blank" </w:instrText>
            </w:r>
            <w:r>
              <w:rPr>
                <w:rFonts w:hint="eastAsia"/>
                <w:color w:val="auto"/>
              </w:rPr>
              <w:fldChar w:fldCharType="separate"/>
            </w:r>
            <w:r>
              <w:rPr>
                <w:rFonts w:hint="eastAsia"/>
                <w:color w:val="auto"/>
              </w:rPr>
              <w:t>发动机</w:t>
            </w:r>
            <w:r>
              <w:rPr>
                <w:rFonts w:hint="eastAsia"/>
                <w:color w:val="auto"/>
              </w:rPr>
              <w:fldChar w:fldCharType="end"/>
            </w:r>
            <w:r>
              <w:rPr>
                <w:rFonts w:hint="eastAsia"/>
                <w:color w:val="auto"/>
              </w:rPr>
              <w:t>起到润滑减磨、辅助冷却降温、密封防漏、防锈防蚀、减震缓冲等作用。被誉为汽车的“血液”。机油由</w:t>
            </w:r>
            <w:r>
              <w:rPr>
                <w:rFonts w:hint="eastAsia"/>
                <w:color w:val="auto"/>
              </w:rPr>
              <w:fldChar w:fldCharType="begin"/>
            </w:r>
            <w:r>
              <w:rPr>
                <w:rFonts w:hint="eastAsia"/>
                <w:color w:val="auto"/>
              </w:rPr>
              <w:instrText xml:space="preserve"> HYPERLINK "https://baike.baidu.com/item/%E5%9F%BA%E7%A1%80%E6%B2%B9/269824" \t "https://baike.baidu.com/item/%E6%9C%BA%E6%B2%B9/_blank" </w:instrText>
            </w:r>
            <w:r>
              <w:rPr>
                <w:rFonts w:hint="eastAsia"/>
                <w:color w:val="auto"/>
              </w:rPr>
              <w:fldChar w:fldCharType="separate"/>
            </w:r>
            <w:r>
              <w:rPr>
                <w:rFonts w:hint="eastAsia"/>
                <w:color w:val="auto"/>
              </w:rPr>
              <w:t>基础油</w:t>
            </w:r>
            <w:r>
              <w:rPr>
                <w:rFonts w:hint="eastAsia"/>
                <w:color w:val="auto"/>
              </w:rPr>
              <w:fldChar w:fldCharType="end"/>
            </w:r>
            <w:r>
              <w:rPr>
                <w:rFonts w:hint="eastAsia"/>
                <w:color w:val="auto"/>
              </w:rPr>
              <w:t>和添加剂两部分组成。基础油是润滑油的主要成分，决定着润滑油的基本性质，添加剂则可弥补和改善基础油性能方面的不足，赋予某些新的性能，是</w:t>
            </w:r>
            <w:r>
              <w:rPr>
                <w:rFonts w:hint="eastAsia"/>
                <w:color w:val="auto"/>
              </w:rPr>
              <w:fldChar w:fldCharType="begin"/>
            </w:r>
            <w:r>
              <w:rPr>
                <w:rFonts w:hint="eastAsia"/>
                <w:color w:val="auto"/>
              </w:rPr>
              <w:instrText xml:space="preserve"> HYPERLINK "https://baike.baidu.com/item/%E6%B6%A6%E6%BB%91%E6%B2%B9/53559" \t "https://baike.baidu.com/item/%E6%9C%BA%E6%B2%B9/_blank" </w:instrText>
            </w:r>
            <w:r>
              <w:rPr>
                <w:rFonts w:hint="eastAsia"/>
                <w:color w:val="auto"/>
              </w:rPr>
              <w:fldChar w:fldCharType="separate"/>
            </w:r>
            <w:r>
              <w:rPr>
                <w:rFonts w:hint="eastAsia"/>
                <w:color w:val="auto"/>
              </w:rPr>
              <w:t>润滑油</w:t>
            </w:r>
            <w:r>
              <w:rPr>
                <w:rFonts w:hint="eastAsia"/>
                <w:color w:val="auto"/>
              </w:rPr>
              <w:fldChar w:fldCharType="end"/>
            </w:r>
            <w:r>
              <w:rPr>
                <w:rFonts w:hint="eastAsia"/>
                <w:color w:val="auto"/>
              </w:rPr>
              <w:t>的重要组成部分。</w:t>
            </w:r>
          </w:p>
          <w:p w14:paraId="7E8C1038">
            <w:pPr>
              <w:ind w:firstLine="482"/>
              <w:rPr>
                <w:rFonts w:hint="eastAsia"/>
                <w:b/>
                <w:bCs/>
                <w:color w:val="auto"/>
              </w:rPr>
            </w:pPr>
            <w:r>
              <w:rPr>
                <w:b/>
                <w:bCs/>
                <w:color w:val="auto"/>
              </w:rPr>
              <w:t>2.2.5主要产品及产能</w:t>
            </w:r>
          </w:p>
          <w:p w14:paraId="5062A14E">
            <w:pPr>
              <w:ind w:firstLine="480"/>
              <w:rPr>
                <w:rFonts w:hint="eastAsia"/>
                <w:color w:val="auto"/>
                <w:lang w:eastAsia="zh-CN"/>
              </w:rPr>
            </w:pPr>
            <w:r>
              <w:rPr>
                <w:color w:val="auto"/>
              </w:rPr>
              <w:t>本项目生产</w:t>
            </w:r>
            <w:r>
              <w:rPr>
                <w:rFonts w:hint="eastAsia"/>
                <w:color w:val="auto"/>
              </w:rPr>
              <w:t>铁路轨枕</w:t>
            </w:r>
            <w:r>
              <w:rPr>
                <w:color w:val="auto"/>
              </w:rPr>
              <w:t>，</w:t>
            </w:r>
            <w:r>
              <w:rPr>
                <w:rFonts w:hint="eastAsia"/>
                <w:color w:val="auto"/>
              </w:rPr>
              <w:t>产品生产规模为年产50.5万根轨枕，轨枕型号为2.4×0.214×0.198m，重量为240.662kg/根，12153.43t/a</w:t>
            </w:r>
            <w:r>
              <w:rPr>
                <w:rFonts w:hint="eastAsia"/>
                <w:color w:val="auto"/>
                <w:lang w:eastAsia="zh-CN"/>
              </w:rPr>
              <w:t>。</w:t>
            </w:r>
          </w:p>
          <w:p w14:paraId="7C3F10B8">
            <w:pPr>
              <w:ind w:firstLine="480"/>
              <w:rPr>
                <w:rFonts w:hint="default" w:eastAsia="宋体"/>
                <w:color w:val="auto"/>
                <w:lang w:val="en-US" w:eastAsia="zh-CN"/>
              </w:rPr>
            </w:pPr>
            <w:r>
              <w:rPr>
                <w:b/>
                <w:bCs/>
                <w:snapToGrid w:val="0"/>
                <w:color w:val="auto"/>
                <w:kern w:val="0"/>
              </w:rPr>
              <w:t>2.2.6</w:t>
            </w:r>
            <w:r>
              <w:rPr>
                <w:rFonts w:hint="eastAsia"/>
                <w:b/>
                <w:bCs/>
                <w:snapToGrid w:val="0"/>
                <w:color w:val="auto"/>
                <w:kern w:val="0"/>
                <w:lang w:val="en-US" w:eastAsia="zh-CN"/>
              </w:rPr>
              <w:t>项目占地情况及土石方处置</w:t>
            </w:r>
          </w:p>
          <w:p w14:paraId="3E7DDD75">
            <w:pPr>
              <w:ind w:firstLine="480"/>
              <w:rPr>
                <w:rFonts w:hint="default" w:eastAsia="宋体"/>
                <w:color w:val="auto"/>
                <w:lang w:val="en-US" w:eastAsia="zh-CN"/>
              </w:rPr>
            </w:pPr>
            <w:r>
              <w:rPr>
                <w:rFonts w:hint="eastAsia"/>
                <w:color w:val="auto"/>
                <w:lang w:val="en-US" w:eastAsia="zh-CN"/>
              </w:rPr>
              <w:t>项目不涉及永久占地，项目临时占地面积为4.8849公顷，其中占耕地面积为4.5198；占水域及水利设施用地面积为0.3651公顷，未占用基本农田及生态红线。临时用地使用期限为3年8个月（2024年4月26日至2027年12月25日），临时用地主要用途为临时办公用房、生活用房、材料堆场、拌和站、运输便道（具体见附件4及附件5），项目区土石方挖填平衡，不外运填埋。</w:t>
            </w:r>
          </w:p>
          <w:p w14:paraId="07580AB8">
            <w:pPr>
              <w:ind w:firstLine="482"/>
              <w:rPr>
                <w:b/>
                <w:bCs/>
                <w:snapToGrid w:val="0"/>
                <w:color w:val="auto"/>
                <w:kern w:val="0"/>
              </w:rPr>
            </w:pPr>
            <w:r>
              <w:rPr>
                <w:b/>
                <w:bCs/>
                <w:snapToGrid w:val="0"/>
                <w:color w:val="auto"/>
                <w:kern w:val="0"/>
              </w:rPr>
              <w:t>2.2.</w:t>
            </w:r>
            <w:r>
              <w:rPr>
                <w:rFonts w:hint="eastAsia"/>
                <w:b/>
                <w:bCs/>
                <w:snapToGrid w:val="0"/>
                <w:color w:val="auto"/>
                <w:kern w:val="0"/>
                <w:lang w:val="en-US" w:eastAsia="zh-CN"/>
              </w:rPr>
              <w:t>7</w:t>
            </w:r>
            <w:r>
              <w:rPr>
                <w:b/>
                <w:snapToGrid w:val="0"/>
                <w:color w:val="auto"/>
                <w:kern w:val="0"/>
              </w:rPr>
              <w:t>项目实施计划和进度要求</w:t>
            </w:r>
          </w:p>
          <w:p w14:paraId="39F82351">
            <w:pPr>
              <w:ind w:firstLine="480"/>
              <w:rPr>
                <w:rFonts w:hint="default" w:hAnsi="宋体" w:eastAsia="宋体"/>
                <w:bCs/>
                <w:color w:val="auto"/>
                <w:lang w:val="en-US" w:eastAsia="zh-CN"/>
              </w:rPr>
            </w:pPr>
            <w:r>
              <w:rPr>
                <w:rFonts w:hint="eastAsia"/>
                <w:color w:val="auto"/>
              </w:rPr>
              <w:t>本项目</w:t>
            </w:r>
            <w:r>
              <w:rPr>
                <w:rFonts w:hint="eastAsia"/>
                <w:color w:val="auto"/>
                <w:lang w:val="en-US" w:eastAsia="zh-CN"/>
              </w:rPr>
              <w:t>开工时间为2024年5月，主体工程、辅助工程基本建设完成，后续对环保工程加以完善后预计2024年12月完成投入运营。</w:t>
            </w:r>
          </w:p>
          <w:p w14:paraId="1366D1AB">
            <w:pPr>
              <w:pStyle w:val="33"/>
              <w:adjustRightInd/>
              <w:spacing w:line="360" w:lineRule="auto"/>
              <w:ind w:firstLine="482" w:firstLineChars="200"/>
              <w:rPr>
                <w:b/>
                <w:bCs/>
                <w:color w:val="auto"/>
                <w:szCs w:val="24"/>
              </w:rPr>
            </w:pPr>
          </w:p>
          <w:p w14:paraId="28A7B324">
            <w:pPr>
              <w:pStyle w:val="33"/>
              <w:adjustRightInd/>
              <w:spacing w:line="360" w:lineRule="auto"/>
              <w:ind w:firstLine="482" w:firstLineChars="200"/>
              <w:rPr>
                <w:b/>
                <w:bCs/>
                <w:color w:val="auto"/>
                <w:szCs w:val="24"/>
              </w:rPr>
            </w:pPr>
          </w:p>
          <w:p w14:paraId="737B56ED">
            <w:pPr>
              <w:pStyle w:val="33"/>
              <w:adjustRightInd/>
              <w:spacing w:line="360" w:lineRule="auto"/>
              <w:ind w:firstLine="482" w:firstLineChars="200"/>
              <w:rPr>
                <w:b/>
                <w:bCs/>
                <w:color w:val="auto"/>
              </w:rPr>
            </w:pPr>
            <w:r>
              <w:rPr>
                <w:b/>
                <w:bCs/>
                <w:color w:val="auto"/>
                <w:szCs w:val="24"/>
              </w:rPr>
              <w:t>2</w:t>
            </w:r>
            <w:r>
              <w:rPr>
                <w:rFonts w:hint="eastAsia"/>
                <w:b/>
                <w:bCs/>
                <w:color w:val="auto"/>
                <w:szCs w:val="24"/>
              </w:rPr>
              <w:t>.</w:t>
            </w:r>
            <w:r>
              <w:rPr>
                <w:b/>
                <w:bCs/>
                <w:color w:val="auto"/>
                <w:szCs w:val="24"/>
              </w:rPr>
              <w:t>2</w:t>
            </w:r>
            <w:r>
              <w:rPr>
                <w:rFonts w:hint="eastAsia"/>
                <w:b/>
                <w:bCs/>
                <w:color w:val="auto"/>
                <w:szCs w:val="24"/>
              </w:rPr>
              <w:t>.</w:t>
            </w:r>
            <w:r>
              <w:rPr>
                <w:rFonts w:hint="eastAsia"/>
                <w:b/>
                <w:bCs/>
                <w:color w:val="auto"/>
                <w:szCs w:val="24"/>
                <w:lang w:val="en-US" w:eastAsia="zh-CN"/>
              </w:rPr>
              <w:t>8</w:t>
            </w:r>
            <w:r>
              <w:rPr>
                <w:b/>
                <w:bCs/>
                <w:color w:val="auto"/>
              </w:rPr>
              <w:t>工作天数和劳动定员</w:t>
            </w:r>
          </w:p>
          <w:p w14:paraId="09221D57">
            <w:pPr>
              <w:ind w:firstLine="480"/>
              <w:rPr>
                <w:color w:val="auto"/>
              </w:rPr>
            </w:pPr>
            <w:r>
              <w:rPr>
                <w:color w:val="auto"/>
              </w:rPr>
              <w:t>工作天数：全年生产天数为</w:t>
            </w:r>
            <w:r>
              <w:rPr>
                <w:rFonts w:hint="eastAsia"/>
                <w:color w:val="auto"/>
              </w:rPr>
              <w:t>300</w:t>
            </w:r>
            <w:r>
              <w:rPr>
                <w:color w:val="auto"/>
              </w:rPr>
              <w:t>天，</w:t>
            </w:r>
            <w:r>
              <w:rPr>
                <w:rFonts w:hint="eastAsia"/>
                <w:color w:val="auto"/>
              </w:rPr>
              <w:t>2</w:t>
            </w:r>
            <w:r>
              <w:rPr>
                <w:color w:val="auto"/>
              </w:rPr>
              <w:t>班制，每班</w:t>
            </w:r>
            <w:r>
              <w:rPr>
                <w:rFonts w:hint="eastAsia"/>
                <w:color w:val="auto"/>
              </w:rPr>
              <w:t>12</w:t>
            </w:r>
            <w:r>
              <w:rPr>
                <w:color w:val="auto"/>
              </w:rPr>
              <w:t>小时，全年工作</w:t>
            </w:r>
            <w:r>
              <w:rPr>
                <w:rFonts w:hint="eastAsia"/>
                <w:color w:val="auto"/>
              </w:rPr>
              <w:t>7200</w:t>
            </w:r>
            <w:r>
              <w:rPr>
                <w:color w:val="auto"/>
              </w:rPr>
              <w:t>小时。</w:t>
            </w:r>
          </w:p>
          <w:p w14:paraId="7E4E1EF2">
            <w:pPr>
              <w:ind w:firstLine="480"/>
              <w:rPr>
                <w:color w:val="auto"/>
              </w:rPr>
            </w:pPr>
            <w:r>
              <w:rPr>
                <w:color w:val="auto"/>
              </w:rPr>
              <w:t>劳动定员：</w:t>
            </w:r>
            <w:r>
              <w:rPr>
                <w:rFonts w:hint="eastAsia"/>
                <w:color w:val="auto"/>
              </w:rPr>
              <w:t>全厂劳动定员共计78人，其中工人60人，管理人员18人</w:t>
            </w:r>
            <w:r>
              <w:rPr>
                <w:color w:val="auto"/>
              </w:rPr>
              <w:t>。</w:t>
            </w:r>
          </w:p>
          <w:p w14:paraId="56BA5394">
            <w:pPr>
              <w:ind w:firstLine="482"/>
              <w:rPr>
                <w:b/>
                <w:color w:val="auto"/>
              </w:rPr>
            </w:pPr>
            <w:r>
              <w:rPr>
                <w:rFonts w:hint="eastAsia"/>
                <w:b/>
                <w:color w:val="auto"/>
              </w:rPr>
              <w:t>2.2.</w:t>
            </w:r>
            <w:r>
              <w:rPr>
                <w:rFonts w:hint="eastAsia"/>
                <w:b/>
                <w:color w:val="auto"/>
                <w:lang w:val="en-US" w:eastAsia="zh-CN"/>
              </w:rPr>
              <w:t>9</w:t>
            </w:r>
            <w:r>
              <w:rPr>
                <w:rFonts w:hint="eastAsia"/>
                <w:b/>
                <w:color w:val="auto"/>
              </w:rPr>
              <w:t>项目总平面布置</w:t>
            </w:r>
          </w:p>
          <w:p w14:paraId="16AA45FB">
            <w:pPr>
              <w:ind w:firstLine="480"/>
              <w:rPr>
                <w:rFonts w:hint="eastAsia"/>
                <w:color w:val="auto"/>
              </w:rPr>
            </w:pPr>
            <w:r>
              <w:rPr>
                <w:rFonts w:hint="eastAsia"/>
                <w:color w:val="auto"/>
              </w:rPr>
              <w:t>本项目位于云南省昆明市寻甸回族彝族自治县仁德街道，总占地面积约48849m</w:t>
            </w:r>
            <w:r>
              <w:rPr>
                <w:rFonts w:hint="eastAsia"/>
                <w:color w:val="auto"/>
                <w:vertAlign w:val="superscript"/>
              </w:rPr>
              <w:t>2</w:t>
            </w:r>
            <w:r>
              <w:rPr>
                <w:rFonts w:hint="eastAsia"/>
                <w:color w:val="auto"/>
              </w:rPr>
              <w:t>，新建1栋生产车间、1个储料仓（分6个仓）、1个搅拌站、1个成品养护车间、1个工人区、1个试验区、1个办公生活区、1个存枕区和1个备料区以及其他配套服务设施。</w:t>
            </w:r>
          </w:p>
          <w:p w14:paraId="60D28A3B">
            <w:pPr>
              <w:ind w:firstLine="480"/>
              <w:rPr>
                <w:rFonts w:hint="eastAsia"/>
                <w:bCs/>
                <w:color w:val="auto"/>
              </w:rPr>
            </w:pPr>
            <w:r>
              <w:rPr>
                <w:rFonts w:hint="eastAsia"/>
                <w:bCs/>
                <w:color w:val="auto"/>
              </w:rPr>
              <w:t>功能布局上生产车间位于地块北部，储料仓</w:t>
            </w:r>
            <w:r>
              <w:rPr>
                <w:rFonts w:hint="eastAsia"/>
                <w:bCs/>
                <w:color w:val="auto"/>
                <w:lang w:eastAsia="zh-CN"/>
              </w:rPr>
              <w:t>位于</w:t>
            </w:r>
            <w:r>
              <w:rPr>
                <w:rFonts w:hint="eastAsia"/>
                <w:bCs/>
                <w:color w:val="auto"/>
              </w:rPr>
              <w:t>生产车间东侧，搅拌站位于生产车</w:t>
            </w:r>
            <w:r>
              <w:rPr>
                <w:rFonts w:hint="eastAsia"/>
                <w:bCs/>
                <w:color w:val="auto"/>
                <w:lang w:val="en-US" w:eastAsia="zh-CN"/>
              </w:rPr>
              <w:t>间东南侧紧邻处</w:t>
            </w:r>
            <w:r>
              <w:rPr>
                <w:rFonts w:hint="eastAsia"/>
                <w:bCs/>
                <w:color w:val="auto"/>
              </w:rPr>
              <w:t>，方便上料和卸料，成品养护车间位于项目区西部、生产车间西南</w:t>
            </w:r>
            <w:r>
              <w:rPr>
                <w:rFonts w:hint="eastAsia"/>
                <w:bCs/>
                <w:color w:val="auto"/>
                <w:lang w:eastAsia="zh-CN"/>
              </w:rPr>
              <w:t>侧</w:t>
            </w:r>
            <w:r>
              <w:rPr>
                <w:rFonts w:hint="eastAsia"/>
                <w:bCs/>
                <w:color w:val="auto"/>
              </w:rPr>
              <w:t>，工人区、办公生活区均位于项目区</w:t>
            </w:r>
            <w:r>
              <w:rPr>
                <w:rFonts w:hint="eastAsia"/>
                <w:bCs/>
                <w:color w:val="auto"/>
                <w:lang w:val="en-US" w:eastAsia="zh-CN"/>
              </w:rPr>
              <w:t>东北部</w:t>
            </w:r>
            <w:r>
              <w:rPr>
                <w:rFonts w:hint="eastAsia"/>
                <w:bCs/>
                <w:color w:val="auto"/>
              </w:rPr>
              <w:t>，</w:t>
            </w:r>
            <w:r>
              <w:rPr>
                <w:rFonts w:hint="eastAsia"/>
                <w:bCs/>
                <w:color w:val="auto"/>
                <w:lang w:val="en-US" w:eastAsia="zh-CN"/>
              </w:rPr>
              <w:t>试验区位于生产车间南侧紧邻，</w:t>
            </w:r>
            <w:r>
              <w:rPr>
                <w:rFonts w:hint="eastAsia"/>
                <w:bCs/>
                <w:color w:val="auto"/>
              </w:rPr>
              <w:t>存枕区位于项目区</w:t>
            </w:r>
            <w:r>
              <w:rPr>
                <w:rFonts w:hint="eastAsia"/>
                <w:bCs/>
                <w:color w:val="auto"/>
                <w:lang w:val="en-US" w:eastAsia="zh-CN"/>
              </w:rPr>
              <w:t>中部</w:t>
            </w:r>
            <w:r>
              <w:rPr>
                <w:rFonts w:hint="eastAsia"/>
                <w:bCs/>
                <w:color w:val="auto"/>
              </w:rPr>
              <w:t>、备料区位于项目区东北部，场地主要车行出入口沿项目区中间规划道路上设置。在满足生产的同时，做到道路顺畅有序，纵横主干道贯穿厂区，构成环状路网，各路相通；在厂区东侧设置出入口，形成环形消防通道。厂区道路采用水泥混凝土路面，宽度为4米-20米，转弯半径为9米，满足消防车及生产车辆通行要求。</w:t>
            </w:r>
          </w:p>
          <w:p w14:paraId="7568F7FA">
            <w:pPr>
              <w:ind w:firstLine="480"/>
              <w:rPr>
                <w:rFonts w:hint="eastAsia"/>
                <w:bCs/>
                <w:color w:val="auto"/>
              </w:rPr>
            </w:pPr>
            <w:r>
              <w:rPr>
                <w:rFonts w:hint="eastAsia"/>
                <w:bCs/>
                <w:color w:val="auto"/>
              </w:rPr>
              <w:t>项目出入口与入场便道连接项目区北部易白公路，均满足消防车通行与作业要求。厂区内道路</w:t>
            </w:r>
            <w:r>
              <w:rPr>
                <w:rFonts w:hint="eastAsia"/>
                <w:bCs/>
                <w:color w:val="auto"/>
                <w:lang w:val="en-US" w:eastAsia="zh-CN"/>
              </w:rPr>
              <w:t>采用混凝土硬化路面</w:t>
            </w:r>
            <w:r>
              <w:rPr>
                <w:rFonts w:hint="eastAsia"/>
                <w:bCs/>
                <w:color w:val="auto"/>
              </w:rPr>
              <w:t>、碎石基层、素土夯实的做法，不同荷载区域采用不同厚度构造，以满足运输和消防车辆通行的需要。</w:t>
            </w:r>
          </w:p>
          <w:p w14:paraId="0A748EC5">
            <w:pPr>
              <w:ind w:firstLine="480"/>
              <w:rPr>
                <w:rFonts w:hint="eastAsia"/>
                <w:bCs/>
                <w:color w:val="auto"/>
              </w:rPr>
            </w:pPr>
            <w:r>
              <w:rPr>
                <w:rFonts w:hint="eastAsia"/>
                <w:bCs/>
                <w:color w:val="auto"/>
              </w:rPr>
              <w:t>本厂区绿化设计与周边绿化规划保持一致，结合厂区内排洪渠走向。在厂区道路两侧以灌木相结合的方式进行绿化；辅助用房、生产车间周围种植除尘抗噪性较强的树种、植被，以改善厂区环境。</w:t>
            </w:r>
          </w:p>
          <w:p w14:paraId="0910AB23">
            <w:pPr>
              <w:ind w:firstLine="482"/>
              <w:rPr>
                <w:b/>
                <w:color w:val="auto"/>
              </w:rPr>
            </w:pPr>
            <w:r>
              <w:rPr>
                <w:rFonts w:hint="eastAsia"/>
                <w:b/>
                <w:color w:val="auto"/>
              </w:rPr>
              <w:t>2.2.</w:t>
            </w:r>
            <w:r>
              <w:rPr>
                <w:rFonts w:hint="eastAsia"/>
                <w:b/>
                <w:color w:val="auto"/>
                <w:lang w:val="en-US" w:eastAsia="zh-CN"/>
              </w:rPr>
              <w:t>10</w:t>
            </w:r>
            <w:r>
              <w:rPr>
                <w:rFonts w:hint="eastAsia"/>
                <w:b/>
                <w:color w:val="auto"/>
              </w:rPr>
              <w:t>水平衡</w:t>
            </w:r>
          </w:p>
          <w:p w14:paraId="4E5BF055">
            <w:pPr>
              <w:pStyle w:val="10"/>
              <w:spacing w:after="0" w:line="360" w:lineRule="auto"/>
              <w:ind w:left="120" w:leftChars="50" w:firstLine="480"/>
              <w:rPr>
                <w:b/>
                <w:bCs/>
                <w:color w:val="auto"/>
              </w:rPr>
            </w:pPr>
            <w:r>
              <w:rPr>
                <w:color w:val="auto"/>
              </w:rPr>
              <w:t>废水产生及排放情况如表</w:t>
            </w:r>
            <w:r>
              <w:rPr>
                <w:rFonts w:hint="eastAsia"/>
                <w:color w:val="auto"/>
                <w:lang w:val="en-US" w:eastAsia="zh-CN"/>
              </w:rPr>
              <w:t>2-4</w:t>
            </w:r>
            <w:r>
              <w:rPr>
                <w:color w:val="auto"/>
              </w:rPr>
              <w:t>所示。</w:t>
            </w:r>
          </w:p>
          <w:p w14:paraId="6BE7C5BC">
            <w:pPr>
              <w:pStyle w:val="29"/>
              <w:spacing w:before="24" w:after="24"/>
              <w:rPr>
                <w:color w:val="auto"/>
              </w:rPr>
            </w:pPr>
            <w:r>
              <w:rPr>
                <w:color w:val="auto"/>
              </w:rPr>
              <w:t>表</w:t>
            </w:r>
            <w:r>
              <w:rPr>
                <w:rFonts w:hint="eastAsia"/>
                <w:color w:val="auto"/>
                <w:lang w:val="en-US" w:eastAsia="zh-CN"/>
              </w:rPr>
              <w:t>2-4</w:t>
            </w:r>
            <w:r>
              <w:rPr>
                <w:color w:val="auto"/>
              </w:rPr>
              <w:t>项目废水产生及排放情况</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4"/>
              <w:gridCol w:w="331"/>
              <w:gridCol w:w="545"/>
              <w:gridCol w:w="750"/>
              <w:gridCol w:w="1036"/>
              <w:gridCol w:w="827"/>
              <w:gridCol w:w="1157"/>
              <w:gridCol w:w="827"/>
              <w:gridCol w:w="937"/>
              <w:gridCol w:w="1645"/>
            </w:tblGrid>
            <w:tr w14:paraId="5A654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4" w:hRule="atLeast"/>
                <w:jc w:val="center"/>
              </w:trPr>
              <w:tc>
                <w:tcPr>
                  <w:tcW w:w="776" w:type="pct"/>
                  <w:gridSpan w:val="3"/>
                  <w:vMerge w:val="restart"/>
                  <w:noWrap w:val="0"/>
                  <w:vAlign w:val="center"/>
                </w:tcPr>
                <w:p w14:paraId="51A7C38F">
                  <w:pPr>
                    <w:pStyle w:val="28"/>
                    <w:rPr>
                      <w:b/>
                      <w:bCs/>
                      <w:color w:val="auto"/>
                    </w:rPr>
                  </w:pPr>
                  <w:r>
                    <w:rPr>
                      <w:b/>
                      <w:bCs/>
                      <w:color w:val="auto"/>
                    </w:rPr>
                    <w:t>用水项目</w:t>
                  </w:r>
                </w:p>
              </w:tc>
              <w:tc>
                <w:tcPr>
                  <w:tcW w:w="441" w:type="pct"/>
                  <w:vMerge w:val="restart"/>
                  <w:noWrap w:val="0"/>
                  <w:vAlign w:val="center"/>
                </w:tcPr>
                <w:p w14:paraId="4C49A39C">
                  <w:pPr>
                    <w:pStyle w:val="28"/>
                    <w:rPr>
                      <w:b/>
                      <w:bCs/>
                      <w:color w:val="auto"/>
                    </w:rPr>
                  </w:pPr>
                  <w:r>
                    <w:rPr>
                      <w:b/>
                      <w:bCs/>
                      <w:color w:val="auto"/>
                    </w:rPr>
                    <w:t>用水规模</w:t>
                  </w:r>
                </w:p>
              </w:tc>
              <w:tc>
                <w:tcPr>
                  <w:tcW w:w="609" w:type="pct"/>
                  <w:vMerge w:val="restart"/>
                  <w:noWrap w:val="0"/>
                  <w:vAlign w:val="center"/>
                </w:tcPr>
                <w:p w14:paraId="1850DF8C">
                  <w:pPr>
                    <w:pStyle w:val="28"/>
                    <w:rPr>
                      <w:b/>
                      <w:bCs/>
                      <w:color w:val="auto"/>
                    </w:rPr>
                  </w:pPr>
                  <w:r>
                    <w:rPr>
                      <w:b/>
                      <w:bCs/>
                      <w:color w:val="auto"/>
                    </w:rPr>
                    <w:t>用水</w:t>
                  </w:r>
                </w:p>
                <w:p w14:paraId="1ECA2E84">
                  <w:pPr>
                    <w:pStyle w:val="28"/>
                    <w:rPr>
                      <w:b/>
                      <w:bCs/>
                      <w:color w:val="auto"/>
                    </w:rPr>
                  </w:pPr>
                  <w:r>
                    <w:rPr>
                      <w:b/>
                      <w:bCs/>
                      <w:color w:val="auto"/>
                    </w:rPr>
                    <w:t>定额</w:t>
                  </w:r>
                </w:p>
              </w:tc>
              <w:tc>
                <w:tcPr>
                  <w:tcW w:w="1167" w:type="pct"/>
                  <w:gridSpan w:val="2"/>
                  <w:noWrap w:val="0"/>
                  <w:vAlign w:val="center"/>
                </w:tcPr>
                <w:p w14:paraId="1F722A49">
                  <w:pPr>
                    <w:pStyle w:val="28"/>
                    <w:rPr>
                      <w:rFonts w:hint="eastAsia"/>
                      <w:b/>
                      <w:bCs/>
                      <w:color w:val="auto"/>
                    </w:rPr>
                  </w:pPr>
                  <w:r>
                    <w:rPr>
                      <w:b/>
                      <w:bCs/>
                      <w:color w:val="auto"/>
                    </w:rPr>
                    <w:t>用水量</w:t>
                  </w:r>
                </w:p>
              </w:tc>
              <w:tc>
                <w:tcPr>
                  <w:tcW w:w="1037" w:type="pct"/>
                  <w:gridSpan w:val="2"/>
                  <w:noWrap w:val="0"/>
                  <w:vAlign w:val="center"/>
                </w:tcPr>
                <w:p w14:paraId="3C47C1D2">
                  <w:pPr>
                    <w:pStyle w:val="28"/>
                    <w:rPr>
                      <w:b/>
                      <w:bCs/>
                      <w:color w:val="auto"/>
                    </w:rPr>
                  </w:pPr>
                  <w:r>
                    <w:rPr>
                      <w:b/>
                      <w:bCs/>
                      <w:color w:val="auto"/>
                    </w:rPr>
                    <w:t>污水量</w:t>
                  </w:r>
                </w:p>
              </w:tc>
              <w:tc>
                <w:tcPr>
                  <w:tcW w:w="967" w:type="pct"/>
                  <w:vMerge w:val="restart"/>
                  <w:noWrap w:val="0"/>
                  <w:vAlign w:val="center"/>
                </w:tcPr>
                <w:p w14:paraId="7B544FAD">
                  <w:pPr>
                    <w:pStyle w:val="28"/>
                    <w:rPr>
                      <w:b/>
                      <w:bCs/>
                      <w:color w:val="auto"/>
                    </w:rPr>
                  </w:pPr>
                  <w:r>
                    <w:rPr>
                      <w:rFonts w:hint="eastAsia"/>
                      <w:b/>
                      <w:bCs/>
                      <w:color w:val="auto"/>
                    </w:rPr>
                    <w:t>处置方式</w:t>
                  </w:r>
                </w:p>
              </w:tc>
            </w:tr>
            <w:tr w14:paraId="32CE5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776" w:type="pct"/>
                  <w:gridSpan w:val="3"/>
                  <w:vMerge w:val="continue"/>
                  <w:noWrap w:val="0"/>
                  <w:vAlign w:val="center"/>
                </w:tcPr>
                <w:p w14:paraId="69D73DB6">
                  <w:pPr>
                    <w:pStyle w:val="28"/>
                    <w:rPr>
                      <w:b/>
                      <w:bCs/>
                      <w:color w:val="auto"/>
                    </w:rPr>
                  </w:pPr>
                </w:p>
              </w:tc>
              <w:tc>
                <w:tcPr>
                  <w:tcW w:w="441" w:type="pct"/>
                  <w:vMerge w:val="continue"/>
                  <w:noWrap w:val="0"/>
                  <w:vAlign w:val="center"/>
                </w:tcPr>
                <w:p w14:paraId="39D17126">
                  <w:pPr>
                    <w:pStyle w:val="28"/>
                    <w:rPr>
                      <w:b/>
                      <w:bCs/>
                      <w:color w:val="auto"/>
                    </w:rPr>
                  </w:pPr>
                </w:p>
              </w:tc>
              <w:tc>
                <w:tcPr>
                  <w:tcW w:w="609" w:type="pct"/>
                  <w:vMerge w:val="continue"/>
                  <w:noWrap w:val="0"/>
                  <w:vAlign w:val="center"/>
                </w:tcPr>
                <w:p w14:paraId="11EE1000">
                  <w:pPr>
                    <w:pStyle w:val="28"/>
                    <w:rPr>
                      <w:b/>
                      <w:bCs/>
                      <w:color w:val="auto"/>
                    </w:rPr>
                  </w:pPr>
                </w:p>
              </w:tc>
              <w:tc>
                <w:tcPr>
                  <w:tcW w:w="486" w:type="pct"/>
                  <w:noWrap w:val="0"/>
                  <w:vAlign w:val="center"/>
                </w:tcPr>
                <w:p w14:paraId="722A0BB0">
                  <w:pPr>
                    <w:pStyle w:val="28"/>
                    <w:rPr>
                      <w:b/>
                      <w:bCs/>
                      <w:color w:val="auto"/>
                    </w:rPr>
                  </w:pPr>
                  <w:r>
                    <w:rPr>
                      <w:rFonts w:hint="eastAsia"/>
                      <w:b/>
                      <w:bCs/>
                      <w:color w:val="auto"/>
                    </w:rPr>
                    <w:t>m</w:t>
                  </w:r>
                  <w:r>
                    <w:rPr>
                      <w:rFonts w:hint="eastAsia"/>
                      <w:b/>
                      <w:bCs/>
                      <w:color w:val="auto"/>
                      <w:vertAlign w:val="superscript"/>
                    </w:rPr>
                    <w:t>3</w:t>
                  </w:r>
                  <w:r>
                    <w:rPr>
                      <w:rFonts w:hint="eastAsia"/>
                      <w:b/>
                      <w:bCs/>
                      <w:color w:val="auto"/>
                    </w:rPr>
                    <w:t>/d</w:t>
                  </w:r>
                </w:p>
              </w:tc>
              <w:tc>
                <w:tcPr>
                  <w:tcW w:w="680" w:type="pct"/>
                  <w:noWrap w:val="0"/>
                  <w:vAlign w:val="center"/>
                </w:tcPr>
                <w:p w14:paraId="29E608B4">
                  <w:pPr>
                    <w:pStyle w:val="28"/>
                    <w:rPr>
                      <w:b/>
                      <w:bCs/>
                      <w:color w:val="auto"/>
                    </w:rPr>
                  </w:pPr>
                  <w:r>
                    <w:rPr>
                      <w:rFonts w:hint="eastAsia"/>
                      <w:b/>
                      <w:bCs/>
                      <w:color w:val="auto"/>
                    </w:rPr>
                    <w:t>m</w:t>
                  </w:r>
                  <w:r>
                    <w:rPr>
                      <w:rFonts w:hint="eastAsia"/>
                      <w:b/>
                      <w:bCs/>
                      <w:color w:val="auto"/>
                      <w:vertAlign w:val="superscript"/>
                    </w:rPr>
                    <w:t>3</w:t>
                  </w:r>
                  <w:r>
                    <w:rPr>
                      <w:rFonts w:hint="eastAsia"/>
                      <w:b/>
                      <w:bCs/>
                      <w:color w:val="auto"/>
                    </w:rPr>
                    <w:t>/a</w:t>
                  </w:r>
                </w:p>
              </w:tc>
              <w:tc>
                <w:tcPr>
                  <w:tcW w:w="486" w:type="pct"/>
                  <w:noWrap w:val="0"/>
                  <w:vAlign w:val="center"/>
                </w:tcPr>
                <w:p w14:paraId="378EE4DA">
                  <w:pPr>
                    <w:pStyle w:val="28"/>
                    <w:rPr>
                      <w:b/>
                      <w:bCs/>
                      <w:color w:val="auto"/>
                    </w:rPr>
                  </w:pPr>
                  <w:r>
                    <w:rPr>
                      <w:rFonts w:hint="eastAsia"/>
                      <w:b/>
                      <w:bCs/>
                      <w:color w:val="auto"/>
                    </w:rPr>
                    <w:t>m</w:t>
                  </w:r>
                  <w:r>
                    <w:rPr>
                      <w:rFonts w:hint="eastAsia"/>
                      <w:b/>
                      <w:bCs/>
                      <w:color w:val="auto"/>
                      <w:vertAlign w:val="superscript"/>
                    </w:rPr>
                    <w:t>3</w:t>
                  </w:r>
                  <w:r>
                    <w:rPr>
                      <w:rFonts w:hint="eastAsia"/>
                      <w:b/>
                      <w:bCs/>
                      <w:color w:val="auto"/>
                    </w:rPr>
                    <w:t>/d</w:t>
                  </w:r>
                </w:p>
              </w:tc>
              <w:tc>
                <w:tcPr>
                  <w:tcW w:w="551" w:type="pct"/>
                  <w:noWrap w:val="0"/>
                  <w:vAlign w:val="center"/>
                </w:tcPr>
                <w:p w14:paraId="6342D3C4">
                  <w:pPr>
                    <w:pStyle w:val="28"/>
                    <w:rPr>
                      <w:b/>
                      <w:bCs/>
                      <w:color w:val="auto"/>
                    </w:rPr>
                  </w:pPr>
                  <w:r>
                    <w:rPr>
                      <w:rFonts w:hint="eastAsia"/>
                      <w:b/>
                      <w:bCs/>
                      <w:color w:val="auto"/>
                    </w:rPr>
                    <w:t>m</w:t>
                  </w:r>
                  <w:r>
                    <w:rPr>
                      <w:rFonts w:hint="eastAsia"/>
                      <w:b/>
                      <w:bCs/>
                      <w:color w:val="auto"/>
                      <w:vertAlign w:val="superscript"/>
                    </w:rPr>
                    <w:t>3</w:t>
                  </w:r>
                  <w:r>
                    <w:rPr>
                      <w:rFonts w:hint="eastAsia"/>
                      <w:b/>
                      <w:bCs/>
                      <w:color w:val="auto"/>
                    </w:rPr>
                    <w:t>/a</w:t>
                  </w:r>
                </w:p>
              </w:tc>
              <w:tc>
                <w:tcPr>
                  <w:tcW w:w="967" w:type="pct"/>
                  <w:vMerge w:val="continue"/>
                  <w:noWrap w:val="0"/>
                  <w:vAlign w:val="center"/>
                </w:tcPr>
                <w:p w14:paraId="2F9ED434">
                  <w:pPr>
                    <w:pStyle w:val="28"/>
                    <w:rPr>
                      <w:rFonts w:hint="eastAsia"/>
                      <w:b/>
                      <w:bCs/>
                      <w:color w:val="auto"/>
                    </w:rPr>
                  </w:pPr>
                </w:p>
              </w:tc>
            </w:tr>
            <w:tr w14:paraId="7F6FE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7" w:hRule="atLeast"/>
                <w:jc w:val="center"/>
              </w:trPr>
              <w:tc>
                <w:tcPr>
                  <w:tcW w:w="261" w:type="pct"/>
                  <w:vMerge w:val="restart"/>
                  <w:noWrap w:val="0"/>
                  <w:vAlign w:val="center"/>
                </w:tcPr>
                <w:p w14:paraId="259D1AE3">
                  <w:pPr>
                    <w:pStyle w:val="28"/>
                    <w:rPr>
                      <w:color w:val="auto"/>
                    </w:rPr>
                  </w:pPr>
                  <w:r>
                    <w:rPr>
                      <w:color w:val="auto"/>
                    </w:rPr>
                    <w:t>生活污水</w:t>
                  </w:r>
                </w:p>
              </w:tc>
              <w:tc>
                <w:tcPr>
                  <w:tcW w:w="515" w:type="pct"/>
                  <w:gridSpan w:val="2"/>
                  <w:noWrap w:val="0"/>
                  <w:vAlign w:val="center"/>
                </w:tcPr>
                <w:p w14:paraId="67215F02">
                  <w:pPr>
                    <w:pStyle w:val="28"/>
                    <w:rPr>
                      <w:color w:val="auto"/>
                    </w:rPr>
                  </w:pPr>
                  <w:r>
                    <w:rPr>
                      <w:color w:val="auto"/>
                    </w:rPr>
                    <w:t>基本生活用水</w:t>
                  </w:r>
                </w:p>
              </w:tc>
              <w:tc>
                <w:tcPr>
                  <w:tcW w:w="441" w:type="pct"/>
                  <w:noWrap w:val="0"/>
                  <w:vAlign w:val="center"/>
                </w:tcPr>
                <w:p w14:paraId="132AB0A4">
                  <w:pPr>
                    <w:pStyle w:val="28"/>
                    <w:rPr>
                      <w:color w:val="auto"/>
                    </w:rPr>
                  </w:pPr>
                  <w:r>
                    <w:rPr>
                      <w:rFonts w:hint="eastAsia"/>
                      <w:color w:val="auto"/>
                      <w:lang w:val="en-US" w:eastAsia="zh-CN"/>
                    </w:rPr>
                    <w:t>78</w:t>
                  </w:r>
                  <w:r>
                    <w:rPr>
                      <w:color w:val="auto"/>
                    </w:rPr>
                    <w:t>人</w:t>
                  </w:r>
                </w:p>
              </w:tc>
              <w:tc>
                <w:tcPr>
                  <w:tcW w:w="609" w:type="pct"/>
                  <w:noWrap w:val="0"/>
                  <w:vAlign w:val="center"/>
                </w:tcPr>
                <w:p w14:paraId="4B530047">
                  <w:pPr>
                    <w:pStyle w:val="28"/>
                    <w:rPr>
                      <w:color w:val="auto"/>
                    </w:rPr>
                  </w:pPr>
                  <w:r>
                    <w:rPr>
                      <w:rFonts w:hint="eastAsia"/>
                      <w:color w:val="auto"/>
                    </w:rPr>
                    <w:t>8</w:t>
                  </w:r>
                  <w:r>
                    <w:rPr>
                      <w:color w:val="auto"/>
                    </w:rPr>
                    <w:t>0L/（人•d）</w:t>
                  </w:r>
                </w:p>
              </w:tc>
              <w:tc>
                <w:tcPr>
                  <w:tcW w:w="486" w:type="pct"/>
                  <w:noWrap w:val="0"/>
                  <w:vAlign w:val="center"/>
                </w:tcPr>
                <w:p w14:paraId="789FDF89">
                  <w:pPr>
                    <w:pStyle w:val="28"/>
                    <w:rPr>
                      <w:color w:val="auto"/>
                    </w:rPr>
                  </w:pPr>
                  <w:r>
                    <w:rPr>
                      <w:rFonts w:hint="eastAsia"/>
                      <w:color w:val="auto"/>
                    </w:rPr>
                    <w:t>6.24</w:t>
                  </w:r>
                </w:p>
              </w:tc>
              <w:tc>
                <w:tcPr>
                  <w:tcW w:w="680" w:type="pct"/>
                  <w:noWrap w:val="0"/>
                  <w:vAlign w:val="center"/>
                </w:tcPr>
                <w:p w14:paraId="72848BFB">
                  <w:pPr>
                    <w:pStyle w:val="28"/>
                    <w:rPr>
                      <w:color w:val="auto"/>
                    </w:rPr>
                  </w:pPr>
                  <w:r>
                    <w:rPr>
                      <w:rFonts w:hint="eastAsia"/>
                      <w:color w:val="auto"/>
                    </w:rPr>
                    <w:t>1872</w:t>
                  </w:r>
                </w:p>
              </w:tc>
              <w:tc>
                <w:tcPr>
                  <w:tcW w:w="486" w:type="pct"/>
                  <w:noWrap w:val="0"/>
                  <w:vAlign w:val="center"/>
                </w:tcPr>
                <w:p w14:paraId="4A77903D">
                  <w:pPr>
                    <w:pStyle w:val="28"/>
                    <w:rPr>
                      <w:color w:val="auto"/>
                    </w:rPr>
                  </w:pPr>
                  <w:r>
                    <w:rPr>
                      <w:rFonts w:hint="eastAsia"/>
                      <w:color w:val="auto"/>
                    </w:rPr>
                    <w:t>4.992</w:t>
                  </w:r>
                </w:p>
              </w:tc>
              <w:tc>
                <w:tcPr>
                  <w:tcW w:w="551" w:type="pct"/>
                  <w:noWrap w:val="0"/>
                  <w:vAlign w:val="center"/>
                </w:tcPr>
                <w:p w14:paraId="0D6D9288">
                  <w:pPr>
                    <w:pStyle w:val="28"/>
                    <w:rPr>
                      <w:color w:val="auto"/>
                    </w:rPr>
                  </w:pPr>
                  <w:r>
                    <w:rPr>
                      <w:rFonts w:hint="eastAsia"/>
                      <w:color w:val="auto"/>
                    </w:rPr>
                    <w:t>1497.6</w:t>
                  </w:r>
                </w:p>
              </w:tc>
              <w:tc>
                <w:tcPr>
                  <w:tcW w:w="967" w:type="pct"/>
                  <w:vMerge w:val="restart"/>
                  <w:noWrap w:val="0"/>
                  <w:vAlign w:val="center"/>
                </w:tcPr>
                <w:p w14:paraId="12169B5A">
                  <w:pPr>
                    <w:pStyle w:val="28"/>
                    <w:rPr>
                      <w:rFonts w:hint="default" w:eastAsia="宋体"/>
                      <w:color w:val="auto"/>
                      <w:lang w:val="en-US" w:eastAsia="zh-CN"/>
                    </w:rPr>
                  </w:pPr>
                  <w:r>
                    <w:rPr>
                      <w:rFonts w:hint="eastAsia"/>
                      <w:color w:val="auto"/>
                    </w:rPr>
                    <w:t>食堂废水和其他生活污水经</w:t>
                  </w:r>
                  <w:r>
                    <w:rPr>
                      <w:rFonts w:hint="eastAsia"/>
                      <w:color w:val="auto"/>
                      <w:lang w:eastAsia="zh-CN"/>
                    </w:rPr>
                    <w:t>油水分离器</w:t>
                  </w:r>
                  <w:r>
                    <w:rPr>
                      <w:rFonts w:hint="eastAsia"/>
                      <w:color w:val="auto"/>
                    </w:rPr>
                    <w:t>、化粪池处理后委托</w:t>
                  </w:r>
                  <w:r>
                    <w:rPr>
                      <w:rFonts w:hint="eastAsia"/>
                      <w:color w:val="auto"/>
                      <w:lang w:val="en-US" w:eastAsia="zh-CN"/>
                    </w:rPr>
                    <w:t>昆明洁龙保洁服务有限公司</w:t>
                  </w:r>
                  <w:r>
                    <w:rPr>
                      <w:rFonts w:hint="eastAsia"/>
                      <w:color w:val="auto"/>
                    </w:rPr>
                    <w:t>定期清掏</w:t>
                  </w:r>
                </w:p>
              </w:tc>
            </w:tr>
            <w:tr w14:paraId="0AA38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 w:type="pct"/>
                  <w:vMerge w:val="continue"/>
                  <w:noWrap w:val="0"/>
                  <w:vAlign w:val="center"/>
                </w:tcPr>
                <w:p w14:paraId="38E5AFB1">
                  <w:pPr>
                    <w:pStyle w:val="28"/>
                    <w:rPr>
                      <w:color w:val="auto"/>
                    </w:rPr>
                  </w:pPr>
                </w:p>
              </w:tc>
              <w:tc>
                <w:tcPr>
                  <w:tcW w:w="515" w:type="pct"/>
                  <w:gridSpan w:val="2"/>
                  <w:noWrap w:val="0"/>
                  <w:vAlign w:val="center"/>
                </w:tcPr>
                <w:p w14:paraId="01EFD519">
                  <w:pPr>
                    <w:pStyle w:val="28"/>
                    <w:rPr>
                      <w:color w:val="auto"/>
                    </w:rPr>
                  </w:pPr>
                  <w:r>
                    <w:rPr>
                      <w:color w:val="auto"/>
                    </w:rPr>
                    <w:t>食堂</w:t>
                  </w:r>
                </w:p>
              </w:tc>
              <w:tc>
                <w:tcPr>
                  <w:tcW w:w="441" w:type="pct"/>
                  <w:noWrap w:val="0"/>
                  <w:vAlign w:val="center"/>
                </w:tcPr>
                <w:p w14:paraId="6941BBB2">
                  <w:pPr>
                    <w:pStyle w:val="28"/>
                    <w:rPr>
                      <w:rFonts w:hint="default" w:eastAsia="宋体"/>
                      <w:color w:val="auto"/>
                      <w:lang w:val="en-US" w:eastAsia="zh-CN"/>
                    </w:rPr>
                  </w:pPr>
                  <w:r>
                    <w:rPr>
                      <w:rFonts w:hint="eastAsia"/>
                      <w:color w:val="auto"/>
                      <w:lang w:val="en-US" w:eastAsia="zh-CN"/>
                    </w:rPr>
                    <w:t>50人</w:t>
                  </w:r>
                </w:p>
              </w:tc>
              <w:tc>
                <w:tcPr>
                  <w:tcW w:w="609" w:type="pct"/>
                  <w:noWrap w:val="0"/>
                  <w:vAlign w:val="center"/>
                </w:tcPr>
                <w:p w14:paraId="18DF6CC6">
                  <w:pPr>
                    <w:pStyle w:val="28"/>
                    <w:rPr>
                      <w:color w:val="auto"/>
                    </w:rPr>
                  </w:pPr>
                  <w:r>
                    <w:rPr>
                      <w:rFonts w:hint="eastAsia"/>
                      <w:color w:val="auto"/>
                    </w:rPr>
                    <w:t>20</w:t>
                  </w:r>
                  <w:r>
                    <w:rPr>
                      <w:color w:val="auto"/>
                    </w:rPr>
                    <w:t>L/（人•d）</w:t>
                  </w:r>
                </w:p>
              </w:tc>
              <w:tc>
                <w:tcPr>
                  <w:tcW w:w="486" w:type="pct"/>
                  <w:noWrap w:val="0"/>
                  <w:vAlign w:val="center"/>
                </w:tcPr>
                <w:p w14:paraId="31700740">
                  <w:pPr>
                    <w:pStyle w:val="28"/>
                    <w:rPr>
                      <w:rFonts w:hint="eastAsia"/>
                      <w:color w:val="auto"/>
                    </w:rPr>
                  </w:pPr>
                  <w:r>
                    <w:rPr>
                      <w:rFonts w:hint="eastAsia"/>
                      <w:color w:val="auto"/>
                    </w:rPr>
                    <w:t>1.</w:t>
                  </w:r>
                  <w:r>
                    <w:rPr>
                      <w:rFonts w:hint="eastAsia"/>
                      <w:color w:val="auto"/>
                      <w:lang w:val="en-US" w:eastAsia="zh-CN"/>
                    </w:rPr>
                    <w:t>0</w:t>
                  </w:r>
                </w:p>
              </w:tc>
              <w:tc>
                <w:tcPr>
                  <w:tcW w:w="680" w:type="pct"/>
                  <w:noWrap w:val="0"/>
                  <w:vAlign w:val="center"/>
                </w:tcPr>
                <w:p w14:paraId="37F2BAB2">
                  <w:pPr>
                    <w:pStyle w:val="28"/>
                    <w:rPr>
                      <w:rFonts w:hint="default" w:eastAsia="宋体"/>
                      <w:color w:val="auto"/>
                      <w:lang w:val="en-US" w:eastAsia="zh-CN"/>
                    </w:rPr>
                  </w:pPr>
                  <w:r>
                    <w:rPr>
                      <w:rFonts w:hint="eastAsia"/>
                      <w:color w:val="auto"/>
                      <w:lang w:val="en-US" w:eastAsia="zh-CN"/>
                    </w:rPr>
                    <w:t>300</w:t>
                  </w:r>
                </w:p>
              </w:tc>
              <w:tc>
                <w:tcPr>
                  <w:tcW w:w="486" w:type="pct"/>
                  <w:noWrap w:val="0"/>
                  <w:vAlign w:val="center"/>
                </w:tcPr>
                <w:p w14:paraId="2BA134B5">
                  <w:pPr>
                    <w:pStyle w:val="28"/>
                    <w:rPr>
                      <w:rFonts w:hint="default" w:eastAsia="宋体"/>
                      <w:color w:val="auto"/>
                      <w:lang w:val="en-US" w:eastAsia="zh-CN"/>
                    </w:rPr>
                  </w:pPr>
                  <w:r>
                    <w:rPr>
                      <w:rFonts w:hint="eastAsia"/>
                      <w:color w:val="auto"/>
                      <w:lang w:val="en-US" w:eastAsia="zh-CN"/>
                    </w:rPr>
                    <w:t>0.8</w:t>
                  </w:r>
                </w:p>
              </w:tc>
              <w:tc>
                <w:tcPr>
                  <w:tcW w:w="551" w:type="pct"/>
                  <w:noWrap w:val="0"/>
                  <w:vAlign w:val="center"/>
                </w:tcPr>
                <w:p w14:paraId="26EA9867">
                  <w:pPr>
                    <w:pStyle w:val="28"/>
                    <w:rPr>
                      <w:rFonts w:hint="default" w:eastAsia="宋体"/>
                      <w:color w:val="auto"/>
                      <w:lang w:val="en-US" w:eastAsia="zh-CN"/>
                    </w:rPr>
                  </w:pPr>
                  <w:r>
                    <w:rPr>
                      <w:rFonts w:hint="eastAsia"/>
                      <w:color w:val="auto"/>
                      <w:lang w:val="en-US" w:eastAsia="zh-CN"/>
                    </w:rPr>
                    <w:t>240</w:t>
                  </w:r>
                </w:p>
              </w:tc>
              <w:tc>
                <w:tcPr>
                  <w:tcW w:w="967" w:type="pct"/>
                  <w:vMerge w:val="continue"/>
                  <w:noWrap w:val="0"/>
                  <w:vAlign w:val="center"/>
                </w:tcPr>
                <w:p w14:paraId="5E4058E1">
                  <w:pPr>
                    <w:pStyle w:val="28"/>
                    <w:rPr>
                      <w:rFonts w:hint="eastAsia"/>
                      <w:color w:val="auto"/>
                    </w:rPr>
                  </w:pPr>
                </w:p>
              </w:tc>
            </w:tr>
            <w:tr w14:paraId="30EF3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455" w:type="pct"/>
                  <w:gridSpan w:val="2"/>
                  <w:vMerge w:val="restart"/>
                  <w:noWrap w:val="0"/>
                  <w:vAlign w:val="center"/>
                </w:tcPr>
                <w:p w14:paraId="1A2A84ED">
                  <w:pPr>
                    <w:pStyle w:val="28"/>
                    <w:rPr>
                      <w:color w:val="auto"/>
                    </w:rPr>
                  </w:pPr>
                  <w:r>
                    <w:rPr>
                      <w:color w:val="auto"/>
                    </w:rPr>
                    <w:t>混凝土</w:t>
                  </w:r>
                </w:p>
                <w:p w14:paraId="418D26E6">
                  <w:pPr>
                    <w:pStyle w:val="28"/>
                    <w:rPr>
                      <w:color w:val="auto"/>
                    </w:rPr>
                  </w:pPr>
                  <w:r>
                    <w:rPr>
                      <w:color w:val="auto"/>
                    </w:rPr>
                    <w:t>搅拌用水</w:t>
                  </w:r>
                </w:p>
              </w:tc>
              <w:tc>
                <w:tcPr>
                  <w:tcW w:w="320" w:type="pct"/>
                  <w:noWrap w:val="0"/>
                  <w:vAlign w:val="center"/>
                </w:tcPr>
                <w:p w14:paraId="77011890">
                  <w:pPr>
                    <w:pStyle w:val="28"/>
                    <w:rPr>
                      <w:rFonts w:hint="eastAsia" w:eastAsia="宋体"/>
                      <w:color w:val="auto"/>
                      <w:lang w:val="en-US" w:eastAsia="zh-CN"/>
                    </w:rPr>
                  </w:pPr>
                  <w:r>
                    <w:rPr>
                      <w:rFonts w:hint="eastAsia"/>
                      <w:color w:val="auto"/>
                      <w:lang w:val="en-US" w:eastAsia="zh-CN"/>
                    </w:rPr>
                    <w:t>非雨天</w:t>
                  </w:r>
                </w:p>
              </w:tc>
              <w:tc>
                <w:tcPr>
                  <w:tcW w:w="441" w:type="pct"/>
                  <w:vMerge w:val="restart"/>
                  <w:noWrap w:val="0"/>
                  <w:vAlign w:val="center"/>
                </w:tcPr>
                <w:p w14:paraId="2A024660">
                  <w:pPr>
                    <w:pStyle w:val="28"/>
                    <w:rPr>
                      <w:color w:val="auto"/>
                    </w:rPr>
                  </w:pPr>
                  <w:r>
                    <w:rPr>
                      <w:rFonts w:hint="eastAsia"/>
                      <w:color w:val="auto"/>
                    </w:rPr>
                    <w:t>90</w:t>
                  </w:r>
                  <w:r>
                    <w:rPr>
                      <w:color w:val="auto"/>
                    </w:rPr>
                    <w:t>m</w:t>
                  </w:r>
                  <w:r>
                    <w:rPr>
                      <w:color w:val="auto"/>
                      <w:vertAlign w:val="superscript"/>
                    </w:rPr>
                    <w:t>3</w:t>
                  </w:r>
                  <w:r>
                    <w:rPr>
                      <w:color w:val="auto"/>
                    </w:rPr>
                    <w:t>/d</w:t>
                  </w:r>
                </w:p>
              </w:tc>
              <w:tc>
                <w:tcPr>
                  <w:tcW w:w="609" w:type="pct"/>
                  <w:vMerge w:val="restart"/>
                  <w:noWrap w:val="0"/>
                  <w:vAlign w:val="center"/>
                </w:tcPr>
                <w:p w14:paraId="355CDF3A">
                  <w:pPr>
                    <w:pStyle w:val="28"/>
                    <w:rPr>
                      <w:color w:val="auto"/>
                    </w:rPr>
                  </w:pPr>
                  <w:r>
                    <w:rPr>
                      <w:color w:val="auto"/>
                    </w:rPr>
                    <w:t>/</w:t>
                  </w:r>
                </w:p>
              </w:tc>
              <w:tc>
                <w:tcPr>
                  <w:tcW w:w="486" w:type="pct"/>
                  <w:noWrap w:val="0"/>
                  <w:vAlign w:val="center"/>
                </w:tcPr>
                <w:p w14:paraId="251CA219">
                  <w:pPr>
                    <w:pStyle w:val="28"/>
                    <w:rPr>
                      <w:rFonts w:hint="default"/>
                      <w:color w:val="auto"/>
                      <w:lang w:val="en-US" w:eastAsia="zh-CN"/>
                    </w:rPr>
                  </w:pPr>
                  <w:r>
                    <w:rPr>
                      <w:rFonts w:hint="eastAsia"/>
                      <w:color w:val="auto"/>
                      <w:lang w:val="en-US" w:eastAsia="zh-CN"/>
                    </w:rPr>
                    <w:t>87.76</w:t>
                  </w:r>
                </w:p>
              </w:tc>
              <w:tc>
                <w:tcPr>
                  <w:tcW w:w="680" w:type="pct"/>
                  <w:vMerge w:val="restart"/>
                  <w:noWrap w:val="0"/>
                  <w:vAlign w:val="center"/>
                </w:tcPr>
                <w:p w14:paraId="150FE7BD">
                  <w:pPr>
                    <w:pStyle w:val="28"/>
                    <w:rPr>
                      <w:rFonts w:hint="default"/>
                      <w:color w:val="auto"/>
                      <w:lang w:val="en-US" w:eastAsia="zh-CN"/>
                    </w:rPr>
                  </w:pPr>
                  <w:r>
                    <w:rPr>
                      <w:rFonts w:hint="eastAsia"/>
                      <w:color w:val="auto"/>
                      <w:lang w:val="en-US" w:eastAsia="zh-CN"/>
                    </w:rPr>
                    <w:t>27000</w:t>
                  </w:r>
                </w:p>
              </w:tc>
              <w:tc>
                <w:tcPr>
                  <w:tcW w:w="486" w:type="pct"/>
                  <w:vMerge w:val="restart"/>
                  <w:noWrap w:val="0"/>
                  <w:vAlign w:val="center"/>
                </w:tcPr>
                <w:p w14:paraId="728BF6F9">
                  <w:pPr>
                    <w:pStyle w:val="28"/>
                    <w:rPr>
                      <w:color w:val="auto"/>
                    </w:rPr>
                  </w:pPr>
                  <w:r>
                    <w:rPr>
                      <w:color w:val="auto"/>
                    </w:rPr>
                    <w:t>/</w:t>
                  </w:r>
                </w:p>
              </w:tc>
              <w:tc>
                <w:tcPr>
                  <w:tcW w:w="551" w:type="pct"/>
                  <w:vMerge w:val="restart"/>
                  <w:noWrap w:val="0"/>
                  <w:vAlign w:val="center"/>
                </w:tcPr>
                <w:p w14:paraId="7ACB0B13">
                  <w:pPr>
                    <w:pStyle w:val="28"/>
                    <w:rPr>
                      <w:rFonts w:hint="eastAsia" w:eastAsia="宋体"/>
                      <w:color w:val="auto"/>
                      <w:lang w:val="en-US" w:eastAsia="zh-CN"/>
                    </w:rPr>
                  </w:pPr>
                  <w:r>
                    <w:rPr>
                      <w:rFonts w:hint="eastAsia"/>
                      <w:color w:val="auto"/>
                      <w:lang w:val="en-US" w:eastAsia="zh-CN"/>
                    </w:rPr>
                    <w:t>/</w:t>
                  </w:r>
                </w:p>
              </w:tc>
              <w:tc>
                <w:tcPr>
                  <w:tcW w:w="967" w:type="pct"/>
                  <w:vMerge w:val="restart"/>
                  <w:noWrap w:val="0"/>
                  <w:vAlign w:val="center"/>
                </w:tcPr>
                <w:p w14:paraId="40711955">
                  <w:pPr>
                    <w:pStyle w:val="28"/>
                    <w:jc w:val="both"/>
                    <w:rPr>
                      <w:color w:val="auto"/>
                    </w:rPr>
                  </w:pPr>
                  <w:r>
                    <w:rPr>
                      <w:rFonts w:hint="eastAsia"/>
                      <w:color w:val="auto"/>
                    </w:rPr>
                    <w:t>大部分自然挥发，少部分被产品带走</w:t>
                  </w:r>
                </w:p>
              </w:tc>
            </w:tr>
            <w:tr w14:paraId="42CEE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455" w:type="pct"/>
                  <w:gridSpan w:val="2"/>
                  <w:vMerge w:val="continue"/>
                  <w:noWrap w:val="0"/>
                  <w:vAlign w:val="center"/>
                </w:tcPr>
                <w:p w14:paraId="773BA0DD">
                  <w:pPr>
                    <w:pStyle w:val="28"/>
                    <w:rPr>
                      <w:color w:val="auto"/>
                    </w:rPr>
                  </w:pPr>
                </w:p>
              </w:tc>
              <w:tc>
                <w:tcPr>
                  <w:tcW w:w="320" w:type="pct"/>
                  <w:noWrap w:val="0"/>
                  <w:vAlign w:val="center"/>
                </w:tcPr>
                <w:p w14:paraId="253919FD">
                  <w:pPr>
                    <w:pStyle w:val="28"/>
                    <w:rPr>
                      <w:rFonts w:hint="eastAsia" w:eastAsia="宋体"/>
                      <w:color w:val="auto"/>
                      <w:lang w:val="en-US" w:eastAsia="zh-CN"/>
                    </w:rPr>
                  </w:pPr>
                  <w:r>
                    <w:rPr>
                      <w:rFonts w:hint="eastAsia"/>
                      <w:color w:val="auto"/>
                      <w:lang w:val="en-US" w:eastAsia="zh-CN"/>
                    </w:rPr>
                    <w:t>雨天</w:t>
                  </w:r>
                </w:p>
              </w:tc>
              <w:tc>
                <w:tcPr>
                  <w:tcW w:w="441" w:type="pct"/>
                  <w:vMerge w:val="continue"/>
                  <w:noWrap w:val="0"/>
                  <w:vAlign w:val="center"/>
                </w:tcPr>
                <w:p w14:paraId="5AC234C3">
                  <w:pPr>
                    <w:pStyle w:val="28"/>
                    <w:rPr>
                      <w:rFonts w:hint="eastAsia"/>
                      <w:color w:val="auto"/>
                    </w:rPr>
                  </w:pPr>
                </w:p>
              </w:tc>
              <w:tc>
                <w:tcPr>
                  <w:tcW w:w="609" w:type="pct"/>
                  <w:vMerge w:val="continue"/>
                  <w:noWrap w:val="0"/>
                  <w:vAlign w:val="center"/>
                </w:tcPr>
                <w:p w14:paraId="17A0DD4D">
                  <w:pPr>
                    <w:pStyle w:val="28"/>
                    <w:rPr>
                      <w:color w:val="auto"/>
                    </w:rPr>
                  </w:pPr>
                </w:p>
              </w:tc>
              <w:tc>
                <w:tcPr>
                  <w:tcW w:w="486" w:type="pct"/>
                  <w:noWrap w:val="0"/>
                  <w:vAlign w:val="center"/>
                </w:tcPr>
                <w:p w14:paraId="6092F5E6">
                  <w:pPr>
                    <w:pStyle w:val="28"/>
                    <w:rPr>
                      <w:rFonts w:hint="eastAsia"/>
                      <w:color w:val="auto"/>
                      <w:lang w:val="en-US" w:eastAsia="zh-CN"/>
                    </w:rPr>
                  </w:pPr>
                  <w:r>
                    <w:rPr>
                      <w:rFonts w:hint="eastAsia"/>
                      <w:color w:val="auto"/>
                      <w:lang w:val="en-US" w:eastAsia="zh-CN"/>
                    </w:rPr>
                    <w:t>50.7</w:t>
                  </w:r>
                </w:p>
              </w:tc>
              <w:tc>
                <w:tcPr>
                  <w:tcW w:w="680" w:type="pct"/>
                  <w:vMerge w:val="continue"/>
                  <w:noWrap w:val="0"/>
                  <w:vAlign w:val="center"/>
                </w:tcPr>
                <w:p w14:paraId="3C3CFC38">
                  <w:pPr>
                    <w:pStyle w:val="28"/>
                    <w:rPr>
                      <w:rFonts w:hint="eastAsia"/>
                      <w:color w:val="auto"/>
                      <w:lang w:val="en-US" w:eastAsia="zh-CN"/>
                    </w:rPr>
                  </w:pPr>
                </w:p>
              </w:tc>
              <w:tc>
                <w:tcPr>
                  <w:tcW w:w="486" w:type="pct"/>
                  <w:vMerge w:val="continue"/>
                  <w:noWrap w:val="0"/>
                  <w:vAlign w:val="center"/>
                </w:tcPr>
                <w:p w14:paraId="24F01326">
                  <w:pPr>
                    <w:pStyle w:val="28"/>
                    <w:rPr>
                      <w:color w:val="auto"/>
                    </w:rPr>
                  </w:pPr>
                </w:p>
              </w:tc>
              <w:tc>
                <w:tcPr>
                  <w:tcW w:w="551" w:type="pct"/>
                  <w:vMerge w:val="continue"/>
                  <w:noWrap w:val="0"/>
                  <w:vAlign w:val="center"/>
                </w:tcPr>
                <w:p w14:paraId="15B69716">
                  <w:pPr>
                    <w:pStyle w:val="28"/>
                    <w:rPr>
                      <w:rFonts w:hint="eastAsia"/>
                      <w:color w:val="auto"/>
                      <w:lang w:val="en-US" w:eastAsia="zh-CN"/>
                    </w:rPr>
                  </w:pPr>
                </w:p>
              </w:tc>
              <w:tc>
                <w:tcPr>
                  <w:tcW w:w="967" w:type="pct"/>
                  <w:vMerge w:val="continue"/>
                  <w:noWrap w:val="0"/>
                  <w:vAlign w:val="center"/>
                </w:tcPr>
                <w:p w14:paraId="2FF18449">
                  <w:pPr>
                    <w:pStyle w:val="28"/>
                    <w:jc w:val="both"/>
                    <w:rPr>
                      <w:rFonts w:hint="eastAsia"/>
                      <w:color w:val="auto"/>
                    </w:rPr>
                  </w:pPr>
                </w:p>
              </w:tc>
            </w:tr>
            <w:tr w14:paraId="50E76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6" w:hRule="atLeast"/>
                <w:jc w:val="center"/>
              </w:trPr>
              <w:tc>
                <w:tcPr>
                  <w:tcW w:w="776" w:type="pct"/>
                  <w:gridSpan w:val="3"/>
                  <w:noWrap w:val="0"/>
                  <w:vAlign w:val="center"/>
                </w:tcPr>
                <w:p w14:paraId="0D1D042A">
                  <w:pPr>
                    <w:pStyle w:val="28"/>
                    <w:rPr>
                      <w:color w:val="auto"/>
                    </w:rPr>
                  </w:pPr>
                  <w:r>
                    <w:rPr>
                      <w:color w:val="auto"/>
                    </w:rPr>
                    <w:t>搅拌机清洗</w:t>
                  </w:r>
                </w:p>
              </w:tc>
              <w:tc>
                <w:tcPr>
                  <w:tcW w:w="441" w:type="pct"/>
                  <w:noWrap w:val="0"/>
                  <w:vAlign w:val="center"/>
                </w:tcPr>
                <w:p w14:paraId="77570FC2">
                  <w:pPr>
                    <w:pStyle w:val="28"/>
                    <w:rPr>
                      <w:color w:val="auto"/>
                    </w:rPr>
                  </w:pPr>
                  <w:r>
                    <w:rPr>
                      <w:color w:val="auto"/>
                    </w:rPr>
                    <w:t>/</w:t>
                  </w:r>
                </w:p>
              </w:tc>
              <w:tc>
                <w:tcPr>
                  <w:tcW w:w="609" w:type="pct"/>
                  <w:noWrap w:val="0"/>
                  <w:vAlign w:val="center"/>
                </w:tcPr>
                <w:p w14:paraId="74CE0123">
                  <w:pPr>
                    <w:pStyle w:val="28"/>
                    <w:rPr>
                      <w:color w:val="auto"/>
                    </w:rPr>
                  </w:pPr>
                  <w:r>
                    <w:rPr>
                      <w:rFonts w:hint="eastAsia"/>
                      <w:color w:val="auto"/>
                    </w:rPr>
                    <w:t>2</w:t>
                  </w:r>
                  <w:r>
                    <w:rPr>
                      <w:color w:val="auto"/>
                    </w:rPr>
                    <w:t>m</w:t>
                  </w:r>
                  <w:r>
                    <w:rPr>
                      <w:color w:val="auto"/>
                      <w:vertAlign w:val="superscript"/>
                    </w:rPr>
                    <w:t>3</w:t>
                  </w:r>
                  <w:r>
                    <w:rPr>
                      <w:color w:val="auto"/>
                    </w:rPr>
                    <w:t>/次</w:t>
                  </w:r>
                </w:p>
              </w:tc>
              <w:tc>
                <w:tcPr>
                  <w:tcW w:w="486" w:type="pct"/>
                  <w:noWrap w:val="0"/>
                  <w:vAlign w:val="center"/>
                </w:tcPr>
                <w:p w14:paraId="117703CE">
                  <w:pPr>
                    <w:pStyle w:val="28"/>
                    <w:rPr>
                      <w:rFonts w:hint="eastAsia"/>
                      <w:color w:val="auto"/>
                    </w:rPr>
                  </w:pPr>
                  <w:r>
                    <w:rPr>
                      <w:rFonts w:hint="eastAsia"/>
                      <w:color w:val="auto"/>
                    </w:rPr>
                    <w:t>1.0</w:t>
                  </w:r>
                </w:p>
              </w:tc>
              <w:tc>
                <w:tcPr>
                  <w:tcW w:w="680" w:type="pct"/>
                  <w:noWrap w:val="0"/>
                  <w:vAlign w:val="center"/>
                </w:tcPr>
                <w:p w14:paraId="55DFA461">
                  <w:pPr>
                    <w:pStyle w:val="28"/>
                    <w:rPr>
                      <w:color w:val="auto"/>
                    </w:rPr>
                  </w:pPr>
                  <w:r>
                    <w:rPr>
                      <w:rFonts w:hint="eastAsia"/>
                      <w:color w:val="auto"/>
                    </w:rPr>
                    <w:t>300</w:t>
                  </w:r>
                </w:p>
              </w:tc>
              <w:tc>
                <w:tcPr>
                  <w:tcW w:w="486" w:type="pct"/>
                  <w:noWrap w:val="0"/>
                  <w:vAlign w:val="center"/>
                </w:tcPr>
                <w:p w14:paraId="73460B00">
                  <w:pPr>
                    <w:pStyle w:val="28"/>
                    <w:rPr>
                      <w:color w:val="auto"/>
                    </w:rPr>
                  </w:pPr>
                  <w:r>
                    <w:rPr>
                      <w:rFonts w:hint="eastAsia"/>
                      <w:color w:val="auto"/>
                    </w:rPr>
                    <w:t>0.8</w:t>
                  </w:r>
                </w:p>
              </w:tc>
              <w:tc>
                <w:tcPr>
                  <w:tcW w:w="551" w:type="pct"/>
                  <w:noWrap w:val="0"/>
                  <w:vAlign w:val="center"/>
                </w:tcPr>
                <w:p w14:paraId="6839C89B">
                  <w:pPr>
                    <w:pStyle w:val="28"/>
                    <w:rPr>
                      <w:color w:val="auto"/>
                    </w:rPr>
                  </w:pPr>
                  <w:r>
                    <w:rPr>
                      <w:rFonts w:hint="eastAsia"/>
                      <w:color w:val="auto"/>
                    </w:rPr>
                    <w:t>240</w:t>
                  </w:r>
                </w:p>
              </w:tc>
              <w:tc>
                <w:tcPr>
                  <w:tcW w:w="967" w:type="pct"/>
                  <w:noWrap w:val="0"/>
                  <w:vAlign w:val="center"/>
                </w:tcPr>
                <w:p w14:paraId="2A79E96A">
                  <w:pPr>
                    <w:pStyle w:val="28"/>
                    <w:rPr>
                      <w:rFonts w:hint="eastAsia"/>
                      <w:color w:val="auto"/>
                    </w:rPr>
                  </w:pPr>
                  <w:r>
                    <w:rPr>
                      <w:color w:val="auto"/>
                    </w:rPr>
                    <w:t>搅拌机冲洗废水</w:t>
                  </w:r>
                  <w:r>
                    <w:rPr>
                      <w:rFonts w:hint="eastAsia"/>
                      <w:color w:val="auto"/>
                    </w:rPr>
                    <w:t>由截排水沟</w:t>
                  </w:r>
                  <w:r>
                    <w:rPr>
                      <w:color w:val="auto"/>
                    </w:rPr>
                    <w:t>排入</w:t>
                  </w:r>
                  <w:r>
                    <w:rPr>
                      <w:rFonts w:hint="eastAsia"/>
                      <w:color w:val="auto"/>
                    </w:rPr>
                    <w:t>四级</w:t>
                  </w:r>
                  <w:r>
                    <w:rPr>
                      <w:color w:val="auto"/>
                    </w:rPr>
                    <w:t>沉淀池，经</w:t>
                  </w:r>
                  <w:r>
                    <w:rPr>
                      <w:rFonts w:hint="eastAsia"/>
                      <w:color w:val="auto"/>
                    </w:rPr>
                    <w:t>四级</w:t>
                  </w:r>
                  <w:r>
                    <w:rPr>
                      <w:color w:val="auto"/>
                    </w:rPr>
                    <w:t>沉淀后上清液回用于混凝土搅拌工序，不外排</w:t>
                  </w:r>
                </w:p>
              </w:tc>
            </w:tr>
            <w:tr w14:paraId="62C80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6" w:type="pct"/>
                  <w:gridSpan w:val="3"/>
                  <w:noWrap w:val="0"/>
                  <w:vAlign w:val="center"/>
                </w:tcPr>
                <w:p w14:paraId="693F303D">
                  <w:pPr>
                    <w:pStyle w:val="28"/>
                    <w:keepNext w:val="0"/>
                    <w:keepLines w:val="0"/>
                    <w:pageBreakBefore w:val="0"/>
                    <w:widowControl w:val="0"/>
                    <w:kinsoku/>
                    <w:wordWrap/>
                    <w:overflowPunct/>
                    <w:topLinePunct w:val="0"/>
                    <w:autoSpaceDE w:val="0"/>
                    <w:autoSpaceDN w:val="0"/>
                    <w:bidi w:val="0"/>
                    <w:adjustRightInd/>
                    <w:snapToGrid w:val="0"/>
                    <w:textAlignment w:val="auto"/>
                    <w:rPr>
                      <w:rFonts w:hint="eastAsia"/>
                      <w:color w:val="auto"/>
                      <w:szCs w:val="21"/>
                      <w:lang w:val="en-US" w:eastAsia="zh-CN"/>
                    </w:rPr>
                  </w:pPr>
                  <w:r>
                    <w:rPr>
                      <w:rFonts w:hint="eastAsia"/>
                      <w:color w:val="auto"/>
                      <w:lang w:val="en-US" w:eastAsia="zh-CN"/>
                    </w:rPr>
                    <w:t>试验区混凝土养护废水</w:t>
                  </w:r>
                </w:p>
              </w:tc>
              <w:tc>
                <w:tcPr>
                  <w:tcW w:w="441" w:type="pct"/>
                  <w:noWrap w:val="0"/>
                  <w:vAlign w:val="center"/>
                </w:tcPr>
                <w:p w14:paraId="68B5550C">
                  <w:pPr>
                    <w:pStyle w:val="28"/>
                    <w:rPr>
                      <w:rFonts w:hint="default"/>
                      <w:color w:val="auto"/>
                      <w:lang w:val="en-US" w:eastAsia="zh-CN"/>
                    </w:rPr>
                  </w:pPr>
                  <w:r>
                    <w:rPr>
                      <w:rFonts w:hint="eastAsia"/>
                      <w:color w:val="auto"/>
                      <w:lang w:val="en-US" w:eastAsia="zh-CN"/>
                    </w:rPr>
                    <w:t>/</w:t>
                  </w:r>
                </w:p>
              </w:tc>
              <w:tc>
                <w:tcPr>
                  <w:tcW w:w="609" w:type="pct"/>
                  <w:noWrap w:val="0"/>
                  <w:vAlign w:val="center"/>
                </w:tcPr>
                <w:p w14:paraId="43F57E98">
                  <w:pPr>
                    <w:pStyle w:val="28"/>
                    <w:rPr>
                      <w:rFonts w:hint="default" w:eastAsia="宋体"/>
                      <w:color w:val="auto"/>
                      <w:lang w:val="en-US" w:eastAsia="zh-CN"/>
                    </w:rPr>
                  </w:pPr>
                  <w:r>
                    <w:rPr>
                      <w:rFonts w:hint="eastAsia"/>
                      <w:color w:val="auto"/>
                      <w:lang w:val="en-US" w:eastAsia="zh-CN"/>
                    </w:rPr>
                    <w:t>/</w:t>
                  </w:r>
                </w:p>
              </w:tc>
              <w:tc>
                <w:tcPr>
                  <w:tcW w:w="486" w:type="pct"/>
                  <w:vMerge w:val="restart"/>
                  <w:noWrap w:val="0"/>
                  <w:vAlign w:val="center"/>
                </w:tcPr>
                <w:p w14:paraId="13AE7D43">
                  <w:pPr>
                    <w:pStyle w:val="28"/>
                    <w:rPr>
                      <w:rFonts w:hint="default" w:eastAsia="宋体"/>
                      <w:color w:val="auto"/>
                      <w:lang w:val="en-US" w:eastAsia="zh-CN"/>
                    </w:rPr>
                  </w:pPr>
                  <w:r>
                    <w:rPr>
                      <w:rFonts w:hint="eastAsia"/>
                      <w:color w:val="auto"/>
                      <w:lang w:val="en-US" w:eastAsia="zh-CN"/>
                    </w:rPr>
                    <w:t>0.78</w:t>
                  </w:r>
                </w:p>
              </w:tc>
              <w:tc>
                <w:tcPr>
                  <w:tcW w:w="680" w:type="pct"/>
                  <w:vMerge w:val="restart"/>
                  <w:noWrap w:val="0"/>
                  <w:vAlign w:val="center"/>
                </w:tcPr>
                <w:p w14:paraId="6E53A1FF">
                  <w:pPr>
                    <w:pStyle w:val="28"/>
                    <w:rPr>
                      <w:rFonts w:hint="default" w:eastAsia="宋体"/>
                      <w:color w:val="auto"/>
                      <w:lang w:val="en-US" w:eastAsia="zh-CN"/>
                    </w:rPr>
                  </w:pPr>
                  <w:r>
                    <w:rPr>
                      <w:rFonts w:hint="eastAsia"/>
                      <w:color w:val="auto"/>
                      <w:lang w:val="en-US" w:eastAsia="zh-CN"/>
                    </w:rPr>
                    <w:t>234</w:t>
                  </w:r>
                </w:p>
              </w:tc>
              <w:tc>
                <w:tcPr>
                  <w:tcW w:w="486" w:type="pct"/>
                  <w:noWrap w:val="0"/>
                  <w:vAlign w:val="center"/>
                </w:tcPr>
                <w:p w14:paraId="28CB4A65">
                  <w:pPr>
                    <w:pStyle w:val="28"/>
                    <w:rPr>
                      <w:rFonts w:hint="default" w:eastAsia="宋体"/>
                      <w:color w:val="auto"/>
                      <w:lang w:val="en-US" w:eastAsia="zh-CN"/>
                    </w:rPr>
                  </w:pPr>
                  <w:r>
                    <w:rPr>
                      <w:rFonts w:hint="eastAsia"/>
                      <w:color w:val="auto"/>
                      <w:lang w:val="en-US" w:eastAsia="zh-CN"/>
                    </w:rPr>
                    <w:t>0.624</w:t>
                  </w:r>
                </w:p>
              </w:tc>
              <w:tc>
                <w:tcPr>
                  <w:tcW w:w="551" w:type="pct"/>
                  <w:noWrap w:val="0"/>
                  <w:vAlign w:val="center"/>
                </w:tcPr>
                <w:p w14:paraId="717FAD0A">
                  <w:pPr>
                    <w:pStyle w:val="28"/>
                    <w:rPr>
                      <w:rFonts w:hint="default" w:eastAsia="宋体"/>
                      <w:color w:val="auto"/>
                      <w:lang w:val="en-US" w:eastAsia="zh-CN"/>
                    </w:rPr>
                  </w:pPr>
                  <w:r>
                    <w:rPr>
                      <w:rFonts w:hint="eastAsia"/>
                      <w:color w:val="auto"/>
                      <w:lang w:val="en-US" w:eastAsia="zh-CN"/>
                    </w:rPr>
                    <w:t>187.2</w:t>
                  </w:r>
                </w:p>
              </w:tc>
              <w:tc>
                <w:tcPr>
                  <w:tcW w:w="967" w:type="pct"/>
                  <w:vMerge w:val="restart"/>
                  <w:noWrap w:val="0"/>
                  <w:vAlign w:val="center"/>
                </w:tcPr>
                <w:p w14:paraId="56628CAB">
                  <w:pPr>
                    <w:pStyle w:val="28"/>
                    <w:jc w:val="both"/>
                    <w:rPr>
                      <w:rFonts w:hint="default" w:eastAsia="宋体"/>
                      <w:color w:val="auto"/>
                      <w:lang w:val="en-US" w:eastAsia="zh-CN"/>
                    </w:rPr>
                  </w:pPr>
                  <w:r>
                    <w:rPr>
                      <w:rFonts w:hint="eastAsia"/>
                      <w:color w:val="auto"/>
                      <w:lang w:val="en-US" w:eastAsia="zh-CN"/>
                    </w:rPr>
                    <w:t>试验区混凝土养护废水排至三级沉淀池处理，经处理后的废水回用于混凝土搅拌</w:t>
                  </w:r>
                </w:p>
              </w:tc>
            </w:tr>
            <w:tr w14:paraId="46EDB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261" w:type="pct"/>
                  <w:noWrap w:val="0"/>
                  <w:vAlign w:val="center"/>
                </w:tcPr>
                <w:p w14:paraId="727C79A2">
                  <w:pPr>
                    <w:pStyle w:val="28"/>
                    <w:rPr>
                      <w:color w:val="auto"/>
                    </w:rPr>
                  </w:pPr>
                  <w:r>
                    <w:rPr>
                      <w:color w:val="auto"/>
                    </w:rPr>
                    <w:t>锅炉废水</w:t>
                  </w:r>
                </w:p>
              </w:tc>
              <w:tc>
                <w:tcPr>
                  <w:tcW w:w="515" w:type="pct"/>
                  <w:gridSpan w:val="2"/>
                  <w:noWrap w:val="0"/>
                  <w:vAlign w:val="center"/>
                </w:tcPr>
                <w:p w14:paraId="284FCB3A">
                  <w:pPr>
                    <w:pStyle w:val="28"/>
                    <w:rPr>
                      <w:color w:val="auto"/>
                    </w:rPr>
                  </w:pPr>
                  <w:r>
                    <w:rPr>
                      <w:color w:val="auto"/>
                    </w:rPr>
                    <w:t>锅炉清净水</w:t>
                  </w:r>
                </w:p>
              </w:tc>
              <w:tc>
                <w:tcPr>
                  <w:tcW w:w="441" w:type="pct"/>
                  <w:noWrap w:val="0"/>
                  <w:vAlign w:val="center"/>
                </w:tcPr>
                <w:p w14:paraId="2F829799">
                  <w:pPr>
                    <w:pStyle w:val="28"/>
                    <w:rPr>
                      <w:color w:val="auto"/>
                    </w:rPr>
                  </w:pPr>
                  <w:r>
                    <w:rPr>
                      <w:color w:val="auto"/>
                    </w:rPr>
                    <w:t>/</w:t>
                  </w:r>
                </w:p>
              </w:tc>
              <w:tc>
                <w:tcPr>
                  <w:tcW w:w="609" w:type="pct"/>
                  <w:noWrap w:val="0"/>
                  <w:vAlign w:val="center"/>
                </w:tcPr>
                <w:p w14:paraId="5C8FC063">
                  <w:pPr>
                    <w:pStyle w:val="28"/>
                    <w:rPr>
                      <w:color w:val="auto"/>
                    </w:rPr>
                  </w:pPr>
                  <w:r>
                    <w:rPr>
                      <w:color w:val="auto"/>
                    </w:rPr>
                    <w:t>/</w:t>
                  </w:r>
                </w:p>
              </w:tc>
              <w:tc>
                <w:tcPr>
                  <w:tcW w:w="486" w:type="pct"/>
                  <w:noWrap w:val="0"/>
                  <w:vAlign w:val="center"/>
                </w:tcPr>
                <w:p w14:paraId="77E47B4C">
                  <w:pPr>
                    <w:pStyle w:val="28"/>
                    <w:rPr>
                      <w:rFonts w:hint="default" w:eastAsia="宋体"/>
                      <w:color w:val="auto"/>
                      <w:lang w:val="en-US" w:eastAsia="zh-CN"/>
                    </w:rPr>
                  </w:pPr>
                  <w:r>
                    <w:rPr>
                      <w:rFonts w:hint="eastAsia"/>
                      <w:color w:val="auto"/>
                      <w:lang w:val="en-US" w:eastAsia="zh-CN"/>
                    </w:rPr>
                    <w:t>0.62</w:t>
                  </w:r>
                </w:p>
              </w:tc>
              <w:tc>
                <w:tcPr>
                  <w:tcW w:w="680" w:type="pct"/>
                  <w:noWrap w:val="0"/>
                  <w:vAlign w:val="center"/>
                </w:tcPr>
                <w:p w14:paraId="51F05C1D">
                  <w:pPr>
                    <w:pStyle w:val="28"/>
                    <w:rPr>
                      <w:rFonts w:hint="default" w:eastAsia="宋体"/>
                      <w:color w:val="auto"/>
                      <w:lang w:val="en-US" w:eastAsia="zh-CN"/>
                    </w:rPr>
                  </w:pPr>
                  <w:r>
                    <w:rPr>
                      <w:rFonts w:hint="eastAsia"/>
                      <w:color w:val="auto"/>
                      <w:lang w:val="en-US" w:eastAsia="zh-CN"/>
                    </w:rPr>
                    <w:t>186</w:t>
                  </w:r>
                </w:p>
              </w:tc>
              <w:tc>
                <w:tcPr>
                  <w:tcW w:w="486" w:type="pct"/>
                  <w:noWrap w:val="0"/>
                  <w:vAlign w:val="center"/>
                </w:tcPr>
                <w:p w14:paraId="37C72F50">
                  <w:pPr>
                    <w:pStyle w:val="28"/>
                    <w:rPr>
                      <w:rFonts w:hint="default" w:eastAsia="宋体"/>
                      <w:color w:val="auto"/>
                      <w:lang w:val="en-US" w:eastAsia="zh-CN"/>
                    </w:rPr>
                  </w:pPr>
                  <w:r>
                    <w:rPr>
                      <w:rFonts w:hint="eastAsia"/>
                      <w:color w:val="auto"/>
                      <w:lang w:val="en-US" w:eastAsia="zh-CN"/>
                    </w:rPr>
                    <w:t>0.16</w:t>
                  </w:r>
                </w:p>
              </w:tc>
              <w:tc>
                <w:tcPr>
                  <w:tcW w:w="551" w:type="pct"/>
                  <w:noWrap w:val="0"/>
                  <w:vAlign w:val="center"/>
                </w:tcPr>
                <w:p w14:paraId="0E63B9F4">
                  <w:pPr>
                    <w:pStyle w:val="28"/>
                    <w:rPr>
                      <w:rFonts w:hint="default" w:eastAsia="宋体"/>
                      <w:color w:val="auto"/>
                      <w:lang w:val="en-US" w:eastAsia="zh-CN"/>
                    </w:rPr>
                  </w:pPr>
                  <w:r>
                    <w:rPr>
                      <w:rFonts w:hint="eastAsia"/>
                      <w:color w:val="auto"/>
                      <w:lang w:val="en-US" w:eastAsia="zh-CN"/>
                    </w:rPr>
                    <w:t>48.2</w:t>
                  </w:r>
                </w:p>
              </w:tc>
              <w:tc>
                <w:tcPr>
                  <w:tcW w:w="967" w:type="pct"/>
                  <w:noWrap w:val="0"/>
                  <w:vAlign w:val="center"/>
                </w:tcPr>
                <w:p w14:paraId="3E14BCF5">
                  <w:pPr>
                    <w:pStyle w:val="28"/>
                    <w:rPr>
                      <w:rFonts w:hint="eastAsia"/>
                      <w:color w:val="auto"/>
                    </w:rPr>
                  </w:pPr>
                  <w:r>
                    <w:rPr>
                      <w:rFonts w:hint="eastAsia"/>
                      <w:color w:val="auto"/>
                    </w:rPr>
                    <w:t>排入四级沉淀池，经沉淀后上清液用于混凝土搅拌工序，不外排</w:t>
                  </w:r>
                </w:p>
              </w:tc>
            </w:tr>
            <w:tr w14:paraId="4F975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76" w:type="pct"/>
                  <w:gridSpan w:val="3"/>
                  <w:noWrap w:val="0"/>
                  <w:vAlign w:val="center"/>
                </w:tcPr>
                <w:p w14:paraId="73C37AE6">
                  <w:pPr>
                    <w:pStyle w:val="28"/>
                    <w:rPr>
                      <w:rFonts w:hint="eastAsia"/>
                      <w:color w:val="auto"/>
                      <w:lang w:val="en-US" w:eastAsia="zh-CN"/>
                    </w:rPr>
                  </w:pPr>
                  <w:r>
                    <w:rPr>
                      <w:rFonts w:hint="eastAsia"/>
                      <w:color w:val="auto"/>
                      <w:lang w:val="en-US" w:eastAsia="zh-CN"/>
                    </w:rPr>
                    <w:t>罐车清</w:t>
                  </w:r>
                </w:p>
                <w:p w14:paraId="1B0E3829">
                  <w:pPr>
                    <w:pStyle w:val="28"/>
                    <w:rPr>
                      <w:rFonts w:hint="default" w:eastAsia="宋体"/>
                      <w:color w:val="auto"/>
                      <w:lang w:val="en-US" w:eastAsia="zh-CN"/>
                    </w:rPr>
                  </w:pPr>
                  <w:r>
                    <w:rPr>
                      <w:rFonts w:hint="eastAsia"/>
                      <w:color w:val="auto"/>
                      <w:lang w:val="en-US" w:eastAsia="zh-CN"/>
                    </w:rPr>
                    <w:t>洗废水</w:t>
                  </w:r>
                </w:p>
              </w:tc>
              <w:tc>
                <w:tcPr>
                  <w:tcW w:w="441" w:type="pct"/>
                  <w:noWrap w:val="0"/>
                  <w:vAlign w:val="center"/>
                </w:tcPr>
                <w:p w14:paraId="54F5E3D1">
                  <w:pPr>
                    <w:pStyle w:val="28"/>
                    <w:rPr>
                      <w:color w:val="auto"/>
                    </w:rPr>
                  </w:pPr>
                  <w:r>
                    <w:rPr>
                      <w:color w:val="auto"/>
                    </w:rPr>
                    <w:t>/</w:t>
                  </w:r>
                </w:p>
              </w:tc>
              <w:tc>
                <w:tcPr>
                  <w:tcW w:w="609" w:type="pct"/>
                  <w:noWrap w:val="0"/>
                  <w:vAlign w:val="center"/>
                </w:tcPr>
                <w:p w14:paraId="67F5A7C4">
                  <w:pPr>
                    <w:pStyle w:val="28"/>
                    <w:rPr>
                      <w:color w:val="auto"/>
                    </w:rPr>
                  </w:pPr>
                  <w:r>
                    <w:rPr>
                      <w:color w:val="auto"/>
                    </w:rPr>
                    <w:t>0.04m</w:t>
                  </w:r>
                  <w:r>
                    <w:rPr>
                      <w:color w:val="auto"/>
                      <w:vertAlign w:val="superscript"/>
                    </w:rPr>
                    <w:t>3</w:t>
                  </w:r>
                  <w:r>
                    <w:rPr>
                      <w:color w:val="auto"/>
                    </w:rPr>
                    <w:t>/（车.次）</w:t>
                  </w:r>
                </w:p>
              </w:tc>
              <w:tc>
                <w:tcPr>
                  <w:tcW w:w="486" w:type="pct"/>
                  <w:noWrap w:val="0"/>
                  <w:vAlign w:val="center"/>
                </w:tcPr>
                <w:p w14:paraId="094F914F">
                  <w:pPr>
                    <w:pStyle w:val="28"/>
                    <w:rPr>
                      <w:color w:val="auto"/>
                    </w:rPr>
                  </w:pPr>
                  <w:r>
                    <w:rPr>
                      <w:rFonts w:hint="eastAsia"/>
                      <w:color w:val="auto"/>
                    </w:rPr>
                    <w:t>0.69</w:t>
                  </w:r>
                </w:p>
              </w:tc>
              <w:tc>
                <w:tcPr>
                  <w:tcW w:w="680" w:type="pct"/>
                  <w:noWrap w:val="0"/>
                  <w:vAlign w:val="center"/>
                </w:tcPr>
                <w:p w14:paraId="6128CEFA">
                  <w:pPr>
                    <w:pStyle w:val="28"/>
                    <w:rPr>
                      <w:color w:val="auto"/>
                    </w:rPr>
                  </w:pPr>
                  <w:r>
                    <w:rPr>
                      <w:rFonts w:hint="eastAsia"/>
                      <w:color w:val="auto"/>
                    </w:rPr>
                    <w:t>205.88</w:t>
                  </w:r>
                </w:p>
              </w:tc>
              <w:tc>
                <w:tcPr>
                  <w:tcW w:w="486" w:type="pct"/>
                  <w:noWrap w:val="0"/>
                  <w:vAlign w:val="center"/>
                </w:tcPr>
                <w:p w14:paraId="27C1DACD">
                  <w:pPr>
                    <w:pStyle w:val="28"/>
                    <w:rPr>
                      <w:rFonts w:hint="eastAsia"/>
                      <w:color w:val="auto"/>
                    </w:rPr>
                  </w:pPr>
                  <w:r>
                    <w:rPr>
                      <w:rFonts w:hint="eastAsia"/>
                      <w:color w:val="auto"/>
                    </w:rPr>
                    <w:t>0.656</w:t>
                  </w:r>
                </w:p>
              </w:tc>
              <w:tc>
                <w:tcPr>
                  <w:tcW w:w="551" w:type="pct"/>
                  <w:noWrap w:val="0"/>
                  <w:vAlign w:val="center"/>
                </w:tcPr>
                <w:p w14:paraId="1DF7EEC2">
                  <w:pPr>
                    <w:pStyle w:val="28"/>
                    <w:rPr>
                      <w:color w:val="auto"/>
                    </w:rPr>
                  </w:pPr>
                  <w:r>
                    <w:rPr>
                      <w:rFonts w:hint="eastAsia"/>
                      <w:color w:val="auto"/>
                    </w:rPr>
                    <w:t>196.8</w:t>
                  </w:r>
                </w:p>
              </w:tc>
              <w:tc>
                <w:tcPr>
                  <w:tcW w:w="967" w:type="pct"/>
                  <w:noWrap w:val="0"/>
                  <w:vAlign w:val="center"/>
                </w:tcPr>
                <w:p w14:paraId="5C6C5071">
                  <w:pPr>
                    <w:pStyle w:val="28"/>
                    <w:rPr>
                      <w:rFonts w:hint="eastAsia"/>
                      <w:color w:val="auto"/>
                    </w:rPr>
                  </w:pPr>
                  <w:r>
                    <w:rPr>
                      <w:rFonts w:hint="eastAsia"/>
                      <w:color w:val="auto"/>
                      <w:lang w:val="en-US" w:eastAsia="zh-CN"/>
                    </w:rPr>
                    <w:t>设置每个规格为2*3.5*1m的五级沉淀池，容积约为35m</w:t>
                  </w:r>
                  <w:r>
                    <w:rPr>
                      <w:rFonts w:hint="eastAsia"/>
                      <w:color w:val="auto"/>
                      <w:vertAlign w:val="superscript"/>
                      <w:lang w:val="en-US" w:eastAsia="zh-CN"/>
                    </w:rPr>
                    <w:t>3</w:t>
                  </w:r>
                  <w:r>
                    <w:rPr>
                      <w:rFonts w:hint="eastAsia"/>
                      <w:color w:val="auto"/>
                      <w:lang w:val="en-US" w:eastAsia="zh-CN"/>
                    </w:rPr>
                    <w:t>，沉淀后回用于混凝土搅拌，不外排</w:t>
                  </w:r>
                </w:p>
              </w:tc>
            </w:tr>
            <w:tr w14:paraId="4D1CE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 w:type="pct"/>
                  <w:vMerge w:val="restart"/>
                  <w:noWrap w:val="0"/>
                  <w:vAlign w:val="center"/>
                </w:tcPr>
                <w:p w14:paraId="11D0FFAB">
                  <w:pPr>
                    <w:pStyle w:val="28"/>
                    <w:rPr>
                      <w:color w:val="auto"/>
                    </w:rPr>
                  </w:pPr>
                  <w:r>
                    <w:rPr>
                      <w:color w:val="auto"/>
                    </w:rPr>
                    <w:t>洒水降尘</w:t>
                  </w:r>
                </w:p>
              </w:tc>
              <w:tc>
                <w:tcPr>
                  <w:tcW w:w="515" w:type="pct"/>
                  <w:gridSpan w:val="2"/>
                  <w:noWrap w:val="0"/>
                  <w:vAlign w:val="center"/>
                </w:tcPr>
                <w:p w14:paraId="4D14434E">
                  <w:pPr>
                    <w:pStyle w:val="28"/>
                    <w:rPr>
                      <w:color w:val="auto"/>
                    </w:rPr>
                  </w:pPr>
                  <w:r>
                    <w:rPr>
                      <w:rFonts w:hint="eastAsia"/>
                      <w:color w:val="auto"/>
                    </w:rPr>
                    <w:t>非雨天</w:t>
                  </w:r>
                </w:p>
              </w:tc>
              <w:tc>
                <w:tcPr>
                  <w:tcW w:w="441" w:type="pct"/>
                  <w:vMerge w:val="restart"/>
                  <w:noWrap w:val="0"/>
                  <w:vAlign w:val="center"/>
                </w:tcPr>
                <w:p w14:paraId="0B7992EF">
                  <w:pPr>
                    <w:pStyle w:val="28"/>
                    <w:rPr>
                      <w:color w:val="auto"/>
                    </w:rPr>
                  </w:pPr>
                  <w:r>
                    <w:rPr>
                      <w:color w:val="auto"/>
                    </w:rPr>
                    <w:t>200</w:t>
                  </w:r>
                  <w:r>
                    <w:rPr>
                      <w:rFonts w:hint="eastAsia"/>
                      <w:color w:val="auto"/>
                    </w:rPr>
                    <w:t>0</w:t>
                  </w:r>
                  <w:r>
                    <w:rPr>
                      <w:color w:val="auto"/>
                    </w:rPr>
                    <w:t>m</w:t>
                  </w:r>
                  <w:r>
                    <w:rPr>
                      <w:color w:val="auto"/>
                      <w:vertAlign w:val="superscript"/>
                    </w:rPr>
                    <w:t>2</w:t>
                  </w:r>
                </w:p>
              </w:tc>
              <w:tc>
                <w:tcPr>
                  <w:tcW w:w="609" w:type="pct"/>
                  <w:noWrap w:val="0"/>
                  <w:vAlign w:val="center"/>
                </w:tcPr>
                <w:p w14:paraId="37AD30DF">
                  <w:pPr>
                    <w:pStyle w:val="28"/>
                    <w:rPr>
                      <w:color w:val="auto"/>
                    </w:rPr>
                  </w:pPr>
                  <w:r>
                    <w:rPr>
                      <w:color w:val="auto"/>
                    </w:rPr>
                    <w:t>0.5L/（m</w:t>
                  </w:r>
                  <w:r>
                    <w:rPr>
                      <w:color w:val="auto"/>
                      <w:vertAlign w:val="superscript"/>
                    </w:rPr>
                    <w:t>2</w:t>
                  </w:r>
                  <w:r>
                    <w:rPr>
                      <w:color w:val="auto"/>
                    </w:rPr>
                    <w:t>·次）</w:t>
                  </w:r>
                </w:p>
              </w:tc>
              <w:tc>
                <w:tcPr>
                  <w:tcW w:w="486" w:type="pct"/>
                  <w:noWrap w:val="0"/>
                  <w:vAlign w:val="center"/>
                </w:tcPr>
                <w:p w14:paraId="578BBA28">
                  <w:pPr>
                    <w:pStyle w:val="28"/>
                    <w:rPr>
                      <w:color w:val="auto"/>
                    </w:rPr>
                  </w:pPr>
                  <w:r>
                    <w:rPr>
                      <w:rFonts w:eastAsia="等线"/>
                      <w:color w:val="auto"/>
                      <w:szCs w:val="21"/>
                    </w:rPr>
                    <w:t>3.5</w:t>
                  </w:r>
                </w:p>
              </w:tc>
              <w:tc>
                <w:tcPr>
                  <w:tcW w:w="680" w:type="pct"/>
                  <w:noWrap w:val="0"/>
                  <w:vAlign w:val="center"/>
                </w:tcPr>
                <w:p w14:paraId="779F9A89">
                  <w:pPr>
                    <w:pStyle w:val="28"/>
                    <w:rPr>
                      <w:color w:val="auto"/>
                    </w:rPr>
                  </w:pPr>
                  <w:r>
                    <w:rPr>
                      <w:rFonts w:eastAsia="等线"/>
                      <w:color w:val="auto"/>
                      <w:szCs w:val="21"/>
                    </w:rPr>
                    <w:t>700</w:t>
                  </w:r>
                </w:p>
              </w:tc>
              <w:tc>
                <w:tcPr>
                  <w:tcW w:w="486" w:type="pct"/>
                  <w:noWrap w:val="0"/>
                  <w:vAlign w:val="center"/>
                </w:tcPr>
                <w:p w14:paraId="660EDE49">
                  <w:pPr>
                    <w:pStyle w:val="28"/>
                    <w:rPr>
                      <w:color w:val="auto"/>
                    </w:rPr>
                  </w:pPr>
                  <w:r>
                    <w:rPr>
                      <w:color w:val="auto"/>
                    </w:rPr>
                    <w:t>/</w:t>
                  </w:r>
                </w:p>
              </w:tc>
              <w:tc>
                <w:tcPr>
                  <w:tcW w:w="551" w:type="pct"/>
                  <w:noWrap w:val="0"/>
                  <w:vAlign w:val="center"/>
                </w:tcPr>
                <w:p w14:paraId="2CDF852B">
                  <w:pPr>
                    <w:pStyle w:val="28"/>
                    <w:rPr>
                      <w:color w:val="auto"/>
                    </w:rPr>
                  </w:pPr>
                  <w:r>
                    <w:rPr>
                      <w:rFonts w:hint="eastAsia"/>
                      <w:color w:val="auto"/>
                    </w:rPr>
                    <w:t>/</w:t>
                  </w:r>
                </w:p>
              </w:tc>
              <w:tc>
                <w:tcPr>
                  <w:tcW w:w="967" w:type="pct"/>
                  <w:vMerge w:val="restart"/>
                  <w:noWrap w:val="0"/>
                  <w:vAlign w:val="center"/>
                </w:tcPr>
                <w:p w14:paraId="6388B68F">
                  <w:pPr>
                    <w:pStyle w:val="28"/>
                    <w:rPr>
                      <w:color w:val="auto"/>
                    </w:rPr>
                  </w:pPr>
                  <w:r>
                    <w:rPr>
                      <w:rFonts w:hint="eastAsia"/>
                      <w:color w:val="auto"/>
                    </w:rPr>
                    <w:t>自然蒸发</w:t>
                  </w:r>
                </w:p>
              </w:tc>
            </w:tr>
            <w:tr w14:paraId="595B4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 w:type="pct"/>
                  <w:vMerge w:val="continue"/>
                  <w:noWrap w:val="0"/>
                  <w:vAlign w:val="center"/>
                </w:tcPr>
                <w:p w14:paraId="4DF8A2CD">
                  <w:pPr>
                    <w:pStyle w:val="28"/>
                    <w:rPr>
                      <w:color w:val="auto"/>
                    </w:rPr>
                  </w:pPr>
                </w:p>
              </w:tc>
              <w:tc>
                <w:tcPr>
                  <w:tcW w:w="515" w:type="pct"/>
                  <w:gridSpan w:val="2"/>
                  <w:noWrap w:val="0"/>
                  <w:vAlign w:val="center"/>
                </w:tcPr>
                <w:p w14:paraId="2B7F28CE">
                  <w:pPr>
                    <w:pStyle w:val="28"/>
                    <w:rPr>
                      <w:color w:val="auto"/>
                    </w:rPr>
                  </w:pPr>
                  <w:r>
                    <w:rPr>
                      <w:color w:val="auto"/>
                    </w:rPr>
                    <w:t>雨天</w:t>
                  </w:r>
                </w:p>
              </w:tc>
              <w:tc>
                <w:tcPr>
                  <w:tcW w:w="441" w:type="pct"/>
                  <w:vMerge w:val="continue"/>
                  <w:noWrap w:val="0"/>
                  <w:vAlign w:val="center"/>
                </w:tcPr>
                <w:p w14:paraId="32AEE16D">
                  <w:pPr>
                    <w:pStyle w:val="28"/>
                    <w:rPr>
                      <w:color w:val="auto"/>
                    </w:rPr>
                  </w:pPr>
                </w:p>
              </w:tc>
              <w:tc>
                <w:tcPr>
                  <w:tcW w:w="609" w:type="pct"/>
                  <w:noWrap w:val="0"/>
                  <w:vAlign w:val="center"/>
                </w:tcPr>
                <w:p w14:paraId="4CB432A7">
                  <w:pPr>
                    <w:pStyle w:val="28"/>
                    <w:rPr>
                      <w:color w:val="auto"/>
                    </w:rPr>
                  </w:pPr>
                  <w:r>
                    <w:rPr>
                      <w:color w:val="auto"/>
                    </w:rPr>
                    <w:t>/</w:t>
                  </w:r>
                </w:p>
              </w:tc>
              <w:tc>
                <w:tcPr>
                  <w:tcW w:w="486" w:type="pct"/>
                  <w:noWrap w:val="0"/>
                  <w:vAlign w:val="center"/>
                </w:tcPr>
                <w:p w14:paraId="0416F34E">
                  <w:pPr>
                    <w:pStyle w:val="28"/>
                    <w:rPr>
                      <w:color w:val="auto"/>
                    </w:rPr>
                  </w:pPr>
                  <w:r>
                    <w:rPr>
                      <w:rFonts w:eastAsia="等线"/>
                      <w:color w:val="auto"/>
                      <w:szCs w:val="21"/>
                    </w:rPr>
                    <w:t>/</w:t>
                  </w:r>
                </w:p>
              </w:tc>
              <w:tc>
                <w:tcPr>
                  <w:tcW w:w="680" w:type="pct"/>
                  <w:noWrap w:val="0"/>
                  <w:vAlign w:val="center"/>
                </w:tcPr>
                <w:p w14:paraId="3544FB50">
                  <w:pPr>
                    <w:pStyle w:val="28"/>
                    <w:rPr>
                      <w:color w:val="auto"/>
                    </w:rPr>
                  </w:pPr>
                  <w:r>
                    <w:rPr>
                      <w:rFonts w:hint="eastAsia" w:eastAsia="等线"/>
                      <w:color w:val="auto"/>
                      <w:szCs w:val="21"/>
                    </w:rPr>
                    <w:t>/</w:t>
                  </w:r>
                </w:p>
              </w:tc>
              <w:tc>
                <w:tcPr>
                  <w:tcW w:w="486" w:type="pct"/>
                  <w:noWrap w:val="0"/>
                  <w:vAlign w:val="center"/>
                </w:tcPr>
                <w:p w14:paraId="4FB1E90D">
                  <w:pPr>
                    <w:pStyle w:val="28"/>
                    <w:rPr>
                      <w:color w:val="auto"/>
                    </w:rPr>
                  </w:pPr>
                  <w:r>
                    <w:rPr>
                      <w:color w:val="auto"/>
                    </w:rPr>
                    <w:t>/</w:t>
                  </w:r>
                </w:p>
              </w:tc>
              <w:tc>
                <w:tcPr>
                  <w:tcW w:w="551" w:type="pct"/>
                  <w:noWrap w:val="0"/>
                  <w:vAlign w:val="center"/>
                </w:tcPr>
                <w:p w14:paraId="1BFA5B95">
                  <w:pPr>
                    <w:pStyle w:val="28"/>
                    <w:rPr>
                      <w:color w:val="auto"/>
                    </w:rPr>
                  </w:pPr>
                  <w:r>
                    <w:rPr>
                      <w:rFonts w:hint="eastAsia"/>
                      <w:color w:val="auto"/>
                    </w:rPr>
                    <w:t>/</w:t>
                  </w:r>
                </w:p>
              </w:tc>
              <w:tc>
                <w:tcPr>
                  <w:tcW w:w="967" w:type="pct"/>
                  <w:vMerge w:val="continue"/>
                  <w:noWrap w:val="0"/>
                  <w:vAlign w:val="center"/>
                </w:tcPr>
                <w:p w14:paraId="41E06EA7">
                  <w:pPr>
                    <w:pStyle w:val="28"/>
                    <w:rPr>
                      <w:color w:val="auto"/>
                    </w:rPr>
                  </w:pPr>
                </w:p>
              </w:tc>
            </w:tr>
            <w:tr w14:paraId="3C79C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 w:type="pct"/>
                  <w:vMerge w:val="restart"/>
                  <w:noWrap w:val="0"/>
                  <w:vAlign w:val="center"/>
                </w:tcPr>
                <w:p w14:paraId="357F68C4">
                  <w:pPr>
                    <w:pStyle w:val="28"/>
                    <w:rPr>
                      <w:color w:val="auto"/>
                    </w:rPr>
                  </w:pPr>
                  <w:r>
                    <w:rPr>
                      <w:color w:val="auto"/>
                    </w:rPr>
                    <w:t>绿化用水</w:t>
                  </w:r>
                </w:p>
              </w:tc>
              <w:tc>
                <w:tcPr>
                  <w:tcW w:w="515" w:type="pct"/>
                  <w:gridSpan w:val="2"/>
                  <w:noWrap w:val="0"/>
                  <w:vAlign w:val="center"/>
                </w:tcPr>
                <w:p w14:paraId="0D6ED56E">
                  <w:pPr>
                    <w:pStyle w:val="28"/>
                    <w:rPr>
                      <w:color w:val="auto"/>
                    </w:rPr>
                  </w:pPr>
                  <w:r>
                    <w:rPr>
                      <w:rFonts w:hint="eastAsia"/>
                      <w:color w:val="auto"/>
                    </w:rPr>
                    <w:t>非雨天</w:t>
                  </w:r>
                </w:p>
              </w:tc>
              <w:tc>
                <w:tcPr>
                  <w:tcW w:w="441" w:type="pct"/>
                  <w:vMerge w:val="restart"/>
                  <w:noWrap w:val="0"/>
                  <w:vAlign w:val="center"/>
                </w:tcPr>
                <w:p w14:paraId="41860284">
                  <w:pPr>
                    <w:pStyle w:val="28"/>
                    <w:rPr>
                      <w:color w:val="auto"/>
                    </w:rPr>
                  </w:pPr>
                  <w:r>
                    <w:rPr>
                      <w:rFonts w:hint="eastAsia"/>
                      <w:color w:val="auto"/>
                    </w:rPr>
                    <w:t>1000</w:t>
                  </w:r>
                  <w:r>
                    <w:rPr>
                      <w:color w:val="auto"/>
                    </w:rPr>
                    <w:t>m</w:t>
                  </w:r>
                  <w:r>
                    <w:rPr>
                      <w:color w:val="auto"/>
                      <w:vertAlign w:val="superscript"/>
                    </w:rPr>
                    <w:t>2</w:t>
                  </w:r>
                </w:p>
              </w:tc>
              <w:tc>
                <w:tcPr>
                  <w:tcW w:w="609" w:type="pct"/>
                  <w:noWrap w:val="0"/>
                  <w:vAlign w:val="center"/>
                </w:tcPr>
                <w:p w14:paraId="6AAB8C3F">
                  <w:pPr>
                    <w:pStyle w:val="28"/>
                    <w:rPr>
                      <w:color w:val="auto"/>
                    </w:rPr>
                  </w:pPr>
                  <w:r>
                    <w:rPr>
                      <w:color w:val="auto"/>
                    </w:rPr>
                    <w:t>3L/（m</w:t>
                  </w:r>
                  <w:r>
                    <w:rPr>
                      <w:color w:val="auto"/>
                      <w:vertAlign w:val="superscript"/>
                    </w:rPr>
                    <w:t>2</w:t>
                  </w:r>
                  <w:r>
                    <w:rPr>
                      <w:color w:val="auto"/>
                    </w:rPr>
                    <w:t>/次）</w:t>
                  </w:r>
                </w:p>
              </w:tc>
              <w:tc>
                <w:tcPr>
                  <w:tcW w:w="486" w:type="pct"/>
                  <w:noWrap w:val="0"/>
                  <w:vAlign w:val="center"/>
                </w:tcPr>
                <w:p w14:paraId="3E0491FA">
                  <w:pPr>
                    <w:pStyle w:val="28"/>
                    <w:rPr>
                      <w:color w:val="auto"/>
                    </w:rPr>
                  </w:pPr>
                  <w:r>
                    <w:rPr>
                      <w:rFonts w:eastAsia="等线"/>
                      <w:color w:val="auto"/>
                      <w:szCs w:val="21"/>
                    </w:rPr>
                    <w:t>4.5</w:t>
                  </w:r>
                </w:p>
              </w:tc>
              <w:tc>
                <w:tcPr>
                  <w:tcW w:w="680" w:type="pct"/>
                  <w:noWrap w:val="0"/>
                  <w:vAlign w:val="center"/>
                </w:tcPr>
                <w:p w14:paraId="12D6CA37">
                  <w:pPr>
                    <w:pStyle w:val="28"/>
                    <w:rPr>
                      <w:color w:val="auto"/>
                    </w:rPr>
                  </w:pPr>
                  <w:r>
                    <w:rPr>
                      <w:rFonts w:eastAsia="等线"/>
                      <w:color w:val="auto"/>
                      <w:szCs w:val="21"/>
                    </w:rPr>
                    <w:t>900</w:t>
                  </w:r>
                </w:p>
              </w:tc>
              <w:tc>
                <w:tcPr>
                  <w:tcW w:w="486" w:type="pct"/>
                  <w:noWrap w:val="0"/>
                  <w:vAlign w:val="center"/>
                </w:tcPr>
                <w:p w14:paraId="7288E501">
                  <w:pPr>
                    <w:pStyle w:val="28"/>
                    <w:rPr>
                      <w:color w:val="auto"/>
                    </w:rPr>
                  </w:pPr>
                  <w:r>
                    <w:rPr>
                      <w:color w:val="auto"/>
                    </w:rPr>
                    <w:t>/</w:t>
                  </w:r>
                </w:p>
              </w:tc>
              <w:tc>
                <w:tcPr>
                  <w:tcW w:w="551" w:type="pct"/>
                  <w:noWrap w:val="0"/>
                  <w:vAlign w:val="center"/>
                </w:tcPr>
                <w:p w14:paraId="3C7BD0D7">
                  <w:pPr>
                    <w:pStyle w:val="28"/>
                    <w:rPr>
                      <w:color w:val="auto"/>
                    </w:rPr>
                  </w:pPr>
                  <w:r>
                    <w:rPr>
                      <w:rFonts w:hint="eastAsia"/>
                      <w:color w:val="auto"/>
                    </w:rPr>
                    <w:t>/</w:t>
                  </w:r>
                </w:p>
              </w:tc>
              <w:tc>
                <w:tcPr>
                  <w:tcW w:w="967" w:type="pct"/>
                  <w:vMerge w:val="restart"/>
                  <w:noWrap w:val="0"/>
                  <w:vAlign w:val="center"/>
                </w:tcPr>
                <w:p w14:paraId="61A35F6D">
                  <w:pPr>
                    <w:pStyle w:val="28"/>
                    <w:rPr>
                      <w:color w:val="auto"/>
                    </w:rPr>
                  </w:pPr>
                  <w:r>
                    <w:rPr>
                      <w:rFonts w:hint="eastAsia"/>
                      <w:color w:val="auto"/>
                    </w:rPr>
                    <w:t>自然蒸发</w:t>
                  </w:r>
                </w:p>
              </w:tc>
            </w:tr>
            <w:tr w14:paraId="42EB6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 w:type="pct"/>
                  <w:vMerge w:val="continue"/>
                  <w:noWrap w:val="0"/>
                  <w:vAlign w:val="center"/>
                </w:tcPr>
                <w:p w14:paraId="4842C2F0">
                  <w:pPr>
                    <w:pStyle w:val="28"/>
                    <w:rPr>
                      <w:color w:val="auto"/>
                    </w:rPr>
                  </w:pPr>
                </w:p>
              </w:tc>
              <w:tc>
                <w:tcPr>
                  <w:tcW w:w="515" w:type="pct"/>
                  <w:gridSpan w:val="2"/>
                  <w:noWrap w:val="0"/>
                  <w:vAlign w:val="center"/>
                </w:tcPr>
                <w:p w14:paraId="707B09D3">
                  <w:pPr>
                    <w:pStyle w:val="28"/>
                    <w:rPr>
                      <w:color w:val="auto"/>
                    </w:rPr>
                  </w:pPr>
                  <w:r>
                    <w:rPr>
                      <w:color w:val="auto"/>
                    </w:rPr>
                    <w:t>雨天</w:t>
                  </w:r>
                </w:p>
              </w:tc>
              <w:tc>
                <w:tcPr>
                  <w:tcW w:w="441" w:type="pct"/>
                  <w:vMerge w:val="continue"/>
                  <w:noWrap w:val="0"/>
                  <w:vAlign w:val="center"/>
                </w:tcPr>
                <w:p w14:paraId="2A3E8673">
                  <w:pPr>
                    <w:pStyle w:val="28"/>
                    <w:rPr>
                      <w:color w:val="auto"/>
                    </w:rPr>
                  </w:pPr>
                </w:p>
              </w:tc>
              <w:tc>
                <w:tcPr>
                  <w:tcW w:w="609" w:type="pct"/>
                  <w:noWrap w:val="0"/>
                  <w:vAlign w:val="center"/>
                </w:tcPr>
                <w:p w14:paraId="331F048B">
                  <w:pPr>
                    <w:pStyle w:val="28"/>
                    <w:rPr>
                      <w:color w:val="auto"/>
                    </w:rPr>
                  </w:pPr>
                  <w:r>
                    <w:rPr>
                      <w:color w:val="auto"/>
                    </w:rPr>
                    <w:t>/</w:t>
                  </w:r>
                </w:p>
              </w:tc>
              <w:tc>
                <w:tcPr>
                  <w:tcW w:w="486" w:type="pct"/>
                  <w:noWrap w:val="0"/>
                  <w:vAlign w:val="center"/>
                </w:tcPr>
                <w:p w14:paraId="49F8FC89">
                  <w:pPr>
                    <w:pStyle w:val="28"/>
                    <w:rPr>
                      <w:color w:val="auto"/>
                    </w:rPr>
                  </w:pPr>
                  <w:r>
                    <w:rPr>
                      <w:rFonts w:eastAsia="等线"/>
                      <w:color w:val="auto"/>
                      <w:szCs w:val="21"/>
                    </w:rPr>
                    <w:t>/</w:t>
                  </w:r>
                </w:p>
              </w:tc>
              <w:tc>
                <w:tcPr>
                  <w:tcW w:w="680" w:type="pct"/>
                  <w:noWrap w:val="0"/>
                  <w:vAlign w:val="center"/>
                </w:tcPr>
                <w:p w14:paraId="33E9E333">
                  <w:pPr>
                    <w:pStyle w:val="28"/>
                    <w:rPr>
                      <w:color w:val="auto"/>
                    </w:rPr>
                  </w:pPr>
                  <w:r>
                    <w:rPr>
                      <w:rFonts w:eastAsia="等线"/>
                      <w:color w:val="auto"/>
                      <w:szCs w:val="21"/>
                    </w:rPr>
                    <w:t>/</w:t>
                  </w:r>
                </w:p>
              </w:tc>
              <w:tc>
                <w:tcPr>
                  <w:tcW w:w="486" w:type="pct"/>
                  <w:noWrap w:val="0"/>
                  <w:vAlign w:val="center"/>
                </w:tcPr>
                <w:p w14:paraId="69F9B681">
                  <w:pPr>
                    <w:pStyle w:val="28"/>
                    <w:rPr>
                      <w:color w:val="auto"/>
                    </w:rPr>
                  </w:pPr>
                  <w:r>
                    <w:rPr>
                      <w:color w:val="auto"/>
                    </w:rPr>
                    <w:t>/</w:t>
                  </w:r>
                </w:p>
              </w:tc>
              <w:tc>
                <w:tcPr>
                  <w:tcW w:w="551" w:type="pct"/>
                  <w:noWrap w:val="0"/>
                  <w:vAlign w:val="center"/>
                </w:tcPr>
                <w:p w14:paraId="6530CD91">
                  <w:pPr>
                    <w:pStyle w:val="28"/>
                    <w:rPr>
                      <w:color w:val="auto"/>
                    </w:rPr>
                  </w:pPr>
                  <w:r>
                    <w:rPr>
                      <w:rFonts w:hint="eastAsia"/>
                      <w:color w:val="auto"/>
                    </w:rPr>
                    <w:t>/</w:t>
                  </w:r>
                </w:p>
              </w:tc>
              <w:tc>
                <w:tcPr>
                  <w:tcW w:w="967" w:type="pct"/>
                  <w:vMerge w:val="continue"/>
                  <w:noWrap w:val="0"/>
                  <w:vAlign w:val="center"/>
                </w:tcPr>
                <w:p w14:paraId="521D54C6">
                  <w:pPr>
                    <w:pStyle w:val="28"/>
                    <w:rPr>
                      <w:color w:val="auto"/>
                    </w:rPr>
                  </w:pPr>
                </w:p>
              </w:tc>
            </w:tr>
            <w:tr w14:paraId="600BC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 w:type="pct"/>
                  <w:vMerge w:val="restart"/>
                  <w:noWrap w:val="0"/>
                  <w:vAlign w:val="center"/>
                </w:tcPr>
                <w:p w14:paraId="14FDC36F">
                  <w:pPr>
                    <w:pStyle w:val="28"/>
                    <w:rPr>
                      <w:color w:val="auto"/>
                    </w:rPr>
                  </w:pPr>
                  <w:r>
                    <w:rPr>
                      <w:color w:val="auto"/>
                    </w:rPr>
                    <w:t>合计</w:t>
                  </w:r>
                </w:p>
              </w:tc>
              <w:tc>
                <w:tcPr>
                  <w:tcW w:w="515" w:type="pct"/>
                  <w:gridSpan w:val="2"/>
                  <w:noWrap w:val="0"/>
                  <w:vAlign w:val="center"/>
                </w:tcPr>
                <w:p w14:paraId="5A55DAD7">
                  <w:pPr>
                    <w:pStyle w:val="28"/>
                    <w:rPr>
                      <w:color w:val="auto"/>
                    </w:rPr>
                  </w:pPr>
                  <w:r>
                    <w:rPr>
                      <w:rFonts w:hint="eastAsia"/>
                      <w:color w:val="auto"/>
                    </w:rPr>
                    <w:t>非雨天</w:t>
                  </w:r>
                </w:p>
              </w:tc>
              <w:tc>
                <w:tcPr>
                  <w:tcW w:w="441" w:type="pct"/>
                  <w:vMerge w:val="restart"/>
                  <w:noWrap w:val="0"/>
                  <w:vAlign w:val="center"/>
                </w:tcPr>
                <w:p w14:paraId="7684FF1D">
                  <w:pPr>
                    <w:pStyle w:val="28"/>
                    <w:rPr>
                      <w:color w:val="auto"/>
                    </w:rPr>
                  </w:pPr>
                  <w:r>
                    <w:rPr>
                      <w:color w:val="auto"/>
                    </w:rPr>
                    <w:t>/</w:t>
                  </w:r>
                </w:p>
              </w:tc>
              <w:tc>
                <w:tcPr>
                  <w:tcW w:w="609" w:type="pct"/>
                  <w:vMerge w:val="restart"/>
                  <w:noWrap w:val="0"/>
                  <w:vAlign w:val="center"/>
                </w:tcPr>
                <w:p w14:paraId="3258DECA">
                  <w:pPr>
                    <w:pStyle w:val="28"/>
                    <w:rPr>
                      <w:color w:val="auto"/>
                    </w:rPr>
                  </w:pPr>
                </w:p>
              </w:tc>
              <w:tc>
                <w:tcPr>
                  <w:tcW w:w="486" w:type="pct"/>
                  <w:noWrap w:val="0"/>
                  <w:vAlign w:val="center"/>
                </w:tcPr>
                <w:p w14:paraId="430F036D">
                  <w:pPr>
                    <w:pStyle w:val="28"/>
                    <w:rPr>
                      <w:rFonts w:hint="default" w:eastAsia="宋体"/>
                      <w:color w:val="auto"/>
                      <w:lang w:val="en-US" w:eastAsia="zh-CN"/>
                    </w:rPr>
                  </w:pPr>
                  <w:r>
                    <w:rPr>
                      <w:rFonts w:hint="eastAsia" w:eastAsia="等线"/>
                      <w:color w:val="auto"/>
                      <w:szCs w:val="21"/>
                      <w:lang w:val="en-US" w:eastAsia="zh-CN"/>
                    </w:rPr>
                    <w:t>106.09</w:t>
                  </w:r>
                </w:p>
              </w:tc>
              <w:tc>
                <w:tcPr>
                  <w:tcW w:w="680" w:type="pct"/>
                  <w:noWrap w:val="0"/>
                  <w:vAlign w:val="center"/>
                </w:tcPr>
                <w:p w14:paraId="0B054E38">
                  <w:pPr>
                    <w:pStyle w:val="28"/>
                    <w:rPr>
                      <w:rFonts w:hint="default" w:eastAsia="宋体"/>
                      <w:color w:val="auto"/>
                      <w:lang w:val="en-US" w:eastAsia="zh-CN"/>
                    </w:rPr>
                  </w:pPr>
                  <w:r>
                    <w:rPr>
                      <w:rFonts w:hint="eastAsia" w:eastAsia="等线"/>
                      <w:color w:val="auto"/>
                      <w:szCs w:val="21"/>
                      <w:lang w:val="en-US" w:eastAsia="zh-CN"/>
                    </w:rPr>
                    <w:t>31697.88</w:t>
                  </w:r>
                </w:p>
              </w:tc>
              <w:tc>
                <w:tcPr>
                  <w:tcW w:w="486" w:type="pct"/>
                  <w:vMerge w:val="restart"/>
                  <w:noWrap w:val="0"/>
                  <w:vAlign w:val="center"/>
                </w:tcPr>
                <w:p w14:paraId="545F572F">
                  <w:pPr>
                    <w:pStyle w:val="28"/>
                    <w:rPr>
                      <w:rFonts w:hint="default" w:eastAsia="宋体"/>
                      <w:color w:val="auto"/>
                      <w:lang w:val="en-US" w:eastAsia="zh-CN"/>
                    </w:rPr>
                  </w:pPr>
                  <w:r>
                    <w:rPr>
                      <w:rFonts w:hint="eastAsia"/>
                      <w:color w:val="auto"/>
                      <w:lang w:val="en-US" w:eastAsia="zh-CN"/>
                    </w:rPr>
                    <w:t>8.032</w:t>
                  </w:r>
                </w:p>
              </w:tc>
              <w:tc>
                <w:tcPr>
                  <w:tcW w:w="551" w:type="pct"/>
                  <w:vMerge w:val="restart"/>
                  <w:noWrap w:val="0"/>
                  <w:vAlign w:val="center"/>
                </w:tcPr>
                <w:p w14:paraId="5D9EAAC9">
                  <w:pPr>
                    <w:pStyle w:val="28"/>
                    <w:rPr>
                      <w:rFonts w:hint="default" w:eastAsia="宋体"/>
                      <w:color w:val="auto"/>
                      <w:lang w:val="en-US" w:eastAsia="zh-CN"/>
                    </w:rPr>
                  </w:pPr>
                  <w:r>
                    <w:rPr>
                      <w:rFonts w:hint="eastAsia"/>
                      <w:color w:val="auto"/>
                      <w:lang w:val="en-US" w:eastAsia="zh-CN"/>
                    </w:rPr>
                    <w:t>2409.8</w:t>
                  </w:r>
                </w:p>
              </w:tc>
              <w:tc>
                <w:tcPr>
                  <w:tcW w:w="967" w:type="pct"/>
                  <w:vMerge w:val="restart"/>
                  <w:noWrap w:val="0"/>
                  <w:vAlign w:val="center"/>
                </w:tcPr>
                <w:p w14:paraId="3413DA45">
                  <w:pPr>
                    <w:pStyle w:val="28"/>
                    <w:rPr>
                      <w:rFonts w:hint="eastAsia"/>
                      <w:color w:val="auto"/>
                    </w:rPr>
                  </w:pPr>
                  <w:r>
                    <w:rPr>
                      <w:rFonts w:hint="eastAsia"/>
                      <w:color w:val="auto"/>
                    </w:rPr>
                    <w:t>/</w:t>
                  </w:r>
                </w:p>
              </w:tc>
            </w:tr>
            <w:tr w14:paraId="3CC90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 w:type="pct"/>
                  <w:vMerge w:val="continue"/>
                  <w:noWrap w:val="0"/>
                  <w:vAlign w:val="center"/>
                </w:tcPr>
                <w:p w14:paraId="2148C6F4">
                  <w:pPr>
                    <w:pStyle w:val="28"/>
                    <w:rPr>
                      <w:color w:val="auto"/>
                    </w:rPr>
                  </w:pPr>
                </w:p>
              </w:tc>
              <w:tc>
                <w:tcPr>
                  <w:tcW w:w="515" w:type="pct"/>
                  <w:gridSpan w:val="2"/>
                  <w:noWrap w:val="0"/>
                  <w:vAlign w:val="center"/>
                </w:tcPr>
                <w:p w14:paraId="245CD147">
                  <w:pPr>
                    <w:pStyle w:val="28"/>
                    <w:rPr>
                      <w:color w:val="auto"/>
                    </w:rPr>
                  </w:pPr>
                  <w:r>
                    <w:rPr>
                      <w:color w:val="auto"/>
                    </w:rPr>
                    <w:t>雨天</w:t>
                  </w:r>
                </w:p>
              </w:tc>
              <w:tc>
                <w:tcPr>
                  <w:tcW w:w="441" w:type="pct"/>
                  <w:vMerge w:val="continue"/>
                  <w:noWrap w:val="0"/>
                  <w:vAlign w:val="center"/>
                </w:tcPr>
                <w:p w14:paraId="46D57F6A">
                  <w:pPr>
                    <w:pStyle w:val="28"/>
                    <w:rPr>
                      <w:color w:val="auto"/>
                    </w:rPr>
                  </w:pPr>
                </w:p>
              </w:tc>
              <w:tc>
                <w:tcPr>
                  <w:tcW w:w="609" w:type="pct"/>
                  <w:vMerge w:val="continue"/>
                  <w:noWrap w:val="0"/>
                  <w:vAlign w:val="center"/>
                </w:tcPr>
                <w:p w14:paraId="6C0DED4D">
                  <w:pPr>
                    <w:pStyle w:val="28"/>
                    <w:rPr>
                      <w:color w:val="auto"/>
                    </w:rPr>
                  </w:pPr>
                </w:p>
              </w:tc>
              <w:tc>
                <w:tcPr>
                  <w:tcW w:w="486" w:type="pct"/>
                  <w:noWrap w:val="0"/>
                  <w:vAlign w:val="center"/>
                </w:tcPr>
                <w:p w14:paraId="74F51989">
                  <w:pPr>
                    <w:pStyle w:val="28"/>
                    <w:rPr>
                      <w:rFonts w:hint="default" w:eastAsia="宋体"/>
                      <w:color w:val="auto"/>
                      <w:lang w:val="en-US" w:eastAsia="zh-CN"/>
                    </w:rPr>
                  </w:pPr>
                  <w:r>
                    <w:rPr>
                      <w:rFonts w:hint="eastAsia" w:eastAsia="等线"/>
                      <w:color w:val="auto"/>
                      <w:szCs w:val="21"/>
                      <w:lang w:val="en-US" w:eastAsia="zh-CN"/>
                    </w:rPr>
                    <w:t>61.03</w:t>
                  </w:r>
                </w:p>
              </w:tc>
              <w:tc>
                <w:tcPr>
                  <w:tcW w:w="680" w:type="pct"/>
                  <w:noWrap w:val="0"/>
                  <w:vAlign w:val="center"/>
                </w:tcPr>
                <w:p w14:paraId="2D637510">
                  <w:pPr>
                    <w:pStyle w:val="28"/>
                    <w:rPr>
                      <w:rFonts w:hint="default" w:eastAsia="宋体"/>
                      <w:color w:val="auto"/>
                      <w:lang w:val="en-US" w:eastAsia="zh-CN"/>
                    </w:rPr>
                  </w:pPr>
                  <w:r>
                    <w:rPr>
                      <w:rFonts w:hint="eastAsia" w:eastAsia="等线"/>
                      <w:color w:val="auto"/>
                      <w:szCs w:val="21"/>
                      <w:lang w:val="en-US" w:eastAsia="zh-CN"/>
                    </w:rPr>
                    <w:t>30097.88</w:t>
                  </w:r>
                </w:p>
              </w:tc>
              <w:tc>
                <w:tcPr>
                  <w:tcW w:w="486" w:type="pct"/>
                  <w:vMerge w:val="continue"/>
                  <w:noWrap w:val="0"/>
                  <w:vAlign w:val="center"/>
                </w:tcPr>
                <w:p w14:paraId="2B61D9D2">
                  <w:pPr>
                    <w:pStyle w:val="28"/>
                    <w:rPr>
                      <w:color w:val="auto"/>
                    </w:rPr>
                  </w:pPr>
                </w:p>
              </w:tc>
              <w:tc>
                <w:tcPr>
                  <w:tcW w:w="551" w:type="pct"/>
                  <w:vMerge w:val="continue"/>
                  <w:noWrap w:val="0"/>
                  <w:vAlign w:val="center"/>
                </w:tcPr>
                <w:p w14:paraId="059AAD15">
                  <w:pPr>
                    <w:pStyle w:val="28"/>
                    <w:rPr>
                      <w:color w:val="auto"/>
                    </w:rPr>
                  </w:pPr>
                </w:p>
              </w:tc>
              <w:tc>
                <w:tcPr>
                  <w:tcW w:w="967" w:type="pct"/>
                  <w:vMerge w:val="continue"/>
                  <w:noWrap w:val="0"/>
                  <w:vAlign w:val="center"/>
                </w:tcPr>
                <w:p w14:paraId="17809620">
                  <w:pPr>
                    <w:pStyle w:val="28"/>
                    <w:rPr>
                      <w:color w:val="auto"/>
                    </w:rPr>
                  </w:pPr>
                </w:p>
              </w:tc>
            </w:tr>
            <w:tr w14:paraId="2E97D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 w:type="pct"/>
                  <w:noWrap w:val="0"/>
                  <w:vAlign w:val="center"/>
                </w:tcPr>
                <w:p w14:paraId="0FCD220C">
                  <w:pPr>
                    <w:pStyle w:val="28"/>
                    <w:rPr>
                      <w:color w:val="auto"/>
                    </w:rPr>
                  </w:pPr>
                  <w:r>
                    <w:rPr>
                      <w:rFonts w:hint="eastAsia"/>
                      <w:color w:val="auto"/>
                    </w:rPr>
                    <w:t>初期雨水</w:t>
                  </w:r>
                </w:p>
              </w:tc>
              <w:tc>
                <w:tcPr>
                  <w:tcW w:w="515" w:type="pct"/>
                  <w:gridSpan w:val="2"/>
                  <w:noWrap w:val="0"/>
                  <w:vAlign w:val="center"/>
                </w:tcPr>
                <w:p w14:paraId="7DBFA318">
                  <w:pPr>
                    <w:pStyle w:val="28"/>
                    <w:rPr>
                      <w:color w:val="auto"/>
                    </w:rPr>
                  </w:pPr>
                  <w:r>
                    <w:rPr>
                      <w:rFonts w:hint="eastAsia"/>
                      <w:color w:val="auto"/>
                    </w:rPr>
                    <w:t>雨天</w:t>
                  </w:r>
                </w:p>
              </w:tc>
              <w:tc>
                <w:tcPr>
                  <w:tcW w:w="441" w:type="pct"/>
                  <w:noWrap w:val="0"/>
                  <w:vAlign w:val="center"/>
                </w:tcPr>
                <w:p w14:paraId="540B4CAF">
                  <w:pPr>
                    <w:pStyle w:val="28"/>
                    <w:rPr>
                      <w:color w:val="auto"/>
                    </w:rPr>
                  </w:pPr>
                  <w:r>
                    <w:rPr>
                      <w:rFonts w:hint="eastAsia"/>
                      <w:color w:val="auto"/>
                    </w:rPr>
                    <w:t>/</w:t>
                  </w:r>
                </w:p>
              </w:tc>
              <w:tc>
                <w:tcPr>
                  <w:tcW w:w="609" w:type="pct"/>
                  <w:noWrap w:val="0"/>
                  <w:vAlign w:val="center"/>
                </w:tcPr>
                <w:p w14:paraId="51DE97A2">
                  <w:pPr>
                    <w:pStyle w:val="28"/>
                    <w:rPr>
                      <w:color w:val="auto"/>
                    </w:rPr>
                  </w:pPr>
                  <w:r>
                    <w:rPr>
                      <w:rFonts w:hint="eastAsia"/>
                      <w:color w:val="auto"/>
                    </w:rPr>
                    <w:t>/</w:t>
                  </w:r>
                </w:p>
              </w:tc>
              <w:tc>
                <w:tcPr>
                  <w:tcW w:w="1167" w:type="pct"/>
                  <w:gridSpan w:val="2"/>
                  <w:noWrap w:val="0"/>
                  <w:vAlign w:val="center"/>
                </w:tcPr>
                <w:p w14:paraId="00A7B034">
                  <w:pPr>
                    <w:pStyle w:val="28"/>
                    <w:rPr>
                      <w:rFonts w:hint="eastAsia"/>
                      <w:color w:val="auto"/>
                    </w:rPr>
                  </w:pPr>
                  <w:r>
                    <w:rPr>
                      <w:rFonts w:hint="eastAsia"/>
                      <w:color w:val="auto"/>
                    </w:rPr>
                    <w:t>37.06</w:t>
                  </w:r>
                  <w:r>
                    <w:rPr>
                      <w:color w:val="auto"/>
                    </w:rPr>
                    <w:t>m</w:t>
                  </w:r>
                  <w:r>
                    <w:rPr>
                      <w:color w:val="auto"/>
                      <w:vertAlign w:val="superscript"/>
                    </w:rPr>
                    <w:t>3</w:t>
                  </w:r>
                  <w:r>
                    <w:rPr>
                      <w:color w:val="auto"/>
                    </w:rPr>
                    <w:t>/次</w:t>
                  </w:r>
                </w:p>
              </w:tc>
              <w:tc>
                <w:tcPr>
                  <w:tcW w:w="1037" w:type="pct"/>
                  <w:gridSpan w:val="2"/>
                  <w:noWrap w:val="0"/>
                  <w:vAlign w:val="center"/>
                </w:tcPr>
                <w:p w14:paraId="26E17C33">
                  <w:pPr>
                    <w:pStyle w:val="28"/>
                    <w:rPr>
                      <w:color w:val="auto"/>
                    </w:rPr>
                  </w:pPr>
                  <w:r>
                    <w:rPr>
                      <w:rFonts w:hint="eastAsia"/>
                      <w:color w:val="auto"/>
                    </w:rPr>
                    <w:t>/</w:t>
                  </w:r>
                </w:p>
              </w:tc>
              <w:tc>
                <w:tcPr>
                  <w:tcW w:w="967" w:type="pct"/>
                  <w:noWrap w:val="0"/>
                  <w:vAlign w:val="center"/>
                </w:tcPr>
                <w:p w14:paraId="2BB5918D">
                  <w:pPr>
                    <w:pStyle w:val="28"/>
                    <w:rPr>
                      <w:rFonts w:hint="eastAsia"/>
                      <w:color w:val="auto"/>
                    </w:rPr>
                  </w:pPr>
                  <w:r>
                    <w:rPr>
                      <w:rFonts w:hint="eastAsia"/>
                      <w:color w:val="auto"/>
                    </w:rPr>
                    <w:t>/</w:t>
                  </w:r>
                </w:p>
              </w:tc>
            </w:tr>
          </w:tbl>
          <w:p w14:paraId="289BF327">
            <w:pPr>
              <w:ind w:firstLine="480"/>
              <w:rPr>
                <w:rFonts w:hint="eastAsia"/>
                <w:color w:val="auto"/>
                <w:lang w:val="en-US" w:eastAsia="zh-CN"/>
              </w:rPr>
            </w:pPr>
            <w:r>
              <w:rPr>
                <w:color w:val="auto"/>
              </w:rPr>
              <w:t>由上可知：本项目运营期的总用水量为</w:t>
            </w:r>
            <w:r>
              <w:rPr>
                <w:rFonts w:hint="eastAsia"/>
                <w:color w:val="auto"/>
              </w:rPr>
              <w:t>非雨天</w:t>
            </w:r>
            <w:r>
              <w:rPr>
                <w:rFonts w:hint="eastAsia" w:eastAsia="等线"/>
                <w:color w:val="auto"/>
                <w:szCs w:val="21"/>
                <w:lang w:val="en-US" w:eastAsia="zh-CN"/>
              </w:rPr>
              <w:t>106.09</w:t>
            </w:r>
            <w:r>
              <w:rPr>
                <w:color w:val="auto"/>
              </w:rPr>
              <w:t>m³/d，</w:t>
            </w:r>
            <w:r>
              <w:rPr>
                <w:rFonts w:hint="eastAsia" w:eastAsia="等线"/>
                <w:color w:val="auto"/>
                <w:szCs w:val="21"/>
                <w:lang w:val="en-US" w:eastAsia="zh-CN"/>
              </w:rPr>
              <w:t>31697.88</w:t>
            </w:r>
            <w:r>
              <w:rPr>
                <w:color w:val="auto"/>
              </w:rPr>
              <w:t>m³/a</w:t>
            </w:r>
            <w:r>
              <w:rPr>
                <w:rFonts w:hint="eastAsia"/>
                <w:color w:val="auto"/>
              </w:rPr>
              <w:t>，</w:t>
            </w:r>
            <w:r>
              <w:rPr>
                <w:color w:val="auto"/>
              </w:rPr>
              <w:t>雨天</w:t>
            </w:r>
            <w:r>
              <w:rPr>
                <w:rFonts w:hint="eastAsia" w:eastAsia="等线"/>
                <w:color w:val="auto"/>
                <w:szCs w:val="21"/>
                <w:lang w:val="en-US" w:eastAsia="zh-CN"/>
              </w:rPr>
              <w:t>61.03</w:t>
            </w:r>
            <w:r>
              <w:rPr>
                <w:color w:val="auto"/>
              </w:rPr>
              <w:t>m³/d，</w:t>
            </w:r>
            <w:r>
              <w:rPr>
                <w:rFonts w:hint="eastAsia" w:eastAsia="等线"/>
                <w:color w:val="auto"/>
                <w:szCs w:val="21"/>
                <w:lang w:val="en-US" w:eastAsia="zh-CN"/>
              </w:rPr>
              <w:t>30797.88</w:t>
            </w:r>
            <w:r>
              <w:rPr>
                <w:color w:val="auto"/>
              </w:rPr>
              <w:t>m³/a，废水量为</w:t>
            </w:r>
            <w:r>
              <w:rPr>
                <w:rFonts w:hint="eastAsia"/>
                <w:color w:val="auto"/>
                <w:lang w:val="en-US" w:eastAsia="zh-CN"/>
              </w:rPr>
              <w:t>8.032m</w:t>
            </w:r>
            <w:r>
              <w:rPr>
                <w:rFonts w:hint="eastAsia"/>
                <w:color w:val="auto"/>
                <w:vertAlign w:val="superscript"/>
                <w:lang w:val="en-US" w:eastAsia="zh-CN"/>
              </w:rPr>
              <w:t>3</w:t>
            </w:r>
            <w:r>
              <w:rPr>
                <w:rFonts w:hint="eastAsia"/>
                <w:color w:val="auto"/>
                <w:lang w:val="en-US" w:eastAsia="zh-CN"/>
              </w:rPr>
              <w:t>/</w:t>
            </w:r>
            <w:r>
              <w:rPr>
                <w:color w:val="auto"/>
              </w:rPr>
              <w:t>d，</w:t>
            </w:r>
            <w:r>
              <w:rPr>
                <w:rFonts w:hint="eastAsia"/>
                <w:color w:val="auto"/>
                <w:lang w:val="en-US" w:eastAsia="zh-CN"/>
              </w:rPr>
              <w:t>2409.8</w:t>
            </w:r>
            <w:r>
              <w:rPr>
                <w:color w:val="auto"/>
              </w:rPr>
              <w:t>m³/a。</w:t>
            </w:r>
            <w:r>
              <w:rPr>
                <w:rFonts w:hint="eastAsia"/>
                <w:color w:val="auto"/>
                <w:lang w:val="en-US" w:eastAsia="zh-CN"/>
              </w:rPr>
              <w:t>水量平衡图见图2-1，2-2。</w:t>
            </w:r>
          </w:p>
          <w:p w14:paraId="545E9397">
            <w:pPr>
              <w:ind w:left="0" w:leftChars="0" w:firstLine="0" w:firstLineChars="0"/>
              <w:jc w:val="both"/>
              <w:rPr>
                <w:color w:val="auto"/>
              </w:rPr>
            </w:pPr>
            <w:r>
              <w:rPr>
                <w:color w:val="auto"/>
              </w:rPr>
              <w:drawing>
                <wp:inline distT="0" distB="0" distL="114300" distR="114300">
                  <wp:extent cx="5401945" cy="5318125"/>
                  <wp:effectExtent l="0" t="0" r="8255" b="1587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6"/>
                          <a:stretch>
                            <a:fillRect/>
                          </a:stretch>
                        </pic:blipFill>
                        <pic:spPr>
                          <a:xfrm>
                            <a:off x="0" y="0"/>
                            <a:ext cx="5401945" cy="5318125"/>
                          </a:xfrm>
                          <a:prstGeom prst="rect">
                            <a:avLst/>
                          </a:prstGeom>
                          <a:noFill/>
                          <a:ln>
                            <a:noFill/>
                          </a:ln>
                        </pic:spPr>
                      </pic:pic>
                    </a:graphicData>
                  </a:graphic>
                </wp:inline>
              </w:drawing>
            </w:r>
          </w:p>
          <w:p w14:paraId="2E9B9B54">
            <w:pPr>
              <w:ind w:left="0" w:leftChars="0" w:firstLine="0" w:firstLineChars="0"/>
              <w:jc w:val="center"/>
              <w:rPr>
                <w:rFonts w:hint="eastAsia"/>
                <w:b/>
                <w:bCs/>
                <w:color w:val="auto"/>
                <w:sz w:val="24"/>
                <w:szCs w:val="24"/>
              </w:rPr>
            </w:pPr>
            <w:r>
              <w:rPr>
                <w:rFonts w:hint="eastAsia"/>
                <w:b/>
                <w:bCs/>
                <w:color w:val="auto"/>
                <w:sz w:val="24"/>
                <w:szCs w:val="24"/>
              </w:rPr>
              <w:t>图</w:t>
            </w:r>
            <w:r>
              <w:rPr>
                <w:rFonts w:hint="eastAsia"/>
                <w:b/>
                <w:bCs/>
                <w:color w:val="auto"/>
                <w:sz w:val="24"/>
                <w:szCs w:val="24"/>
                <w:lang w:val="en-US" w:eastAsia="zh-CN"/>
              </w:rPr>
              <w:t>2-1</w:t>
            </w:r>
            <w:r>
              <w:rPr>
                <w:b/>
                <w:bCs/>
                <w:color w:val="auto"/>
                <w:sz w:val="24"/>
                <w:szCs w:val="24"/>
              </w:rPr>
              <w:t xml:space="preserve">  </w:t>
            </w:r>
            <w:r>
              <w:rPr>
                <w:rFonts w:hint="eastAsia"/>
                <w:b/>
                <w:bCs/>
                <w:color w:val="auto"/>
                <w:sz w:val="24"/>
                <w:szCs w:val="24"/>
              </w:rPr>
              <w:t>非雨天水平衡图</w:t>
            </w:r>
          </w:p>
          <w:p w14:paraId="457E7011">
            <w:pPr>
              <w:ind w:left="0" w:leftChars="0" w:firstLine="0" w:firstLineChars="0"/>
              <w:jc w:val="center"/>
              <w:rPr>
                <w:rFonts w:hint="eastAsia"/>
                <w:b/>
                <w:bCs/>
                <w:color w:val="auto"/>
                <w:sz w:val="24"/>
                <w:szCs w:val="24"/>
              </w:rPr>
            </w:pPr>
          </w:p>
          <w:p w14:paraId="1C385DA4">
            <w:pPr>
              <w:ind w:left="0" w:leftChars="0" w:firstLine="0" w:firstLineChars="0"/>
              <w:jc w:val="center"/>
              <w:rPr>
                <w:rFonts w:hint="eastAsia"/>
                <w:b/>
                <w:bCs/>
                <w:color w:val="auto"/>
                <w:sz w:val="24"/>
                <w:szCs w:val="24"/>
              </w:rPr>
            </w:pPr>
          </w:p>
          <w:p w14:paraId="1BE15D1D">
            <w:pPr>
              <w:ind w:left="0" w:leftChars="0" w:firstLine="0" w:firstLineChars="0"/>
              <w:jc w:val="center"/>
              <w:rPr>
                <w:rFonts w:hint="eastAsia"/>
                <w:b/>
                <w:bCs/>
                <w:color w:val="auto"/>
                <w:sz w:val="24"/>
                <w:szCs w:val="24"/>
              </w:rPr>
            </w:pPr>
          </w:p>
          <w:p w14:paraId="40AF9F0B">
            <w:pPr>
              <w:ind w:left="0" w:leftChars="0" w:firstLine="0" w:firstLineChars="0"/>
              <w:jc w:val="center"/>
              <w:rPr>
                <w:rFonts w:hint="eastAsia"/>
                <w:b/>
                <w:bCs/>
                <w:color w:val="auto"/>
                <w:sz w:val="24"/>
                <w:szCs w:val="24"/>
              </w:rPr>
            </w:pPr>
          </w:p>
          <w:p w14:paraId="6F0FB95D">
            <w:pPr>
              <w:ind w:left="0" w:leftChars="0" w:firstLine="0" w:firstLineChars="0"/>
              <w:jc w:val="center"/>
              <w:rPr>
                <w:rFonts w:hint="eastAsia"/>
                <w:b/>
                <w:bCs/>
                <w:color w:val="auto"/>
                <w:sz w:val="24"/>
                <w:szCs w:val="24"/>
              </w:rPr>
            </w:pPr>
          </w:p>
          <w:p w14:paraId="7A384963">
            <w:pPr>
              <w:ind w:left="0" w:leftChars="0" w:firstLine="0" w:firstLineChars="0"/>
              <w:jc w:val="center"/>
              <w:rPr>
                <w:rFonts w:hint="eastAsia"/>
                <w:b/>
                <w:bCs/>
                <w:color w:val="auto"/>
                <w:sz w:val="24"/>
                <w:szCs w:val="24"/>
              </w:rPr>
            </w:pPr>
          </w:p>
          <w:p w14:paraId="6494C95E">
            <w:pPr>
              <w:ind w:left="0" w:leftChars="0" w:firstLine="0" w:firstLineChars="0"/>
              <w:jc w:val="center"/>
              <w:rPr>
                <w:rFonts w:hint="eastAsia"/>
                <w:b/>
                <w:bCs/>
                <w:color w:val="auto"/>
                <w:sz w:val="24"/>
                <w:szCs w:val="24"/>
              </w:rPr>
            </w:pPr>
          </w:p>
          <w:p w14:paraId="5285DC5D">
            <w:pPr>
              <w:ind w:left="0" w:leftChars="0" w:firstLine="0" w:firstLineChars="0"/>
              <w:jc w:val="center"/>
              <w:rPr>
                <w:rFonts w:hint="eastAsia"/>
                <w:b/>
                <w:bCs/>
                <w:color w:val="auto"/>
                <w:sz w:val="24"/>
                <w:szCs w:val="24"/>
              </w:rPr>
            </w:pPr>
          </w:p>
          <w:p w14:paraId="45BD5B63">
            <w:pPr>
              <w:ind w:left="0" w:leftChars="0" w:firstLine="0" w:firstLineChars="0"/>
              <w:jc w:val="center"/>
              <w:rPr>
                <w:rFonts w:hint="eastAsia"/>
                <w:b/>
                <w:bCs/>
                <w:color w:val="auto"/>
                <w:sz w:val="24"/>
                <w:szCs w:val="24"/>
              </w:rPr>
            </w:pPr>
          </w:p>
          <w:p w14:paraId="140D193A">
            <w:pPr>
              <w:ind w:left="0" w:leftChars="0" w:firstLine="0" w:firstLineChars="0"/>
              <w:jc w:val="center"/>
              <w:rPr>
                <w:rFonts w:hint="eastAsia"/>
                <w:b/>
                <w:bCs/>
                <w:color w:val="auto"/>
                <w:sz w:val="24"/>
                <w:szCs w:val="24"/>
              </w:rPr>
            </w:pPr>
          </w:p>
          <w:p w14:paraId="130F8C46">
            <w:pPr>
              <w:ind w:left="0" w:leftChars="0" w:firstLine="0" w:firstLineChars="0"/>
              <w:jc w:val="center"/>
              <w:rPr>
                <w:rFonts w:hint="eastAsia"/>
                <w:b/>
                <w:bCs/>
                <w:color w:val="auto"/>
                <w:sz w:val="24"/>
                <w:szCs w:val="24"/>
              </w:rPr>
            </w:pPr>
          </w:p>
          <w:p w14:paraId="6E053759">
            <w:pPr>
              <w:pStyle w:val="18"/>
              <w:ind w:left="0" w:leftChars="0" w:firstLine="0" w:firstLineChars="0"/>
              <w:jc w:val="center"/>
              <w:rPr>
                <w:rFonts w:hint="eastAsia"/>
                <w:b/>
                <w:bCs/>
                <w:color w:val="auto"/>
                <w:sz w:val="24"/>
                <w:szCs w:val="24"/>
              </w:rPr>
            </w:pPr>
            <w:r>
              <w:rPr>
                <w:color w:val="auto"/>
              </w:rPr>
              <w:drawing>
                <wp:inline distT="0" distB="0" distL="114300" distR="114300">
                  <wp:extent cx="5397500" cy="4370705"/>
                  <wp:effectExtent l="0" t="0" r="12700" b="1079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5397500" cy="4370705"/>
                          </a:xfrm>
                          <a:prstGeom prst="rect">
                            <a:avLst/>
                          </a:prstGeom>
                          <a:noFill/>
                          <a:ln>
                            <a:noFill/>
                          </a:ln>
                        </pic:spPr>
                      </pic:pic>
                    </a:graphicData>
                  </a:graphic>
                </wp:inline>
              </w:drawing>
            </w:r>
          </w:p>
          <w:p w14:paraId="34DFAAC5">
            <w:pPr>
              <w:pStyle w:val="18"/>
              <w:ind w:left="0" w:leftChars="0" w:firstLine="0" w:firstLineChars="0"/>
              <w:jc w:val="center"/>
              <w:rPr>
                <w:rFonts w:hint="eastAsia"/>
                <w:b/>
                <w:bCs/>
                <w:color w:val="auto"/>
                <w:sz w:val="24"/>
                <w:szCs w:val="24"/>
              </w:rPr>
            </w:pPr>
            <w:r>
              <w:rPr>
                <w:rFonts w:hint="eastAsia"/>
                <w:b/>
                <w:bCs/>
                <w:color w:val="auto"/>
                <w:sz w:val="24"/>
                <w:szCs w:val="24"/>
              </w:rPr>
              <w:t>图</w:t>
            </w:r>
            <w:r>
              <w:rPr>
                <w:rFonts w:hint="eastAsia"/>
                <w:b/>
                <w:bCs/>
                <w:color w:val="auto"/>
                <w:sz w:val="24"/>
                <w:szCs w:val="24"/>
                <w:lang w:val="en-US" w:eastAsia="zh-CN"/>
              </w:rPr>
              <w:t>2-2</w:t>
            </w:r>
            <w:r>
              <w:rPr>
                <w:b/>
                <w:bCs/>
                <w:color w:val="auto"/>
                <w:sz w:val="24"/>
                <w:szCs w:val="24"/>
              </w:rPr>
              <w:t xml:space="preserve">  </w:t>
            </w:r>
            <w:r>
              <w:rPr>
                <w:rFonts w:hint="eastAsia"/>
                <w:b/>
                <w:bCs/>
                <w:color w:val="auto"/>
                <w:sz w:val="24"/>
                <w:szCs w:val="24"/>
              </w:rPr>
              <w:t>雨天水平衡图</w:t>
            </w:r>
          </w:p>
          <w:p w14:paraId="3339FA96">
            <w:pPr>
              <w:ind w:firstLine="482"/>
              <w:rPr>
                <w:b/>
                <w:color w:val="auto"/>
                <w:szCs w:val="22"/>
              </w:rPr>
            </w:pPr>
            <w:r>
              <w:rPr>
                <w:b/>
                <w:color w:val="auto"/>
                <w:szCs w:val="22"/>
              </w:rPr>
              <w:t>2.2.1</w:t>
            </w:r>
            <w:r>
              <w:rPr>
                <w:rFonts w:hint="eastAsia"/>
                <w:b/>
                <w:color w:val="auto"/>
                <w:szCs w:val="22"/>
                <w:lang w:val="en-US" w:eastAsia="zh-CN"/>
              </w:rPr>
              <w:t>1</w:t>
            </w:r>
            <w:r>
              <w:rPr>
                <w:rFonts w:hint="eastAsia"/>
                <w:b/>
                <w:color w:val="auto"/>
                <w:szCs w:val="22"/>
              </w:rPr>
              <w:t>环保投资估算</w:t>
            </w:r>
          </w:p>
          <w:p w14:paraId="12E6A746">
            <w:pPr>
              <w:widowControl/>
              <w:ind w:firstLine="480"/>
              <w:rPr>
                <w:rFonts w:hint="eastAsia" w:eastAsia="宋体"/>
                <w:color w:val="auto"/>
                <w:lang w:eastAsia="zh-CN"/>
              </w:rPr>
            </w:pPr>
            <w:r>
              <w:rPr>
                <w:rFonts w:hint="eastAsia"/>
                <w:bCs/>
                <w:color w:val="auto"/>
              </w:rPr>
              <w:t>本项目估算总投资2</w:t>
            </w:r>
            <w:r>
              <w:rPr>
                <w:bCs/>
                <w:color w:val="auto"/>
              </w:rPr>
              <w:t>00</w:t>
            </w:r>
            <w:r>
              <w:rPr>
                <w:rFonts w:hint="eastAsia"/>
                <w:bCs/>
                <w:color w:val="auto"/>
              </w:rPr>
              <w:t>万元，其中环保投资</w:t>
            </w:r>
            <w:r>
              <w:rPr>
                <w:rFonts w:hint="eastAsia"/>
                <w:bCs/>
                <w:color w:val="auto"/>
                <w:lang w:val="en-US" w:eastAsia="zh-CN"/>
              </w:rPr>
              <w:t>74.36</w:t>
            </w:r>
            <w:r>
              <w:rPr>
                <w:rFonts w:hint="eastAsia"/>
                <w:bCs/>
                <w:color w:val="auto"/>
              </w:rPr>
              <w:t>万元</w:t>
            </w:r>
            <w:r>
              <w:rPr>
                <w:bCs/>
                <w:color w:val="auto"/>
              </w:rPr>
              <w:t>，环保投资占总投资的</w:t>
            </w:r>
            <w:r>
              <w:rPr>
                <w:rFonts w:hint="eastAsia"/>
                <w:bCs/>
                <w:color w:val="auto"/>
                <w:lang w:val="en-US" w:eastAsia="zh-CN"/>
              </w:rPr>
              <w:t>37.2</w:t>
            </w:r>
            <w:r>
              <w:rPr>
                <w:bCs/>
                <w:color w:val="auto"/>
              </w:rPr>
              <w:t>%</w:t>
            </w:r>
            <w:r>
              <w:rPr>
                <w:rFonts w:hint="eastAsia"/>
                <w:bCs/>
                <w:color w:val="auto"/>
              </w:rPr>
              <w:t>。</w:t>
            </w:r>
            <w:r>
              <w:rPr>
                <w:color w:val="auto"/>
              </w:rPr>
              <w:t>环保投资</w:t>
            </w:r>
            <w:r>
              <w:rPr>
                <w:rFonts w:hint="eastAsia"/>
                <w:color w:val="auto"/>
              </w:rPr>
              <w:t>估算如下</w:t>
            </w:r>
            <w:r>
              <w:rPr>
                <w:color w:val="auto"/>
              </w:rPr>
              <w:t>。</w:t>
            </w:r>
            <w:r>
              <w:rPr>
                <w:rFonts w:hint="eastAsia"/>
                <w:color w:val="auto"/>
                <w:lang w:eastAsia="zh-CN"/>
              </w:rPr>
              <w:t>（</w:t>
            </w:r>
            <w:r>
              <w:rPr>
                <w:rFonts w:hint="eastAsia"/>
                <w:color w:val="auto"/>
                <w:lang w:val="en-US" w:eastAsia="zh-CN"/>
              </w:rPr>
              <w:t>项目主体工程、配套工程已建成，本次施工主要为环保设备安装、初期雨水收集池及四级沉淀池等设施的建设</w:t>
            </w:r>
            <w:r>
              <w:rPr>
                <w:rFonts w:hint="eastAsia"/>
                <w:color w:val="auto"/>
                <w:lang w:eastAsia="zh-CN"/>
              </w:rPr>
              <w:t>）。</w:t>
            </w:r>
          </w:p>
          <w:p w14:paraId="4857E9D5">
            <w:pPr>
              <w:pStyle w:val="29"/>
              <w:spacing w:before="24" w:after="24"/>
              <w:rPr>
                <w:color w:val="auto"/>
              </w:rPr>
            </w:pPr>
            <w:r>
              <w:rPr>
                <w:color w:val="auto"/>
              </w:rPr>
              <w:t>表</w:t>
            </w:r>
            <w:r>
              <w:rPr>
                <w:rFonts w:hint="eastAsia"/>
                <w:color w:val="auto"/>
                <w:lang w:val="en-US" w:eastAsia="zh-CN"/>
              </w:rPr>
              <w:t>2-5</w:t>
            </w:r>
            <w:r>
              <w:rPr>
                <w:color w:val="auto"/>
              </w:rPr>
              <w:t xml:space="preserve">  环保投资估算一览表</w:t>
            </w:r>
          </w:p>
          <w:tbl>
            <w:tblPr>
              <w:tblStyle w:val="20"/>
              <w:tblW w:w="85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09"/>
              <w:gridCol w:w="818"/>
              <w:gridCol w:w="4159"/>
              <w:gridCol w:w="750"/>
              <w:gridCol w:w="999"/>
              <w:gridCol w:w="719"/>
              <w:gridCol w:w="702"/>
            </w:tblGrid>
            <w:tr w14:paraId="152BE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9" w:hRule="atLeast"/>
                <w:jc w:val="center"/>
              </w:trPr>
              <w:tc>
                <w:tcPr>
                  <w:tcW w:w="717" w:type="pct"/>
                  <w:gridSpan w:val="2"/>
                  <w:noWrap w:val="0"/>
                  <w:vAlign w:val="center"/>
                </w:tcPr>
                <w:p w14:paraId="43FD48E2">
                  <w:pPr>
                    <w:pStyle w:val="28"/>
                    <w:rPr>
                      <w:rFonts w:hint="eastAsia" w:eastAsia="宋体"/>
                      <w:b/>
                      <w:bCs/>
                      <w:color w:val="auto"/>
                      <w:lang w:val="en-US" w:eastAsia="zh-CN"/>
                    </w:rPr>
                  </w:pPr>
                  <w:r>
                    <w:rPr>
                      <w:rFonts w:hint="eastAsia"/>
                      <w:b/>
                      <w:bCs/>
                      <w:color w:val="auto"/>
                      <w:lang w:val="en-US" w:eastAsia="zh-CN"/>
                    </w:rPr>
                    <w:t>项目</w:t>
                  </w:r>
                </w:p>
              </w:tc>
              <w:tc>
                <w:tcPr>
                  <w:tcW w:w="3452" w:type="pct"/>
                  <w:gridSpan w:val="3"/>
                  <w:noWrap w:val="0"/>
                  <w:vAlign w:val="center"/>
                </w:tcPr>
                <w:p w14:paraId="135B5B37">
                  <w:pPr>
                    <w:pStyle w:val="28"/>
                    <w:rPr>
                      <w:b/>
                      <w:bCs/>
                      <w:color w:val="auto"/>
                    </w:rPr>
                  </w:pPr>
                  <w:r>
                    <w:rPr>
                      <w:rFonts w:hint="eastAsia"/>
                      <w:b/>
                      <w:bCs/>
                      <w:color w:val="auto"/>
                      <w:lang w:val="en-US" w:eastAsia="zh-CN"/>
                    </w:rPr>
                    <w:t>数量或规模</w:t>
                  </w:r>
                </w:p>
              </w:tc>
              <w:tc>
                <w:tcPr>
                  <w:tcW w:w="420" w:type="pct"/>
                  <w:noWrap w:val="0"/>
                  <w:vAlign w:val="center"/>
                </w:tcPr>
                <w:p w14:paraId="5D738861">
                  <w:pPr>
                    <w:pStyle w:val="28"/>
                    <w:rPr>
                      <w:b/>
                      <w:bCs/>
                      <w:color w:val="auto"/>
                    </w:rPr>
                  </w:pPr>
                  <w:r>
                    <w:rPr>
                      <w:b/>
                      <w:bCs/>
                      <w:color w:val="auto"/>
                    </w:rPr>
                    <w:t>投资</w:t>
                  </w:r>
                </w:p>
                <w:p w14:paraId="5A3CFA6F">
                  <w:pPr>
                    <w:pStyle w:val="28"/>
                    <w:rPr>
                      <w:b/>
                      <w:bCs/>
                      <w:color w:val="auto"/>
                    </w:rPr>
                  </w:pPr>
                  <w:r>
                    <w:rPr>
                      <w:b/>
                      <w:bCs/>
                      <w:color w:val="auto"/>
                    </w:rPr>
                    <w:t>（万元）</w:t>
                  </w:r>
                </w:p>
              </w:tc>
              <w:tc>
                <w:tcPr>
                  <w:tcW w:w="410" w:type="pct"/>
                  <w:noWrap w:val="0"/>
                  <w:vAlign w:val="center"/>
                </w:tcPr>
                <w:p w14:paraId="532DA3FA">
                  <w:pPr>
                    <w:pStyle w:val="28"/>
                    <w:rPr>
                      <w:rFonts w:hint="eastAsia" w:eastAsia="宋体"/>
                      <w:b/>
                      <w:bCs/>
                      <w:color w:val="auto"/>
                      <w:lang w:val="en-US" w:eastAsia="zh-CN"/>
                    </w:rPr>
                  </w:pPr>
                  <w:r>
                    <w:rPr>
                      <w:rFonts w:hint="eastAsia"/>
                      <w:b/>
                      <w:bCs/>
                      <w:color w:val="auto"/>
                      <w:lang w:val="en-US" w:eastAsia="zh-CN"/>
                    </w:rPr>
                    <w:t>备注</w:t>
                  </w:r>
                </w:p>
              </w:tc>
            </w:tr>
            <w:tr w14:paraId="3A0F6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jc w:val="center"/>
              </w:trPr>
              <w:tc>
                <w:tcPr>
                  <w:tcW w:w="239" w:type="pct"/>
                  <w:vMerge w:val="restart"/>
                  <w:noWrap w:val="0"/>
                  <w:vAlign w:val="center"/>
                </w:tcPr>
                <w:p w14:paraId="4B1BC5CD">
                  <w:pPr>
                    <w:pStyle w:val="28"/>
                    <w:rPr>
                      <w:color w:val="auto"/>
                    </w:rPr>
                  </w:pPr>
                  <w:r>
                    <w:rPr>
                      <w:rFonts w:hint="eastAsia"/>
                      <w:color w:val="auto"/>
                    </w:rPr>
                    <w:t>施工期</w:t>
                  </w:r>
                </w:p>
              </w:tc>
              <w:tc>
                <w:tcPr>
                  <w:tcW w:w="478" w:type="pct"/>
                  <w:noWrap w:val="0"/>
                  <w:vAlign w:val="center"/>
                </w:tcPr>
                <w:p w14:paraId="2799CB9F">
                  <w:pPr>
                    <w:pStyle w:val="28"/>
                    <w:rPr>
                      <w:color w:val="auto"/>
                    </w:rPr>
                  </w:pPr>
                  <w:r>
                    <w:rPr>
                      <w:color w:val="auto"/>
                    </w:rPr>
                    <w:t>扬尘</w:t>
                  </w:r>
                </w:p>
              </w:tc>
              <w:tc>
                <w:tcPr>
                  <w:tcW w:w="3452" w:type="pct"/>
                  <w:gridSpan w:val="3"/>
                  <w:noWrap w:val="0"/>
                  <w:vAlign w:val="center"/>
                </w:tcPr>
                <w:p w14:paraId="2CDDFDD7">
                  <w:pPr>
                    <w:pStyle w:val="28"/>
                    <w:rPr>
                      <w:color w:val="auto"/>
                    </w:rPr>
                  </w:pPr>
                  <w:r>
                    <w:rPr>
                      <w:color w:val="auto"/>
                    </w:rPr>
                    <w:t>洒水降尘设施</w:t>
                  </w:r>
                  <w:r>
                    <w:rPr>
                      <w:rFonts w:hint="eastAsia"/>
                      <w:color w:val="auto"/>
                      <w:lang w:eastAsia="zh-CN"/>
                    </w:rPr>
                    <w:t>、材</w:t>
                  </w:r>
                  <w:r>
                    <w:rPr>
                      <w:color w:val="auto"/>
                    </w:rPr>
                    <w:t>料覆盖设施</w:t>
                  </w:r>
                </w:p>
              </w:tc>
              <w:tc>
                <w:tcPr>
                  <w:tcW w:w="420" w:type="pct"/>
                  <w:noWrap w:val="0"/>
                  <w:vAlign w:val="center"/>
                </w:tcPr>
                <w:p w14:paraId="314C8912">
                  <w:pPr>
                    <w:pStyle w:val="28"/>
                    <w:rPr>
                      <w:rFonts w:hint="default" w:eastAsia="宋体"/>
                      <w:color w:val="auto"/>
                      <w:lang w:val="en-US" w:eastAsia="zh-CN"/>
                    </w:rPr>
                  </w:pPr>
                  <w:r>
                    <w:rPr>
                      <w:rFonts w:hint="eastAsia"/>
                      <w:color w:val="auto"/>
                      <w:lang w:val="en-US" w:eastAsia="zh-CN"/>
                    </w:rPr>
                    <w:t>0.5</w:t>
                  </w:r>
                </w:p>
              </w:tc>
              <w:tc>
                <w:tcPr>
                  <w:tcW w:w="410" w:type="pct"/>
                  <w:noWrap w:val="0"/>
                  <w:vAlign w:val="center"/>
                </w:tcPr>
                <w:p w14:paraId="69D1EAE5">
                  <w:pPr>
                    <w:pStyle w:val="28"/>
                    <w:rPr>
                      <w:rFonts w:hint="eastAsia" w:eastAsia="宋体"/>
                      <w:color w:val="auto"/>
                      <w:lang w:val="en-US" w:eastAsia="zh-CN"/>
                    </w:rPr>
                  </w:pPr>
                  <w:r>
                    <w:rPr>
                      <w:rFonts w:hint="eastAsia"/>
                      <w:color w:val="auto"/>
                      <w:lang w:val="en-US" w:eastAsia="zh-CN"/>
                    </w:rPr>
                    <w:t>/</w:t>
                  </w:r>
                </w:p>
              </w:tc>
            </w:tr>
            <w:tr w14:paraId="697AF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239" w:type="pct"/>
                  <w:vMerge w:val="continue"/>
                  <w:noWrap w:val="0"/>
                  <w:vAlign w:val="center"/>
                </w:tcPr>
                <w:p w14:paraId="1F3B8FE4">
                  <w:pPr>
                    <w:pStyle w:val="28"/>
                    <w:rPr>
                      <w:rFonts w:hint="eastAsia"/>
                      <w:color w:val="auto"/>
                    </w:rPr>
                  </w:pPr>
                </w:p>
              </w:tc>
              <w:tc>
                <w:tcPr>
                  <w:tcW w:w="478" w:type="pct"/>
                  <w:noWrap w:val="0"/>
                  <w:vAlign w:val="center"/>
                </w:tcPr>
                <w:p w14:paraId="0583643F">
                  <w:pPr>
                    <w:pStyle w:val="28"/>
                    <w:rPr>
                      <w:rFonts w:hint="eastAsia"/>
                      <w:color w:val="auto"/>
                      <w:lang w:val="en-US" w:eastAsia="zh-CN"/>
                    </w:rPr>
                  </w:pPr>
                  <w:r>
                    <w:rPr>
                      <w:rFonts w:hint="eastAsia"/>
                      <w:color w:val="auto"/>
                      <w:lang w:val="en-US" w:eastAsia="zh-CN"/>
                    </w:rPr>
                    <w:t>施工</w:t>
                  </w:r>
                </w:p>
                <w:p w14:paraId="3CAD1344">
                  <w:pPr>
                    <w:pStyle w:val="28"/>
                    <w:rPr>
                      <w:rFonts w:hint="default" w:eastAsia="宋体"/>
                      <w:color w:val="auto"/>
                      <w:lang w:val="en-US" w:eastAsia="zh-CN"/>
                    </w:rPr>
                  </w:pPr>
                  <w:r>
                    <w:rPr>
                      <w:rFonts w:hint="eastAsia"/>
                      <w:color w:val="auto"/>
                      <w:lang w:val="en-US" w:eastAsia="zh-CN"/>
                    </w:rPr>
                    <w:t>废水</w:t>
                  </w:r>
                </w:p>
              </w:tc>
              <w:tc>
                <w:tcPr>
                  <w:tcW w:w="3452" w:type="pct"/>
                  <w:gridSpan w:val="3"/>
                  <w:noWrap w:val="0"/>
                  <w:vAlign w:val="center"/>
                </w:tcPr>
                <w:p w14:paraId="4A345529">
                  <w:pPr>
                    <w:pStyle w:val="28"/>
                    <w:rPr>
                      <w:color w:val="auto"/>
                    </w:rPr>
                  </w:pPr>
                  <w:r>
                    <w:rPr>
                      <w:rFonts w:hint="eastAsia"/>
                      <w:color w:val="auto"/>
                    </w:rPr>
                    <w:t>设置1个</w:t>
                  </w:r>
                  <w:r>
                    <w:rPr>
                      <w:rFonts w:hint="eastAsia"/>
                      <w:color w:val="auto"/>
                      <w:lang w:val="en-US" w:eastAsia="zh-CN"/>
                    </w:rPr>
                    <w:t>1</w:t>
                  </w:r>
                  <w:r>
                    <w:rPr>
                      <w:rFonts w:hint="eastAsia"/>
                      <w:color w:val="auto"/>
                    </w:rPr>
                    <w:t>m</w:t>
                  </w:r>
                  <w:r>
                    <w:rPr>
                      <w:rFonts w:hint="eastAsia"/>
                      <w:color w:val="auto"/>
                      <w:vertAlign w:val="superscript"/>
                    </w:rPr>
                    <w:t>3</w:t>
                  </w:r>
                  <w:r>
                    <w:rPr>
                      <w:rFonts w:hint="eastAsia"/>
                      <w:color w:val="auto"/>
                    </w:rPr>
                    <w:t>的</w:t>
                  </w:r>
                  <w:r>
                    <w:rPr>
                      <w:color w:val="auto"/>
                    </w:rPr>
                    <w:t>废水临时沉淀池</w:t>
                  </w:r>
                </w:p>
              </w:tc>
              <w:tc>
                <w:tcPr>
                  <w:tcW w:w="420" w:type="pct"/>
                  <w:noWrap w:val="0"/>
                  <w:vAlign w:val="center"/>
                </w:tcPr>
                <w:p w14:paraId="785182E7">
                  <w:pPr>
                    <w:pStyle w:val="28"/>
                    <w:rPr>
                      <w:rFonts w:hint="default" w:eastAsia="宋体"/>
                      <w:color w:val="auto"/>
                      <w:lang w:val="en-US" w:eastAsia="zh-CN"/>
                    </w:rPr>
                  </w:pPr>
                  <w:r>
                    <w:rPr>
                      <w:rFonts w:hint="eastAsia"/>
                      <w:color w:val="auto"/>
                      <w:lang w:val="en-US" w:eastAsia="zh-CN"/>
                    </w:rPr>
                    <w:t>0.5</w:t>
                  </w:r>
                </w:p>
              </w:tc>
              <w:tc>
                <w:tcPr>
                  <w:tcW w:w="410" w:type="pct"/>
                  <w:noWrap w:val="0"/>
                  <w:vAlign w:val="center"/>
                </w:tcPr>
                <w:p w14:paraId="10502FFE">
                  <w:pPr>
                    <w:pStyle w:val="28"/>
                    <w:rPr>
                      <w:rFonts w:hint="default"/>
                      <w:color w:val="auto"/>
                      <w:lang w:val="en-US" w:eastAsia="zh-CN"/>
                    </w:rPr>
                  </w:pPr>
                  <w:r>
                    <w:rPr>
                      <w:rFonts w:hint="eastAsia"/>
                      <w:color w:val="auto"/>
                      <w:lang w:val="en-US" w:eastAsia="zh-CN"/>
                    </w:rPr>
                    <w:t>/</w:t>
                  </w:r>
                </w:p>
              </w:tc>
            </w:tr>
            <w:tr w14:paraId="4C036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4" w:hRule="atLeast"/>
                <w:jc w:val="center"/>
              </w:trPr>
              <w:tc>
                <w:tcPr>
                  <w:tcW w:w="239" w:type="pct"/>
                  <w:vMerge w:val="continue"/>
                  <w:noWrap w:val="0"/>
                  <w:vAlign w:val="center"/>
                </w:tcPr>
                <w:p w14:paraId="40A25633">
                  <w:pPr>
                    <w:pStyle w:val="28"/>
                    <w:rPr>
                      <w:color w:val="auto"/>
                    </w:rPr>
                  </w:pPr>
                </w:p>
              </w:tc>
              <w:tc>
                <w:tcPr>
                  <w:tcW w:w="478" w:type="pct"/>
                  <w:noWrap w:val="0"/>
                  <w:vAlign w:val="center"/>
                </w:tcPr>
                <w:p w14:paraId="0A030393">
                  <w:pPr>
                    <w:pStyle w:val="28"/>
                    <w:rPr>
                      <w:color w:val="auto"/>
                    </w:rPr>
                  </w:pPr>
                  <w:r>
                    <w:rPr>
                      <w:rFonts w:hint="eastAsia"/>
                      <w:color w:val="auto"/>
                    </w:rPr>
                    <w:t>固废</w:t>
                  </w:r>
                </w:p>
              </w:tc>
              <w:tc>
                <w:tcPr>
                  <w:tcW w:w="3452" w:type="pct"/>
                  <w:gridSpan w:val="3"/>
                  <w:noWrap w:val="0"/>
                  <w:vAlign w:val="center"/>
                </w:tcPr>
                <w:p w14:paraId="0EC49E0A">
                  <w:pPr>
                    <w:pStyle w:val="28"/>
                    <w:rPr>
                      <w:rFonts w:hint="default" w:eastAsia="宋体"/>
                      <w:color w:val="auto"/>
                      <w:lang w:val="en-US" w:eastAsia="zh-CN"/>
                    </w:rPr>
                  </w:pPr>
                  <w:r>
                    <w:rPr>
                      <w:rFonts w:hint="eastAsia"/>
                      <w:color w:val="auto"/>
                      <w:lang w:val="en-US" w:eastAsia="zh-CN"/>
                    </w:rPr>
                    <w:t>废包装材料回收与废品回收公司，土石方回填项目低洼处</w:t>
                  </w:r>
                </w:p>
              </w:tc>
              <w:tc>
                <w:tcPr>
                  <w:tcW w:w="420" w:type="pct"/>
                  <w:noWrap w:val="0"/>
                  <w:vAlign w:val="center"/>
                </w:tcPr>
                <w:p w14:paraId="1B6FEFC3">
                  <w:pPr>
                    <w:pStyle w:val="28"/>
                    <w:rPr>
                      <w:color w:val="auto"/>
                    </w:rPr>
                  </w:pPr>
                  <w:r>
                    <w:rPr>
                      <w:rFonts w:hint="eastAsia"/>
                      <w:color w:val="auto"/>
                    </w:rPr>
                    <w:t>1.0</w:t>
                  </w:r>
                </w:p>
              </w:tc>
              <w:tc>
                <w:tcPr>
                  <w:tcW w:w="410" w:type="pct"/>
                  <w:noWrap w:val="0"/>
                  <w:vAlign w:val="center"/>
                </w:tcPr>
                <w:p w14:paraId="01DD12E0">
                  <w:pPr>
                    <w:pStyle w:val="28"/>
                    <w:rPr>
                      <w:rFonts w:hint="eastAsia" w:eastAsia="宋体"/>
                      <w:color w:val="auto"/>
                      <w:lang w:val="en-US" w:eastAsia="zh-CN"/>
                    </w:rPr>
                  </w:pPr>
                  <w:r>
                    <w:rPr>
                      <w:rFonts w:hint="eastAsia"/>
                      <w:color w:val="auto"/>
                      <w:lang w:val="en-US" w:eastAsia="zh-CN"/>
                    </w:rPr>
                    <w:t>/</w:t>
                  </w:r>
                </w:p>
              </w:tc>
            </w:tr>
            <w:tr w14:paraId="47742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239" w:type="pct"/>
                  <w:vMerge w:val="restart"/>
                  <w:noWrap w:val="0"/>
                  <w:vAlign w:val="center"/>
                </w:tcPr>
                <w:p w14:paraId="79B232A1">
                  <w:pPr>
                    <w:pStyle w:val="28"/>
                    <w:rPr>
                      <w:color w:val="auto"/>
                    </w:rPr>
                  </w:pPr>
                  <w:r>
                    <w:rPr>
                      <w:rFonts w:hint="eastAsia"/>
                      <w:color w:val="auto"/>
                    </w:rPr>
                    <w:t>运营期</w:t>
                  </w:r>
                </w:p>
              </w:tc>
              <w:tc>
                <w:tcPr>
                  <w:tcW w:w="478" w:type="pct"/>
                  <w:vMerge w:val="restart"/>
                  <w:noWrap w:val="0"/>
                  <w:vAlign w:val="center"/>
                </w:tcPr>
                <w:p w14:paraId="152FA5B6">
                  <w:pPr>
                    <w:pStyle w:val="28"/>
                    <w:rPr>
                      <w:rFonts w:hint="default" w:eastAsia="宋体"/>
                      <w:color w:val="auto"/>
                      <w:lang w:val="en-US" w:eastAsia="zh-CN"/>
                    </w:rPr>
                  </w:pPr>
                  <w:r>
                    <w:rPr>
                      <w:rFonts w:hint="eastAsia"/>
                      <w:color w:val="auto"/>
                      <w:lang w:val="en-US" w:eastAsia="zh-CN"/>
                    </w:rPr>
                    <w:t>废水防治措施</w:t>
                  </w:r>
                </w:p>
              </w:tc>
              <w:tc>
                <w:tcPr>
                  <w:tcW w:w="3452" w:type="pct"/>
                  <w:gridSpan w:val="3"/>
                  <w:noWrap w:val="0"/>
                  <w:vAlign w:val="center"/>
                </w:tcPr>
                <w:p w14:paraId="64EA734B">
                  <w:pPr>
                    <w:pStyle w:val="28"/>
                    <w:rPr>
                      <w:rFonts w:hint="default" w:eastAsia="宋体"/>
                      <w:color w:val="auto"/>
                      <w:lang w:val="en-US" w:eastAsia="zh-CN"/>
                    </w:rPr>
                  </w:pPr>
                  <w:r>
                    <w:rPr>
                      <w:rFonts w:hint="eastAsia"/>
                      <w:color w:val="auto"/>
                      <w:lang w:val="en-US" w:eastAsia="zh-CN"/>
                    </w:rPr>
                    <w:t>搅拌机清洗废水及锅炉清净水经1个容积为180m</w:t>
                  </w:r>
                  <w:r>
                    <w:rPr>
                      <w:rFonts w:hint="eastAsia"/>
                      <w:color w:val="auto"/>
                      <w:vertAlign w:val="superscript"/>
                      <w:lang w:val="en-US" w:eastAsia="zh-CN"/>
                    </w:rPr>
                    <w:t>3</w:t>
                  </w:r>
                  <w:r>
                    <w:rPr>
                      <w:rFonts w:hint="eastAsia"/>
                      <w:color w:val="auto"/>
                      <w:lang w:val="en-US" w:eastAsia="zh-CN"/>
                    </w:rPr>
                    <w:t>的</w:t>
                  </w:r>
                  <w:r>
                    <w:rPr>
                      <w:rFonts w:hint="eastAsia"/>
                      <w:color w:val="auto"/>
                    </w:rPr>
                    <w:t>四</w:t>
                  </w:r>
                  <w:r>
                    <w:rPr>
                      <w:color w:val="auto"/>
                    </w:rPr>
                    <w:t>级沉淀池</w:t>
                  </w:r>
                  <w:r>
                    <w:rPr>
                      <w:rFonts w:hint="eastAsia"/>
                      <w:color w:val="auto"/>
                      <w:lang w:val="en-US" w:eastAsia="zh-CN"/>
                    </w:rPr>
                    <w:t>处理后回用于混凝土搅拌</w:t>
                  </w:r>
                </w:p>
              </w:tc>
              <w:tc>
                <w:tcPr>
                  <w:tcW w:w="420" w:type="pct"/>
                  <w:noWrap w:val="0"/>
                  <w:vAlign w:val="center"/>
                </w:tcPr>
                <w:p w14:paraId="3D7F347B">
                  <w:pPr>
                    <w:pStyle w:val="28"/>
                    <w:rPr>
                      <w:rFonts w:hint="default" w:eastAsia="宋体"/>
                      <w:color w:val="auto"/>
                      <w:lang w:val="en-US" w:eastAsia="zh-CN"/>
                    </w:rPr>
                  </w:pPr>
                  <w:r>
                    <w:rPr>
                      <w:rFonts w:hint="eastAsia"/>
                      <w:color w:val="auto"/>
                      <w:lang w:val="en-US" w:eastAsia="zh-CN"/>
                    </w:rPr>
                    <w:t>5.4</w:t>
                  </w:r>
                </w:p>
              </w:tc>
              <w:tc>
                <w:tcPr>
                  <w:tcW w:w="410" w:type="pct"/>
                  <w:noWrap w:val="0"/>
                  <w:vAlign w:val="center"/>
                </w:tcPr>
                <w:p w14:paraId="1674AD02">
                  <w:pPr>
                    <w:pStyle w:val="28"/>
                    <w:rPr>
                      <w:rFonts w:hint="eastAsia" w:eastAsia="宋体"/>
                      <w:color w:val="auto"/>
                      <w:lang w:val="en-US" w:eastAsia="zh-CN"/>
                    </w:rPr>
                  </w:pPr>
                  <w:r>
                    <w:rPr>
                      <w:rFonts w:hint="eastAsia"/>
                      <w:color w:val="auto"/>
                      <w:lang w:val="en-US" w:eastAsia="zh-CN"/>
                    </w:rPr>
                    <w:t>已建</w:t>
                  </w:r>
                </w:p>
              </w:tc>
            </w:tr>
            <w:tr w14:paraId="07DB6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239" w:type="pct"/>
                  <w:vMerge w:val="continue"/>
                  <w:noWrap w:val="0"/>
                  <w:vAlign w:val="center"/>
                </w:tcPr>
                <w:p w14:paraId="22A6B0C0">
                  <w:pPr>
                    <w:pStyle w:val="28"/>
                    <w:rPr>
                      <w:color w:val="auto"/>
                    </w:rPr>
                  </w:pPr>
                </w:p>
              </w:tc>
              <w:tc>
                <w:tcPr>
                  <w:tcW w:w="478" w:type="pct"/>
                  <w:vMerge w:val="continue"/>
                  <w:noWrap w:val="0"/>
                  <w:vAlign w:val="center"/>
                </w:tcPr>
                <w:p w14:paraId="5B8E43FD">
                  <w:pPr>
                    <w:pStyle w:val="28"/>
                    <w:rPr>
                      <w:color w:val="auto"/>
                    </w:rPr>
                  </w:pPr>
                </w:p>
              </w:tc>
              <w:tc>
                <w:tcPr>
                  <w:tcW w:w="3452" w:type="pct"/>
                  <w:gridSpan w:val="3"/>
                  <w:noWrap w:val="0"/>
                  <w:vAlign w:val="center"/>
                </w:tcPr>
                <w:p w14:paraId="5BEF2627">
                  <w:pPr>
                    <w:pStyle w:val="28"/>
                    <w:rPr>
                      <w:color w:val="auto"/>
                    </w:rPr>
                  </w:pPr>
                  <w:r>
                    <w:rPr>
                      <w:color w:val="auto"/>
                    </w:rPr>
                    <w:t>雨水</w:t>
                  </w:r>
                  <w:r>
                    <w:rPr>
                      <w:rFonts w:hint="eastAsia"/>
                      <w:color w:val="auto"/>
                    </w:rPr>
                    <w:t>沟渠</w:t>
                  </w:r>
                </w:p>
              </w:tc>
              <w:tc>
                <w:tcPr>
                  <w:tcW w:w="420" w:type="pct"/>
                  <w:noWrap w:val="0"/>
                  <w:vAlign w:val="center"/>
                </w:tcPr>
                <w:p w14:paraId="587FB21A">
                  <w:pPr>
                    <w:pStyle w:val="28"/>
                    <w:rPr>
                      <w:rFonts w:hint="default" w:eastAsia="宋体"/>
                      <w:color w:val="auto"/>
                      <w:lang w:val="en-US" w:eastAsia="zh-CN"/>
                    </w:rPr>
                  </w:pPr>
                  <w:r>
                    <w:rPr>
                      <w:rFonts w:hint="eastAsia"/>
                      <w:color w:val="auto"/>
                      <w:lang w:val="en-US" w:eastAsia="zh-CN"/>
                    </w:rPr>
                    <w:t>1.0</w:t>
                  </w:r>
                </w:p>
              </w:tc>
              <w:tc>
                <w:tcPr>
                  <w:tcW w:w="410" w:type="pct"/>
                  <w:noWrap w:val="0"/>
                  <w:vAlign w:val="center"/>
                </w:tcPr>
                <w:p w14:paraId="2D360C83">
                  <w:pPr>
                    <w:pStyle w:val="28"/>
                    <w:rPr>
                      <w:rFonts w:hint="default" w:eastAsia="宋体"/>
                      <w:color w:val="auto"/>
                      <w:lang w:val="en-US" w:eastAsia="zh-CN"/>
                    </w:rPr>
                  </w:pPr>
                  <w:r>
                    <w:rPr>
                      <w:rFonts w:hint="eastAsia"/>
                      <w:color w:val="auto"/>
                      <w:lang w:val="en-US" w:eastAsia="zh-CN"/>
                    </w:rPr>
                    <w:t>已建</w:t>
                  </w:r>
                </w:p>
              </w:tc>
            </w:tr>
            <w:tr w14:paraId="7C091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239" w:type="pct"/>
                  <w:vMerge w:val="continue"/>
                  <w:noWrap w:val="0"/>
                  <w:vAlign w:val="center"/>
                </w:tcPr>
                <w:p w14:paraId="7550B4CD">
                  <w:pPr>
                    <w:pStyle w:val="28"/>
                    <w:rPr>
                      <w:color w:val="auto"/>
                    </w:rPr>
                  </w:pPr>
                </w:p>
              </w:tc>
              <w:tc>
                <w:tcPr>
                  <w:tcW w:w="478" w:type="pct"/>
                  <w:vMerge w:val="continue"/>
                  <w:noWrap w:val="0"/>
                  <w:vAlign w:val="center"/>
                </w:tcPr>
                <w:p w14:paraId="6BD22D82">
                  <w:pPr>
                    <w:pStyle w:val="28"/>
                    <w:rPr>
                      <w:color w:val="auto"/>
                    </w:rPr>
                  </w:pPr>
                </w:p>
              </w:tc>
              <w:tc>
                <w:tcPr>
                  <w:tcW w:w="3452" w:type="pct"/>
                  <w:gridSpan w:val="3"/>
                  <w:noWrap w:val="0"/>
                  <w:vAlign w:val="center"/>
                </w:tcPr>
                <w:p w14:paraId="3E1C31C6">
                  <w:pPr>
                    <w:pStyle w:val="28"/>
                    <w:rPr>
                      <w:rFonts w:hint="default" w:eastAsia="宋体"/>
                      <w:color w:val="auto"/>
                      <w:lang w:val="en-US" w:eastAsia="zh-CN"/>
                    </w:rPr>
                  </w:pPr>
                  <w:r>
                    <w:rPr>
                      <w:rFonts w:hint="eastAsia"/>
                      <w:color w:val="auto"/>
                      <w:lang w:val="en-US" w:eastAsia="zh-CN"/>
                    </w:rPr>
                    <w:t>1个容积为45m</w:t>
                  </w:r>
                  <w:r>
                    <w:rPr>
                      <w:rFonts w:hint="eastAsia"/>
                      <w:color w:val="auto"/>
                      <w:vertAlign w:val="superscript"/>
                      <w:lang w:val="en-US" w:eastAsia="zh-CN"/>
                    </w:rPr>
                    <w:t>3</w:t>
                  </w:r>
                  <w:r>
                    <w:rPr>
                      <w:rFonts w:hint="eastAsia"/>
                      <w:color w:val="auto"/>
                      <w:lang w:val="en-US" w:eastAsia="zh-CN"/>
                    </w:rPr>
                    <w:t>的</w:t>
                  </w:r>
                  <w:r>
                    <w:rPr>
                      <w:rFonts w:hint="eastAsia"/>
                      <w:color w:val="auto"/>
                    </w:rPr>
                    <w:t>初期雨水收集池</w:t>
                  </w:r>
                  <w:r>
                    <w:rPr>
                      <w:rFonts w:hint="eastAsia"/>
                      <w:color w:val="auto"/>
                      <w:lang w:val="en-US" w:eastAsia="zh-CN"/>
                    </w:rPr>
                    <w:t>收集雨水</w:t>
                  </w:r>
                </w:p>
              </w:tc>
              <w:tc>
                <w:tcPr>
                  <w:tcW w:w="420" w:type="pct"/>
                  <w:noWrap w:val="0"/>
                  <w:vAlign w:val="center"/>
                </w:tcPr>
                <w:p w14:paraId="17A6B367">
                  <w:pPr>
                    <w:pStyle w:val="28"/>
                    <w:rPr>
                      <w:rFonts w:hint="default" w:eastAsia="宋体"/>
                      <w:color w:val="auto"/>
                      <w:lang w:val="en-US" w:eastAsia="zh-CN"/>
                    </w:rPr>
                  </w:pPr>
                  <w:r>
                    <w:rPr>
                      <w:rFonts w:hint="eastAsia"/>
                      <w:color w:val="auto"/>
                      <w:lang w:val="en-US" w:eastAsia="zh-CN"/>
                    </w:rPr>
                    <w:t>2.5</w:t>
                  </w:r>
                </w:p>
              </w:tc>
              <w:tc>
                <w:tcPr>
                  <w:tcW w:w="410" w:type="pct"/>
                  <w:noWrap w:val="0"/>
                  <w:vAlign w:val="center"/>
                </w:tcPr>
                <w:p w14:paraId="36BAF374">
                  <w:pPr>
                    <w:pStyle w:val="28"/>
                    <w:rPr>
                      <w:rFonts w:hint="eastAsia" w:eastAsia="宋体"/>
                      <w:color w:val="auto"/>
                      <w:lang w:val="en-US" w:eastAsia="zh-CN"/>
                    </w:rPr>
                  </w:pPr>
                  <w:r>
                    <w:rPr>
                      <w:rFonts w:hint="eastAsia"/>
                      <w:color w:val="auto"/>
                      <w:lang w:val="en-US" w:eastAsia="zh-CN"/>
                    </w:rPr>
                    <w:t>新建</w:t>
                  </w:r>
                </w:p>
              </w:tc>
            </w:tr>
            <w:tr w14:paraId="7E409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9" w:hRule="atLeast"/>
                <w:jc w:val="center"/>
              </w:trPr>
              <w:tc>
                <w:tcPr>
                  <w:tcW w:w="239" w:type="pct"/>
                  <w:vMerge w:val="continue"/>
                  <w:noWrap w:val="0"/>
                  <w:vAlign w:val="center"/>
                </w:tcPr>
                <w:p w14:paraId="2A504ABF">
                  <w:pPr>
                    <w:pStyle w:val="28"/>
                    <w:rPr>
                      <w:color w:val="auto"/>
                    </w:rPr>
                  </w:pPr>
                </w:p>
              </w:tc>
              <w:tc>
                <w:tcPr>
                  <w:tcW w:w="478" w:type="pct"/>
                  <w:vMerge w:val="continue"/>
                  <w:noWrap w:val="0"/>
                  <w:vAlign w:val="center"/>
                </w:tcPr>
                <w:p w14:paraId="45B173E1">
                  <w:pPr>
                    <w:pStyle w:val="28"/>
                    <w:rPr>
                      <w:rFonts w:hint="eastAsia"/>
                      <w:color w:val="auto"/>
                    </w:rPr>
                  </w:pPr>
                </w:p>
              </w:tc>
              <w:tc>
                <w:tcPr>
                  <w:tcW w:w="3452" w:type="pct"/>
                  <w:gridSpan w:val="3"/>
                  <w:noWrap w:val="0"/>
                  <w:vAlign w:val="center"/>
                </w:tcPr>
                <w:p w14:paraId="18266D69">
                  <w:pPr>
                    <w:pStyle w:val="28"/>
                    <w:rPr>
                      <w:rFonts w:hint="eastAsia" w:eastAsia="宋体"/>
                      <w:color w:val="auto"/>
                      <w:lang w:val="en-US" w:eastAsia="zh-CN"/>
                    </w:rPr>
                  </w:pPr>
                  <w:r>
                    <w:rPr>
                      <w:rFonts w:hint="eastAsia"/>
                      <w:color w:val="auto"/>
                      <w:lang w:val="en-US" w:eastAsia="zh-CN"/>
                    </w:rPr>
                    <w:t>罐车清洗废水设置每个规格为2*3.5*1m的五级沉淀池，容积约为35m</w:t>
                  </w:r>
                  <w:r>
                    <w:rPr>
                      <w:rFonts w:hint="eastAsia"/>
                      <w:color w:val="auto"/>
                      <w:vertAlign w:val="superscript"/>
                      <w:lang w:val="en-US" w:eastAsia="zh-CN"/>
                    </w:rPr>
                    <w:t>3</w:t>
                  </w:r>
                  <w:r>
                    <w:rPr>
                      <w:rFonts w:hint="eastAsia"/>
                      <w:color w:val="auto"/>
                      <w:lang w:val="en-US" w:eastAsia="zh-CN"/>
                    </w:rPr>
                    <w:t>的沉淀后回用于混凝土搅拌</w:t>
                  </w:r>
                </w:p>
              </w:tc>
              <w:tc>
                <w:tcPr>
                  <w:tcW w:w="420" w:type="pct"/>
                  <w:noWrap w:val="0"/>
                  <w:vAlign w:val="center"/>
                </w:tcPr>
                <w:p w14:paraId="05E9A634">
                  <w:pPr>
                    <w:pStyle w:val="28"/>
                    <w:rPr>
                      <w:rFonts w:hint="default" w:eastAsia="宋体"/>
                      <w:color w:val="auto"/>
                      <w:lang w:val="en-US" w:eastAsia="zh-CN"/>
                    </w:rPr>
                  </w:pPr>
                  <w:r>
                    <w:rPr>
                      <w:rFonts w:hint="eastAsia"/>
                      <w:color w:val="auto"/>
                      <w:lang w:val="en-US" w:eastAsia="zh-CN"/>
                    </w:rPr>
                    <w:t>5.5</w:t>
                  </w:r>
                </w:p>
              </w:tc>
              <w:tc>
                <w:tcPr>
                  <w:tcW w:w="410" w:type="pct"/>
                  <w:noWrap w:val="0"/>
                  <w:vAlign w:val="center"/>
                </w:tcPr>
                <w:p w14:paraId="68BA1F94">
                  <w:pPr>
                    <w:pStyle w:val="28"/>
                    <w:rPr>
                      <w:rFonts w:hint="default"/>
                      <w:color w:val="auto"/>
                      <w:lang w:val="en-US" w:eastAsia="zh-CN"/>
                    </w:rPr>
                  </w:pPr>
                  <w:r>
                    <w:rPr>
                      <w:rFonts w:hint="eastAsia"/>
                      <w:color w:val="auto"/>
                      <w:lang w:val="en-US" w:eastAsia="zh-CN"/>
                    </w:rPr>
                    <w:t>已建</w:t>
                  </w:r>
                </w:p>
              </w:tc>
            </w:tr>
            <w:tr w14:paraId="6CB92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2" w:hRule="atLeast"/>
                <w:jc w:val="center"/>
              </w:trPr>
              <w:tc>
                <w:tcPr>
                  <w:tcW w:w="239" w:type="pct"/>
                  <w:vMerge w:val="continue"/>
                  <w:noWrap w:val="0"/>
                  <w:vAlign w:val="center"/>
                </w:tcPr>
                <w:p w14:paraId="792103A6">
                  <w:pPr>
                    <w:pStyle w:val="28"/>
                    <w:rPr>
                      <w:color w:val="auto"/>
                    </w:rPr>
                  </w:pPr>
                </w:p>
              </w:tc>
              <w:tc>
                <w:tcPr>
                  <w:tcW w:w="478" w:type="pct"/>
                  <w:vMerge w:val="continue"/>
                  <w:noWrap w:val="0"/>
                  <w:vAlign w:val="center"/>
                </w:tcPr>
                <w:p w14:paraId="69404AE4">
                  <w:pPr>
                    <w:pStyle w:val="28"/>
                    <w:rPr>
                      <w:rFonts w:hint="default" w:eastAsia="宋体"/>
                      <w:color w:val="auto"/>
                      <w:lang w:val="en-US" w:eastAsia="zh-CN"/>
                    </w:rPr>
                  </w:pPr>
                </w:p>
              </w:tc>
              <w:tc>
                <w:tcPr>
                  <w:tcW w:w="3452" w:type="pct"/>
                  <w:gridSpan w:val="3"/>
                  <w:noWrap w:val="0"/>
                  <w:vAlign w:val="center"/>
                </w:tcPr>
                <w:p w14:paraId="76A5A16F">
                  <w:pPr>
                    <w:pStyle w:val="28"/>
                    <w:rPr>
                      <w:rFonts w:hint="eastAsia" w:eastAsia="宋体"/>
                      <w:color w:val="auto"/>
                      <w:lang w:val="en-US" w:eastAsia="zh-CN"/>
                    </w:rPr>
                  </w:pPr>
                  <w:r>
                    <w:rPr>
                      <w:rFonts w:hint="eastAsia"/>
                      <w:color w:val="auto"/>
                      <w:szCs w:val="21"/>
                      <w:lang w:val="en-US" w:eastAsia="zh-CN"/>
                    </w:rPr>
                    <w:t>试验区废水设置规格为0.6*5*1.5m的三级沉淀池，容积为4.5m</w:t>
                  </w:r>
                  <w:r>
                    <w:rPr>
                      <w:rFonts w:hint="eastAsia"/>
                      <w:color w:val="auto"/>
                      <w:szCs w:val="21"/>
                      <w:vertAlign w:val="superscript"/>
                      <w:lang w:val="en-US" w:eastAsia="zh-CN"/>
                    </w:rPr>
                    <w:t>3</w:t>
                  </w:r>
                  <w:r>
                    <w:rPr>
                      <w:rFonts w:hint="eastAsia"/>
                      <w:color w:val="auto"/>
                      <w:szCs w:val="21"/>
                      <w:vertAlign w:val="baseline"/>
                      <w:lang w:val="en-US" w:eastAsia="zh-CN"/>
                    </w:rPr>
                    <w:t>，</w:t>
                  </w:r>
                  <w:r>
                    <w:rPr>
                      <w:rFonts w:hint="eastAsia"/>
                      <w:color w:val="auto"/>
                      <w:szCs w:val="21"/>
                      <w:lang w:val="en-US" w:eastAsia="zh-CN"/>
                    </w:rPr>
                    <w:t>沉淀后的废水不外排，回用于混凝土搅拌</w:t>
                  </w:r>
                </w:p>
              </w:tc>
              <w:tc>
                <w:tcPr>
                  <w:tcW w:w="420" w:type="pct"/>
                  <w:noWrap w:val="0"/>
                  <w:vAlign w:val="center"/>
                </w:tcPr>
                <w:p w14:paraId="3CBF0221">
                  <w:pPr>
                    <w:pStyle w:val="28"/>
                    <w:rPr>
                      <w:rFonts w:hint="default" w:eastAsia="宋体"/>
                      <w:color w:val="auto"/>
                      <w:lang w:val="en-US" w:eastAsia="zh-CN"/>
                    </w:rPr>
                  </w:pPr>
                  <w:r>
                    <w:rPr>
                      <w:rFonts w:hint="eastAsia"/>
                      <w:color w:val="auto"/>
                      <w:lang w:val="en-US" w:eastAsia="zh-CN"/>
                    </w:rPr>
                    <w:t>2.5</w:t>
                  </w:r>
                </w:p>
              </w:tc>
              <w:tc>
                <w:tcPr>
                  <w:tcW w:w="410" w:type="pct"/>
                  <w:noWrap w:val="0"/>
                  <w:vAlign w:val="center"/>
                </w:tcPr>
                <w:p w14:paraId="296A5C8D">
                  <w:pPr>
                    <w:pStyle w:val="28"/>
                    <w:rPr>
                      <w:rFonts w:hint="default"/>
                      <w:color w:val="auto"/>
                      <w:lang w:val="en-US" w:eastAsia="zh-CN"/>
                    </w:rPr>
                  </w:pPr>
                  <w:r>
                    <w:rPr>
                      <w:rFonts w:hint="eastAsia"/>
                      <w:color w:val="auto"/>
                      <w:lang w:val="en-US" w:eastAsia="zh-CN"/>
                    </w:rPr>
                    <w:t>已建</w:t>
                  </w:r>
                </w:p>
              </w:tc>
            </w:tr>
            <w:tr w14:paraId="5FACA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8" w:hRule="atLeast"/>
                <w:jc w:val="center"/>
              </w:trPr>
              <w:tc>
                <w:tcPr>
                  <w:tcW w:w="239" w:type="pct"/>
                  <w:vMerge w:val="continue"/>
                  <w:noWrap w:val="0"/>
                  <w:vAlign w:val="center"/>
                </w:tcPr>
                <w:p w14:paraId="345173A0">
                  <w:pPr>
                    <w:pStyle w:val="28"/>
                    <w:rPr>
                      <w:color w:val="auto"/>
                    </w:rPr>
                  </w:pPr>
                </w:p>
              </w:tc>
              <w:tc>
                <w:tcPr>
                  <w:tcW w:w="478" w:type="pct"/>
                  <w:vMerge w:val="continue"/>
                  <w:noWrap w:val="0"/>
                  <w:vAlign w:val="center"/>
                </w:tcPr>
                <w:p w14:paraId="1253478B">
                  <w:pPr>
                    <w:pStyle w:val="28"/>
                    <w:rPr>
                      <w:rFonts w:hint="default" w:eastAsia="宋体"/>
                      <w:color w:val="auto"/>
                      <w:lang w:val="en-US" w:eastAsia="zh-CN"/>
                    </w:rPr>
                  </w:pPr>
                </w:p>
              </w:tc>
              <w:tc>
                <w:tcPr>
                  <w:tcW w:w="3452" w:type="pct"/>
                  <w:gridSpan w:val="3"/>
                  <w:noWrap w:val="0"/>
                  <w:vAlign w:val="center"/>
                </w:tcPr>
                <w:p w14:paraId="6091EBE4">
                  <w:pPr>
                    <w:pStyle w:val="28"/>
                    <w:rPr>
                      <w:rFonts w:hint="default"/>
                      <w:color w:val="auto"/>
                      <w:szCs w:val="21"/>
                      <w:lang w:val="en-US" w:eastAsia="zh-CN"/>
                    </w:rPr>
                  </w:pPr>
                  <w:r>
                    <w:rPr>
                      <w:rFonts w:hint="eastAsia"/>
                      <w:color w:val="auto"/>
                      <w:szCs w:val="21"/>
                      <w:lang w:val="en-US" w:eastAsia="zh-CN"/>
                    </w:rPr>
                    <w:t>2个化粪池，1#化粪池容积为30m</w:t>
                  </w:r>
                  <w:r>
                    <w:rPr>
                      <w:rFonts w:hint="eastAsia"/>
                      <w:color w:val="auto"/>
                      <w:szCs w:val="21"/>
                      <w:vertAlign w:val="superscript"/>
                      <w:lang w:val="en-US" w:eastAsia="zh-CN"/>
                    </w:rPr>
                    <w:t>3</w:t>
                  </w:r>
                  <w:r>
                    <w:rPr>
                      <w:rFonts w:hint="eastAsia"/>
                      <w:color w:val="auto"/>
                      <w:szCs w:val="21"/>
                      <w:lang w:val="en-US" w:eastAsia="zh-CN"/>
                    </w:rPr>
                    <w:t>，2#化粪池容积为15m</w:t>
                  </w:r>
                  <w:r>
                    <w:rPr>
                      <w:rFonts w:hint="eastAsia"/>
                      <w:color w:val="auto"/>
                      <w:szCs w:val="21"/>
                      <w:vertAlign w:val="superscript"/>
                      <w:lang w:val="en-US" w:eastAsia="zh-CN"/>
                    </w:rPr>
                    <w:t>3</w:t>
                  </w:r>
                </w:p>
              </w:tc>
              <w:tc>
                <w:tcPr>
                  <w:tcW w:w="420" w:type="pct"/>
                  <w:noWrap w:val="0"/>
                  <w:vAlign w:val="center"/>
                </w:tcPr>
                <w:p w14:paraId="538961F7">
                  <w:pPr>
                    <w:pStyle w:val="28"/>
                    <w:rPr>
                      <w:rFonts w:hint="default"/>
                      <w:color w:val="auto"/>
                      <w:lang w:val="en-US" w:eastAsia="zh-CN"/>
                    </w:rPr>
                  </w:pPr>
                  <w:r>
                    <w:rPr>
                      <w:rFonts w:hint="eastAsia"/>
                      <w:color w:val="auto"/>
                      <w:lang w:val="en-US" w:eastAsia="zh-CN"/>
                    </w:rPr>
                    <w:t>3.5</w:t>
                  </w:r>
                </w:p>
              </w:tc>
              <w:tc>
                <w:tcPr>
                  <w:tcW w:w="410" w:type="pct"/>
                  <w:noWrap w:val="0"/>
                  <w:vAlign w:val="center"/>
                </w:tcPr>
                <w:p w14:paraId="39633F79">
                  <w:pPr>
                    <w:pStyle w:val="28"/>
                    <w:rPr>
                      <w:rFonts w:hint="eastAsia"/>
                      <w:color w:val="auto"/>
                      <w:lang w:val="en-US" w:eastAsia="zh-CN"/>
                    </w:rPr>
                  </w:pPr>
                  <w:r>
                    <w:rPr>
                      <w:rFonts w:hint="eastAsia"/>
                      <w:color w:val="auto"/>
                      <w:lang w:val="en-US" w:eastAsia="zh-CN"/>
                    </w:rPr>
                    <w:t>已建</w:t>
                  </w:r>
                </w:p>
              </w:tc>
            </w:tr>
            <w:tr w14:paraId="56956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 w:hRule="atLeast"/>
                <w:jc w:val="center"/>
              </w:trPr>
              <w:tc>
                <w:tcPr>
                  <w:tcW w:w="239" w:type="pct"/>
                  <w:vMerge w:val="continue"/>
                  <w:noWrap w:val="0"/>
                  <w:vAlign w:val="center"/>
                </w:tcPr>
                <w:p w14:paraId="08EDEC4B">
                  <w:pPr>
                    <w:pStyle w:val="28"/>
                    <w:rPr>
                      <w:color w:val="auto"/>
                    </w:rPr>
                  </w:pPr>
                </w:p>
              </w:tc>
              <w:tc>
                <w:tcPr>
                  <w:tcW w:w="478" w:type="pct"/>
                  <w:vMerge w:val="continue"/>
                  <w:noWrap w:val="0"/>
                  <w:vAlign w:val="center"/>
                </w:tcPr>
                <w:p w14:paraId="6925F1BF">
                  <w:pPr>
                    <w:pStyle w:val="28"/>
                    <w:rPr>
                      <w:rFonts w:hint="default" w:eastAsia="宋体"/>
                      <w:color w:val="auto"/>
                      <w:lang w:val="en-US" w:eastAsia="zh-CN"/>
                    </w:rPr>
                  </w:pPr>
                </w:p>
              </w:tc>
              <w:tc>
                <w:tcPr>
                  <w:tcW w:w="3452" w:type="pct"/>
                  <w:gridSpan w:val="3"/>
                  <w:noWrap w:val="0"/>
                  <w:vAlign w:val="center"/>
                </w:tcPr>
                <w:p w14:paraId="5EF07971">
                  <w:pPr>
                    <w:pStyle w:val="28"/>
                    <w:rPr>
                      <w:rFonts w:hint="default"/>
                      <w:color w:val="auto"/>
                      <w:szCs w:val="21"/>
                      <w:lang w:val="en-US" w:eastAsia="zh-CN"/>
                    </w:rPr>
                  </w:pPr>
                  <w:r>
                    <w:rPr>
                      <w:rFonts w:hint="eastAsia"/>
                      <w:color w:val="auto"/>
                      <w:szCs w:val="21"/>
                      <w:lang w:val="en-US" w:eastAsia="zh-CN"/>
                    </w:rPr>
                    <w:t>1个容积为0.5m</w:t>
                  </w:r>
                  <w:r>
                    <w:rPr>
                      <w:rFonts w:hint="eastAsia"/>
                      <w:color w:val="auto"/>
                      <w:szCs w:val="21"/>
                      <w:vertAlign w:val="superscript"/>
                      <w:lang w:val="en-US" w:eastAsia="zh-CN"/>
                    </w:rPr>
                    <w:t>3</w:t>
                  </w:r>
                  <w:r>
                    <w:rPr>
                      <w:rFonts w:hint="eastAsia"/>
                      <w:color w:val="auto"/>
                      <w:szCs w:val="21"/>
                      <w:lang w:val="en-US" w:eastAsia="zh-CN"/>
                    </w:rPr>
                    <w:t>的油水分离器</w:t>
                  </w:r>
                </w:p>
              </w:tc>
              <w:tc>
                <w:tcPr>
                  <w:tcW w:w="420" w:type="pct"/>
                  <w:noWrap w:val="0"/>
                  <w:vAlign w:val="center"/>
                </w:tcPr>
                <w:p w14:paraId="3A5C7928">
                  <w:pPr>
                    <w:pStyle w:val="28"/>
                    <w:rPr>
                      <w:rFonts w:hint="default"/>
                      <w:color w:val="auto"/>
                      <w:lang w:val="en-US" w:eastAsia="zh-CN"/>
                    </w:rPr>
                  </w:pPr>
                  <w:r>
                    <w:rPr>
                      <w:rFonts w:hint="eastAsia"/>
                      <w:color w:val="auto"/>
                      <w:lang w:val="en-US" w:eastAsia="zh-CN"/>
                    </w:rPr>
                    <w:t>0.5</w:t>
                  </w:r>
                </w:p>
              </w:tc>
              <w:tc>
                <w:tcPr>
                  <w:tcW w:w="410" w:type="pct"/>
                  <w:noWrap w:val="0"/>
                  <w:vAlign w:val="center"/>
                </w:tcPr>
                <w:p w14:paraId="7BFBADE4">
                  <w:pPr>
                    <w:pStyle w:val="28"/>
                    <w:rPr>
                      <w:rFonts w:hint="default"/>
                      <w:color w:val="auto"/>
                      <w:lang w:val="en-US" w:eastAsia="zh-CN"/>
                    </w:rPr>
                  </w:pPr>
                  <w:r>
                    <w:rPr>
                      <w:rFonts w:hint="eastAsia"/>
                      <w:color w:val="auto"/>
                      <w:lang w:val="en-US" w:eastAsia="zh-CN"/>
                    </w:rPr>
                    <w:t>新建</w:t>
                  </w:r>
                </w:p>
              </w:tc>
            </w:tr>
            <w:tr w14:paraId="2E572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65" w:hRule="atLeast"/>
                <w:jc w:val="center"/>
              </w:trPr>
              <w:tc>
                <w:tcPr>
                  <w:tcW w:w="239" w:type="pct"/>
                  <w:vMerge w:val="continue"/>
                  <w:noWrap w:val="0"/>
                  <w:vAlign w:val="center"/>
                </w:tcPr>
                <w:p w14:paraId="1F8138B9">
                  <w:pPr>
                    <w:pStyle w:val="28"/>
                    <w:rPr>
                      <w:color w:val="auto"/>
                    </w:rPr>
                  </w:pPr>
                </w:p>
              </w:tc>
              <w:tc>
                <w:tcPr>
                  <w:tcW w:w="478" w:type="pct"/>
                  <w:vMerge w:val="restart"/>
                  <w:noWrap w:val="0"/>
                  <w:vAlign w:val="center"/>
                </w:tcPr>
                <w:p w14:paraId="14F7CBB6">
                  <w:pPr>
                    <w:pStyle w:val="28"/>
                    <w:rPr>
                      <w:rFonts w:hint="default" w:eastAsia="宋体"/>
                      <w:color w:val="auto"/>
                      <w:lang w:val="en-US" w:eastAsia="zh-CN"/>
                    </w:rPr>
                  </w:pPr>
                  <w:r>
                    <w:rPr>
                      <w:rFonts w:hint="eastAsia"/>
                      <w:color w:val="auto"/>
                      <w:lang w:val="en-US" w:eastAsia="zh-CN"/>
                    </w:rPr>
                    <w:t>大气防治措施</w:t>
                  </w:r>
                </w:p>
              </w:tc>
              <w:tc>
                <w:tcPr>
                  <w:tcW w:w="3452" w:type="pct"/>
                  <w:gridSpan w:val="3"/>
                  <w:noWrap w:val="0"/>
                  <w:vAlign w:val="center"/>
                </w:tcPr>
                <w:p w14:paraId="6525D270">
                  <w:pPr>
                    <w:pStyle w:val="28"/>
                    <w:rPr>
                      <w:color w:val="auto"/>
                    </w:rPr>
                  </w:pPr>
                  <w:r>
                    <w:rPr>
                      <w:rFonts w:hint="eastAsia" w:hAnsi="宋体"/>
                      <w:color w:val="auto"/>
                    </w:rPr>
                    <w:t>筒仓顶部</w:t>
                  </w:r>
                  <w:r>
                    <w:rPr>
                      <w:rFonts w:hint="eastAsia" w:hAnsi="宋体"/>
                      <w:color w:val="auto"/>
                      <w:lang w:val="en-US" w:eastAsia="zh-CN"/>
                    </w:rPr>
                    <w:t>设</w:t>
                  </w:r>
                  <w:r>
                    <w:rPr>
                      <w:rFonts w:hint="eastAsia" w:hAnsi="宋体"/>
                      <w:color w:val="auto"/>
                    </w:rPr>
                    <w:t>有</w:t>
                  </w:r>
                  <w:r>
                    <w:rPr>
                      <w:rFonts w:hint="eastAsia" w:hAnsi="宋体"/>
                      <w:color w:val="auto"/>
                      <w:lang w:val="en-US" w:eastAsia="zh-CN"/>
                    </w:rPr>
                    <w:t>6套</w:t>
                  </w:r>
                  <w:r>
                    <w:rPr>
                      <w:rFonts w:hint="eastAsia" w:hAnsi="宋体"/>
                      <w:color w:val="auto"/>
                    </w:rPr>
                    <w:t>仓顶除尘器，在往筒仓中输送水泥时筒仓内空气排放时均经过仓顶除尘器过滤后由仓顶排口进行达标排放</w:t>
                  </w:r>
                </w:p>
              </w:tc>
              <w:tc>
                <w:tcPr>
                  <w:tcW w:w="420" w:type="pct"/>
                  <w:noWrap w:val="0"/>
                  <w:vAlign w:val="center"/>
                </w:tcPr>
                <w:p w14:paraId="1B54715D">
                  <w:pPr>
                    <w:pStyle w:val="28"/>
                    <w:rPr>
                      <w:rFonts w:hint="default" w:eastAsia="宋体"/>
                      <w:color w:val="auto"/>
                      <w:lang w:val="en-US" w:eastAsia="zh-CN"/>
                    </w:rPr>
                  </w:pPr>
                  <w:r>
                    <w:rPr>
                      <w:rFonts w:hint="eastAsia"/>
                      <w:color w:val="auto"/>
                      <w:lang w:val="en-US" w:eastAsia="zh-CN"/>
                    </w:rPr>
                    <w:t>10.56</w:t>
                  </w:r>
                </w:p>
              </w:tc>
              <w:tc>
                <w:tcPr>
                  <w:tcW w:w="410" w:type="pct"/>
                  <w:noWrap w:val="0"/>
                  <w:vAlign w:val="center"/>
                </w:tcPr>
                <w:p w14:paraId="6B35B483">
                  <w:pPr>
                    <w:pStyle w:val="28"/>
                    <w:rPr>
                      <w:color w:val="auto"/>
                    </w:rPr>
                  </w:pPr>
                  <w:r>
                    <w:rPr>
                      <w:rFonts w:hint="eastAsia"/>
                      <w:color w:val="auto"/>
                      <w:lang w:val="en-US" w:eastAsia="zh-CN"/>
                    </w:rPr>
                    <w:t>已建</w:t>
                  </w:r>
                </w:p>
              </w:tc>
            </w:tr>
            <w:tr w14:paraId="643D5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2" w:hRule="atLeast"/>
                <w:jc w:val="center"/>
              </w:trPr>
              <w:tc>
                <w:tcPr>
                  <w:tcW w:w="239" w:type="pct"/>
                  <w:vMerge w:val="continue"/>
                  <w:noWrap w:val="0"/>
                  <w:vAlign w:val="center"/>
                </w:tcPr>
                <w:p w14:paraId="21FCB7A9">
                  <w:pPr>
                    <w:pStyle w:val="28"/>
                    <w:rPr>
                      <w:color w:val="auto"/>
                    </w:rPr>
                  </w:pPr>
                </w:p>
              </w:tc>
              <w:tc>
                <w:tcPr>
                  <w:tcW w:w="478" w:type="pct"/>
                  <w:vMerge w:val="continue"/>
                  <w:noWrap w:val="0"/>
                  <w:vAlign w:val="center"/>
                </w:tcPr>
                <w:p w14:paraId="0B45C535">
                  <w:pPr>
                    <w:pStyle w:val="28"/>
                    <w:rPr>
                      <w:rFonts w:hint="eastAsia"/>
                      <w:color w:val="auto"/>
                    </w:rPr>
                  </w:pPr>
                </w:p>
              </w:tc>
              <w:tc>
                <w:tcPr>
                  <w:tcW w:w="3452" w:type="pct"/>
                  <w:gridSpan w:val="3"/>
                  <w:noWrap w:val="0"/>
                  <w:vAlign w:val="center"/>
                </w:tcPr>
                <w:p w14:paraId="185473B9">
                  <w:pPr>
                    <w:pStyle w:val="28"/>
                    <w:rPr>
                      <w:rFonts w:hint="eastAsia"/>
                      <w:color w:val="auto"/>
                    </w:rPr>
                  </w:pPr>
                  <w:r>
                    <w:rPr>
                      <w:rFonts w:hint="eastAsia"/>
                      <w:color w:val="auto"/>
                      <w:lang w:val="en-US" w:eastAsia="zh-CN"/>
                    </w:rPr>
                    <w:t>1套</w:t>
                  </w:r>
                  <w:r>
                    <w:rPr>
                      <w:rFonts w:hint="eastAsia"/>
                      <w:color w:val="auto"/>
                    </w:rPr>
                    <w:t>布袋除尘+</w:t>
                  </w:r>
                  <w:r>
                    <w:rPr>
                      <w:rFonts w:hint="eastAsia"/>
                      <w:color w:val="auto"/>
                      <w:lang w:val="en-US" w:eastAsia="zh-CN"/>
                    </w:rPr>
                    <w:t>1根30</w:t>
                  </w:r>
                  <w:r>
                    <w:rPr>
                      <w:rFonts w:hint="eastAsia"/>
                      <w:color w:val="auto"/>
                    </w:rPr>
                    <w:t>米排气筒（自编号DA00</w:t>
                  </w:r>
                  <w:r>
                    <w:rPr>
                      <w:rFonts w:hint="eastAsia"/>
                      <w:color w:val="auto"/>
                      <w:lang w:val="en-US" w:eastAsia="zh-CN"/>
                    </w:rPr>
                    <w:t>1</w:t>
                  </w:r>
                  <w:r>
                    <w:rPr>
                      <w:rFonts w:hint="eastAsia"/>
                      <w:color w:val="auto"/>
                    </w:rPr>
                    <w:t>）</w:t>
                  </w:r>
                </w:p>
              </w:tc>
              <w:tc>
                <w:tcPr>
                  <w:tcW w:w="420" w:type="pct"/>
                  <w:noWrap w:val="0"/>
                  <w:vAlign w:val="center"/>
                </w:tcPr>
                <w:p w14:paraId="76A606C6">
                  <w:pPr>
                    <w:pStyle w:val="28"/>
                    <w:rPr>
                      <w:rFonts w:hint="default" w:eastAsia="宋体"/>
                      <w:color w:val="auto"/>
                      <w:lang w:val="en-US" w:eastAsia="zh-CN"/>
                    </w:rPr>
                  </w:pPr>
                  <w:r>
                    <w:rPr>
                      <w:rFonts w:hint="eastAsia"/>
                      <w:color w:val="auto"/>
                      <w:lang w:val="en-US" w:eastAsia="zh-CN"/>
                    </w:rPr>
                    <w:t>3.6</w:t>
                  </w:r>
                </w:p>
              </w:tc>
              <w:tc>
                <w:tcPr>
                  <w:tcW w:w="410" w:type="pct"/>
                  <w:noWrap w:val="0"/>
                  <w:vAlign w:val="center"/>
                </w:tcPr>
                <w:p w14:paraId="10CD688C">
                  <w:pPr>
                    <w:pStyle w:val="28"/>
                    <w:rPr>
                      <w:rFonts w:hint="eastAsia" w:eastAsia="宋体"/>
                      <w:color w:val="auto"/>
                      <w:lang w:val="en-US" w:eastAsia="zh-CN"/>
                    </w:rPr>
                  </w:pPr>
                  <w:r>
                    <w:rPr>
                      <w:rFonts w:hint="eastAsia"/>
                      <w:color w:val="auto"/>
                      <w:lang w:val="en-US" w:eastAsia="zh-CN"/>
                    </w:rPr>
                    <w:t>新建</w:t>
                  </w:r>
                </w:p>
              </w:tc>
            </w:tr>
            <w:tr w14:paraId="6ADB8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9" w:hRule="atLeast"/>
                <w:jc w:val="center"/>
              </w:trPr>
              <w:tc>
                <w:tcPr>
                  <w:tcW w:w="239" w:type="pct"/>
                  <w:vMerge w:val="continue"/>
                  <w:noWrap w:val="0"/>
                  <w:vAlign w:val="center"/>
                </w:tcPr>
                <w:p w14:paraId="06EE6936">
                  <w:pPr>
                    <w:pStyle w:val="28"/>
                    <w:rPr>
                      <w:color w:val="auto"/>
                    </w:rPr>
                  </w:pPr>
                </w:p>
              </w:tc>
              <w:tc>
                <w:tcPr>
                  <w:tcW w:w="478" w:type="pct"/>
                  <w:vMerge w:val="continue"/>
                  <w:noWrap w:val="0"/>
                  <w:vAlign w:val="center"/>
                </w:tcPr>
                <w:p w14:paraId="0CE39321">
                  <w:pPr>
                    <w:pStyle w:val="28"/>
                    <w:rPr>
                      <w:rFonts w:hint="eastAsia"/>
                      <w:color w:val="auto"/>
                    </w:rPr>
                  </w:pPr>
                </w:p>
              </w:tc>
              <w:tc>
                <w:tcPr>
                  <w:tcW w:w="3452" w:type="pct"/>
                  <w:gridSpan w:val="3"/>
                  <w:noWrap w:val="0"/>
                  <w:vAlign w:val="center"/>
                </w:tcPr>
                <w:p w14:paraId="51F12FBC">
                  <w:pPr>
                    <w:pStyle w:val="28"/>
                    <w:rPr>
                      <w:rFonts w:hint="eastAsia"/>
                      <w:color w:val="auto"/>
                    </w:rPr>
                  </w:pPr>
                  <w:r>
                    <w:rPr>
                      <w:rFonts w:hint="eastAsia"/>
                      <w:color w:val="auto"/>
                      <w:lang w:val="en-US" w:eastAsia="zh-CN"/>
                    </w:rPr>
                    <w:t>1</w:t>
                  </w:r>
                  <w:r>
                    <w:rPr>
                      <w:rFonts w:hint="eastAsia"/>
                      <w:color w:val="auto"/>
                    </w:rPr>
                    <w:t>套油烟净化装置，</w:t>
                  </w:r>
                  <w:r>
                    <w:rPr>
                      <w:rFonts w:hint="eastAsia"/>
                      <w:color w:val="auto"/>
                      <w:lang w:val="en-US" w:eastAsia="zh-CN"/>
                    </w:rPr>
                    <w:t>食堂油烟</w:t>
                  </w:r>
                  <w:r>
                    <w:rPr>
                      <w:rFonts w:hint="eastAsia"/>
                      <w:color w:val="auto"/>
                    </w:rPr>
                    <w:t>经净化后的油烟由油烟排气管外排</w:t>
                  </w:r>
                </w:p>
              </w:tc>
              <w:tc>
                <w:tcPr>
                  <w:tcW w:w="420" w:type="pct"/>
                  <w:noWrap w:val="0"/>
                  <w:vAlign w:val="center"/>
                </w:tcPr>
                <w:p w14:paraId="48B9F8CE">
                  <w:pPr>
                    <w:pStyle w:val="28"/>
                    <w:rPr>
                      <w:rFonts w:hint="default" w:eastAsia="宋体"/>
                      <w:color w:val="auto"/>
                      <w:lang w:val="en-US" w:eastAsia="zh-CN"/>
                    </w:rPr>
                  </w:pPr>
                  <w:r>
                    <w:rPr>
                      <w:rFonts w:hint="eastAsia"/>
                      <w:color w:val="auto"/>
                      <w:lang w:val="en-US" w:eastAsia="zh-CN"/>
                    </w:rPr>
                    <w:t>1.2</w:t>
                  </w:r>
                </w:p>
              </w:tc>
              <w:tc>
                <w:tcPr>
                  <w:tcW w:w="410" w:type="pct"/>
                  <w:noWrap w:val="0"/>
                  <w:vAlign w:val="center"/>
                </w:tcPr>
                <w:p w14:paraId="3392EB5B">
                  <w:pPr>
                    <w:pStyle w:val="28"/>
                    <w:rPr>
                      <w:rFonts w:hint="eastAsia" w:eastAsia="宋体"/>
                      <w:color w:val="auto"/>
                      <w:lang w:val="en-US" w:eastAsia="zh-CN"/>
                    </w:rPr>
                  </w:pPr>
                  <w:r>
                    <w:rPr>
                      <w:rFonts w:hint="eastAsia"/>
                      <w:color w:val="auto"/>
                      <w:lang w:val="en-US" w:eastAsia="zh-CN"/>
                    </w:rPr>
                    <w:t>新建</w:t>
                  </w:r>
                </w:p>
              </w:tc>
            </w:tr>
            <w:tr w14:paraId="688B3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9" w:hRule="atLeast"/>
                <w:jc w:val="center"/>
              </w:trPr>
              <w:tc>
                <w:tcPr>
                  <w:tcW w:w="239" w:type="pct"/>
                  <w:vMerge w:val="continue"/>
                  <w:noWrap w:val="0"/>
                  <w:vAlign w:val="center"/>
                </w:tcPr>
                <w:p w14:paraId="1D88E0E8">
                  <w:pPr>
                    <w:pStyle w:val="28"/>
                    <w:rPr>
                      <w:color w:val="auto"/>
                    </w:rPr>
                  </w:pPr>
                </w:p>
              </w:tc>
              <w:tc>
                <w:tcPr>
                  <w:tcW w:w="478" w:type="pct"/>
                  <w:vMerge w:val="continue"/>
                  <w:noWrap w:val="0"/>
                  <w:vAlign w:val="center"/>
                </w:tcPr>
                <w:p w14:paraId="6FF519E9">
                  <w:pPr>
                    <w:pStyle w:val="28"/>
                    <w:rPr>
                      <w:rFonts w:hint="eastAsia"/>
                      <w:color w:val="auto"/>
                    </w:rPr>
                  </w:pPr>
                </w:p>
              </w:tc>
              <w:tc>
                <w:tcPr>
                  <w:tcW w:w="3452" w:type="pct"/>
                  <w:gridSpan w:val="3"/>
                  <w:noWrap w:val="0"/>
                  <w:vAlign w:val="center"/>
                </w:tcPr>
                <w:p w14:paraId="3195AC4C">
                  <w:pPr>
                    <w:pStyle w:val="28"/>
                    <w:rPr>
                      <w:rFonts w:hint="eastAsia"/>
                      <w:color w:val="auto"/>
                    </w:rPr>
                  </w:pPr>
                  <w:r>
                    <w:rPr>
                      <w:rFonts w:hint="eastAsia"/>
                      <w:color w:val="auto"/>
                      <w:lang w:val="en-US" w:eastAsia="zh-CN"/>
                    </w:rPr>
                    <w:t>砂石料堆场扬尘</w:t>
                  </w:r>
                  <w:r>
                    <w:rPr>
                      <w:rFonts w:hint="eastAsia"/>
                      <w:color w:val="auto"/>
                    </w:rPr>
                    <w:t>采取水雾喷淋、三面围挡+顶棚和降低物料装卸过程高度差等降尘防治措施</w:t>
                  </w:r>
                </w:p>
              </w:tc>
              <w:tc>
                <w:tcPr>
                  <w:tcW w:w="420" w:type="pct"/>
                  <w:noWrap w:val="0"/>
                  <w:vAlign w:val="center"/>
                </w:tcPr>
                <w:p w14:paraId="2D2EAE0E">
                  <w:pPr>
                    <w:pStyle w:val="28"/>
                    <w:rPr>
                      <w:rFonts w:hint="default" w:eastAsia="宋体"/>
                      <w:color w:val="auto"/>
                      <w:lang w:val="en-US" w:eastAsia="zh-CN"/>
                    </w:rPr>
                  </w:pPr>
                  <w:r>
                    <w:rPr>
                      <w:rFonts w:hint="eastAsia"/>
                      <w:color w:val="auto"/>
                      <w:lang w:val="en-US" w:eastAsia="zh-CN"/>
                    </w:rPr>
                    <w:t>5.5</w:t>
                  </w:r>
                </w:p>
              </w:tc>
              <w:tc>
                <w:tcPr>
                  <w:tcW w:w="410" w:type="pct"/>
                  <w:noWrap w:val="0"/>
                  <w:vAlign w:val="center"/>
                </w:tcPr>
                <w:p w14:paraId="2770D730">
                  <w:pPr>
                    <w:pStyle w:val="28"/>
                    <w:rPr>
                      <w:rFonts w:hint="eastAsia" w:eastAsia="宋体"/>
                      <w:color w:val="auto"/>
                      <w:lang w:val="en-US" w:eastAsia="zh-CN"/>
                    </w:rPr>
                  </w:pPr>
                  <w:r>
                    <w:rPr>
                      <w:rFonts w:hint="eastAsia"/>
                      <w:color w:val="auto"/>
                      <w:lang w:val="en-US" w:eastAsia="zh-CN"/>
                    </w:rPr>
                    <w:t>已建</w:t>
                  </w:r>
                </w:p>
              </w:tc>
            </w:tr>
            <w:tr w14:paraId="58516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9" w:hRule="atLeast"/>
                <w:jc w:val="center"/>
              </w:trPr>
              <w:tc>
                <w:tcPr>
                  <w:tcW w:w="239" w:type="pct"/>
                  <w:vMerge w:val="continue"/>
                  <w:noWrap w:val="0"/>
                  <w:vAlign w:val="center"/>
                </w:tcPr>
                <w:p w14:paraId="758C137E">
                  <w:pPr>
                    <w:pStyle w:val="28"/>
                    <w:rPr>
                      <w:color w:val="auto"/>
                    </w:rPr>
                  </w:pPr>
                </w:p>
              </w:tc>
              <w:tc>
                <w:tcPr>
                  <w:tcW w:w="478" w:type="pct"/>
                  <w:vMerge w:val="continue"/>
                  <w:noWrap w:val="0"/>
                  <w:vAlign w:val="center"/>
                </w:tcPr>
                <w:p w14:paraId="6517D70E">
                  <w:pPr>
                    <w:pStyle w:val="28"/>
                    <w:rPr>
                      <w:color w:val="auto"/>
                    </w:rPr>
                  </w:pPr>
                </w:p>
              </w:tc>
              <w:tc>
                <w:tcPr>
                  <w:tcW w:w="3452" w:type="pct"/>
                  <w:gridSpan w:val="3"/>
                  <w:noWrap w:val="0"/>
                  <w:vAlign w:val="center"/>
                </w:tcPr>
                <w:p w14:paraId="3B855D6C">
                  <w:pPr>
                    <w:pStyle w:val="28"/>
                    <w:rPr>
                      <w:rFonts w:hint="eastAsia"/>
                      <w:color w:val="auto"/>
                    </w:rPr>
                  </w:pPr>
                  <w:r>
                    <w:rPr>
                      <w:rFonts w:hint="eastAsia"/>
                      <w:color w:val="auto"/>
                    </w:rPr>
                    <w:t>区路面进行硬化，运输车辆均减速慢行，按时清扫，按</w:t>
                  </w:r>
                </w:p>
                <w:p w14:paraId="15C7DF63">
                  <w:pPr>
                    <w:pStyle w:val="28"/>
                    <w:rPr>
                      <w:color w:val="auto"/>
                    </w:rPr>
                  </w:pPr>
                  <w:r>
                    <w:rPr>
                      <w:rFonts w:hint="eastAsia"/>
                      <w:color w:val="auto"/>
                    </w:rPr>
                    <w:t>时洒水降尘</w:t>
                  </w:r>
                </w:p>
              </w:tc>
              <w:tc>
                <w:tcPr>
                  <w:tcW w:w="420" w:type="pct"/>
                  <w:noWrap w:val="0"/>
                  <w:vAlign w:val="center"/>
                </w:tcPr>
                <w:p w14:paraId="7CE6369D">
                  <w:pPr>
                    <w:pStyle w:val="28"/>
                    <w:rPr>
                      <w:rFonts w:hint="default" w:eastAsia="宋体"/>
                      <w:color w:val="auto"/>
                      <w:lang w:val="en-US" w:eastAsia="zh-CN"/>
                    </w:rPr>
                  </w:pPr>
                  <w:r>
                    <w:rPr>
                      <w:rFonts w:hint="eastAsia"/>
                      <w:color w:val="auto"/>
                      <w:lang w:val="en-US" w:eastAsia="zh-CN"/>
                    </w:rPr>
                    <w:t>6.5</w:t>
                  </w:r>
                </w:p>
              </w:tc>
              <w:tc>
                <w:tcPr>
                  <w:tcW w:w="410" w:type="pct"/>
                  <w:noWrap w:val="0"/>
                  <w:vAlign w:val="center"/>
                </w:tcPr>
                <w:p w14:paraId="6C73E003">
                  <w:pPr>
                    <w:pStyle w:val="28"/>
                    <w:rPr>
                      <w:rFonts w:hint="eastAsia" w:eastAsia="宋体"/>
                      <w:color w:val="auto"/>
                      <w:lang w:val="en-US" w:eastAsia="zh-CN"/>
                    </w:rPr>
                  </w:pPr>
                  <w:r>
                    <w:rPr>
                      <w:rFonts w:hint="eastAsia"/>
                      <w:color w:val="auto"/>
                      <w:lang w:val="en-US" w:eastAsia="zh-CN"/>
                    </w:rPr>
                    <w:t>已建</w:t>
                  </w:r>
                </w:p>
              </w:tc>
            </w:tr>
            <w:tr w14:paraId="1175E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9" w:hRule="atLeast"/>
                <w:jc w:val="center"/>
              </w:trPr>
              <w:tc>
                <w:tcPr>
                  <w:tcW w:w="239" w:type="pct"/>
                  <w:vMerge w:val="continue"/>
                  <w:noWrap w:val="0"/>
                  <w:vAlign w:val="center"/>
                </w:tcPr>
                <w:p w14:paraId="7E44750E">
                  <w:pPr>
                    <w:pStyle w:val="28"/>
                    <w:rPr>
                      <w:color w:val="auto"/>
                    </w:rPr>
                  </w:pPr>
                </w:p>
              </w:tc>
              <w:tc>
                <w:tcPr>
                  <w:tcW w:w="478" w:type="pct"/>
                  <w:vMerge w:val="continue"/>
                  <w:noWrap w:val="0"/>
                  <w:vAlign w:val="center"/>
                </w:tcPr>
                <w:p w14:paraId="739AF55B">
                  <w:pPr>
                    <w:pStyle w:val="28"/>
                    <w:rPr>
                      <w:color w:val="auto"/>
                    </w:rPr>
                  </w:pPr>
                </w:p>
              </w:tc>
              <w:tc>
                <w:tcPr>
                  <w:tcW w:w="3452" w:type="pct"/>
                  <w:gridSpan w:val="3"/>
                  <w:noWrap w:val="0"/>
                  <w:vAlign w:val="center"/>
                </w:tcPr>
                <w:p w14:paraId="180F99CB">
                  <w:pPr>
                    <w:pStyle w:val="28"/>
                    <w:rPr>
                      <w:color w:val="auto"/>
                    </w:rPr>
                  </w:pPr>
                  <w:r>
                    <w:rPr>
                      <w:rFonts w:hint="eastAsia"/>
                      <w:color w:val="auto"/>
                    </w:rPr>
                    <w:t>砂石料堆场采用三面围挡+顶棚及定期水雾喷淋措施</w:t>
                  </w:r>
                </w:p>
              </w:tc>
              <w:tc>
                <w:tcPr>
                  <w:tcW w:w="420" w:type="pct"/>
                  <w:noWrap w:val="0"/>
                  <w:vAlign w:val="center"/>
                </w:tcPr>
                <w:p w14:paraId="0EA75CB7">
                  <w:pPr>
                    <w:pStyle w:val="28"/>
                    <w:rPr>
                      <w:rFonts w:hint="default" w:eastAsia="宋体"/>
                      <w:color w:val="auto"/>
                      <w:lang w:val="en-US" w:eastAsia="zh-CN"/>
                    </w:rPr>
                  </w:pPr>
                  <w:r>
                    <w:rPr>
                      <w:rFonts w:hint="eastAsia"/>
                      <w:color w:val="auto"/>
                      <w:lang w:val="en-US" w:eastAsia="zh-CN"/>
                    </w:rPr>
                    <w:t>2.0</w:t>
                  </w:r>
                </w:p>
              </w:tc>
              <w:tc>
                <w:tcPr>
                  <w:tcW w:w="410" w:type="pct"/>
                  <w:noWrap w:val="0"/>
                  <w:vAlign w:val="center"/>
                </w:tcPr>
                <w:p w14:paraId="20CFFA30">
                  <w:pPr>
                    <w:pStyle w:val="28"/>
                    <w:rPr>
                      <w:rFonts w:hint="default" w:eastAsia="宋体"/>
                      <w:color w:val="auto"/>
                      <w:lang w:val="en-US" w:eastAsia="zh-CN"/>
                    </w:rPr>
                  </w:pPr>
                  <w:r>
                    <w:rPr>
                      <w:rFonts w:hint="eastAsia"/>
                      <w:color w:val="auto"/>
                      <w:lang w:val="en-US" w:eastAsia="zh-CN"/>
                    </w:rPr>
                    <w:t>已建</w:t>
                  </w:r>
                </w:p>
              </w:tc>
            </w:tr>
            <w:tr w14:paraId="56F7D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4" w:hRule="atLeast"/>
                <w:jc w:val="center"/>
              </w:trPr>
              <w:tc>
                <w:tcPr>
                  <w:tcW w:w="239" w:type="pct"/>
                  <w:vMerge w:val="continue"/>
                  <w:noWrap w:val="0"/>
                  <w:vAlign w:val="center"/>
                </w:tcPr>
                <w:p w14:paraId="472088A4">
                  <w:pPr>
                    <w:pStyle w:val="28"/>
                    <w:rPr>
                      <w:color w:val="auto"/>
                    </w:rPr>
                  </w:pPr>
                </w:p>
              </w:tc>
              <w:tc>
                <w:tcPr>
                  <w:tcW w:w="478" w:type="pct"/>
                  <w:vMerge w:val="continue"/>
                  <w:noWrap w:val="0"/>
                  <w:vAlign w:val="center"/>
                </w:tcPr>
                <w:p w14:paraId="082D7A8B">
                  <w:pPr>
                    <w:pStyle w:val="28"/>
                    <w:rPr>
                      <w:color w:val="auto"/>
                    </w:rPr>
                  </w:pPr>
                </w:p>
              </w:tc>
              <w:tc>
                <w:tcPr>
                  <w:tcW w:w="3452" w:type="pct"/>
                  <w:gridSpan w:val="3"/>
                  <w:noWrap w:val="0"/>
                  <w:vAlign w:val="center"/>
                </w:tcPr>
                <w:p w14:paraId="68FC2DF0">
                  <w:pPr>
                    <w:pStyle w:val="28"/>
                    <w:rPr>
                      <w:rFonts w:hint="eastAsia"/>
                      <w:color w:val="auto"/>
                    </w:rPr>
                  </w:pPr>
                  <w:r>
                    <w:rPr>
                      <w:rFonts w:hint="eastAsia"/>
                      <w:color w:val="auto"/>
                      <w:lang w:val="en-US" w:eastAsia="zh-CN"/>
                    </w:rPr>
                    <w:t>投料工序在封闭车间内进行</w:t>
                  </w:r>
                  <w:r>
                    <w:rPr>
                      <w:rFonts w:hint="eastAsia"/>
                      <w:color w:val="auto"/>
                    </w:rPr>
                    <w:t>，投料</w:t>
                  </w:r>
                  <w:r>
                    <w:rPr>
                      <w:color w:val="auto"/>
                    </w:rPr>
                    <w:t>工序</w:t>
                  </w:r>
                  <w:r>
                    <w:rPr>
                      <w:rFonts w:hint="eastAsia"/>
                      <w:color w:val="auto"/>
                    </w:rPr>
                    <w:t>上方</w:t>
                  </w:r>
                  <w:r>
                    <w:rPr>
                      <w:color w:val="auto"/>
                    </w:rPr>
                    <w:t>均安装</w:t>
                  </w:r>
                  <w:r>
                    <w:rPr>
                      <w:rFonts w:hint="eastAsia"/>
                      <w:color w:val="auto"/>
                      <w:lang w:val="en-US" w:eastAsia="zh-CN"/>
                    </w:rPr>
                    <w:t>喷淋系统</w:t>
                  </w:r>
                  <w:r>
                    <w:rPr>
                      <w:color w:val="auto"/>
                    </w:rPr>
                    <w:t>降尘</w:t>
                  </w:r>
                  <w:r>
                    <w:rPr>
                      <w:rFonts w:hint="eastAsia"/>
                      <w:color w:val="auto"/>
                    </w:rPr>
                    <w:t>措施</w:t>
                  </w:r>
                </w:p>
              </w:tc>
              <w:tc>
                <w:tcPr>
                  <w:tcW w:w="420" w:type="pct"/>
                  <w:noWrap w:val="0"/>
                  <w:vAlign w:val="center"/>
                </w:tcPr>
                <w:p w14:paraId="461EF33C">
                  <w:pPr>
                    <w:pStyle w:val="28"/>
                    <w:rPr>
                      <w:rFonts w:hint="default" w:eastAsia="宋体"/>
                      <w:color w:val="auto"/>
                      <w:lang w:val="en-US" w:eastAsia="zh-CN"/>
                    </w:rPr>
                  </w:pPr>
                  <w:r>
                    <w:rPr>
                      <w:rFonts w:hint="eastAsia"/>
                      <w:color w:val="auto"/>
                      <w:lang w:val="en-US" w:eastAsia="zh-CN"/>
                    </w:rPr>
                    <w:t>1.5</w:t>
                  </w:r>
                </w:p>
              </w:tc>
              <w:tc>
                <w:tcPr>
                  <w:tcW w:w="410" w:type="pct"/>
                  <w:noWrap w:val="0"/>
                  <w:vAlign w:val="center"/>
                </w:tcPr>
                <w:p w14:paraId="7983E468">
                  <w:pPr>
                    <w:pStyle w:val="28"/>
                    <w:rPr>
                      <w:rFonts w:hint="eastAsia"/>
                      <w:color w:val="auto"/>
                      <w:lang w:val="en-US" w:eastAsia="zh-CN"/>
                    </w:rPr>
                  </w:pPr>
                  <w:r>
                    <w:rPr>
                      <w:rFonts w:hint="eastAsia"/>
                      <w:color w:val="auto"/>
                      <w:lang w:val="en-US" w:eastAsia="zh-CN"/>
                    </w:rPr>
                    <w:t>已建</w:t>
                  </w:r>
                </w:p>
              </w:tc>
            </w:tr>
            <w:tr w14:paraId="11728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4" w:hRule="atLeast"/>
                <w:jc w:val="center"/>
              </w:trPr>
              <w:tc>
                <w:tcPr>
                  <w:tcW w:w="239" w:type="pct"/>
                  <w:vMerge w:val="continue"/>
                  <w:noWrap w:val="0"/>
                  <w:vAlign w:val="center"/>
                </w:tcPr>
                <w:p w14:paraId="3F679E1F">
                  <w:pPr>
                    <w:pStyle w:val="28"/>
                    <w:rPr>
                      <w:color w:val="auto"/>
                    </w:rPr>
                  </w:pPr>
                </w:p>
              </w:tc>
              <w:tc>
                <w:tcPr>
                  <w:tcW w:w="478" w:type="pct"/>
                  <w:vMerge w:val="continue"/>
                  <w:noWrap w:val="0"/>
                  <w:vAlign w:val="center"/>
                </w:tcPr>
                <w:p w14:paraId="69EE66E0">
                  <w:pPr>
                    <w:pStyle w:val="28"/>
                    <w:rPr>
                      <w:color w:val="auto"/>
                    </w:rPr>
                  </w:pPr>
                </w:p>
              </w:tc>
              <w:tc>
                <w:tcPr>
                  <w:tcW w:w="3452" w:type="pct"/>
                  <w:gridSpan w:val="3"/>
                  <w:noWrap w:val="0"/>
                  <w:vAlign w:val="center"/>
                </w:tcPr>
                <w:p w14:paraId="37CAC17B">
                  <w:pPr>
                    <w:pStyle w:val="28"/>
                    <w:rPr>
                      <w:rFonts w:hint="eastAsia"/>
                      <w:color w:val="auto"/>
                    </w:rPr>
                  </w:pPr>
                  <w:r>
                    <w:rPr>
                      <w:rFonts w:hint="eastAsia"/>
                      <w:color w:val="auto"/>
                    </w:rPr>
                    <w:t>采取厂房通风，自然沉降</w:t>
                  </w:r>
                </w:p>
              </w:tc>
              <w:tc>
                <w:tcPr>
                  <w:tcW w:w="420" w:type="pct"/>
                  <w:noWrap w:val="0"/>
                  <w:vAlign w:val="center"/>
                </w:tcPr>
                <w:p w14:paraId="6000B89C">
                  <w:pPr>
                    <w:pStyle w:val="28"/>
                    <w:rPr>
                      <w:rFonts w:hint="default" w:eastAsia="宋体"/>
                      <w:color w:val="auto"/>
                      <w:lang w:val="en-US" w:eastAsia="zh-CN"/>
                    </w:rPr>
                  </w:pPr>
                  <w:r>
                    <w:rPr>
                      <w:rFonts w:hint="eastAsia"/>
                      <w:color w:val="auto"/>
                      <w:lang w:val="en-US" w:eastAsia="zh-CN"/>
                    </w:rPr>
                    <w:t>0.5</w:t>
                  </w:r>
                </w:p>
              </w:tc>
              <w:tc>
                <w:tcPr>
                  <w:tcW w:w="410" w:type="pct"/>
                  <w:noWrap w:val="0"/>
                  <w:vAlign w:val="center"/>
                </w:tcPr>
                <w:p w14:paraId="5E305330">
                  <w:pPr>
                    <w:pStyle w:val="28"/>
                    <w:rPr>
                      <w:rFonts w:hint="eastAsia"/>
                      <w:color w:val="auto"/>
                    </w:rPr>
                  </w:pPr>
                  <w:r>
                    <w:rPr>
                      <w:rFonts w:hint="eastAsia"/>
                      <w:color w:val="auto"/>
                      <w:lang w:val="en-US" w:eastAsia="zh-CN"/>
                    </w:rPr>
                    <w:t>已建</w:t>
                  </w:r>
                </w:p>
              </w:tc>
            </w:tr>
            <w:tr w14:paraId="4F14C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239" w:type="pct"/>
                  <w:vMerge w:val="continue"/>
                  <w:noWrap w:val="0"/>
                  <w:vAlign w:val="center"/>
                </w:tcPr>
                <w:p w14:paraId="27C62333">
                  <w:pPr>
                    <w:pStyle w:val="28"/>
                    <w:rPr>
                      <w:color w:val="auto"/>
                    </w:rPr>
                  </w:pPr>
                </w:p>
              </w:tc>
              <w:tc>
                <w:tcPr>
                  <w:tcW w:w="478" w:type="pct"/>
                  <w:noWrap w:val="0"/>
                  <w:vAlign w:val="center"/>
                </w:tcPr>
                <w:p w14:paraId="4AC7AFDF">
                  <w:pPr>
                    <w:pStyle w:val="28"/>
                    <w:rPr>
                      <w:rFonts w:hint="default" w:eastAsia="宋体"/>
                      <w:color w:val="auto"/>
                      <w:lang w:val="en-US" w:eastAsia="zh-CN"/>
                    </w:rPr>
                  </w:pPr>
                  <w:r>
                    <w:rPr>
                      <w:color w:val="auto"/>
                    </w:rPr>
                    <w:t>噪声</w:t>
                  </w:r>
                  <w:r>
                    <w:rPr>
                      <w:rFonts w:hint="eastAsia"/>
                      <w:color w:val="auto"/>
                      <w:lang w:val="en-US" w:eastAsia="zh-CN"/>
                    </w:rPr>
                    <w:t>防治措施</w:t>
                  </w:r>
                </w:p>
              </w:tc>
              <w:tc>
                <w:tcPr>
                  <w:tcW w:w="3452" w:type="pct"/>
                  <w:gridSpan w:val="3"/>
                  <w:noWrap w:val="0"/>
                  <w:vAlign w:val="center"/>
                </w:tcPr>
                <w:p w14:paraId="780DF2D4">
                  <w:pPr>
                    <w:pStyle w:val="28"/>
                    <w:rPr>
                      <w:color w:val="auto"/>
                    </w:rPr>
                  </w:pPr>
                  <w:r>
                    <w:rPr>
                      <w:rFonts w:hint="eastAsia"/>
                      <w:color w:val="auto"/>
                      <w:lang w:val="en-US" w:eastAsia="zh-CN"/>
                    </w:rPr>
                    <w:t>厂房阻隔、设备减振，设置禁止鸣笛和减速慢行标识牌</w:t>
                  </w:r>
                </w:p>
              </w:tc>
              <w:tc>
                <w:tcPr>
                  <w:tcW w:w="420" w:type="pct"/>
                  <w:noWrap w:val="0"/>
                  <w:vAlign w:val="center"/>
                </w:tcPr>
                <w:p w14:paraId="28639213">
                  <w:pPr>
                    <w:pStyle w:val="28"/>
                    <w:rPr>
                      <w:rFonts w:hint="default" w:eastAsia="宋体"/>
                      <w:color w:val="auto"/>
                      <w:lang w:val="en-US" w:eastAsia="zh-CN"/>
                    </w:rPr>
                  </w:pPr>
                  <w:r>
                    <w:rPr>
                      <w:rFonts w:hint="eastAsia"/>
                      <w:color w:val="auto"/>
                      <w:lang w:val="en-US" w:eastAsia="zh-CN"/>
                    </w:rPr>
                    <w:t>1.1</w:t>
                  </w:r>
                </w:p>
              </w:tc>
              <w:tc>
                <w:tcPr>
                  <w:tcW w:w="410" w:type="pct"/>
                  <w:noWrap w:val="0"/>
                  <w:vAlign w:val="center"/>
                </w:tcPr>
                <w:p w14:paraId="48FE9051">
                  <w:pPr>
                    <w:pStyle w:val="28"/>
                    <w:rPr>
                      <w:color w:val="auto"/>
                    </w:rPr>
                  </w:pPr>
                  <w:r>
                    <w:rPr>
                      <w:rFonts w:hint="eastAsia"/>
                      <w:color w:val="auto"/>
                      <w:lang w:val="en-US" w:eastAsia="zh-CN"/>
                    </w:rPr>
                    <w:t>已建</w:t>
                  </w:r>
                </w:p>
              </w:tc>
            </w:tr>
            <w:tr w14:paraId="7946E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239" w:type="pct"/>
                  <w:vMerge w:val="continue"/>
                  <w:noWrap w:val="0"/>
                  <w:vAlign w:val="center"/>
                </w:tcPr>
                <w:p w14:paraId="6E92C832">
                  <w:pPr>
                    <w:pStyle w:val="28"/>
                    <w:rPr>
                      <w:color w:val="auto"/>
                    </w:rPr>
                  </w:pPr>
                </w:p>
              </w:tc>
              <w:tc>
                <w:tcPr>
                  <w:tcW w:w="478" w:type="pct"/>
                  <w:vMerge w:val="restart"/>
                  <w:noWrap w:val="0"/>
                  <w:vAlign w:val="center"/>
                </w:tcPr>
                <w:p w14:paraId="2C3F77FC">
                  <w:pPr>
                    <w:pStyle w:val="28"/>
                    <w:rPr>
                      <w:rFonts w:hint="default" w:eastAsia="宋体"/>
                      <w:color w:val="auto"/>
                      <w:lang w:val="en-US" w:eastAsia="zh-CN"/>
                    </w:rPr>
                  </w:pPr>
                  <w:r>
                    <w:rPr>
                      <w:rFonts w:hint="eastAsia"/>
                      <w:color w:val="auto"/>
                      <w:lang w:val="en-US" w:eastAsia="zh-CN"/>
                    </w:rPr>
                    <w:t>固废防治措施</w:t>
                  </w:r>
                </w:p>
              </w:tc>
              <w:tc>
                <w:tcPr>
                  <w:tcW w:w="3452" w:type="pct"/>
                  <w:gridSpan w:val="3"/>
                  <w:noWrap w:val="0"/>
                  <w:vAlign w:val="center"/>
                </w:tcPr>
                <w:p w14:paraId="3F3C25C8">
                  <w:pPr>
                    <w:pStyle w:val="28"/>
                    <w:rPr>
                      <w:rFonts w:hint="default" w:eastAsia="宋体"/>
                      <w:color w:val="auto"/>
                      <w:lang w:val="en-US" w:eastAsia="zh-CN"/>
                    </w:rPr>
                  </w:pPr>
                  <w:r>
                    <w:rPr>
                      <w:rFonts w:hint="eastAsia"/>
                      <w:color w:val="auto"/>
                      <w:lang w:val="en-US" w:eastAsia="zh-CN"/>
                    </w:rPr>
                    <w:t>设置13</w:t>
                  </w:r>
                  <w:r>
                    <w:rPr>
                      <w:color w:val="auto"/>
                    </w:rPr>
                    <w:t>垃圾收集桶</w:t>
                  </w:r>
                  <w:r>
                    <w:rPr>
                      <w:rFonts w:hint="eastAsia"/>
                      <w:color w:val="auto"/>
                      <w:lang w:val="en-US" w:eastAsia="zh-CN"/>
                    </w:rPr>
                    <w:t>收集生活垃圾，委托</w:t>
                  </w:r>
                  <w:r>
                    <w:rPr>
                      <w:rFonts w:hint="eastAsia"/>
                      <w:color w:val="auto"/>
                      <w:szCs w:val="21"/>
                      <w:lang w:val="en-US" w:eastAsia="zh-CN"/>
                    </w:rPr>
                    <w:t>昆明洁龙保洁服务有限公司</w:t>
                  </w:r>
                  <w:r>
                    <w:rPr>
                      <w:rFonts w:hint="eastAsia"/>
                      <w:color w:val="auto"/>
                      <w:szCs w:val="21"/>
                    </w:rPr>
                    <w:t>清运处置</w:t>
                  </w:r>
                </w:p>
              </w:tc>
              <w:tc>
                <w:tcPr>
                  <w:tcW w:w="420" w:type="pct"/>
                  <w:noWrap w:val="0"/>
                  <w:vAlign w:val="center"/>
                </w:tcPr>
                <w:p w14:paraId="78F9A203">
                  <w:pPr>
                    <w:pStyle w:val="28"/>
                    <w:rPr>
                      <w:rFonts w:hint="default" w:eastAsia="宋体"/>
                      <w:color w:val="auto"/>
                      <w:lang w:val="en-US" w:eastAsia="zh-CN"/>
                    </w:rPr>
                  </w:pPr>
                  <w:r>
                    <w:rPr>
                      <w:rFonts w:hint="eastAsia"/>
                      <w:color w:val="auto"/>
                      <w:lang w:val="en-US" w:eastAsia="zh-CN"/>
                    </w:rPr>
                    <w:t>0.5</w:t>
                  </w:r>
                </w:p>
              </w:tc>
              <w:tc>
                <w:tcPr>
                  <w:tcW w:w="410" w:type="pct"/>
                  <w:noWrap w:val="0"/>
                  <w:vAlign w:val="center"/>
                </w:tcPr>
                <w:p w14:paraId="1F9E1BDC">
                  <w:pPr>
                    <w:pStyle w:val="28"/>
                    <w:rPr>
                      <w:rFonts w:hint="eastAsia"/>
                      <w:color w:val="auto"/>
                    </w:rPr>
                  </w:pPr>
                  <w:r>
                    <w:rPr>
                      <w:rFonts w:hint="eastAsia"/>
                      <w:color w:val="auto"/>
                      <w:lang w:val="en-US" w:eastAsia="zh-CN"/>
                    </w:rPr>
                    <w:t>已建</w:t>
                  </w:r>
                </w:p>
              </w:tc>
            </w:tr>
            <w:tr w14:paraId="71561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4" w:hRule="atLeast"/>
                <w:jc w:val="center"/>
              </w:trPr>
              <w:tc>
                <w:tcPr>
                  <w:tcW w:w="239" w:type="pct"/>
                  <w:vMerge w:val="continue"/>
                  <w:noWrap w:val="0"/>
                  <w:vAlign w:val="center"/>
                </w:tcPr>
                <w:p w14:paraId="27E1DCAA">
                  <w:pPr>
                    <w:pStyle w:val="28"/>
                    <w:rPr>
                      <w:color w:val="auto"/>
                    </w:rPr>
                  </w:pPr>
                </w:p>
              </w:tc>
              <w:tc>
                <w:tcPr>
                  <w:tcW w:w="478" w:type="pct"/>
                  <w:vMerge w:val="continue"/>
                  <w:noWrap w:val="0"/>
                  <w:vAlign w:val="center"/>
                </w:tcPr>
                <w:p w14:paraId="33749AAB">
                  <w:pPr>
                    <w:pStyle w:val="28"/>
                    <w:rPr>
                      <w:color w:val="auto"/>
                    </w:rPr>
                  </w:pPr>
                </w:p>
              </w:tc>
              <w:tc>
                <w:tcPr>
                  <w:tcW w:w="3452" w:type="pct"/>
                  <w:gridSpan w:val="3"/>
                  <w:noWrap w:val="0"/>
                  <w:vAlign w:val="center"/>
                </w:tcPr>
                <w:p w14:paraId="4EFF275D">
                  <w:pPr>
                    <w:pStyle w:val="28"/>
                    <w:rPr>
                      <w:rFonts w:hint="eastAsia"/>
                      <w:color w:val="auto"/>
                    </w:rPr>
                  </w:pPr>
                  <w:r>
                    <w:rPr>
                      <w:rFonts w:hint="eastAsia"/>
                      <w:color w:val="auto"/>
                      <w:lang w:val="en-US" w:eastAsia="zh-CN"/>
                    </w:rPr>
                    <w:t>2</w:t>
                  </w:r>
                  <w:r>
                    <w:rPr>
                      <w:rFonts w:hint="eastAsia"/>
                      <w:color w:val="auto"/>
                    </w:rPr>
                    <w:t>个化粪池</w:t>
                  </w:r>
                  <w:r>
                    <w:rPr>
                      <w:rFonts w:hint="eastAsia"/>
                      <w:color w:val="auto"/>
                      <w:lang w:eastAsia="zh-CN"/>
                    </w:rPr>
                    <w:t>（</w:t>
                  </w:r>
                  <w:r>
                    <w:rPr>
                      <w:rFonts w:hint="eastAsia"/>
                      <w:color w:val="auto"/>
                      <w:lang w:val="en-US" w:eastAsia="zh-CN"/>
                    </w:rPr>
                    <w:t>1#化粪池容积为30m</w:t>
                  </w:r>
                  <w:r>
                    <w:rPr>
                      <w:rFonts w:hint="eastAsia"/>
                      <w:color w:val="auto"/>
                      <w:vertAlign w:val="superscript"/>
                      <w:lang w:val="en-US" w:eastAsia="zh-CN"/>
                    </w:rPr>
                    <w:t>3</w:t>
                  </w:r>
                  <w:r>
                    <w:rPr>
                      <w:rFonts w:hint="eastAsia"/>
                      <w:color w:val="auto"/>
                      <w:lang w:val="en-US" w:eastAsia="zh-CN"/>
                    </w:rPr>
                    <w:t>，2#化粪池容积为15m</w:t>
                  </w:r>
                  <w:r>
                    <w:rPr>
                      <w:rFonts w:hint="eastAsia"/>
                      <w:color w:val="auto"/>
                      <w:vertAlign w:val="superscript"/>
                      <w:lang w:val="en-US" w:eastAsia="zh-CN"/>
                    </w:rPr>
                    <w:t>3</w:t>
                  </w:r>
                  <w:r>
                    <w:rPr>
                      <w:rFonts w:hint="eastAsia"/>
                      <w:color w:val="auto"/>
                      <w:lang w:eastAsia="zh-CN"/>
                    </w:rPr>
                    <w:t>）</w:t>
                  </w:r>
                  <w:r>
                    <w:rPr>
                      <w:rFonts w:hint="eastAsia"/>
                      <w:color w:val="auto"/>
                    </w:rPr>
                    <w:t>，</w:t>
                  </w:r>
                  <w:r>
                    <w:rPr>
                      <w:rFonts w:hint="eastAsia"/>
                      <w:color w:val="auto"/>
                      <w:lang w:val="en-US" w:eastAsia="zh-CN"/>
                    </w:rPr>
                    <w:t>容积</w:t>
                  </w:r>
                  <w:r>
                    <w:rPr>
                      <w:rFonts w:hint="eastAsia"/>
                      <w:color w:val="auto"/>
                    </w:rPr>
                    <w:t>共计</w:t>
                  </w:r>
                  <w:r>
                    <w:rPr>
                      <w:rFonts w:hint="eastAsia"/>
                      <w:color w:val="auto"/>
                      <w:lang w:val="en-US" w:eastAsia="zh-CN"/>
                    </w:rPr>
                    <w:t>45</w:t>
                  </w:r>
                  <w:r>
                    <w:rPr>
                      <w:rFonts w:hint="eastAsia"/>
                      <w:color w:val="auto"/>
                    </w:rPr>
                    <w:t>m</w:t>
                  </w:r>
                  <w:r>
                    <w:rPr>
                      <w:rFonts w:hint="eastAsia"/>
                      <w:color w:val="auto"/>
                      <w:vertAlign w:val="superscript"/>
                    </w:rPr>
                    <w:t>3</w:t>
                  </w:r>
                  <w:r>
                    <w:rPr>
                      <w:rFonts w:hint="eastAsia"/>
                      <w:color w:val="auto"/>
                    </w:rPr>
                    <w:t>，足够容纳项目区产生的粪便，</w:t>
                  </w:r>
                  <w:r>
                    <w:rPr>
                      <w:color w:val="auto"/>
                    </w:rPr>
                    <w:t>化粪池</w:t>
                  </w:r>
                  <w:r>
                    <w:rPr>
                      <w:rFonts w:hint="eastAsia"/>
                      <w:color w:val="auto"/>
                      <w:lang w:val="en-US" w:eastAsia="zh-CN"/>
                    </w:rPr>
                    <w:t>污泥委托</w:t>
                  </w:r>
                  <w:r>
                    <w:rPr>
                      <w:rFonts w:hint="eastAsia"/>
                      <w:color w:val="auto"/>
                      <w:szCs w:val="21"/>
                      <w:lang w:val="en-US" w:eastAsia="zh-CN"/>
                    </w:rPr>
                    <w:t>昆明洁龙保洁服务有限公司</w:t>
                  </w:r>
                  <w:r>
                    <w:rPr>
                      <w:rFonts w:hint="eastAsia"/>
                      <w:color w:val="auto"/>
                      <w:szCs w:val="21"/>
                    </w:rPr>
                    <w:t>清运处置</w:t>
                  </w:r>
                </w:p>
              </w:tc>
              <w:tc>
                <w:tcPr>
                  <w:tcW w:w="420" w:type="pct"/>
                  <w:noWrap w:val="0"/>
                  <w:vAlign w:val="center"/>
                </w:tcPr>
                <w:p w14:paraId="51F06240">
                  <w:pPr>
                    <w:pStyle w:val="28"/>
                    <w:rPr>
                      <w:rFonts w:hint="default" w:eastAsia="宋体"/>
                      <w:color w:val="auto"/>
                      <w:lang w:val="en-US" w:eastAsia="zh-CN"/>
                    </w:rPr>
                  </w:pPr>
                  <w:r>
                    <w:rPr>
                      <w:rFonts w:hint="eastAsia"/>
                      <w:color w:val="auto"/>
                      <w:lang w:val="en-US" w:eastAsia="zh-CN"/>
                    </w:rPr>
                    <w:t>6.0</w:t>
                  </w:r>
                </w:p>
              </w:tc>
              <w:tc>
                <w:tcPr>
                  <w:tcW w:w="410" w:type="pct"/>
                  <w:noWrap w:val="0"/>
                  <w:vAlign w:val="center"/>
                </w:tcPr>
                <w:p w14:paraId="31FFAD8A">
                  <w:pPr>
                    <w:pStyle w:val="28"/>
                    <w:rPr>
                      <w:rFonts w:hint="eastAsia"/>
                      <w:color w:val="auto"/>
                      <w:lang w:val="en-US" w:eastAsia="zh-CN"/>
                    </w:rPr>
                  </w:pPr>
                  <w:r>
                    <w:rPr>
                      <w:rFonts w:hint="eastAsia"/>
                      <w:color w:val="auto"/>
                      <w:lang w:val="en-US" w:eastAsia="zh-CN"/>
                    </w:rPr>
                    <w:t>已建</w:t>
                  </w:r>
                </w:p>
              </w:tc>
            </w:tr>
            <w:tr w14:paraId="23C57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1" w:hRule="atLeast"/>
                <w:jc w:val="center"/>
              </w:trPr>
              <w:tc>
                <w:tcPr>
                  <w:tcW w:w="239" w:type="pct"/>
                  <w:vMerge w:val="continue"/>
                  <w:noWrap w:val="0"/>
                  <w:vAlign w:val="center"/>
                </w:tcPr>
                <w:p w14:paraId="416D52D4">
                  <w:pPr>
                    <w:pStyle w:val="28"/>
                    <w:rPr>
                      <w:color w:val="auto"/>
                    </w:rPr>
                  </w:pPr>
                </w:p>
              </w:tc>
              <w:tc>
                <w:tcPr>
                  <w:tcW w:w="478" w:type="pct"/>
                  <w:vMerge w:val="continue"/>
                  <w:noWrap w:val="0"/>
                  <w:vAlign w:val="center"/>
                </w:tcPr>
                <w:p w14:paraId="752DF788">
                  <w:pPr>
                    <w:pStyle w:val="28"/>
                    <w:rPr>
                      <w:color w:val="auto"/>
                    </w:rPr>
                  </w:pPr>
                </w:p>
              </w:tc>
              <w:tc>
                <w:tcPr>
                  <w:tcW w:w="3452" w:type="pct"/>
                  <w:gridSpan w:val="3"/>
                  <w:noWrap w:val="0"/>
                  <w:vAlign w:val="center"/>
                </w:tcPr>
                <w:p w14:paraId="2BA60F9D">
                  <w:pPr>
                    <w:pStyle w:val="28"/>
                    <w:rPr>
                      <w:rFonts w:hint="default"/>
                      <w:color w:val="auto"/>
                      <w:lang w:val="en-US"/>
                    </w:rPr>
                  </w:pPr>
                  <w:r>
                    <w:rPr>
                      <w:rFonts w:hint="eastAsia"/>
                      <w:color w:val="auto"/>
                    </w:rPr>
                    <w:t>建设</w:t>
                  </w:r>
                  <w:r>
                    <w:rPr>
                      <w:rFonts w:hint="eastAsia"/>
                      <w:color w:val="auto"/>
                      <w:lang w:val="en-US" w:eastAsia="zh-CN"/>
                    </w:rPr>
                    <w:t>1</w:t>
                  </w:r>
                  <w:r>
                    <w:rPr>
                      <w:rFonts w:hint="eastAsia"/>
                      <w:color w:val="auto"/>
                    </w:rPr>
                    <w:t>个</w:t>
                  </w:r>
                  <w:r>
                    <w:rPr>
                      <w:rFonts w:hint="eastAsia"/>
                      <w:color w:val="auto"/>
                      <w:lang w:val="en-US" w:eastAsia="zh-CN"/>
                    </w:rPr>
                    <w:t>5</w:t>
                  </w:r>
                  <w:r>
                    <w:rPr>
                      <w:rFonts w:hint="eastAsia"/>
                      <w:color w:val="auto"/>
                    </w:rPr>
                    <w:t>m</w:t>
                  </w:r>
                  <w:r>
                    <w:rPr>
                      <w:rFonts w:hint="eastAsia"/>
                      <w:color w:val="auto"/>
                      <w:vertAlign w:val="superscript"/>
                    </w:rPr>
                    <w:t>3</w:t>
                  </w:r>
                  <w:r>
                    <w:rPr>
                      <w:rFonts w:hint="eastAsia"/>
                      <w:color w:val="auto"/>
                    </w:rPr>
                    <w:t>的危废暂存间，</w:t>
                  </w:r>
                  <w:r>
                    <w:rPr>
                      <w:rFonts w:hint="eastAsia"/>
                      <w:color w:val="auto"/>
                      <w:lang w:val="en-US" w:eastAsia="zh-CN"/>
                    </w:rPr>
                    <w:t>危险废物（废机油）</w:t>
                  </w:r>
                  <w:r>
                    <w:rPr>
                      <w:rFonts w:hint="eastAsia"/>
                      <w:color w:val="auto"/>
                    </w:rPr>
                    <w:t>经收集后暂存于</w:t>
                  </w:r>
                  <w:r>
                    <w:rPr>
                      <w:color w:val="auto"/>
                    </w:rPr>
                    <w:t>危废暂存间</w:t>
                  </w:r>
                  <w:r>
                    <w:rPr>
                      <w:rFonts w:hint="eastAsia"/>
                      <w:color w:val="auto"/>
                    </w:rPr>
                    <w:t>内，定期</w:t>
                  </w:r>
                  <w:r>
                    <w:rPr>
                      <w:rFonts w:hint="eastAsia"/>
                      <w:color w:val="auto"/>
                      <w:lang w:val="en-US" w:eastAsia="zh-CN"/>
                    </w:rPr>
                    <w:t>委托</w:t>
                  </w:r>
                  <w:r>
                    <w:rPr>
                      <w:rFonts w:hint="eastAsia"/>
                      <w:color w:val="auto"/>
                      <w:szCs w:val="21"/>
                      <w:lang w:val="en-US" w:eastAsia="zh-CN"/>
                    </w:rPr>
                    <w:t>有资质单位处置</w:t>
                  </w:r>
                </w:p>
              </w:tc>
              <w:tc>
                <w:tcPr>
                  <w:tcW w:w="420" w:type="pct"/>
                  <w:noWrap w:val="0"/>
                  <w:vAlign w:val="center"/>
                </w:tcPr>
                <w:p w14:paraId="0F99B668">
                  <w:pPr>
                    <w:pStyle w:val="28"/>
                    <w:rPr>
                      <w:rFonts w:hint="default" w:eastAsia="宋体"/>
                      <w:color w:val="auto"/>
                      <w:lang w:val="en-US" w:eastAsia="zh-CN"/>
                    </w:rPr>
                  </w:pPr>
                  <w:r>
                    <w:rPr>
                      <w:rFonts w:hint="eastAsia"/>
                      <w:color w:val="auto"/>
                      <w:lang w:val="en-US" w:eastAsia="zh-CN"/>
                    </w:rPr>
                    <w:t>1.5</w:t>
                  </w:r>
                </w:p>
              </w:tc>
              <w:tc>
                <w:tcPr>
                  <w:tcW w:w="410" w:type="pct"/>
                  <w:noWrap w:val="0"/>
                  <w:vAlign w:val="center"/>
                </w:tcPr>
                <w:p w14:paraId="2194BCB1">
                  <w:pPr>
                    <w:pStyle w:val="28"/>
                    <w:rPr>
                      <w:rFonts w:hint="eastAsia"/>
                      <w:color w:val="auto"/>
                    </w:rPr>
                  </w:pPr>
                  <w:r>
                    <w:rPr>
                      <w:rFonts w:hint="eastAsia"/>
                      <w:color w:val="auto"/>
                      <w:lang w:val="en-US" w:eastAsia="zh-CN"/>
                    </w:rPr>
                    <w:t>已建</w:t>
                  </w:r>
                </w:p>
              </w:tc>
            </w:tr>
            <w:tr w14:paraId="3AEC1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2" w:hRule="atLeast"/>
                <w:jc w:val="center"/>
              </w:trPr>
              <w:tc>
                <w:tcPr>
                  <w:tcW w:w="239" w:type="pct"/>
                  <w:vMerge w:val="continue"/>
                  <w:noWrap w:val="0"/>
                  <w:vAlign w:val="center"/>
                </w:tcPr>
                <w:p w14:paraId="118B379E">
                  <w:pPr>
                    <w:pStyle w:val="28"/>
                    <w:rPr>
                      <w:color w:val="auto"/>
                    </w:rPr>
                  </w:pPr>
                </w:p>
              </w:tc>
              <w:tc>
                <w:tcPr>
                  <w:tcW w:w="478" w:type="pct"/>
                  <w:noWrap w:val="0"/>
                  <w:vAlign w:val="center"/>
                </w:tcPr>
                <w:p w14:paraId="1D41B860">
                  <w:pPr>
                    <w:pStyle w:val="28"/>
                    <w:rPr>
                      <w:rFonts w:hint="default" w:eastAsia="宋体"/>
                      <w:color w:val="auto"/>
                      <w:lang w:val="en-US" w:eastAsia="zh-CN"/>
                    </w:rPr>
                  </w:pPr>
                  <w:r>
                    <w:rPr>
                      <w:rFonts w:hint="eastAsia"/>
                      <w:color w:val="auto"/>
                      <w:lang w:val="en-US" w:eastAsia="zh-CN"/>
                    </w:rPr>
                    <w:t>地下水、土壤防治措施</w:t>
                  </w:r>
                </w:p>
              </w:tc>
              <w:tc>
                <w:tcPr>
                  <w:tcW w:w="3452" w:type="pct"/>
                  <w:gridSpan w:val="3"/>
                  <w:noWrap w:val="0"/>
                  <w:vAlign w:val="center"/>
                </w:tcPr>
                <w:p w14:paraId="499CE02E">
                  <w:pPr>
                    <w:pStyle w:val="28"/>
                    <w:rPr>
                      <w:rFonts w:hint="eastAsia"/>
                      <w:color w:val="auto"/>
                      <w:szCs w:val="21"/>
                    </w:rPr>
                  </w:pPr>
                  <w:r>
                    <w:rPr>
                      <w:rFonts w:hint="eastAsia"/>
                      <w:color w:val="auto"/>
                      <w:szCs w:val="21"/>
                    </w:rPr>
                    <w:t>①重点防渗区：危废暂存间等区域，防渗层为至少1m厚黏土层（渗透系数不大于10</w:t>
                  </w:r>
                  <w:r>
                    <w:rPr>
                      <w:rFonts w:hint="eastAsia"/>
                      <w:color w:val="auto"/>
                      <w:szCs w:val="21"/>
                      <w:vertAlign w:val="superscript"/>
                    </w:rPr>
                    <w:t>-7</w:t>
                  </w:r>
                  <w:r>
                    <w:rPr>
                      <w:rFonts w:hint="eastAsia"/>
                      <w:color w:val="auto"/>
                      <w:szCs w:val="21"/>
                    </w:rPr>
                    <w:t>cm/s），或至少2mm厚高密度聚乙烯膜等人工防渗材料（渗透系数不大于10</w:t>
                  </w:r>
                  <w:r>
                    <w:rPr>
                      <w:rFonts w:hint="eastAsia"/>
                      <w:color w:val="auto"/>
                      <w:szCs w:val="21"/>
                      <w:vertAlign w:val="superscript"/>
                    </w:rPr>
                    <w:t>-10</w:t>
                  </w:r>
                  <w:r>
                    <w:rPr>
                      <w:rFonts w:hint="eastAsia"/>
                      <w:color w:val="auto"/>
                      <w:szCs w:val="21"/>
                    </w:rPr>
                    <w:t>cm/s），危废暂存间严格按照《危险废物贮存污染控制标准》（GB18597-2023）的要求进行建设。</w:t>
                  </w:r>
                </w:p>
                <w:p w14:paraId="059D4B2E">
                  <w:pPr>
                    <w:pStyle w:val="28"/>
                    <w:rPr>
                      <w:rFonts w:hint="eastAsia"/>
                      <w:color w:val="auto"/>
                    </w:rPr>
                  </w:pPr>
                  <w:r>
                    <w:rPr>
                      <w:rFonts w:hint="eastAsia"/>
                      <w:color w:val="auto"/>
                      <w:szCs w:val="21"/>
                    </w:rPr>
                    <w:t>②简单防渗区：化粪池、</w:t>
                  </w:r>
                  <w:r>
                    <w:rPr>
                      <w:rFonts w:hint="eastAsia"/>
                      <w:color w:val="auto"/>
                      <w:szCs w:val="21"/>
                      <w:lang w:val="en-US" w:eastAsia="zh-CN"/>
                    </w:rPr>
                    <w:t>三级沉淀池、</w:t>
                  </w:r>
                  <w:r>
                    <w:rPr>
                      <w:rFonts w:hint="eastAsia"/>
                      <w:color w:val="auto"/>
                      <w:szCs w:val="21"/>
                    </w:rPr>
                    <w:t>四级沉淀池、</w:t>
                  </w:r>
                  <w:r>
                    <w:rPr>
                      <w:rFonts w:hint="eastAsia"/>
                      <w:color w:val="auto"/>
                      <w:szCs w:val="21"/>
                      <w:lang w:val="en-US" w:eastAsia="zh-CN"/>
                    </w:rPr>
                    <w:t>五级沉淀池、</w:t>
                  </w:r>
                  <w:r>
                    <w:rPr>
                      <w:rFonts w:hint="eastAsia"/>
                      <w:color w:val="auto"/>
                      <w:szCs w:val="21"/>
                    </w:rPr>
                    <w:t>办公用房及厂区道路等区域，采用混凝土进行硬化处理。</w:t>
                  </w:r>
                </w:p>
              </w:tc>
              <w:tc>
                <w:tcPr>
                  <w:tcW w:w="420" w:type="pct"/>
                  <w:noWrap w:val="0"/>
                  <w:vAlign w:val="center"/>
                </w:tcPr>
                <w:p w14:paraId="5D4A3E98">
                  <w:pPr>
                    <w:pStyle w:val="28"/>
                    <w:rPr>
                      <w:rFonts w:hint="eastAsia" w:eastAsia="宋体"/>
                      <w:color w:val="auto"/>
                      <w:lang w:val="en-US" w:eastAsia="zh-CN"/>
                    </w:rPr>
                  </w:pPr>
                  <w:r>
                    <w:rPr>
                      <w:rFonts w:hint="eastAsia"/>
                      <w:color w:val="auto"/>
                      <w:lang w:val="en-US" w:eastAsia="zh-CN"/>
                    </w:rPr>
                    <w:t>/</w:t>
                  </w:r>
                </w:p>
              </w:tc>
              <w:tc>
                <w:tcPr>
                  <w:tcW w:w="410" w:type="pct"/>
                  <w:noWrap w:val="0"/>
                  <w:vAlign w:val="center"/>
                </w:tcPr>
                <w:p w14:paraId="2CE3DAB5">
                  <w:pPr>
                    <w:pStyle w:val="28"/>
                    <w:rPr>
                      <w:rFonts w:hint="eastAsia" w:eastAsia="宋体"/>
                      <w:color w:val="auto"/>
                      <w:lang w:val="en-US" w:eastAsia="zh-CN"/>
                    </w:rPr>
                  </w:pPr>
                  <w:r>
                    <w:rPr>
                      <w:rFonts w:hint="eastAsia"/>
                      <w:color w:val="auto"/>
                      <w:lang w:val="en-US" w:eastAsia="zh-CN"/>
                    </w:rPr>
                    <w:t>新建</w:t>
                  </w:r>
                </w:p>
              </w:tc>
            </w:tr>
            <w:tr w14:paraId="7222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 w:hRule="atLeast"/>
                <w:jc w:val="center"/>
              </w:trPr>
              <w:tc>
                <w:tcPr>
                  <w:tcW w:w="239" w:type="pct"/>
                  <w:vMerge w:val="continue"/>
                  <w:noWrap w:val="0"/>
                  <w:vAlign w:val="center"/>
                </w:tcPr>
                <w:p w14:paraId="61DC414A">
                  <w:pPr>
                    <w:pStyle w:val="28"/>
                    <w:rPr>
                      <w:color w:val="auto"/>
                    </w:rPr>
                  </w:pPr>
                </w:p>
              </w:tc>
              <w:tc>
                <w:tcPr>
                  <w:tcW w:w="478" w:type="pct"/>
                  <w:vMerge w:val="restart"/>
                  <w:noWrap w:val="0"/>
                  <w:vAlign w:val="center"/>
                </w:tcPr>
                <w:p w14:paraId="52A84C23">
                  <w:pPr>
                    <w:pStyle w:val="28"/>
                    <w:rPr>
                      <w:rFonts w:hint="eastAsia" w:eastAsia="宋体"/>
                      <w:color w:val="auto"/>
                      <w:lang w:val="en-US" w:eastAsia="zh-CN"/>
                    </w:rPr>
                  </w:pPr>
                  <w:r>
                    <w:rPr>
                      <w:rFonts w:hint="eastAsia"/>
                      <w:color w:val="auto"/>
                      <w:lang w:val="en-US" w:eastAsia="zh-CN"/>
                    </w:rPr>
                    <w:t>其他</w:t>
                  </w:r>
                </w:p>
              </w:tc>
              <w:tc>
                <w:tcPr>
                  <w:tcW w:w="3452" w:type="pct"/>
                  <w:gridSpan w:val="3"/>
                  <w:noWrap w:val="0"/>
                  <w:vAlign w:val="center"/>
                </w:tcPr>
                <w:p w14:paraId="732B3290">
                  <w:pPr>
                    <w:pStyle w:val="28"/>
                    <w:rPr>
                      <w:rFonts w:hint="default" w:eastAsia="宋体"/>
                      <w:color w:val="auto"/>
                      <w:lang w:val="en-US" w:eastAsia="zh-CN"/>
                    </w:rPr>
                  </w:pPr>
                  <w:r>
                    <w:rPr>
                      <w:rFonts w:hint="eastAsia"/>
                      <w:color w:val="auto"/>
                      <w:lang w:val="en-US" w:eastAsia="zh-CN"/>
                    </w:rPr>
                    <w:t>环评、验收监测费</w:t>
                  </w:r>
                </w:p>
              </w:tc>
              <w:tc>
                <w:tcPr>
                  <w:tcW w:w="420" w:type="pct"/>
                  <w:noWrap w:val="0"/>
                  <w:vAlign w:val="center"/>
                </w:tcPr>
                <w:p w14:paraId="57592B3A">
                  <w:pPr>
                    <w:pStyle w:val="28"/>
                    <w:rPr>
                      <w:rFonts w:hint="eastAsia" w:eastAsia="宋体"/>
                      <w:color w:val="auto"/>
                      <w:lang w:val="en-US" w:eastAsia="zh-CN"/>
                    </w:rPr>
                  </w:pPr>
                  <w:r>
                    <w:rPr>
                      <w:rFonts w:hint="eastAsia"/>
                      <w:color w:val="auto"/>
                      <w:lang w:val="en-US" w:eastAsia="zh-CN"/>
                    </w:rPr>
                    <w:t>6</w:t>
                  </w:r>
                </w:p>
              </w:tc>
              <w:tc>
                <w:tcPr>
                  <w:tcW w:w="410" w:type="pct"/>
                  <w:noWrap w:val="0"/>
                  <w:vAlign w:val="center"/>
                </w:tcPr>
                <w:p w14:paraId="6020F58E">
                  <w:pPr>
                    <w:pStyle w:val="28"/>
                    <w:rPr>
                      <w:rFonts w:hint="eastAsia" w:eastAsia="宋体"/>
                      <w:color w:val="auto"/>
                      <w:lang w:val="en-US" w:eastAsia="zh-CN"/>
                    </w:rPr>
                  </w:pPr>
                  <w:r>
                    <w:rPr>
                      <w:rFonts w:hint="eastAsia"/>
                      <w:color w:val="auto"/>
                      <w:lang w:val="en-US" w:eastAsia="zh-CN"/>
                    </w:rPr>
                    <w:t>/</w:t>
                  </w:r>
                </w:p>
              </w:tc>
            </w:tr>
            <w:tr w14:paraId="26849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5" w:hRule="atLeast"/>
                <w:jc w:val="center"/>
              </w:trPr>
              <w:tc>
                <w:tcPr>
                  <w:tcW w:w="239" w:type="pct"/>
                  <w:vMerge w:val="continue"/>
                  <w:noWrap w:val="0"/>
                  <w:vAlign w:val="center"/>
                </w:tcPr>
                <w:p w14:paraId="75CD4651">
                  <w:pPr>
                    <w:pStyle w:val="28"/>
                    <w:rPr>
                      <w:color w:val="auto"/>
                    </w:rPr>
                  </w:pPr>
                </w:p>
              </w:tc>
              <w:tc>
                <w:tcPr>
                  <w:tcW w:w="478" w:type="pct"/>
                  <w:vMerge w:val="continue"/>
                  <w:noWrap w:val="0"/>
                  <w:vAlign w:val="center"/>
                </w:tcPr>
                <w:p w14:paraId="60792D12">
                  <w:pPr>
                    <w:pStyle w:val="28"/>
                    <w:rPr>
                      <w:rFonts w:hint="eastAsia"/>
                      <w:color w:val="auto"/>
                      <w:lang w:val="en-US" w:eastAsia="zh-CN"/>
                    </w:rPr>
                  </w:pPr>
                </w:p>
              </w:tc>
              <w:tc>
                <w:tcPr>
                  <w:tcW w:w="3452" w:type="pct"/>
                  <w:gridSpan w:val="3"/>
                  <w:noWrap w:val="0"/>
                  <w:vAlign w:val="center"/>
                </w:tcPr>
                <w:p w14:paraId="505FAE43">
                  <w:pPr>
                    <w:pStyle w:val="28"/>
                    <w:rPr>
                      <w:rFonts w:hint="default" w:eastAsia="宋体"/>
                      <w:color w:val="auto"/>
                      <w:lang w:val="en-US" w:eastAsia="zh-CN"/>
                    </w:rPr>
                  </w:pPr>
                  <w:r>
                    <w:rPr>
                      <w:rFonts w:hint="eastAsia"/>
                      <w:color w:val="auto"/>
                      <w:lang w:val="en-US" w:eastAsia="zh-CN"/>
                    </w:rPr>
                    <w:t>环保设施运行维护费</w:t>
                  </w:r>
                </w:p>
              </w:tc>
              <w:tc>
                <w:tcPr>
                  <w:tcW w:w="420" w:type="pct"/>
                  <w:noWrap w:val="0"/>
                  <w:vAlign w:val="center"/>
                </w:tcPr>
                <w:p w14:paraId="2E620813">
                  <w:pPr>
                    <w:pStyle w:val="28"/>
                    <w:rPr>
                      <w:rFonts w:hint="default" w:eastAsia="宋体"/>
                      <w:color w:val="auto"/>
                      <w:lang w:val="en-US" w:eastAsia="zh-CN"/>
                    </w:rPr>
                  </w:pPr>
                  <w:r>
                    <w:rPr>
                      <w:rFonts w:hint="eastAsia"/>
                      <w:color w:val="auto"/>
                      <w:lang w:val="en-US" w:eastAsia="zh-CN"/>
                    </w:rPr>
                    <w:t>4.0万/a</w:t>
                  </w:r>
                </w:p>
              </w:tc>
              <w:tc>
                <w:tcPr>
                  <w:tcW w:w="410" w:type="pct"/>
                  <w:noWrap w:val="0"/>
                  <w:vAlign w:val="center"/>
                </w:tcPr>
                <w:p w14:paraId="770DA514">
                  <w:pPr>
                    <w:pStyle w:val="28"/>
                    <w:rPr>
                      <w:rFonts w:hint="eastAsia" w:eastAsia="宋体"/>
                      <w:color w:val="auto"/>
                      <w:lang w:val="en-US" w:eastAsia="zh-CN"/>
                    </w:rPr>
                  </w:pPr>
                  <w:r>
                    <w:rPr>
                      <w:rFonts w:hint="eastAsia"/>
                      <w:color w:val="auto"/>
                      <w:lang w:val="en-US" w:eastAsia="zh-CN"/>
                    </w:rPr>
                    <w:t>/</w:t>
                  </w:r>
                </w:p>
              </w:tc>
            </w:tr>
            <w:tr w14:paraId="29A75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239" w:type="pct"/>
                  <w:vMerge w:val="continue"/>
                  <w:noWrap w:val="0"/>
                  <w:vAlign w:val="center"/>
                </w:tcPr>
                <w:p w14:paraId="034F1153">
                  <w:pPr>
                    <w:pStyle w:val="28"/>
                    <w:rPr>
                      <w:color w:val="auto"/>
                    </w:rPr>
                  </w:pPr>
                </w:p>
              </w:tc>
              <w:tc>
                <w:tcPr>
                  <w:tcW w:w="2908" w:type="pct"/>
                  <w:gridSpan w:val="2"/>
                  <w:noWrap w:val="0"/>
                  <w:vAlign w:val="center"/>
                </w:tcPr>
                <w:p w14:paraId="76FEF76F">
                  <w:pPr>
                    <w:pStyle w:val="28"/>
                    <w:rPr>
                      <w:color w:val="auto"/>
                    </w:rPr>
                  </w:pPr>
                  <w:r>
                    <w:rPr>
                      <w:color w:val="auto"/>
                    </w:rPr>
                    <w:t>绿化</w:t>
                  </w:r>
                </w:p>
              </w:tc>
              <w:tc>
                <w:tcPr>
                  <w:tcW w:w="438" w:type="pct"/>
                  <w:noWrap w:val="0"/>
                  <w:vAlign w:val="center"/>
                </w:tcPr>
                <w:p w14:paraId="5D3B43F0">
                  <w:pPr>
                    <w:pStyle w:val="28"/>
                    <w:rPr>
                      <w:color w:val="auto"/>
                    </w:rPr>
                  </w:pPr>
                  <w:r>
                    <w:rPr>
                      <w:color w:val="auto"/>
                    </w:rPr>
                    <w:t>/</w:t>
                  </w:r>
                </w:p>
              </w:tc>
              <w:tc>
                <w:tcPr>
                  <w:tcW w:w="583" w:type="pct"/>
                  <w:noWrap w:val="0"/>
                  <w:vAlign w:val="center"/>
                </w:tcPr>
                <w:p w14:paraId="3A689038">
                  <w:pPr>
                    <w:pStyle w:val="28"/>
                    <w:rPr>
                      <w:color w:val="auto"/>
                    </w:rPr>
                  </w:pPr>
                  <w:r>
                    <w:rPr>
                      <w:color w:val="auto"/>
                    </w:rPr>
                    <w:t>1</w:t>
                  </w:r>
                  <w:r>
                    <w:rPr>
                      <w:rFonts w:hint="eastAsia"/>
                      <w:color w:val="auto"/>
                    </w:rPr>
                    <w:t>0</w:t>
                  </w:r>
                  <w:r>
                    <w:rPr>
                      <w:color w:val="auto"/>
                    </w:rPr>
                    <w:t>00m</w:t>
                  </w:r>
                  <w:r>
                    <w:rPr>
                      <w:color w:val="auto"/>
                      <w:vertAlign w:val="superscript"/>
                    </w:rPr>
                    <w:t>2</w:t>
                  </w:r>
                </w:p>
              </w:tc>
              <w:tc>
                <w:tcPr>
                  <w:tcW w:w="420" w:type="pct"/>
                  <w:noWrap w:val="0"/>
                  <w:vAlign w:val="center"/>
                </w:tcPr>
                <w:p w14:paraId="2251EEB9">
                  <w:pPr>
                    <w:pStyle w:val="28"/>
                    <w:rPr>
                      <w:rFonts w:hint="default" w:eastAsia="宋体"/>
                      <w:color w:val="auto"/>
                      <w:lang w:val="en-US" w:eastAsia="zh-CN"/>
                    </w:rPr>
                  </w:pPr>
                  <w:r>
                    <w:rPr>
                      <w:rFonts w:hint="eastAsia"/>
                      <w:color w:val="auto"/>
                      <w:lang w:val="en-US" w:eastAsia="zh-CN"/>
                    </w:rPr>
                    <w:t>1.0</w:t>
                  </w:r>
                </w:p>
              </w:tc>
              <w:tc>
                <w:tcPr>
                  <w:tcW w:w="410" w:type="pct"/>
                  <w:noWrap w:val="0"/>
                  <w:vAlign w:val="center"/>
                </w:tcPr>
                <w:p w14:paraId="6D3D6A9E">
                  <w:pPr>
                    <w:pStyle w:val="28"/>
                    <w:rPr>
                      <w:rFonts w:hint="default" w:eastAsia="宋体"/>
                      <w:color w:val="auto"/>
                      <w:lang w:val="en-US" w:eastAsia="zh-CN"/>
                    </w:rPr>
                  </w:pPr>
                  <w:r>
                    <w:rPr>
                      <w:rFonts w:hint="eastAsia"/>
                      <w:color w:val="auto"/>
                      <w:lang w:val="en-US" w:eastAsia="zh-CN"/>
                    </w:rPr>
                    <w:t>新建</w:t>
                  </w:r>
                </w:p>
              </w:tc>
            </w:tr>
            <w:tr w14:paraId="789DA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39" w:type="pct"/>
                  <w:noWrap w:val="0"/>
                  <w:vAlign w:val="center"/>
                </w:tcPr>
                <w:p w14:paraId="355B8348">
                  <w:pPr>
                    <w:pStyle w:val="28"/>
                    <w:rPr>
                      <w:color w:val="auto"/>
                    </w:rPr>
                  </w:pPr>
                  <w:r>
                    <w:rPr>
                      <w:color w:val="auto"/>
                    </w:rPr>
                    <w:t>合计</w:t>
                  </w:r>
                </w:p>
              </w:tc>
              <w:tc>
                <w:tcPr>
                  <w:tcW w:w="2908" w:type="pct"/>
                  <w:gridSpan w:val="2"/>
                  <w:noWrap w:val="0"/>
                  <w:vAlign w:val="center"/>
                </w:tcPr>
                <w:p w14:paraId="53E8BDCE">
                  <w:pPr>
                    <w:pStyle w:val="28"/>
                    <w:rPr>
                      <w:color w:val="auto"/>
                    </w:rPr>
                  </w:pPr>
                  <w:r>
                    <w:rPr>
                      <w:color w:val="auto"/>
                    </w:rPr>
                    <w:t>/</w:t>
                  </w:r>
                </w:p>
              </w:tc>
              <w:tc>
                <w:tcPr>
                  <w:tcW w:w="438" w:type="pct"/>
                  <w:noWrap w:val="0"/>
                  <w:vAlign w:val="center"/>
                </w:tcPr>
                <w:p w14:paraId="7D186D07">
                  <w:pPr>
                    <w:pStyle w:val="28"/>
                    <w:rPr>
                      <w:color w:val="auto"/>
                    </w:rPr>
                  </w:pPr>
                  <w:r>
                    <w:rPr>
                      <w:color w:val="auto"/>
                    </w:rPr>
                    <w:t>/</w:t>
                  </w:r>
                </w:p>
              </w:tc>
              <w:tc>
                <w:tcPr>
                  <w:tcW w:w="583" w:type="pct"/>
                  <w:noWrap w:val="0"/>
                  <w:vAlign w:val="center"/>
                </w:tcPr>
                <w:p w14:paraId="12A55008">
                  <w:pPr>
                    <w:pStyle w:val="28"/>
                    <w:rPr>
                      <w:color w:val="auto"/>
                    </w:rPr>
                  </w:pPr>
                  <w:r>
                    <w:rPr>
                      <w:color w:val="auto"/>
                    </w:rPr>
                    <w:t>/</w:t>
                  </w:r>
                </w:p>
              </w:tc>
              <w:tc>
                <w:tcPr>
                  <w:tcW w:w="420" w:type="pct"/>
                  <w:noWrap w:val="0"/>
                  <w:vAlign w:val="center"/>
                </w:tcPr>
                <w:p w14:paraId="63B16BEF">
                  <w:pPr>
                    <w:pStyle w:val="28"/>
                    <w:rPr>
                      <w:rFonts w:hint="default" w:eastAsia="宋体"/>
                      <w:color w:val="auto"/>
                      <w:lang w:val="en-US" w:eastAsia="zh-CN"/>
                    </w:rPr>
                  </w:pPr>
                  <w:r>
                    <w:rPr>
                      <w:rFonts w:hint="eastAsia"/>
                      <w:color w:val="auto"/>
                      <w:lang w:val="en-US" w:eastAsia="zh-CN"/>
                    </w:rPr>
                    <w:t>74.36</w:t>
                  </w:r>
                </w:p>
              </w:tc>
              <w:tc>
                <w:tcPr>
                  <w:tcW w:w="410" w:type="pct"/>
                  <w:noWrap w:val="0"/>
                  <w:vAlign w:val="center"/>
                </w:tcPr>
                <w:p w14:paraId="091950FE">
                  <w:pPr>
                    <w:pStyle w:val="28"/>
                    <w:rPr>
                      <w:rFonts w:hint="default"/>
                      <w:color w:val="auto"/>
                      <w:lang w:val="en-US" w:eastAsia="zh-CN"/>
                    </w:rPr>
                  </w:pPr>
                  <w:r>
                    <w:rPr>
                      <w:rFonts w:hint="eastAsia"/>
                      <w:color w:val="auto"/>
                      <w:lang w:val="en-US" w:eastAsia="zh-CN"/>
                    </w:rPr>
                    <w:t>/</w:t>
                  </w:r>
                </w:p>
              </w:tc>
            </w:tr>
          </w:tbl>
          <w:p w14:paraId="1EA100AA">
            <w:pPr>
              <w:pStyle w:val="34"/>
              <w:rPr>
                <w:rFonts w:hAnsi="宋体"/>
                <w:bCs/>
                <w:color w:val="auto"/>
                <w:szCs w:val="21"/>
              </w:rPr>
            </w:pPr>
          </w:p>
        </w:tc>
      </w:tr>
    </w:tbl>
    <w:p w14:paraId="22FCDA3C">
      <w:pPr>
        <w:pStyle w:val="16"/>
        <w:ind w:firstLine="720"/>
        <w:jc w:val="center"/>
        <w:rPr>
          <w:rFonts w:ascii="黑体" w:hAnsi="黑体" w:eastAsia="黑体"/>
          <w:snapToGrid w:val="0"/>
          <w:color w:val="auto"/>
          <w:sz w:val="36"/>
          <w:szCs w:val="36"/>
        </w:rPr>
        <w:sectPr>
          <w:pgSz w:w="11906" w:h="16838"/>
          <w:pgMar w:top="1417" w:right="1417" w:bottom="1417" w:left="1417" w:header="851" w:footer="851" w:gutter="0"/>
          <w:pgNumType w:fmt="decimal"/>
          <w:cols w:space="720" w:num="1"/>
          <w:docGrid w:linePitch="312" w:charSpace="0"/>
        </w:sectPr>
      </w:pP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2"/>
        <w:gridCol w:w="8866"/>
      </w:tblGrid>
      <w:tr w14:paraId="1E3DA1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6" w:hRule="atLeast"/>
          <w:jc w:val="center"/>
        </w:trPr>
        <w:tc>
          <w:tcPr>
            <w:tcW w:w="339" w:type="dxa"/>
            <w:noWrap w:val="0"/>
            <w:vAlign w:val="center"/>
          </w:tcPr>
          <w:p w14:paraId="70977A03">
            <w:pPr>
              <w:pStyle w:val="16"/>
              <w:adjustRightInd w:val="0"/>
              <w:snapToGrid w:val="0"/>
              <w:spacing w:before="0" w:beforeAutospacing="0" w:after="0" w:afterAutospacing="0"/>
              <w:ind w:firstLine="0" w:firstLineChars="0"/>
              <w:rPr>
                <w:rFonts w:cs="宋体"/>
                <w:color w:val="auto"/>
                <w:sz w:val="21"/>
                <w:szCs w:val="21"/>
              </w:rPr>
            </w:pPr>
            <w:r>
              <w:rPr>
                <w:rFonts w:hint="eastAsia" w:cs="宋体"/>
                <w:color w:val="auto"/>
                <w:sz w:val="21"/>
                <w:szCs w:val="21"/>
              </w:rPr>
              <w:t>工艺流程和产排污环节</w:t>
            </w:r>
          </w:p>
        </w:tc>
        <w:tc>
          <w:tcPr>
            <w:tcW w:w="8645" w:type="dxa"/>
            <w:noWrap w:val="0"/>
            <w:vAlign w:val="top"/>
          </w:tcPr>
          <w:p w14:paraId="3A444ECC">
            <w:pPr>
              <w:spacing w:line="500" w:lineRule="exact"/>
              <w:ind w:firstLine="482"/>
              <w:rPr>
                <w:b/>
                <w:bCs/>
                <w:color w:val="auto"/>
              </w:rPr>
            </w:pPr>
            <w:r>
              <w:rPr>
                <w:rFonts w:hint="eastAsia"/>
                <w:b/>
                <w:bCs/>
                <w:color w:val="auto"/>
              </w:rPr>
              <w:t>2.3</w:t>
            </w:r>
            <w:r>
              <w:rPr>
                <w:rFonts w:hint="eastAsia"/>
                <w:b/>
                <w:bCs/>
                <w:color w:val="auto"/>
                <w:lang w:val="en-US" w:eastAsia="zh-CN"/>
              </w:rPr>
              <w:t>工</w:t>
            </w:r>
            <w:r>
              <w:rPr>
                <w:rFonts w:hint="eastAsia" w:cs="宋体"/>
                <w:b/>
                <w:bCs/>
                <w:color w:val="auto"/>
              </w:rPr>
              <w:t>艺流程和产排污环节</w:t>
            </w:r>
          </w:p>
          <w:p w14:paraId="3F86214C">
            <w:pPr>
              <w:spacing w:line="500" w:lineRule="exact"/>
              <w:ind w:firstLine="482"/>
              <w:rPr>
                <w:b/>
                <w:bCs/>
                <w:color w:val="auto"/>
              </w:rPr>
            </w:pPr>
            <w:r>
              <w:rPr>
                <w:rFonts w:hint="eastAsia"/>
                <w:b/>
                <w:bCs/>
                <w:color w:val="auto"/>
              </w:rPr>
              <w:t>2.3.1</w:t>
            </w:r>
            <w:r>
              <w:rPr>
                <w:b/>
                <w:bCs/>
                <w:color w:val="auto"/>
              </w:rPr>
              <w:t>施工期</w:t>
            </w:r>
          </w:p>
          <w:p w14:paraId="27E5A150">
            <w:pPr>
              <w:spacing w:line="500" w:lineRule="exact"/>
              <w:ind w:firstLine="480"/>
              <w:rPr>
                <w:rFonts w:hint="default" w:eastAsia="宋体"/>
                <w:color w:val="auto"/>
                <w:lang w:val="en-US" w:eastAsia="zh-CN"/>
              </w:rPr>
            </w:pPr>
            <w:r>
              <w:rPr>
                <w:rFonts w:hint="eastAsia"/>
                <w:color w:val="auto"/>
              </w:rPr>
              <w:t>本项目轨枕生产车间、办公生活区、工人区、停车区、</w:t>
            </w:r>
            <w:r>
              <w:rPr>
                <w:rFonts w:hint="eastAsia"/>
                <w:color w:val="auto"/>
                <w:lang w:val="en-US" w:eastAsia="zh-CN"/>
              </w:rPr>
              <w:t>试验区等主体工程均已建设完成，本次施工主要对环保措施、雨水收集池等做出完善。施工期工艺流程见下图。</w:t>
            </w:r>
          </w:p>
          <w:p w14:paraId="4C9D35C7">
            <w:pPr>
              <w:pStyle w:val="10"/>
              <w:spacing w:after="0" w:line="240" w:lineRule="auto"/>
              <w:ind w:left="0" w:leftChars="0" w:firstLine="0" w:firstLineChars="0"/>
              <w:jc w:val="center"/>
              <w:rPr>
                <w:rFonts w:hint="eastAsia"/>
                <w:color w:val="auto"/>
              </w:rPr>
            </w:pPr>
            <w:r>
              <w:rPr>
                <w:color w:val="auto"/>
              </w:rPr>
              <w:drawing>
                <wp:inline distT="0" distB="0" distL="114300" distR="114300">
                  <wp:extent cx="4295775" cy="145732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8"/>
                          <a:stretch>
                            <a:fillRect/>
                          </a:stretch>
                        </pic:blipFill>
                        <pic:spPr>
                          <a:xfrm>
                            <a:off x="0" y="0"/>
                            <a:ext cx="4295775" cy="1457325"/>
                          </a:xfrm>
                          <a:prstGeom prst="rect">
                            <a:avLst/>
                          </a:prstGeom>
                          <a:noFill/>
                          <a:ln>
                            <a:noFill/>
                          </a:ln>
                        </pic:spPr>
                      </pic:pic>
                    </a:graphicData>
                  </a:graphic>
                </wp:inline>
              </w:drawing>
            </w:r>
          </w:p>
          <w:p w14:paraId="5A30607A">
            <w:pPr>
              <w:pStyle w:val="10"/>
              <w:keepNext w:val="0"/>
              <w:keepLines w:val="0"/>
              <w:pageBreakBefore w:val="0"/>
              <w:widowControl w:val="0"/>
              <w:tabs>
                <w:tab w:val="left" w:pos="180"/>
              </w:tabs>
              <w:kinsoku/>
              <w:wordWrap/>
              <w:overflowPunct/>
              <w:topLinePunct w:val="0"/>
              <w:autoSpaceDE/>
              <w:autoSpaceDN/>
              <w:bidi w:val="0"/>
              <w:adjustRightInd w:val="0"/>
              <w:snapToGrid/>
              <w:spacing w:after="0" w:line="500" w:lineRule="exact"/>
              <w:ind w:left="0" w:leftChars="0" w:firstLine="0" w:firstLineChars="0"/>
              <w:jc w:val="center"/>
              <w:textAlignment w:val="auto"/>
              <w:rPr>
                <w:b/>
                <w:color w:val="auto"/>
              </w:rPr>
            </w:pPr>
            <w:r>
              <w:rPr>
                <w:rFonts w:hint="eastAsia"/>
                <w:b/>
                <w:color w:val="auto"/>
              </w:rPr>
              <w:t>图</w:t>
            </w:r>
            <w:r>
              <w:rPr>
                <w:rFonts w:hint="eastAsia"/>
                <w:b/>
                <w:color w:val="auto"/>
                <w:lang w:val="en-US" w:eastAsia="zh-CN"/>
              </w:rPr>
              <w:t>2-3</w:t>
            </w:r>
            <w:r>
              <w:rPr>
                <w:b/>
                <w:color w:val="auto"/>
              </w:rPr>
              <w:t xml:space="preserve">   </w:t>
            </w:r>
            <w:r>
              <w:rPr>
                <w:rFonts w:hint="eastAsia"/>
                <w:b/>
                <w:color w:val="auto"/>
              </w:rPr>
              <w:t>施工期工艺流程图</w:t>
            </w:r>
          </w:p>
          <w:p w14:paraId="52BF6843">
            <w:pPr>
              <w:spacing w:line="500" w:lineRule="exact"/>
              <w:ind w:firstLine="482"/>
              <w:rPr>
                <w:color w:val="auto"/>
              </w:rPr>
            </w:pPr>
            <w:r>
              <w:rPr>
                <w:rFonts w:hint="eastAsia"/>
                <w:b/>
                <w:bCs/>
                <w:color w:val="auto"/>
              </w:rPr>
              <w:t>工艺流程说明：</w:t>
            </w:r>
          </w:p>
          <w:p w14:paraId="5A46AC2B">
            <w:pPr>
              <w:autoSpaceDE w:val="0"/>
              <w:autoSpaceDN w:val="0"/>
              <w:snapToGrid w:val="0"/>
              <w:ind w:right="57" w:firstLine="480"/>
              <w:jc w:val="left"/>
              <w:rPr>
                <w:color w:val="auto"/>
                <w:kern w:val="0"/>
              </w:rPr>
            </w:pPr>
            <w:r>
              <w:rPr>
                <w:color w:val="auto"/>
                <w:kern w:val="0"/>
              </w:rPr>
              <w:t>施工期工艺流程简述：</w:t>
            </w:r>
          </w:p>
          <w:p w14:paraId="14172EDF">
            <w:pPr>
              <w:autoSpaceDE w:val="0"/>
              <w:autoSpaceDN w:val="0"/>
              <w:snapToGrid w:val="0"/>
              <w:ind w:right="57" w:firstLine="480"/>
              <w:jc w:val="left"/>
              <w:rPr>
                <w:color w:val="auto"/>
                <w:kern w:val="0"/>
              </w:rPr>
            </w:pPr>
            <w:r>
              <w:rPr>
                <w:color w:val="auto"/>
                <w:kern w:val="0"/>
              </w:rPr>
              <w:t>项目施工期的工艺主要为场地平整、</w:t>
            </w:r>
            <w:r>
              <w:rPr>
                <w:rFonts w:hint="eastAsia"/>
                <w:color w:val="auto"/>
                <w:kern w:val="0"/>
              </w:rPr>
              <w:t>地基</w:t>
            </w:r>
            <w:r>
              <w:rPr>
                <w:color w:val="auto"/>
                <w:kern w:val="0"/>
              </w:rPr>
              <w:t>开挖、</w:t>
            </w:r>
            <w:r>
              <w:rPr>
                <w:rFonts w:hint="eastAsia"/>
                <w:color w:val="auto"/>
                <w:kern w:val="0"/>
                <w:lang w:val="en-US" w:eastAsia="zh-CN"/>
              </w:rPr>
              <w:t>环保工程</w:t>
            </w:r>
            <w:r>
              <w:rPr>
                <w:rFonts w:hint="eastAsia"/>
                <w:color w:val="auto"/>
                <w:kern w:val="0"/>
                <w:lang w:eastAsia="zh-CN"/>
              </w:rPr>
              <w:t>、</w:t>
            </w:r>
            <w:r>
              <w:rPr>
                <w:color w:val="auto"/>
                <w:kern w:val="0"/>
              </w:rPr>
              <w:t>装饰工程和设备安装。</w:t>
            </w:r>
          </w:p>
          <w:p w14:paraId="45288787">
            <w:pPr>
              <w:autoSpaceDE w:val="0"/>
              <w:autoSpaceDN w:val="0"/>
              <w:snapToGrid w:val="0"/>
              <w:ind w:right="57" w:firstLine="480"/>
              <w:jc w:val="left"/>
              <w:rPr>
                <w:color w:val="auto"/>
                <w:kern w:val="0"/>
              </w:rPr>
            </w:pPr>
            <w:r>
              <w:rPr>
                <w:color w:val="auto"/>
                <w:kern w:val="0"/>
              </w:rPr>
              <w:t>场地平整：包括障碍物清除、场地清理、确定场地设计标高、挖填土方、合理进行土方平衡调配等。此工序中主要产生污染物为噪声、粉尘、建筑垃圾。</w:t>
            </w:r>
          </w:p>
          <w:p w14:paraId="1F881570">
            <w:pPr>
              <w:autoSpaceDE w:val="0"/>
              <w:autoSpaceDN w:val="0"/>
              <w:snapToGrid w:val="0"/>
              <w:ind w:right="57" w:firstLine="480"/>
              <w:jc w:val="left"/>
              <w:rPr>
                <w:color w:val="auto"/>
                <w:kern w:val="0"/>
              </w:rPr>
            </w:pPr>
            <w:r>
              <w:rPr>
                <w:color w:val="auto"/>
                <w:kern w:val="0"/>
              </w:rPr>
              <w:t>地基开挖：地基开</w:t>
            </w:r>
            <w:r>
              <w:rPr>
                <w:rStyle w:val="25"/>
                <w:rFonts w:hint="eastAsia"/>
                <w:color w:val="auto"/>
              </w:rPr>
              <w:t>挖</w:t>
            </w:r>
            <w:r>
              <w:rPr>
                <w:color w:val="auto"/>
                <w:kern w:val="0"/>
              </w:rPr>
              <w:t>是工程初期以至施工过程中的关键工序。面状大开挖主要采用大型挖土机械开挖，主要建筑基坑施工采用反铲掘机挖土，从外往内掏挖进去，用自卸汽车连续运送土石方至场区对低洼区域进行回填。此工序中主要产生污染物为噪声、粉尘、建筑垃圾。</w:t>
            </w:r>
          </w:p>
          <w:p w14:paraId="72853A54">
            <w:pPr>
              <w:autoSpaceDE w:val="0"/>
              <w:autoSpaceDN w:val="0"/>
              <w:snapToGrid w:val="0"/>
              <w:ind w:right="57" w:firstLine="480"/>
              <w:jc w:val="left"/>
              <w:rPr>
                <w:rFonts w:hint="eastAsia"/>
                <w:color w:val="auto"/>
                <w:kern w:val="0"/>
                <w:lang w:val="en-US" w:eastAsia="zh-CN"/>
              </w:rPr>
            </w:pPr>
            <w:r>
              <w:rPr>
                <w:rFonts w:hint="eastAsia"/>
                <w:color w:val="auto"/>
                <w:kern w:val="0"/>
                <w:lang w:val="en-US" w:eastAsia="zh-CN"/>
              </w:rPr>
              <w:t>环保工程：指基于地基基础之上，接受、承担和传递建设工程所有上部荷载，维持结构整体性、稳定性和安全性的承重结构体系。建筑主体工程的组成部分包括混凝土工程、砌体工程、钢结构工程。此工序中主要产生污染物为噪声、粉尘、废水、建筑垃圾。</w:t>
            </w:r>
          </w:p>
          <w:p w14:paraId="62E96EFB">
            <w:pPr>
              <w:autoSpaceDE w:val="0"/>
              <w:autoSpaceDN w:val="0"/>
              <w:snapToGrid w:val="0"/>
              <w:ind w:right="57" w:firstLine="480"/>
              <w:jc w:val="left"/>
              <w:rPr>
                <w:color w:val="auto"/>
                <w:kern w:val="0"/>
              </w:rPr>
            </w:pPr>
            <w:r>
              <w:rPr>
                <w:rFonts w:hint="eastAsia"/>
                <w:color w:val="auto"/>
                <w:kern w:val="0"/>
                <w:lang w:val="en-US" w:eastAsia="zh-CN"/>
              </w:rPr>
              <w:t>其他</w:t>
            </w:r>
            <w:r>
              <w:rPr>
                <w:color w:val="auto"/>
                <w:kern w:val="0"/>
              </w:rPr>
              <w:t>设备安装：在工程施工中，设备安装工序主要为办公桌椅、洁具、灯具及相关设备的安装。将设备安装就位连接成有机整体的工作。此工序中主要产生污染物为噪声、粉尘、建筑垃圾。</w:t>
            </w:r>
          </w:p>
          <w:p w14:paraId="23778DA4">
            <w:pPr>
              <w:pStyle w:val="12"/>
              <w:rPr>
                <w:color w:val="auto"/>
                <w:kern w:val="0"/>
              </w:rPr>
            </w:pPr>
          </w:p>
          <w:p w14:paraId="096311AE">
            <w:pPr>
              <w:spacing w:line="500" w:lineRule="exact"/>
              <w:ind w:firstLine="482"/>
              <w:rPr>
                <w:b/>
                <w:bCs/>
                <w:color w:val="auto"/>
              </w:rPr>
            </w:pPr>
            <w:r>
              <w:rPr>
                <w:rFonts w:hint="eastAsia"/>
                <w:b/>
                <w:bCs/>
                <w:color w:val="auto"/>
              </w:rPr>
              <w:t>2.3.2</w:t>
            </w:r>
            <w:r>
              <w:rPr>
                <w:b/>
                <w:bCs/>
                <w:color w:val="auto"/>
              </w:rPr>
              <w:t>营运期工艺流程</w:t>
            </w:r>
          </w:p>
          <w:p w14:paraId="75E7F14C">
            <w:pPr>
              <w:ind w:firstLine="482" w:firstLineChars="0"/>
              <w:rPr>
                <w:b/>
                <w:bCs/>
                <w:color w:val="auto"/>
              </w:rPr>
            </w:pPr>
            <w:r>
              <w:rPr>
                <w:rFonts w:hint="eastAsia"/>
                <w:b/>
                <w:bCs/>
                <w:color w:val="auto"/>
              </w:rPr>
              <w:t>项目运营期工艺流程图</w:t>
            </w:r>
          </w:p>
          <w:p w14:paraId="18AF4D4C">
            <w:pPr>
              <w:pStyle w:val="18"/>
              <w:ind w:left="0" w:leftChars="0" w:firstLine="0" w:firstLineChars="0"/>
              <w:jc w:val="center"/>
              <w:rPr>
                <w:b/>
                <w:color w:val="auto"/>
                <w:sz w:val="24"/>
              </w:rPr>
            </w:pPr>
            <w:r>
              <w:rPr>
                <w:color w:val="auto"/>
              </w:rPr>
              <w:drawing>
                <wp:inline distT="0" distB="0" distL="114300" distR="114300">
                  <wp:extent cx="5515610" cy="5317490"/>
                  <wp:effectExtent l="0" t="0" r="8890"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9"/>
                          <a:stretch>
                            <a:fillRect/>
                          </a:stretch>
                        </pic:blipFill>
                        <pic:spPr>
                          <a:xfrm>
                            <a:off x="0" y="0"/>
                            <a:ext cx="5515610" cy="5317490"/>
                          </a:xfrm>
                          <a:prstGeom prst="rect">
                            <a:avLst/>
                          </a:prstGeom>
                          <a:noFill/>
                          <a:ln>
                            <a:noFill/>
                          </a:ln>
                        </pic:spPr>
                      </pic:pic>
                    </a:graphicData>
                  </a:graphic>
                </wp:inline>
              </w:drawing>
            </w:r>
          </w:p>
          <w:p w14:paraId="5E00925E">
            <w:pPr>
              <w:pStyle w:val="18"/>
              <w:ind w:left="0" w:leftChars="0" w:firstLine="0" w:firstLineChars="0"/>
              <w:jc w:val="center"/>
              <w:rPr>
                <w:rFonts w:hint="eastAsia"/>
                <w:b/>
                <w:bCs/>
                <w:color w:val="auto"/>
                <w:sz w:val="24"/>
              </w:rPr>
            </w:pPr>
            <w:r>
              <w:rPr>
                <w:b/>
                <w:color w:val="auto"/>
                <w:sz w:val="24"/>
              </w:rPr>
              <w:t>图</w:t>
            </w:r>
            <w:r>
              <w:rPr>
                <w:rFonts w:hint="eastAsia"/>
                <w:b/>
                <w:color w:val="auto"/>
                <w:sz w:val="24"/>
                <w:lang w:val="en-US" w:eastAsia="zh-CN"/>
              </w:rPr>
              <w:t>2-4</w:t>
            </w:r>
            <w:r>
              <w:rPr>
                <w:b/>
                <w:color w:val="auto"/>
                <w:sz w:val="24"/>
              </w:rPr>
              <w:t xml:space="preserve">  </w:t>
            </w:r>
            <w:r>
              <w:rPr>
                <w:rFonts w:hint="eastAsia"/>
                <w:b/>
                <w:color w:val="auto"/>
                <w:sz w:val="24"/>
              </w:rPr>
              <w:t>水泥枕</w:t>
            </w:r>
            <w:r>
              <w:rPr>
                <w:b/>
                <w:color w:val="auto"/>
                <w:sz w:val="24"/>
              </w:rPr>
              <w:t>生产工序流程及产污环节示意图</w:t>
            </w:r>
          </w:p>
          <w:p w14:paraId="17174B80">
            <w:pPr>
              <w:tabs>
                <w:tab w:val="left" w:pos="567"/>
              </w:tabs>
              <w:adjustRightInd w:val="0"/>
              <w:ind w:firstLine="482"/>
              <w:rPr>
                <w:b/>
                <w:color w:val="auto"/>
                <w:szCs w:val="21"/>
              </w:rPr>
            </w:pPr>
            <w:r>
              <w:rPr>
                <w:rFonts w:hint="eastAsia"/>
                <w:b/>
                <w:color w:val="auto"/>
                <w:szCs w:val="21"/>
              </w:rPr>
              <w:t>生</w:t>
            </w:r>
            <w:r>
              <w:rPr>
                <w:b/>
                <w:color w:val="auto"/>
                <w:szCs w:val="21"/>
              </w:rPr>
              <w:t>产工艺流程和产排污环节介绍如下：</w:t>
            </w:r>
          </w:p>
          <w:p w14:paraId="6CFC226C">
            <w:pPr>
              <w:ind w:firstLine="480"/>
              <w:rPr>
                <w:bCs/>
                <w:color w:val="auto"/>
              </w:rPr>
            </w:pPr>
            <w:r>
              <w:rPr>
                <w:rFonts w:hint="eastAsia"/>
                <w:color w:val="auto"/>
                <w:lang w:eastAsia="zh-CN"/>
              </w:rPr>
              <w:t>（</w:t>
            </w:r>
            <w:r>
              <w:rPr>
                <w:color w:val="auto"/>
              </w:rPr>
              <w:t>1</w:t>
            </w:r>
            <w:r>
              <w:rPr>
                <w:rFonts w:hint="eastAsia"/>
                <w:color w:val="auto"/>
                <w:lang w:eastAsia="zh-CN"/>
              </w:rPr>
              <w:t>）</w:t>
            </w:r>
            <w:r>
              <w:rPr>
                <w:color w:val="auto"/>
              </w:rPr>
              <w:t>水泥</w:t>
            </w:r>
            <w:r>
              <w:rPr>
                <w:rFonts w:hint="eastAsia"/>
                <w:color w:val="auto"/>
              </w:rPr>
              <w:t>桶仓</w:t>
            </w:r>
            <w:r>
              <w:rPr>
                <w:color w:val="auto"/>
              </w:rPr>
              <w:t>、</w:t>
            </w:r>
            <w:r>
              <w:rPr>
                <w:rFonts w:hint="eastAsia"/>
                <w:color w:val="auto"/>
                <w:lang w:eastAsia="zh-CN"/>
              </w:rPr>
              <w:t>掺和</w:t>
            </w:r>
            <w:r>
              <w:rPr>
                <w:rFonts w:hint="eastAsia"/>
                <w:color w:val="auto"/>
              </w:rPr>
              <w:t>料</w:t>
            </w:r>
            <w:r>
              <w:rPr>
                <w:color w:val="auto"/>
              </w:rPr>
              <w:t>仓贮存</w:t>
            </w:r>
            <w:r>
              <w:rPr>
                <w:rFonts w:hint="eastAsia"/>
                <w:color w:val="auto"/>
              </w:rPr>
              <w:t>的</w:t>
            </w:r>
            <w:r>
              <w:rPr>
                <w:color w:val="auto"/>
              </w:rPr>
              <w:t>水泥、</w:t>
            </w:r>
            <w:r>
              <w:rPr>
                <w:rFonts w:hint="eastAsia"/>
                <w:color w:val="auto"/>
              </w:rPr>
              <w:t>掺和料</w:t>
            </w:r>
            <w:r>
              <w:rPr>
                <w:color w:val="auto"/>
              </w:rPr>
              <w:t>，</w:t>
            </w:r>
            <w:r>
              <w:rPr>
                <w:rFonts w:hint="eastAsia"/>
                <w:color w:val="auto"/>
              </w:rPr>
              <w:t>碎石</w:t>
            </w:r>
            <w:r>
              <w:rPr>
                <w:color w:val="auto"/>
              </w:rPr>
              <w:t>、</w:t>
            </w:r>
            <w:r>
              <w:rPr>
                <w:rFonts w:hint="eastAsia"/>
                <w:color w:val="auto"/>
              </w:rPr>
              <w:t>河砂</w:t>
            </w:r>
            <w:r>
              <w:rPr>
                <w:color w:val="auto"/>
              </w:rPr>
              <w:t>料斗上料：水泥、</w:t>
            </w:r>
            <w:r>
              <w:rPr>
                <w:rFonts w:hint="eastAsia"/>
                <w:color w:val="auto"/>
                <w:lang w:eastAsia="zh-CN"/>
              </w:rPr>
              <w:t>掺和</w:t>
            </w:r>
            <w:r>
              <w:rPr>
                <w:rFonts w:hint="eastAsia"/>
                <w:color w:val="auto"/>
              </w:rPr>
              <w:t>料</w:t>
            </w:r>
            <w:r>
              <w:rPr>
                <w:color w:val="auto"/>
              </w:rPr>
              <w:t>以压缩空气分别吹入水泥料仓、</w:t>
            </w:r>
            <w:r>
              <w:rPr>
                <w:rFonts w:hint="eastAsia"/>
                <w:color w:val="auto"/>
                <w:lang w:eastAsia="zh-CN"/>
              </w:rPr>
              <w:t>掺和</w:t>
            </w:r>
            <w:r>
              <w:rPr>
                <w:rFonts w:hint="eastAsia"/>
                <w:color w:val="auto"/>
              </w:rPr>
              <w:t>料</w:t>
            </w:r>
            <w:r>
              <w:rPr>
                <w:color w:val="auto"/>
              </w:rPr>
              <w:t>料仓，</w:t>
            </w:r>
            <w:r>
              <w:rPr>
                <w:rFonts w:hint="eastAsia"/>
                <w:color w:val="auto"/>
              </w:rPr>
              <w:t>碎石</w:t>
            </w:r>
            <w:r>
              <w:rPr>
                <w:color w:val="auto"/>
              </w:rPr>
              <w:t>、</w:t>
            </w:r>
            <w:r>
              <w:rPr>
                <w:rFonts w:hint="eastAsia"/>
                <w:color w:val="auto"/>
              </w:rPr>
              <w:t>河砂</w:t>
            </w:r>
            <w:r>
              <w:rPr>
                <w:color w:val="auto"/>
              </w:rPr>
              <w:t>料斗上料。</w:t>
            </w:r>
            <w:r>
              <w:rPr>
                <w:bCs/>
                <w:color w:val="auto"/>
              </w:rPr>
              <w:t>此工序主要产生</w:t>
            </w:r>
            <w:r>
              <w:rPr>
                <w:color w:val="auto"/>
                <w:kern w:val="0"/>
              </w:rPr>
              <w:t>水泥和</w:t>
            </w:r>
            <w:r>
              <w:rPr>
                <w:rFonts w:hint="eastAsia"/>
                <w:color w:val="auto"/>
                <w:kern w:val="0"/>
                <w:lang w:eastAsia="zh-CN"/>
              </w:rPr>
              <w:t>掺和</w:t>
            </w:r>
            <w:r>
              <w:rPr>
                <w:rFonts w:hint="eastAsia"/>
                <w:color w:val="auto"/>
              </w:rPr>
              <w:t>料</w:t>
            </w:r>
            <w:r>
              <w:rPr>
                <w:color w:val="auto"/>
                <w:kern w:val="0"/>
              </w:rPr>
              <w:t>料仓呼吸粉尘、上料粉尘</w:t>
            </w:r>
            <w:r>
              <w:rPr>
                <w:bCs/>
                <w:color w:val="auto"/>
              </w:rPr>
              <w:t>、收集的粉尘、机械噪声。</w:t>
            </w:r>
          </w:p>
          <w:p w14:paraId="33F67943">
            <w:pPr>
              <w:ind w:firstLine="480"/>
              <w:rPr>
                <w:color w:val="auto"/>
              </w:rPr>
            </w:pPr>
            <w:r>
              <w:rPr>
                <w:color w:val="auto"/>
              </w:rPr>
              <w:t>（2）混合：将</w:t>
            </w:r>
            <w:r>
              <w:rPr>
                <w:rFonts w:hint="eastAsia"/>
                <w:color w:val="auto"/>
              </w:rPr>
              <w:t>碎石</w:t>
            </w:r>
            <w:r>
              <w:rPr>
                <w:color w:val="auto"/>
              </w:rPr>
              <w:t>、</w:t>
            </w:r>
            <w:r>
              <w:rPr>
                <w:rFonts w:hint="eastAsia"/>
                <w:color w:val="auto"/>
              </w:rPr>
              <w:t>河</w:t>
            </w:r>
            <w:r>
              <w:rPr>
                <w:color w:val="auto"/>
              </w:rPr>
              <w:t>砂利用搅拌机进行混合。</w:t>
            </w:r>
            <w:r>
              <w:rPr>
                <w:bCs/>
                <w:color w:val="auto"/>
              </w:rPr>
              <w:t>此工序主要产生混合收集的粉尘、机械噪声。</w:t>
            </w:r>
          </w:p>
          <w:p w14:paraId="50D64BAD">
            <w:pPr>
              <w:ind w:firstLine="480"/>
              <w:rPr>
                <w:color w:val="auto"/>
              </w:rPr>
            </w:pPr>
            <w:r>
              <w:rPr>
                <w:color w:val="auto"/>
                <w:kern w:val="0"/>
              </w:rPr>
              <w:t>（3）搅拌：将搅拌后的</w:t>
            </w:r>
            <w:r>
              <w:rPr>
                <w:rFonts w:hint="eastAsia"/>
                <w:color w:val="auto"/>
              </w:rPr>
              <w:t>碎石、河砂</w:t>
            </w:r>
            <w:r>
              <w:rPr>
                <w:color w:val="auto"/>
              </w:rPr>
              <w:t>和水泥、</w:t>
            </w:r>
            <w:r>
              <w:rPr>
                <w:rFonts w:hint="eastAsia"/>
                <w:color w:val="auto"/>
              </w:rPr>
              <w:t>掺合料</w:t>
            </w:r>
            <w:r>
              <w:rPr>
                <w:color w:val="auto"/>
              </w:rPr>
              <w:t>、水顺次投料到密闭搅拌机中进行搅拌。</w:t>
            </w:r>
            <w:r>
              <w:rPr>
                <w:bCs/>
                <w:color w:val="auto"/>
              </w:rPr>
              <w:t>此工序主要产生机械噪声。</w:t>
            </w:r>
          </w:p>
          <w:p w14:paraId="2C0D847E">
            <w:pPr>
              <w:ind w:firstLine="480"/>
              <w:rPr>
                <w:color w:val="auto"/>
              </w:rPr>
            </w:pPr>
            <w:r>
              <w:rPr>
                <w:color w:val="auto"/>
                <w:kern w:val="0"/>
              </w:rPr>
              <w:t>（4）预制：将搅拌好的物料倒入经调直、截断、墩头、制圈、弯箍、焊接好的钢筋骨架的</w:t>
            </w:r>
            <w:r>
              <w:rPr>
                <w:rFonts w:hint="eastAsia"/>
                <w:color w:val="auto"/>
                <w:kern w:val="0"/>
              </w:rPr>
              <w:t>模</w:t>
            </w:r>
            <w:r>
              <w:rPr>
                <w:color w:val="auto"/>
                <w:kern w:val="0"/>
              </w:rPr>
              <w:t>具上。</w:t>
            </w:r>
            <w:r>
              <w:rPr>
                <w:bCs/>
                <w:color w:val="auto"/>
              </w:rPr>
              <w:t>此工序主要产生焊接粉尘、废焊渣、下脚料、机械噪声。</w:t>
            </w:r>
          </w:p>
          <w:p w14:paraId="707B63AA">
            <w:pPr>
              <w:ind w:firstLine="480"/>
              <w:rPr>
                <w:rFonts w:hint="eastAsia"/>
                <w:color w:val="auto"/>
                <w:kern w:val="0"/>
              </w:rPr>
            </w:pPr>
            <w:r>
              <w:rPr>
                <w:rFonts w:hint="eastAsia"/>
                <w:color w:val="auto"/>
                <w:kern w:val="0"/>
              </w:rPr>
              <w:t>（5）震动：</w:t>
            </w:r>
            <w:r>
              <w:rPr>
                <w:color w:val="auto"/>
                <w:kern w:val="0"/>
              </w:rPr>
              <w:t>预制后</w:t>
            </w:r>
            <w:r>
              <w:rPr>
                <w:rFonts w:hint="eastAsia"/>
                <w:color w:val="auto"/>
                <w:kern w:val="0"/>
              </w:rPr>
              <w:t>利用震动机</w:t>
            </w:r>
            <w:r>
              <w:rPr>
                <w:color w:val="auto"/>
                <w:kern w:val="0"/>
              </w:rPr>
              <w:t>进行</w:t>
            </w:r>
            <w:r>
              <w:rPr>
                <w:rFonts w:hint="eastAsia"/>
                <w:color w:val="auto"/>
                <w:kern w:val="0"/>
              </w:rPr>
              <w:t>震动</w:t>
            </w:r>
            <w:r>
              <w:rPr>
                <w:bCs/>
                <w:color w:val="auto"/>
              </w:rPr>
              <w:t>。此工序主要产生机械噪声。</w:t>
            </w:r>
          </w:p>
          <w:p w14:paraId="70B52FDB">
            <w:pPr>
              <w:ind w:firstLine="480"/>
              <w:rPr>
                <w:rFonts w:hint="eastAsia"/>
                <w:color w:val="auto"/>
                <w:kern w:val="0"/>
              </w:rPr>
            </w:pPr>
            <w:r>
              <w:rPr>
                <w:color w:val="auto"/>
                <w:kern w:val="0"/>
              </w:rPr>
              <w:t>（</w:t>
            </w:r>
            <w:r>
              <w:rPr>
                <w:rFonts w:hint="eastAsia"/>
                <w:color w:val="auto"/>
                <w:kern w:val="0"/>
              </w:rPr>
              <w:t>6</w:t>
            </w:r>
            <w:r>
              <w:rPr>
                <w:color w:val="auto"/>
                <w:kern w:val="0"/>
              </w:rPr>
              <w:t>）</w:t>
            </w:r>
            <w:r>
              <w:rPr>
                <w:rFonts w:hint="eastAsia"/>
                <w:color w:val="auto"/>
                <w:kern w:val="0"/>
              </w:rPr>
              <w:t>切边：将震动后的预制品进行边角切割，此工序产生废混凝土固废。</w:t>
            </w:r>
          </w:p>
          <w:p w14:paraId="7E71DC68">
            <w:pPr>
              <w:ind w:firstLine="480"/>
              <w:rPr>
                <w:rFonts w:hint="eastAsia"/>
                <w:color w:val="auto"/>
                <w:kern w:val="0"/>
              </w:rPr>
            </w:pPr>
            <w:r>
              <w:rPr>
                <w:rFonts w:hint="eastAsia"/>
                <w:color w:val="auto"/>
                <w:kern w:val="0"/>
              </w:rPr>
              <w:t>（7）两模编组合模：项目产</w:t>
            </w:r>
            <w:r>
              <w:rPr>
                <w:rFonts w:ascii="宋体" w:hAnsi="宋体"/>
                <w:bCs/>
                <w:color w:val="auto"/>
                <w:kern w:val="0"/>
              </w:rPr>
              <w:t>双块式轨枕</w:t>
            </w:r>
            <w:r>
              <w:rPr>
                <w:rFonts w:hint="eastAsia" w:ascii="宋体" w:hAnsi="宋体"/>
                <w:bCs/>
                <w:color w:val="auto"/>
                <w:kern w:val="0"/>
              </w:rPr>
              <w:t>，所以在震动成型后需将两个模型组合成组合模。</w:t>
            </w:r>
          </w:p>
          <w:p w14:paraId="370DAADD">
            <w:pPr>
              <w:ind w:firstLine="480"/>
              <w:rPr>
                <w:color w:val="auto"/>
                <w:kern w:val="0"/>
              </w:rPr>
            </w:pPr>
            <w:r>
              <w:rPr>
                <w:rFonts w:hint="eastAsia"/>
                <w:color w:val="auto"/>
                <w:kern w:val="0"/>
              </w:rPr>
              <w:t>（8）生物质锅炉：生物质锅炉提供蒸汽，此工序生物质燃烧时产生废气</w:t>
            </w:r>
          </w:p>
          <w:p w14:paraId="21B661B4">
            <w:pPr>
              <w:ind w:firstLine="480"/>
              <w:rPr>
                <w:bCs/>
                <w:color w:val="auto"/>
              </w:rPr>
            </w:pPr>
            <w:r>
              <w:rPr>
                <w:rFonts w:hint="eastAsia"/>
                <w:color w:val="auto"/>
                <w:kern w:val="0"/>
              </w:rPr>
              <w:t>（9）</w:t>
            </w:r>
            <w:r>
              <w:rPr>
                <w:color w:val="auto"/>
                <w:kern w:val="0"/>
              </w:rPr>
              <w:t>养护：</w:t>
            </w:r>
            <w:r>
              <w:rPr>
                <w:rFonts w:hint="eastAsia"/>
                <w:color w:val="auto"/>
                <w:kern w:val="0"/>
              </w:rPr>
              <w:t>震动</w:t>
            </w:r>
            <w:r>
              <w:rPr>
                <w:color w:val="auto"/>
                <w:kern w:val="0"/>
              </w:rPr>
              <w:t>后送入养护区进行养护</w:t>
            </w:r>
            <w:r>
              <w:rPr>
                <w:bCs/>
                <w:color w:val="auto"/>
              </w:rPr>
              <w:t>。</w:t>
            </w:r>
          </w:p>
          <w:p w14:paraId="30EDBE17">
            <w:pPr>
              <w:ind w:firstLine="480"/>
              <w:rPr>
                <w:color w:val="auto"/>
              </w:rPr>
            </w:pPr>
            <w:r>
              <w:rPr>
                <w:bCs/>
                <w:color w:val="auto"/>
              </w:rPr>
              <w:t>（</w:t>
            </w:r>
            <w:r>
              <w:rPr>
                <w:rFonts w:hint="eastAsia"/>
                <w:bCs/>
                <w:color w:val="auto"/>
              </w:rPr>
              <w:t>10</w:t>
            </w:r>
            <w:r>
              <w:rPr>
                <w:bCs/>
                <w:color w:val="auto"/>
              </w:rPr>
              <w:t>）脱模</w:t>
            </w:r>
            <w:r>
              <w:rPr>
                <w:color w:val="auto"/>
              </w:rPr>
              <w:t>：养护后进行脱模。</w:t>
            </w:r>
            <w:r>
              <w:rPr>
                <w:bCs/>
                <w:color w:val="auto"/>
              </w:rPr>
              <w:t>此工序主要产生边角料、机械噪声。</w:t>
            </w:r>
          </w:p>
          <w:p w14:paraId="7E319459">
            <w:pPr>
              <w:ind w:firstLine="480"/>
              <w:rPr>
                <w:color w:val="auto"/>
              </w:rPr>
            </w:pPr>
            <w:r>
              <w:rPr>
                <w:color w:val="auto"/>
              </w:rPr>
              <w:t>（</w:t>
            </w:r>
            <w:r>
              <w:rPr>
                <w:rFonts w:hint="eastAsia"/>
                <w:color w:val="auto"/>
              </w:rPr>
              <w:t>11</w:t>
            </w:r>
            <w:r>
              <w:rPr>
                <w:color w:val="auto"/>
              </w:rPr>
              <w:t>）</w:t>
            </w:r>
            <w:r>
              <w:rPr>
                <w:rFonts w:hint="eastAsia"/>
                <w:color w:val="auto"/>
              </w:rPr>
              <w:t>轨枕检测（光电扫描）</w:t>
            </w:r>
            <w:r>
              <w:rPr>
                <w:color w:val="auto"/>
              </w:rPr>
              <w:t>：</w:t>
            </w:r>
            <w:r>
              <w:rPr>
                <w:rFonts w:hint="eastAsia"/>
                <w:color w:val="auto"/>
              </w:rPr>
              <w:t>将脱模后的成品进行光电扫描检测，此工序产生不合格品</w:t>
            </w:r>
          </w:p>
          <w:p w14:paraId="3CD9EF05">
            <w:pPr>
              <w:ind w:firstLine="480"/>
              <w:rPr>
                <w:bCs/>
                <w:color w:val="auto"/>
              </w:rPr>
            </w:pPr>
            <w:r>
              <w:rPr>
                <w:color w:val="auto"/>
              </w:rPr>
              <w:t>（</w:t>
            </w:r>
            <w:r>
              <w:rPr>
                <w:rFonts w:hint="eastAsia"/>
                <w:color w:val="auto"/>
              </w:rPr>
              <w:t>12</w:t>
            </w:r>
            <w:r>
              <w:rPr>
                <w:color w:val="auto"/>
              </w:rPr>
              <w:t>）</w:t>
            </w:r>
            <w:r>
              <w:rPr>
                <w:rFonts w:hint="eastAsia"/>
                <w:color w:val="auto"/>
              </w:rPr>
              <w:t>机器人注油吹气盖帽</w:t>
            </w:r>
            <w:r>
              <w:rPr>
                <w:color w:val="auto"/>
              </w:rPr>
              <w:t>：</w:t>
            </w:r>
            <w:r>
              <w:rPr>
                <w:rFonts w:hint="eastAsia"/>
                <w:color w:val="auto"/>
              </w:rPr>
              <w:t>合格的产品使用机器人进行注油吹气盖帽</w:t>
            </w:r>
            <w:r>
              <w:rPr>
                <w:color w:val="auto"/>
              </w:rPr>
              <w:t>。</w:t>
            </w:r>
            <w:r>
              <w:rPr>
                <w:bCs/>
                <w:color w:val="auto"/>
              </w:rPr>
              <w:t>此工序主要产生机械噪声。</w:t>
            </w:r>
          </w:p>
          <w:p w14:paraId="4DC5EEB2">
            <w:pPr>
              <w:ind w:firstLine="480"/>
              <w:rPr>
                <w:rFonts w:hint="eastAsia"/>
                <w:color w:val="auto"/>
              </w:rPr>
            </w:pPr>
            <w:r>
              <w:rPr>
                <w:rFonts w:hint="eastAsia"/>
                <w:color w:val="auto"/>
              </w:rPr>
              <w:t>（13）码垛：经机器人注油吹气盖帽后的轨枕利用</w:t>
            </w:r>
            <w:r>
              <w:rPr>
                <w:color w:val="auto"/>
                <w:szCs w:val="21"/>
              </w:rPr>
              <w:t>码垛机和叉车进行码垛。</w:t>
            </w:r>
            <w:r>
              <w:rPr>
                <w:bCs/>
                <w:color w:val="auto"/>
                <w:szCs w:val="21"/>
              </w:rPr>
              <w:t>此工序主要产生机械噪声</w:t>
            </w:r>
          </w:p>
          <w:p w14:paraId="00FEA9AA">
            <w:pPr>
              <w:autoSpaceDE w:val="0"/>
              <w:autoSpaceDN w:val="0"/>
              <w:adjustRightInd w:val="0"/>
              <w:snapToGrid w:val="0"/>
              <w:ind w:firstLine="482"/>
              <w:jc w:val="left"/>
              <w:rPr>
                <w:b/>
                <w:bCs/>
                <w:color w:val="auto"/>
              </w:rPr>
            </w:pPr>
            <w:r>
              <w:rPr>
                <w:b/>
                <w:bCs/>
                <w:color w:val="auto"/>
              </w:rPr>
              <w:t>（2）产排污环节</w:t>
            </w:r>
          </w:p>
          <w:p w14:paraId="5F10AAD0">
            <w:pPr>
              <w:ind w:firstLine="480"/>
              <w:jc w:val="left"/>
              <w:rPr>
                <w:color w:val="auto"/>
              </w:rPr>
            </w:pPr>
            <w:r>
              <w:rPr>
                <w:color w:val="auto"/>
              </w:rPr>
              <w:t>项目运营期间产污环节见下表。</w:t>
            </w:r>
          </w:p>
          <w:p w14:paraId="3E4C2231">
            <w:pPr>
              <w:pStyle w:val="29"/>
              <w:keepNext/>
              <w:keepLines w:val="0"/>
              <w:pageBreakBefore w:val="0"/>
              <w:widowControl w:val="0"/>
              <w:kinsoku/>
              <w:wordWrap/>
              <w:overflowPunct/>
              <w:topLinePunct w:val="0"/>
              <w:autoSpaceDE/>
              <w:autoSpaceDN/>
              <w:bidi w:val="0"/>
              <w:adjustRightInd/>
              <w:snapToGrid/>
              <w:spacing w:before="24" w:after="24"/>
              <w:ind w:firstLine="0"/>
              <w:textAlignment w:val="auto"/>
              <w:rPr>
                <w:color w:val="auto"/>
              </w:rPr>
            </w:pPr>
            <w:r>
              <w:rPr>
                <w:color w:val="auto"/>
              </w:rPr>
              <w:t>表</w:t>
            </w:r>
            <w:r>
              <w:rPr>
                <w:rFonts w:hint="eastAsia"/>
                <w:color w:val="auto"/>
                <w:lang w:val="en-US" w:eastAsia="zh-CN"/>
              </w:rPr>
              <w:t>2-6</w:t>
            </w:r>
            <w:r>
              <w:rPr>
                <w:color w:val="auto"/>
              </w:rPr>
              <w:t xml:space="preserve">  项目运营期产污环节一览表</w:t>
            </w:r>
          </w:p>
          <w:tbl>
            <w:tblPr>
              <w:tblStyle w:val="20"/>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7"/>
              <w:gridCol w:w="1053"/>
              <w:gridCol w:w="1243"/>
              <w:gridCol w:w="1202"/>
              <w:gridCol w:w="1480"/>
              <w:gridCol w:w="3216"/>
            </w:tblGrid>
            <w:tr w14:paraId="1A582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863" w:type="pct"/>
                  <w:gridSpan w:val="2"/>
                  <w:noWrap w:val="0"/>
                  <w:vAlign w:val="center"/>
                </w:tcPr>
                <w:p w14:paraId="2A4E7898">
                  <w:pPr>
                    <w:pStyle w:val="28"/>
                    <w:rPr>
                      <w:b/>
                      <w:bCs/>
                      <w:color w:val="auto"/>
                    </w:rPr>
                  </w:pPr>
                  <w:r>
                    <w:rPr>
                      <w:b/>
                      <w:bCs/>
                      <w:color w:val="auto"/>
                    </w:rPr>
                    <w:t>污染源类别</w:t>
                  </w:r>
                </w:p>
              </w:tc>
              <w:tc>
                <w:tcPr>
                  <w:tcW w:w="720" w:type="pct"/>
                  <w:noWrap w:val="0"/>
                  <w:vAlign w:val="center"/>
                </w:tcPr>
                <w:p w14:paraId="2CBF0193">
                  <w:pPr>
                    <w:pStyle w:val="28"/>
                    <w:rPr>
                      <w:b/>
                      <w:bCs/>
                      <w:color w:val="auto"/>
                    </w:rPr>
                  </w:pPr>
                  <w:r>
                    <w:rPr>
                      <w:b/>
                      <w:bCs/>
                      <w:color w:val="auto"/>
                    </w:rPr>
                    <w:t>来源</w:t>
                  </w:r>
                </w:p>
              </w:tc>
              <w:tc>
                <w:tcPr>
                  <w:tcW w:w="696" w:type="pct"/>
                  <w:noWrap w:val="0"/>
                  <w:vAlign w:val="center"/>
                </w:tcPr>
                <w:p w14:paraId="30219C06">
                  <w:pPr>
                    <w:pStyle w:val="28"/>
                    <w:rPr>
                      <w:b/>
                      <w:bCs/>
                      <w:color w:val="auto"/>
                    </w:rPr>
                  </w:pPr>
                  <w:r>
                    <w:rPr>
                      <w:b/>
                      <w:bCs/>
                      <w:color w:val="auto"/>
                    </w:rPr>
                    <w:t>产生特征</w:t>
                  </w:r>
                </w:p>
              </w:tc>
              <w:tc>
                <w:tcPr>
                  <w:tcW w:w="857" w:type="pct"/>
                  <w:noWrap w:val="0"/>
                  <w:vAlign w:val="center"/>
                </w:tcPr>
                <w:p w14:paraId="04D87E5F">
                  <w:pPr>
                    <w:pStyle w:val="28"/>
                    <w:rPr>
                      <w:b/>
                      <w:bCs/>
                      <w:color w:val="auto"/>
                    </w:rPr>
                  </w:pPr>
                  <w:r>
                    <w:rPr>
                      <w:b/>
                      <w:bCs/>
                      <w:color w:val="auto"/>
                    </w:rPr>
                    <w:t>污染物种类</w:t>
                  </w:r>
                </w:p>
              </w:tc>
              <w:tc>
                <w:tcPr>
                  <w:tcW w:w="1862" w:type="pct"/>
                  <w:noWrap w:val="0"/>
                  <w:vAlign w:val="center"/>
                </w:tcPr>
                <w:p w14:paraId="2D19B91C">
                  <w:pPr>
                    <w:pStyle w:val="28"/>
                    <w:rPr>
                      <w:b/>
                      <w:bCs/>
                      <w:color w:val="auto"/>
                    </w:rPr>
                  </w:pPr>
                  <w:r>
                    <w:rPr>
                      <w:b/>
                      <w:bCs/>
                      <w:color w:val="auto"/>
                    </w:rPr>
                    <w:t>治理措施</w:t>
                  </w:r>
                </w:p>
              </w:tc>
            </w:tr>
            <w:tr w14:paraId="3186E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53" w:type="pct"/>
                  <w:vMerge w:val="restart"/>
                  <w:noWrap w:val="0"/>
                  <w:vAlign w:val="center"/>
                </w:tcPr>
                <w:p w14:paraId="65B5706A">
                  <w:pPr>
                    <w:pStyle w:val="28"/>
                    <w:rPr>
                      <w:color w:val="auto"/>
                    </w:rPr>
                  </w:pPr>
                  <w:r>
                    <w:rPr>
                      <w:color w:val="auto"/>
                    </w:rPr>
                    <w:t>废气</w:t>
                  </w:r>
                </w:p>
              </w:tc>
              <w:tc>
                <w:tcPr>
                  <w:tcW w:w="609" w:type="pct"/>
                  <w:noWrap w:val="0"/>
                  <w:vAlign w:val="center"/>
                </w:tcPr>
                <w:p w14:paraId="6CA507FB">
                  <w:pPr>
                    <w:pStyle w:val="28"/>
                    <w:rPr>
                      <w:rFonts w:hint="eastAsia"/>
                      <w:color w:val="auto"/>
                    </w:rPr>
                  </w:pPr>
                  <w:r>
                    <w:rPr>
                      <w:rFonts w:hint="eastAsia"/>
                      <w:color w:val="auto"/>
                    </w:rPr>
                    <w:t>焊接</w:t>
                  </w:r>
                </w:p>
                <w:p w14:paraId="51646501">
                  <w:pPr>
                    <w:pStyle w:val="28"/>
                    <w:rPr>
                      <w:color w:val="auto"/>
                    </w:rPr>
                  </w:pPr>
                  <w:r>
                    <w:rPr>
                      <w:rFonts w:hint="eastAsia"/>
                      <w:color w:val="auto"/>
                    </w:rPr>
                    <w:t>废气</w:t>
                  </w:r>
                </w:p>
              </w:tc>
              <w:tc>
                <w:tcPr>
                  <w:tcW w:w="720" w:type="pct"/>
                  <w:noWrap w:val="0"/>
                  <w:vAlign w:val="center"/>
                </w:tcPr>
                <w:p w14:paraId="0F058F75">
                  <w:pPr>
                    <w:pStyle w:val="28"/>
                    <w:rPr>
                      <w:color w:val="auto"/>
                    </w:rPr>
                  </w:pPr>
                  <w:r>
                    <w:rPr>
                      <w:rFonts w:hint="eastAsia"/>
                      <w:color w:val="auto"/>
                    </w:rPr>
                    <w:t>冷轧带肋钢筋焊接</w:t>
                  </w:r>
                </w:p>
              </w:tc>
              <w:tc>
                <w:tcPr>
                  <w:tcW w:w="696" w:type="pct"/>
                  <w:noWrap w:val="0"/>
                  <w:vAlign w:val="center"/>
                </w:tcPr>
                <w:p w14:paraId="033648A5">
                  <w:pPr>
                    <w:pStyle w:val="28"/>
                    <w:rPr>
                      <w:color w:val="auto"/>
                    </w:rPr>
                  </w:pPr>
                  <w:r>
                    <w:rPr>
                      <w:rFonts w:hint="eastAsia"/>
                      <w:color w:val="auto"/>
                    </w:rPr>
                    <w:t>间断</w:t>
                  </w:r>
                  <w:r>
                    <w:rPr>
                      <w:color w:val="auto"/>
                    </w:rPr>
                    <w:t>产生</w:t>
                  </w:r>
                </w:p>
              </w:tc>
              <w:tc>
                <w:tcPr>
                  <w:tcW w:w="857" w:type="pct"/>
                  <w:noWrap w:val="0"/>
                  <w:vAlign w:val="center"/>
                </w:tcPr>
                <w:p w14:paraId="45050CA7">
                  <w:pPr>
                    <w:pStyle w:val="28"/>
                    <w:rPr>
                      <w:rFonts w:hint="eastAsia"/>
                      <w:color w:val="auto"/>
                    </w:rPr>
                  </w:pPr>
                  <w:r>
                    <w:rPr>
                      <w:rFonts w:hint="eastAsia"/>
                      <w:color w:val="auto"/>
                    </w:rPr>
                    <w:t>烟尘</w:t>
                  </w:r>
                </w:p>
              </w:tc>
              <w:tc>
                <w:tcPr>
                  <w:tcW w:w="1862" w:type="pct"/>
                  <w:noWrap w:val="0"/>
                  <w:vAlign w:val="center"/>
                </w:tcPr>
                <w:p w14:paraId="297F6495">
                  <w:pPr>
                    <w:pStyle w:val="28"/>
                    <w:rPr>
                      <w:rFonts w:hint="eastAsia"/>
                      <w:color w:val="auto"/>
                    </w:rPr>
                  </w:pPr>
                  <w:r>
                    <w:rPr>
                      <w:rFonts w:hint="eastAsia"/>
                      <w:color w:val="auto"/>
                    </w:rPr>
                    <w:t>厂房通风</w:t>
                  </w:r>
                </w:p>
              </w:tc>
            </w:tr>
            <w:tr w14:paraId="4D5DE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253" w:type="pct"/>
                  <w:vMerge w:val="continue"/>
                  <w:noWrap w:val="0"/>
                  <w:vAlign w:val="center"/>
                </w:tcPr>
                <w:p w14:paraId="399A9153">
                  <w:pPr>
                    <w:pStyle w:val="28"/>
                    <w:rPr>
                      <w:color w:val="auto"/>
                    </w:rPr>
                  </w:pPr>
                </w:p>
              </w:tc>
              <w:tc>
                <w:tcPr>
                  <w:tcW w:w="609" w:type="pct"/>
                  <w:noWrap w:val="0"/>
                  <w:vAlign w:val="center"/>
                </w:tcPr>
                <w:p w14:paraId="6AE3C8A2">
                  <w:pPr>
                    <w:pStyle w:val="28"/>
                    <w:rPr>
                      <w:rFonts w:hint="eastAsia"/>
                      <w:color w:val="auto"/>
                    </w:rPr>
                  </w:pPr>
                  <w:r>
                    <w:rPr>
                      <w:rFonts w:hint="eastAsia"/>
                      <w:color w:val="auto"/>
                    </w:rPr>
                    <w:t>投料</w:t>
                  </w:r>
                </w:p>
                <w:p w14:paraId="08A3B740">
                  <w:pPr>
                    <w:pStyle w:val="28"/>
                    <w:rPr>
                      <w:color w:val="auto"/>
                    </w:rPr>
                  </w:pPr>
                  <w:r>
                    <w:rPr>
                      <w:rFonts w:hint="eastAsia"/>
                      <w:color w:val="auto"/>
                    </w:rPr>
                    <w:t>粉尘</w:t>
                  </w:r>
                </w:p>
              </w:tc>
              <w:tc>
                <w:tcPr>
                  <w:tcW w:w="720" w:type="pct"/>
                  <w:noWrap w:val="0"/>
                  <w:vAlign w:val="center"/>
                </w:tcPr>
                <w:p w14:paraId="088C0F06">
                  <w:pPr>
                    <w:pStyle w:val="28"/>
                    <w:rPr>
                      <w:color w:val="auto"/>
                    </w:rPr>
                  </w:pPr>
                  <w:r>
                    <w:rPr>
                      <w:rFonts w:hint="eastAsia"/>
                      <w:color w:val="auto"/>
                    </w:rPr>
                    <w:t>水泥、掺和料，碎石、河沙料斗上料</w:t>
                  </w:r>
                </w:p>
              </w:tc>
              <w:tc>
                <w:tcPr>
                  <w:tcW w:w="696" w:type="pct"/>
                  <w:noWrap w:val="0"/>
                  <w:vAlign w:val="center"/>
                </w:tcPr>
                <w:p w14:paraId="118321C5">
                  <w:pPr>
                    <w:pStyle w:val="28"/>
                    <w:rPr>
                      <w:color w:val="auto"/>
                    </w:rPr>
                  </w:pPr>
                  <w:r>
                    <w:rPr>
                      <w:color w:val="auto"/>
                    </w:rPr>
                    <w:t>连续产生</w:t>
                  </w:r>
                </w:p>
              </w:tc>
              <w:tc>
                <w:tcPr>
                  <w:tcW w:w="857" w:type="pct"/>
                  <w:noWrap w:val="0"/>
                  <w:vAlign w:val="center"/>
                </w:tcPr>
                <w:p w14:paraId="0210C94A">
                  <w:pPr>
                    <w:pStyle w:val="28"/>
                    <w:rPr>
                      <w:color w:val="auto"/>
                    </w:rPr>
                  </w:pPr>
                  <w:r>
                    <w:rPr>
                      <w:color w:val="auto"/>
                    </w:rPr>
                    <w:t>颗粒物</w:t>
                  </w:r>
                </w:p>
              </w:tc>
              <w:tc>
                <w:tcPr>
                  <w:tcW w:w="1862" w:type="pct"/>
                  <w:noWrap w:val="0"/>
                  <w:vAlign w:val="center"/>
                </w:tcPr>
                <w:p w14:paraId="0865E8AD">
                  <w:pPr>
                    <w:pStyle w:val="28"/>
                    <w:rPr>
                      <w:rFonts w:hint="default" w:eastAsia="宋体"/>
                      <w:color w:val="auto"/>
                      <w:lang w:val="en-US" w:eastAsia="zh-CN"/>
                    </w:rPr>
                  </w:pPr>
                  <w:r>
                    <w:rPr>
                      <w:rFonts w:hint="eastAsia"/>
                      <w:color w:val="auto"/>
                      <w:lang w:val="en-US" w:eastAsia="zh-CN"/>
                    </w:rPr>
                    <w:t>投料工序位于封闭车间内，上方设置喷淋系统降尘，为无组织排放</w:t>
                  </w:r>
                </w:p>
              </w:tc>
            </w:tr>
            <w:tr w14:paraId="24D3E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253" w:type="pct"/>
                  <w:vMerge w:val="continue"/>
                  <w:noWrap w:val="0"/>
                  <w:vAlign w:val="center"/>
                </w:tcPr>
                <w:p w14:paraId="6617FBDB">
                  <w:pPr>
                    <w:pStyle w:val="28"/>
                    <w:rPr>
                      <w:color w:val="auto"/>
                    </w:rPr>
                  </w:pPr>
                </w:p>
              </w:tc>
              <w:tc>
                <w:tcPr>
                  <w:tcW w:w="609" w:type="pct"/>
                  <w:noWrap w:val="0"/>
                  <w:vAlign w:val="center"/>
                </w:tcPr>
                <w:p w14:paraId="6D0F8D1E">
                  <w:pPr>
                    <w:pStyle w:val="28"/>
                    <w:rPr>
                      <w:rFonts w:hint="eastAsia"/>
                      <w:color w:val="auto"/>
                    </w:rPr>
                  </w:pPr>
                  <w:r>
                    <w:rPr>
                      <w:rFonts w:hint="eastAsia"/>
                      <w:color w:val="auto"/>
                    </w:rPr>
                    <w:t>切割</w:t>
                  </w:r>
                </w:p>
                <w:p w14:paraId="434A5853">
                  <w:pPr>
                    <w:pStyle w:val="28"/>
                    <w:rPr>
                      <w:rFonts w:hint="eastAsia"/>
                      <w:color w:val="auto"/>
                    </w:rPr>
                  </w:pPr>
                  <w:r>
                    <w:rPr>
                      <w:rFonts w:hint="eastAsia"/>
                      <w:color w:val="auto"/>
                    </w:rPr>
                    <w:t>废气</w:t>
                  </w:r>
                </w:p>
              </w:tc>
              <w:tc>
                <w:tcPr>
                  <w:tcW w:w="720" w:type="pct"/>
                  <w:noWrap w:val="0"/>
                  <w:vAlign w:val="center"/>
                </w:tcPr>
                <w:p w14:paraId="2F1DADF9">
                  <w:pPr>
                    <w:pStyle w:val="28"/>
                    <w:rPr>
                      <w:rFonts w:hint="eastAsia"/>
                      <w:color w:val="auto"/>
                    </w:rPr>
                  </w:pPr>
                  <w:r>
                    <w:rPr>
                      <w:rFonts w:hint="eastAsia"/>
                      <w:color w:val="auto"/>
                    </w:rPr>
                    <w:t>钢筋切割</w:t>
                  </w:r>
                </w:p>
              </w:tc>
              <w:tc>
                <w:tcPr>
                  <w:tcW w:w="696" w:type="pct"/>
                  <w:noWrap w:val="0"/>
                  <w:vAlign w:val="center"/>
                </w:tcPr>
                <w:p w14:paraId="30AC0FF1">
                  <w:pPr>
                    <w:pStyle w:val="28"/>
                    <w:rPr>
                      <w:color w:val="auto"/>
                    </w:rPr>
                  </w:pPr>
                  <w:r>
                    <w:rPr>
                      <w:rFonts w:hint="eastAsia"/>
                      <w:color w:val="auto"/>
                    </w:rPr>
                    <w:t>间断产生</w:t>
                  </w:r>
                </w:p>
              </w:tc>
              <w:tc>
                <w:tcPr>
                  <w:tcW w:w="857" w:type="pct"/>
                  <w:noWrap w:val="0"/>
                  <w:vAlign w:val="center"/>
                </w:tcPr>
                <w:p w14:paraId="64A0E8B1">
                  <w:pPr>
                    <w:pStyle w:val="28"/>
                    <w:rPr>
                      <w:color w:val="auto"/>
                    </w:rPr>
                  </w:pPr>
                  <w:r>
                    <w:rPr>
                      <w:rFonts w:hint="eastAsia"/>
                      <w:color w:val="auto"/>
                    </w:rPr>
                    <w:t>烟尘</w:t>
                  </w:r>
                </w:p>
              </w:tc>
              <w:tc>
                <w:tcPr>
                  <w:tcW w:w="1862" w:type="pct"/>
                  <w:noWrap w:val="0"/>
                  <w:vAlign w:val="center"/>
                </w:tcPr>
                <w:p w14:paraId="5259FBD2">
                  <w:pPr>
                    <w:pStyle w:val="28"/>
                    <w:rPr>
                      <w:rFonts w:hint="eastAsia"/>
                      <w:color w:val="auto"/>
                    </w:rPr>
                  </w:pPr>
                  <w:r>
                    <w:rPr>
                      <w:rFonts w:hint="eastAsia"/>
                      <w:bCs/>
                      <w:color w:val="auto"/>
                    </w:rPr>
                    <w:t>车间通风，在车间内呈无组织排放；</w:t>
                  </w:r>
                </w:p>
              </w:tc>
            </w:tr>
            <w:tr w14:paraId="4AC7F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253" w:type="pct"/>
                  <w:vMerge w:val="continue"/>
                  <w:noWrap w:val="0"/>
                  <w:vAlign w:val="center"/>
                </w:tcPr>
                <w:p w14:paraId="344B4FDE">
                  <w:pPr>
                    <w:pStyle w:val="28"/>
                    <w:rPr>
                      <w:color w:val="auto"/>
                    </w:rPr>
                  </w:pPr>
                </w:p>
              </w:tc>
              <w:tc>
                <w:tcPr>
                  <w:tcW w:w="609" w:type="pct"/>
                  <w:noWrap w:val="0"/>
                  <w:vAlign w:val="center"/>
                </w:tcPr>
                <w:p w14:paraId="74618994">
                  <w:pPr>
                    <w:pStyle w:val="28"/>
                    <w:rPr>
                      <w:rFonts w:hint="eastAsia"/>
                      <w:color w:val="auto"/>
                    </w:rPr>
                  </w:pPr>
                  <w:r>
                    <w:rPr>
                      <w:rFonts w:hint="eastAsia"/>
                      <w:color w:val="auto"/>
                    </w:rPr>
                    <w:t>焊接</w:t>
                  </w:r>
                </w:p>
                <w:p w14:paraId="0B72A175">
                  <w:pPr>
                    <w:pStyle w:val="28"/>
                    <w:rPr>
                      <w:rFonts w:hint="eastAsia"/>
                      <w:color w:val="auto"/>
                    </w:rPr>
                  </w:pPr>
                  <w:r>
                    <w:rPr>
                      <w:rFonts w:hint="eastAsia"/>
                      <w:color w:val="auto"/>
                    </w:rPr>
                    <w:t>废气</w:t>
                  </w:r>
                </w:p>
              </w:tc>
              <w:tc>
                <w:tcPr>
                  <w:tcW w:w="720" w:type="pct"/>
                  <w:noWrap w:val="0"/>
                  <w:vAlign w:val="center"/>
                </w:tcPr>
                <w:p w14:paraId="03110FA5">
                  <w:pPr>
                    <w:pStyle w:val="28"/>
                    <w:rPr>
                      <w:rFonts w:hint="eastAsia"/>
                      <w:color w:val="auto"/>
                    </w:rPr>
                  </w:pPr>
                  <w:r>
                    <w:rPr>
                      <w:rFonts w:hint="eastAsia"/>
                      <w:color w:val="auto"/>
                    </w:rPr>
                    <w:t>钢筋焊接</w:t>
                  </w:r>
                </w:p>
              </w:tc>
              <w:tc>
                <w:tcPr>
                  <w:tcW w:w="696" w:type="pct"/>
                  <w:noWrap w:val="0"/>
                  <w:vAlign w:val="center"/>
                </w:tcPr>
                <w:p w14:paraId="5551EFA9">
                  <w:pPr>
                    <w:pStyle w:val="28"/>
                    <w:rPr>
                      <w:color w:val="auto"/>
                    </w:rPr>
                  </w:pPr>
                  <w:r>
                    <w:rPr>
                      <w:rFonts w:hint="eastAsia"/>
                      <w:color w:val="auto"/>
                    </w:rPr>
                    <w:t>间断产生</w:t>
                  </w:r>
                </w:p>
              </w:tc>
              <w:tc>
                <w:tcPr>
                  <w:tcW w:w="857" w:type="pct"/>
                  <w:noWrap w:val="0"/>
                  <w:vAlign w:val="center"/>
                </w:tcPr>
                <w:p w14:paraId="099798AE">
                  <w:pPr>
                    <w:pStyle w:val="28"/>
                    <w:rPr>
                      <w:color w:val="auto"/>
                    </w:rPr>
                  </w:pPr>
                  <w:r>
                    <w:rPr>
                      <w:rFonts w:hint="eastAsia"/>
                      <w:color w:val="auto"/>
                    </w:rPr>
                    <w:t>烟尘</w:t>
                  </w:r>
                </w:p>
              </w:tc>
              <w:tc>
                <w:tcPr>
                  <w:tcW w:w="1862" w:type="pct"/>
                  <w:noWrap w:val="0"/>
                  <w:vAlign w:val="center"/>
                </w:tcPr>
                <w:p w14:paraId="5A8E3464">
                  <w:pPr>
                    <w:pStyle w:val="28"/>
                    <w:rPr>
                      <w:rFonts w:hint="eastAsia"/>
                      <w:color w:val="auto"/>
                    </w:rPr>
                  </w:pPr>
                  <w:r>
                    <w:rPr>
                      <w:rFonts w:hint="eastAsia"/>
                      <w:bCs/>
                      <w:color w:val="auto"/>
                    </w:rPr>
                    <w:t>车间通风，在车间内呈无组织排放；</w:t>
                  </w:r>
                </w:p>
              </w:tc>
            </w:tr>
            <w:tr w14:paraId="0E4DF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253" w:type="pct"/>
                  <w:vMerge w:val="continue"/>
                  <w:noWrap w:val="0"/>
                  <w:vAlign w:val="center"/>
                </w:tcPr>
                <w:p w14:paraId="58FFD567">
                  <w:pPr>
                    <w:pStyle w:val="28"/>
                    <w:rPr>
                      <w:color w:val="auto"/>
                    </w:rPr>
                  </w:pPr>
                </w:p>
              </w:tc>
              <w:tc>
                <w:tcPr>
                  <w:tcW w:w="609" w:type="pct"/>
                  <w:noWrap w:val="0"/>
                  <w:vAlign w:val="center"/>
                </w:tcPr>
                <w:p w14:paraId="16EBF0CD">
                  <w:pPr>
                    <w:pStyle w:val="28"/>
                    <w:rPr>
                      <w:rFonts w:hint="eastAsia"/>
                      <w:color w:val="auto"/>
                    </w:rPr>
                  </w:pPr>
                  <w:r>
                    <w:rPr>
                      <w:rFonts w:hint="eastAsia"/>
                      <w:color w:val="auto"/>
                    </w:rPr>
                    <w:t>生物质锅炉燃烧废气</w:t>
                  </w:r>
                </w:p>
              </w:tc>
              <w:tc>
                <w:tcPr>
                  <w:tcW w:w="720" w:type="pct"/>
                  <w:noWrap w:val="0"/>
                  <w:vAlign w:val="center"/>
                </w:tcPr>
                <w:p w14:paraId="49701819">
                  <w:pPr>
                    <w:pStyle w:val="28"/>
                    <w:rPr>
                      <w:rFonts w:hint="eastAsia"/>
                      <w:color w:val="auto"/>
                    </w:rPr>
                  </w:pPr>
                  <w:r>
                    <w:rPr>
                      <w:rFonts w:hint="eastAsia"/>
                      <w:color w:val="auto"/>
                    </w:rPr>
                    <w:t>生物质</w:t>
                  </w:r>
                </w:p>
                <w:p w14:paraId="1FE14185">
                  <w:pPr>
                    <w:pStyle w:val="28"/>
                    <w:rPr>
                      <w:rFonts w:hint="eastAsia"/>
                      <w:color w:val="auto"/>
                    </w:rPr>
                  </w:pPr>
                  <w:r>
                    <w:rPr>
                      <w:rFonts w:hint="eastAsia"/>
                      <w:color w:val="auto"/>
                    </w:rPr>
                    <w:t>燃烧</w:t>
                  </w:r>
                </w:p>
              </w:tc>
              <w:tc>
                <w:tcPr>
                  <w:tcW w:w="696" w:type="pct"/>
                  <w:noWrap w:val="0"/>
                  <w:vAlign w:val="center"/>
                </w:tcPr>
                <w:p w14:paraId="09EB91CE">
                  <w:pPr>
                    <w:pStyle w:val="28"/>
                    <w:rPr>
                      <w:rFonts w:hint="eastAsia"/>
                      <w:color w:val="auto"/>
                    </w:rPr>
                  </w:pPr>
                  <w:r>
                    <w:rPr>
                      <w:rFonts w:hint="eastAsia"/>
                      <w:color w:val="auto"/>
                    </w:rPr>
                    <w:t>连续产生</w:t>
                  </w:r>
                </w:p>
              </w:tc>
              <w:tc>
                <w:tcPr>
                  <w:tcW w:w="857" w:type="pct"/>
                  <w:noWrap w:val="0"/>
                  <w:vAlign w:val="center"/>
                </w:tcPr>
                <w:p w14:paraId="02C866B2">
                  <w:pPr>
                    <w:pStyle w:val="28"/>
                    <w:rPr>
                      <w:color w:val="auto"/>
                      <w:szCs w:val="21"/>
                    </w:rPr>
                  </w:pPr>
                  <w:r>
                    <w:rPr>
                      <w:color w:val="auto"/>
                      <w:szCs w:val="21"/>
                    </w:rPr>
                    <w:t>SO</w:t>
                  </w:r>
                  <w:r>
                    <w:rPr>
                      <w:color w:val="auto"/>
                      <w:szCs w:val="21"/>
                      <w:vertAlign w:val="subscript"/>
                    </w:rPr>
                    <w:t>2</w:t>
                  </w:r>
                  <w:r>
                    <w:rPr>
                      <w:color w:val="auto"/>
                      <w:szCs w:val="21"/>
                    </w:rPr>
                    <w:t>、NO</w:t>
                  </w:r>
                  <w:r>
                    <w:rPr>
                      <w:color w:val="auto"/>
                      <w:szCs w:val="21"/>
                      <w:vertAlign w:val="subscript"/>
                    </w:rPr>
                    <w:t>X</w:t>
                  </w:r>
                  <w:r>
                    <w:rPr>
                      <w:color w:val="auto"/>
                      <w:szCs w:val="21"/>
                    </w:rPr>
                    <w:t>、</w:t>
                  </w:r>
                </w:p>
                <w:p w14:paraId="7624F824">
                  <w:pPr>
                    <w:pStyle w:val="28"/>
                    <w:rPr>
                      <w:color w:val="auto"/>
                    </w:rPr>
                  </w:pPr>
                  <w:r>
                    <w:rPr>
                      <w:color w:val="auto"/>
                      <w:szCs w:val="21"/>
                    </w:rPr>
                    <w:t>烟尘</w:t>
                  </w:r>
                </w:p>
              </w:tc>
              <w:tc>
                <w:tcPr>
                  <w:tcW w:w="1862" w:type="pct"/>
                  <w:noWrap w:val="0"/>
                  <w:vAlign w:val="center"/>
                </w:tcPr>
                <w:p w14:paraId="25C7C66E">
                  <w:pPr>
                    <w:pStyle w:val="28"/>
                    <w:rPr>
                      <w:rFonts w:hint="eastAsia"/>
                      <w:bCs/>
                      <w:color w:val="auto"/>
                    </w:rPr>
                  </w:pPr>
                  <w:r>
                    <w:rPr>
                      <w:rFonts w:hint="eastAsia"/>
                      <w:bCs/>
                      <w:color w:val="auto"/>
                    </w:rPr>
                    <w:t>布袋除尘器+</w:t>
                  </w:r>
                  <w:r>
                    <w:rPr>
                      <w:rFonts w:hint="eastAsia"/>
                      <w:bCs/>
                      <w:color w:val="auto"/>
                      <w:lang w:val="en-US" w:eastAsia="zh-CN"/>
                    </w:rPr>
                    <w:t>30</w:t>
                  </w:r>
                  <w:r>
                    <w:rPr>
                      <w:rFonts w:hint="eastAsia"/>
                      <w:bCs/>
                      <w:color w:val="auto"/>
                    </w:rPr>
                    <w:t>米排气筒（DA00</w:t>
                  </w:r>
                  <w:r>
                    <w:rPr>
                      <w:rFonts w:hint="eastAsia"/>
                      <w:bCs/>
                      <w:color w:val="auto"/>
                      <w:lang w:val="en-US" w:eastAsia="zh-CN"/>
                    </w:rPr>
                    <w:t>1</w:t>
                  </w:r>
                  <w:r>
                    <w:rPr>
                      <w:rFonts w:hint="eastAsia"/>
                      <w:bCs/>
                      <w:color w:val="auto"/>
                    </w:rPr>
                    <w:t>）</w:t>
                  </w:r>
                </w:p>
              </w:tc>
            </w:tr>
            <w:tr w14:paraId="57C5B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253" w:type="pct"/>
                  <w:vMerge w:val="continue"/>
                  <w:noWrap w:val="0"/>
                  <w:vAlign w:val="center"/>
                </w:tcPr>
                <w:p w14:paraId="54B53CA5">
                  <w:pPr>
                    <w:pStyle w:val="28"/>
                    <w:rPr>
                      <w:color w:val="auto"/>
                    </w:rPr>
                  </w:pPr>
                </w:p>
              </w:tc>
              <w:tc>
                <w:tcPr>
                  <w:tcW w:w="609" w:type="pct"/>
                  <w:noWrap w:val="0"/>
                  <w:vAlign w:val="center"/>
                </w:tcPr>
                <w:p w14:paraId="6CE88591">
                  <w:pPr>
                    <w:pStyle w:val="28"/>
                    <w:rPr>
                      <w:rFonts w:hint="eastAsia"/>
                      <w:color w:val="auto"/>
                    </w:rPr>
                  </w:pPr>
                  <w:r>
                    <w:rPr>
                      <w:rFonts w:hint="eastAsia"/>
                      <w:color w:val="auto"/>
                    </w:rPr>
                    <w:t>水泥筒仓废气</w:t>
                  </w:r>
                </w:p>
              </w:tc>
              <w:tc>
                <w:tcPr>
                  <w:tcW w:w="720" w:type="pct"/>
                  <w:noWrap w:val="0"/>
                  <w:vAlign w:val="center"/>
                </w:tcPr>
                <w:p w14:paraId="3B6F15B5">
                  <w:pPr>
                    <w:pStyle w:val="28"/>
                    <w:rPr>
                      <w:rFonts w:hint="eastAsia"/>
                      <w:color w:val="auto"/>
                    </w:rPr>
                  </w:pPr>
                  <w:r>
                    <w:rPr>
                      <w:rFonts w:hint="eastAsia"/>
                      <w:color w:val="auto"/>
                    </w:rPr>
                    <w:t>筒仓上料和出料</w:t>
                  </w:r>
                </w:p>
              </w:tc>
              <w:tc>
                <w:tcPr>
                  <w:tcW w:w="696" w:type="pct"/>
                  <w:noWrap w:val="0"/>
                  <w:vAlign w:val="center"/>
                </w:tcPr>
                <w:p w14:paraId="5884E72D">
                  <w:pPr>
                    <w:pStyle w:val="28"/>
                    <w:rPr>
                      <w:rFonts w:hint="eastAsia"/>
                      <w:color w:val="auto"/>
                    </w:rPr>
                  </w:pPr>
                  <w:r>
                    <w:rPr>
                      <w:rFonts w:hint="eastAsia"/>
                      <w:color w:val="auto"/>
                    </w:rPr>
                    <w:t>间断产生</w:t>
                  </w:r>
                </w:p>
              </w:tc>
              <w:tc>
                <w:tcPr>
                  <w:tcW w:w="857" w:type="pct"/>
                  <w:noWrap w:val="0"/>
                  <w:vAlign w:val="center"/>
                </w:tcPr>
                <w:p w14:paraId="0B186378">
                  <w:pPr>
                    <w:pStyle w:val="28"/>
                    <w:rPr>
                      <w:color w:val="auto"/>
                    </w:rPr>
                  </w:pPr>
                  <w:r>
                    <w:rPr>
                      <w:rFonts w:hint="eastAsia"/>
                      <w:color w:val="auto"/>
                    </w:rPr>
                    <w:t>颗粒物</w:t>
                  </w:r>
                </w:p>
              </w:tc>
              <w:tc>
                <w:tcPr>
                  <w:tcW w:w="1862" w:type="pct"/>
                  <w:noWrap w:val="0"/>
                  <w:vAlign w:val="center"/>
                </w:tcPr>
                <w:p w14:paraId="5925BDDB">
                  <w:pPr>
                    <w:pStyle w:val="28"/>
                    <w:rPr>
                      <w:rFonts w:hint="eastAsia"/>
                      <w:bCs/>
                      <w:color w:val="auto"/>
                    </w:rPr>
                  </w:pPr>
                  <w:r>
                    <w:rPr>
                      <w:rFonts w:hint="eastAsia"/>
                      <w:bCs/>
                      <w:color w:val="auto"/>
                    </w:rPr>
                    <w:t>每个水泥仓均配套设有脉冲除尘器除尘，处理后由管道收集后最终仓顶排口进行达标排放</w:t>
                  </w:r>
                </w:p>
              </w:tc>
            </w:tr>
            <w:tr w14:paraId="15102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253" w:type="pct"/>
                  <w:vMerge w:val="continue"/>
                  <w:noWrap w:val="0"/>
                  <w:vAlign w:val="center"/>
                </w:tcPr>
                <w:p w14:paraId="56393FAF">
                  <w:pPr>
                    <w:pStyle w:val="28"/>
                    <w:rPr>
                      <w:color w:val="auto"/>
                    </w:rPr>
                  </w:pPr>
                </w:p>
              </w:tc>
              <w:tc>
                <w:tcPr>
                  <w:tcW w:w="609" w:type="pct"/>
                  <w:noWrap w:val="0"/>
                  <w:vAlign w:val="center"/>
                </w:tcPr>
                <w:p w14:paraId="6FA3D761">
                  <w:pPr>
                    <w:pStyle w:val="28"/>
                    <w:rPr>
                      <w:rFonts w:hint="eastAsia"/>
                      <w:color w:val="auto"/>
                    </w:rPr>
                  </w:pPr>
                  <w:r>
                    <w:rPr>
                      <w:rFonts w:hint="eastAsia"/>
                      <w:color w:val="auto"/>
                    </w:rPr>
                    <w:t>车辆扬尘废气</w:t>
                  </w:r>
                </w:p>
              </w:tc>
              <w:tc>
                <w:tcPr>
                  <w:tcW w:w="720" w:type="pct"/>
                  <w:noWrap w:val="0"/>
                  <w:vAlign w:val="center"/>
                </w:tcPr>
                <w:p w14:paraId="35B26E62">
                  <w:pPr>
                    <w:pStyle w:val="28"/>
                    <w:rPr>
                      <w:rFonts w:hint="eastAsia"/>
                      <w:color w:val="auto"/>
                    </w:rPr>
                  </w:pPr>
                  <w:r>
                    <w:rPr>
                      <w:rFonts w:hint="eastAsia"/>
                      <w:color w:val="auto"/>
                    </w:rPr>
                    <w:t>车辆运输</w:t>
                  </w:r>
                </w:p>
              </w:tc>
              <w:tc>
                <w:tcPr>
                  <w:tcW w:w="696" w:type="pct"/>
                  <w:noWrap w:val="0"/>
                  <w:vAlign w:val="center"/>
                </w:tcPr>
                <w:p w14:paraId="162571F9">
                  <w:pPr>
                    <w:pStyle w:val="28"/>
                    <w:rPr>
                      <w:rFonts w:hint="eastAsia"/>
                      <w:color w:val="auto"/>
                    </w:rPr>
                  </w:pPr>
                  <w:r>
                    <w:rPr>
                      <w:rFonts w:hint="eastAsia"/>
                      <w:color w:val="auto"/>
                    </w:rPr>
                    <w:t>间断产生</w:t>
                  </w:r>
                </w:p>
              </w:tc>
              <w:tc>
                <w:tcPr>
                  <w:tcW w:w="857" w:type="pct"/>
                  <w:noWrap w:val="0"/>
                  <w:vAlign w:val="center"/>
                </w:tcPr>
                <w:p w14:paraId="51259BD3">
                  <w:pPr>
                    <w:pStyle w:val="28"/>
                    <w:rPr>
                      <w:color w:val="auto"/>
                    </w:rPr>
                  </w:pPr>
                  <w:r>
                    <w:rPr>
                      <w:rFonts w:hint="eastAsia"/>
                      <w:color w:val="auto"/>
                    </w:rPr>
                    <w:t>颗粒物</w:t>
                  </w:r>
                </w:p>
              </w:tc>
              <w:tc>
                <w:tcPr>
                  <w:tcW w:w="1862" w:type="pct"/>
                  <w:noWrap w:val="0"/>
                  <w:vAlign w:val="center"/>
                </w:tcPr>
                <w:p w14:paraId="669F163C">
                  <w:pPr>
                    <w:pStyle w:val="28"/>
                    <w:rPr>
                      <w:rFonts w:hint="eastAsia"/>
                      <w:bCs/>
                      <w:color w:val="auto"/>
                    </w:rPr>
                  </w:pPr>
                  <w:r>
                    <w:rPr>
                      <w:rFonts w:hint="eastAsia"/>
                      <w:bCs/>
                      <w:color w:val="auto"/>
                    </w:rPr>
                    <w:t>设置喷淋装置</w:t>
                  </w:r>
                </w:p>
              </w:tc>
            </w:tr>
            <w:tr w14:paraId="50DF8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253" w:type="pct"/>
                  <w:vMerge w:val="continue"/>
                  <w:noWrap w:val="0"/>
                  <w:vAlign w:val="center"/>
                </w:tcPr>
                <w:p w14:paraId="25E1912D">
                  <w:pPr>
                    <w:pStyle w:val="28"/>
                    <w:rPr>
                      <w:color w:val="auto"/>
                    </w:rPr>
                  </w:pPr>
                </w:p>
              </w:tc>
              <w:tc>
                <w:tcPr>
                  <w:tcW w:w="609" w:type="pct"/>
                  <w:noWrap w:val="0"/>
                  <w:vAlign w:val="center"/>
                </w:tcPr>
                <w:p w14:paraId="2D31BAE9">
                  <w:pPr>
                    <w:pStyle w:val="28"/>
                    <w:rPr>
                      <w:rFonts w:hint="eastAsia"/>
                      <w:color w:val="auto"/>
                    </w:rPr>
                  </w:pPr>
                  <w:r>
                    <w:rPr>
                      <w:rFonts w:hint="eastAsia"/>
                      <w:color w:val="auto"/>
                    </w:rPr>
                    <w:t>食堂</w:t>
                  </w:r>
                </w:p>
                <w:p w14:paraId="1EDF015D">
                  <w:pPr>
                    <w:pStyle w:val="28"/>
                    <w:rPr>
                      <w:rFonts w:hint="eastAsia"/>
                      <w:color w:val="auto"/>
                    </w:rPr>
                  </w:pPr>
                  <w:r>
                    <w:rPr>
                      <w:rFonts w:hint="eastAsia"/>
                      <w:color w:val="auto"/>
                    </w:rPr>
                    <w:t>油烟</w:t>
                  </w:r>
                </w:p>
              </w:tc>
              <w:tc>
                <w:tcPr>
                  <w:tcW w:w="720" w:type="pct"/>
                  <w:noWrap w:val="0"/>
                  <w:vAlign w:val="center"/>
                </w:tcPr>
                <w:p w14:paraId="18B32F5C">
                  <w:pPr>
                    <w:pStyle w:val="28"/>
                    <w:rPr>
                      <w:rFonts w:hint="eastAsia"/>
                      <w:color w:val="auto"/>
                    </w:rPr>
                  </w:pPr>
                  <w:r>
                    <w:rPr>
                      <w:rFonts w:hint="eastAsia"/>
                      <w:color w:val="auto"/>
                    </w:rPr>
                    <w:t>食堂</w:t>
                  </w:r>
                </w:p>
              </w:tc>
              <w:tc>
                <w:tcPr>
                  <w:tcW w:w="696" w:type="pct"/>
                  <w:noWrap w:val="0"/>
                  <w:vAlign w:val="center"/>
                </w:tcPr>
                <w:p w14:paraId="73EB1DAF">
                  <w:pPr>
                    <w:pStyle w:val="28"/>
                    <w:rPr>
                      <w:rFonts w:hint="eastAsia"/>
                      <w:color w:val="auto"/>
                    </w:rPr>
                  </w:pPr>
                  <w:r>
                    <w:rPr>
                      <w:rFonts w:hint="eastAsia"/>
                      <w:color w:val="auto"/>
                    </w:rPr>
                    <w:t>间断产生</w:t>
                  </w:r>
                </w:p>
              </w:tc>
              <w:tc>
                <w:tcPr>
                  <w:tcW w:w="857" w:type="pct"/>
                  <w:noWrap w:val="0"/>
                  <w:vAlign w:val="center"/>
                </w:tcPr>
                <w:p w14:paraId="47E82E40">
                  <w:pPr>
                    <w:pStyle w:val="28"/>
                    <w:rPr>
                      <w:rFonts w:hint="eastAsia"/>
                      <w:color w:val="auto"/>
                    </w:rPr>
                  </w:pPr>
                  <w:r>
                    <w:rPr>
                      <w:color w:val="auto"/>
                      <w:szCs w:val="21"/>
                    </w:rPr>
                    <w:t>油烟</w:t>
                  </w:r>
                </w:p>
              </w:tc>
              <w:tc>
                <w:tcPr>
                  <w:tcW w:w="1862" w:type="pct"/>
                  <w:noWrap w:val="0"/>
                  <w:vAlign w:val="center"/>
                </w:tcPr>
                <w:p w14:paraId="7F03BD9E">
                  <w:pPr>
                    <w:pStyle w:val="28"/>
                    <w:rPr>
                      <w:rFonts w:hint="eastAsia"/>
                      <w:color w:val="auto"/>
                    </w:rPr>
                  </w:pPr>
                  <w:r>
                    <w:rPr>
                      <w:rFonts w:hint="eastAsia"/>
                      <w:color w:val="auto"/>
                    </w:rPr>
                    <w:t>油烟净化器处理后由专用</w:t>
                  </w:r>
                </w:p>
                <w:p w14:paraId="0DB27D67">
                  <w:pPr>
                    <w:pStyle w:val="28"/>
                    <w:rPr>
                      <w:rFonts w:hint="eastAsia"/>
                      <w:bCs/>
                      <w:color w:val="auto"/>
                    </w:rPr>
                  </w:pPr>
                  <w:r>
                    <w:rPr>
                      <w:rFonts w:hint="eastAsia"/>
                      <w:color w:val="auto"/>
                    </w:rPr>
                    <w:t>烟道排放</w:t>
                  </w:r>
                </w:p>
              </w:tc>
            </w:tr>
            <w:tr w14:paraId="5E637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253" w:type="pct"/>
                  <w:vMerge w:val="restart"/>
                  <w:noWrap w:val="0"/>
                  <w:vAlign w:val="center"/>
                </w:tcPr>
                <w:p w14:paraId="3F5CD286">
                  <w:pPr>
                    <w:pStyle w:val="28"/>
                    <w:rPr>
                      <w:color w:val="auto"/>
                    </w:rPr>
                  </w:pPr>
                  <w:r>
                    <w:rPr>
                      <w:color w:val="auto"/>
                    </w:rPr>
                    <w:t>废水</w:t>
                  </w:r>
                </w:p>
              </w:tc>
              <w:tc>
                <w:tcPr>
                  <w:tcW w:w="609" w:type="pct"/>
                  <w:noWrap w:val="0"/>
                  <w:vAlign w:val="center"/>
                </w:tcPr>
                <w:p w14:paraId="62B75EF3">
                  <w:pPr>
                    <w:pStyle w:val="28"/>
                    <w:rPr>
                      <w:rFonts w:hint="eastAsia"/>
                      <w:color w:val="auto"/>
                    </w:rPr>
                  </w:pPr>
                  <w:r>
                    <w:rPr>
                      <w:rFonts w:hint="eastAsia"/>
                      <w:color w:val="auto"/>
                    </w:rPr>
                    <w:t>搅拌机冲洗</w:t>
                  </w:r>
                </w:p>
                <w:p w14:paraId="07A110CE">
                  <w:pPr>
                    <w:pStyle w:val="28"/>
                    <w:rPr>
                      <w:color w:val="auto"/>
                    </w:rPr>
                  </w:pPr>
                  <w:r>
                    <w:rPr>
                      <w:rFonts w:hint="eastAsia"/>
                      <w:color w:val="auto"/>
                    </w:rPr>
                    <w:t>用水</w:t>
                  </w:r>
                </w:p>
              </w:tc>
              <w:tc>
                <w:tcPr>
                  <w:tcW w:w="720" w:type="pct"/>
                  <w:noWrap w:val="0"/>
                  <w:vAlign w:val="center"/>
                </w:tcPr>
                <w:p w14:paraId="2BE85429">
                  <w:pPr>
                    <w:pStyle w:val="28"/>
                    <w:rPr>
                      <w:rFonts w:hint="eastAsia"/>
                      <w:color w:val="auto"/>
                    </w:rPr>
                  </w:pPr>
                  <w:r>
                    <w:rPr>
                      <w:rFonts w:hint="eastAsia"/>
                      <w:color w:val="auto"/>
                    </w:rPr>
                    <w:t>搅拌机</w:t>
                  </w:r>
                </w:p>
                <w:p w14:paraId="5AD90D3D">
                  <w:pPr>
                    <w:pStyle w:val="28"/>
                    <w:rPr>
                      <w:color w:val="auto"/>
                    </w:rPr>
                  </w:pPr>
                  <w:r>
                    <w:rPr>
                      <w:rFonts w:hint="eastAsia"/>
                      <w:color w:val="auto"/>
                    </w:rPr>
                    <w:t>冲洗</w:t>
                  </w:r>
                </w:p>
              </w:tc>
              <w:tc>
                <w:tcPr>
                  <w:tcW w:w="696" w:type="pct"/>
                  <w:noWrap w:val="0"/>
                  <w:vAlign w:val="center"/>
                </w:tcPr>
                <w:p w14:paraId="77AA8BBA">
                  <w:pPr>
                    <w:pStyle w:val="28"/>
                    <w:rPr>
                      <w:color w:val="auto"/>
                    </w:rPr>
                  </w:pPr>
                  <w:r>
                    <w:rPr>
                      <w:color w:val="auto"/>
                    </w:rPr>
                    <w:t>间断产生</w:t>
                  </w:r>
                </w:p>
              </w:tc>
              <w:tc>
                <w:tcPr>
                  <w:tcW w:w="857" w:type="pct"/>
                  <w:noWrap w:val="0"/>
                  <w:vAlign w:val="center"/>
                </w:tcPr>
                <w:p w14:paraId="302D9FC1">
                  <w:pPr>
                    <w:pStyle w:val="28"/>
                    <w:rPr>
                      <w:rFonts w:hint="default" w:eastAsia="宋体"/>
                      <w:color w:val="auto"/>
                      <w:lang w:val="en-US" w:eastAsia="zh-CN"/>
                    </w:rPr>
                  </w:pPr>
                  <w:r>
                    <w:rPr>
                      <w:color w:val="auto"/>
                    </w:rPr>
                    <w:t>SS</w:t>
                  </w:r>
                  <w:r>
                    <w:rPr>
                      <w:rFonts w:hint="eastAsia"/>
                      <w:color w:val="auto"/>
                      <w:lang w:eastAsia="zh-CN"/>
                    </w:rPr>
                    <w:t>、</w:t>
                  </w:r>
                  <w:r>
                    <w:rPr>
                      <w:rFonts w:hint="eastAsia"/>
                      <w:color w:val="auto"/>
                      <w:lang w:val="en-US" w:eastAsia="zh-CN"/>
                    </w:rPr>
                    <w:t>pH</w:t>
                  </w:r>
                </w:p>
              </w:tc>
              <w:tc>
                <w:tcPr>
                  <w:tcW w:w="1862" w:type="pct"/>
                  <w:noWrap w:val="0"/>
                  <w:vAlign w:val="center"/>
                </w:tcPr>
                <w:p w14:paraId="03D9F43B">
                  <w:pPr>
                    <w:pStyle w:val="28"/>
                    <w:rPr>
                      <w:color w:val="auto"/>
                    </w:rPr>
                  </w:pPr>
                  <w:r>
                    <w:rPr>
                      <w:rFonts w:hint="eastAsia" w:hAnsi="宋体"/>
                      <w:color w:val="auto"/>
                    </w:rPr>
                    <w:t>经压滤机处理后排入四级沉淀池内进行沉淀处理，经沉淀池处理后的废水</w:t>
                  </w:r>
                  <w:r>
                    <w:rPr>
                      <w:rFonts w:hint="eastAsia" w:hAnsi="宋体"/>
                      <w:color w:val="auto"/>
                      <w:lang w:val="en-US" w:eastAsia="zh-CN"/>
                    </w:rPr>
                    <w:t>回用于混凝土搅拌</w:t>
                  </w:r>
                  <w:r>
                    <w:rPr>
                      <w:color w:val="auto"/>
                    </w:rPr>
                    <w:t>。</w:t>
                  </w:r>
                </w:p>
              </w:tc>
            </w:tr>
            <w:tr w14:paraId="0FA0C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253" w:type="pct"/>
                  <w:vMerge w:val="continue"/>
                  <w:noWrap w:val="0"/>
                  <w:vAlign w:val="center"/>
                </w:tcPr>
                <w:p w14:paraId="2656202A">
                  <w:pPr>
                    <w:pStyle w:val="28"/>
                    <w:rPr>
                      <w:color w:val="auto"/>
                    </w:rPr>
                  </w:pPr>
                </w:p>
              </w:tc>
              <w:tc>
                <w:tcPr>
                  <w:tcW w:w="609" w:type="pct"/>
                  <w:noWrap w:val="0"/>
                  <w:vAlign w:val="center"/>
                </w:tcPr>
                <w:p w14:paraId="0EF1B365">
                  <w:pPr>
                    <w:pStyle w:val="28"/>
                    <w:rPr>
                      <w:rFonts w:hint="default" w:eastAsia="宋体"/>
                      <w:color w:val="auto"/>
                      <w:lang w:val="en-US" w:eastAsia="zh-CN"/>
                    </w:rPr>
                  </w:pPr>
                  <w:r>
                    <w:rPr>
                      <w:rFonts w:hint="eastAsia"/>
                      <w:color w:val="auto"/>
                      <w:lang w:val="en-US" w:eastAsia="zh-CN"/>
                    </w:rPr>
                    <w:t>罐车清洗废水</w:t>
                  </w:r>
                </w:p>
              </w:tc>
              <w:tc>
                <w:tcPr>
                  <w:tcW w:w="720" w:type="pct"/>
                  <w:noWrap w:val="0"/>
                  <w:vAlign w:val="center"/>
                </w:tcPr>
                <w:p w14:paraId="394BC6FA">
                  <w:pPr>
                    <w:pStyle w:val="28"/>
                    <w:rPr>
                      <w:rFonts w:hint="eastAsia"/>
                      <w:color w:val="auto"/>
                    </w:rPr>
                  </w:pPr>
                  <w:r>
                    <w:rPr>
                      <w:rFonts w:hint="eastAsia"/>
                      <w:color w:val="auto"/>
                    </w:rPr>
                    <w:t>车辆冲洗</w:t>
                  </w:r>
                </w:p>
              </w:tc>
              <w:tc>
                <w:tcPr>
                  <w:tcW w:w="696" w:type="pct"/>
                  <w:noWrap w:val="0"/>
                  <w:vAlign w:val="center"/>
                </w:tcPr>
                <w:p w14:paraId="209301FA">
                  <w:pPr>
                    <w:pStyle w:val="28"/>
                    <w:rPr>
                      <w:color w:val="auto"/>
                    </w:rPr>
                  </w:pPr>
                  <w:r>
                    <w:rPr>
                      <w:rFonts w:hint="eastAsia"/>
                      <w:color w:val="auto"/>
                    </w:rPr>
                    <w:t>间断产生</w:t>
                  </w:r>
                </w:p>
              </w:tc>
              <w:tc>
                <w:tcPr>
                  <w:tcW w:w="857" w:type="pct"/>
                  <w:noWrap w:val="0"/>
                  <w:vAlign w:val="center"/>
                </w:tcPr>
                <w:p w14:paraId="2992E6D4">
                  <w:pPr>
                    <w:pStyle w:val="28"/>
                    <w:rPr>
                      <w:color w:val="auto"/>
                    </w:rPr>
                  </w:pPr>
                  <w:r>
                    <w:rPr>
                      <w:color w:val="auto"/>
                    </w:rPr>
                    <w:t>SS</w:t>
                  </w:r>
                  <w:r>
                    <w:rPr>
                      <w:rFonts w:hint="eastAsia"/>
                      <w:color w:val="auto"/>
                      <w:lang w:eastAsia="zh-CN"/>
                    </w:rPr>
                    <w:t>、</w:t>
                  </w:r>
                  <w:r>
                    <w:rPr>
                      <w:rFonts w:hint="eastAsia"/>
                      <w:color w:val="auto"/>
                      <w:lang w:val="en-US" w:eastAsia="zh-CN"/>
                    </w:rPr>
                    <w:t>pH</w:t>
                  </w:r>
                </w:p>
              </w:tc>
              <w:tc>
                <w:tcPr>
                  <w:tcW w:w="1862" w:type="pct"/>
                  <w:noWrap w:val="0"/>
                  <w:vAlign w:val="center"/>
                </w:tcPr>
                <w:p w14:paraId="2F551E4B">
                  <w:pPr>
                    <w:pStyle w:val="28"/>
                    <w:rPr>
                      <w:rFonts w:hint="default" w:hAnsi="宋体" w:eastAsia="宋体"/>
                      <w:color w:val="auto"/>
                      <w:lang w:val="en-US" w:eastAsia="zh-CN"/>
                    </w:rPr>
                  </w:pPr>
                  <w:r>
                    <w:rPr>
                      <w:rFonts w:hint="eastAsia" w:hAnsi="宋体"/>
                      <w:color w:val="auto"/>
                    </w:rPr>
                    <w:t>排入</w:t>
                  </w:r>
                  <w:r>
                    <w:rPr>
                      <w:rFonts w:hint="eastAsia" w:hAnsi="宋体"/>
                      <w:color w:val="auto"/>
                      <w:lang w:val="en-US" w:eastAsia="zh-CN"/>
                    </w:rPr>
                    <w:t>五</w:t>
                  </w:r>
                  <w:r>
                    <w:rPr>
                      <w:rFonts w:hint="eastAsia" w:hAnsi="宋体"/>
                      <w:color w:val="auto"/>
                    </w:rPr>
                    <w:t>级沉淀池内进行沉淀处理，经沉淀池处理后的废水</w:t>
                  </w:r>
                  <w:r>
                    <w:rPr>
                      <w:rFonts w:hint="eastAsia" w:hAnsi="宋体"/>
                      <w:color w:val="auto"/>
                      <w:lang w:val="en-US" w:eastAsia="zh-CN"/>
                    </w:rPr>
                    <w:t>回用于混凝土搅拌</w:t>
                  </w:r>
                </w:p>
              </w:tc>
            </w:tr>
            <w:tr w14:paraId="684C0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253" w:type="pct"/>
                  <w:vMerge w:val="continue"/>
                  <w:noWrap w:val="0"/>
                  <w:vAlign w:val="center"/>
                </w:tcPr>
                <w:p w14:paraId="0FDDDDA3">
                  <w:pPr>
                    <w:pStyle w:val="28"/>
                    <w:rPr>
                      <w:color w:val="auto"/>
                    </w:rPr>
                  </w:pPr>
                </w:p>
              </w:tc>
              <w:tc>
                <w:tcPr>
                  <w:tcW w:w="609" w:type="pct"/>
                  <w:noWrap w:val="0"/>
                  <w:vAlign w:val="center"/>
                </w:tcPr>
                <w:p w14:paraId="4716C24B">
                  <w:pPr>
                    <w:pStyle w:val="28"/>
                    <w:rPr>
                      <w:rFonts w:hint="eastAsia"/>
                      <w:color w:val="auto"/>
                    </w:rPr>
                  </w:pPr>
                  <w:r>
                    <w:rPr>
                      <w:rFonts w:hint="eastAsia"/>
                      <w:color w:val="auto"/>
                    </w:rPr>
                    <w:t>锅炉用排水</w:t>
                  </w:r>
                </w:p>
              </w:tc>
              <w:tc>
                <w:tcPr>
                  <w:tcW w:w="720" w:type="pct"/>
                  <w:noWrap w:val="0"/>
                  <w:vAlign w:val="center"/>
                </w:tcPr>
                <w:p w14:paraId="6CA7CC00">
                  <w:pPr>
                    <w:pStyle w:val="28"/>
                    <w:rPr>
                      <w:rFonts w:hint="eastAsia"/>
                      <w:color w:val="auto"/>
                    </w:rPr>
                  </w:pPr>
                  <w:r>
                    <w:rPr>
                      <w:rFonts w:hint="eastAsia"/>
                      <w:color w:val="auto"/>
                    </w:rPr>
                    <w:t>锅炉</w:t>
                  </w:r>
                </w:p>
              </w:tc>
              <w:tc>
                <w:tcPr>
                  <w:tcW w:w="696" w:type="pct"/>
                  <w:noWrap w:val="0"/>
                  <w:vAlign w:val="center"/>
                </w:tcPr>
                <w:p w14:paraId="4D4B5412">
                  <w:pPr>
                    <w:pStyle w:val="28"/>
                    <w:rPr>
                      <w:rFonts w:hint="eastAsia"/>
                      <w:color w:val="auto"/>
                    </w:rPr>
                  </w:pPr>
                  <w:r>
                    <w:rPr>
                      <w:rFonts w:hint="eastAsia"/>
                      <w:color w:val="auto"/>
                    </w:rPr>
                    <w:t>连续产生</w:t>
                  </w:r>
                </w:p>
              </w:tc>
              <w:tc>
                <w:tcPr>
                  <w:tcW w:w="857" w:type="pct"/>
                  <w:noWrap w:val="0"/>
                  <w:vAlign w:val="center"/>
                </w:tcPr>
                <w:p w14:paraId="06E9E2EE">
                  <w:pPr>
                    <w:pStyle w:val="28"/>
                    <w:rPr>
                      <w:color w:val="auto"/>
                    </w:rPr>
                  </w:pPr>
                  <w:r>
                    <w:rPr>
                      <w:rFonts w:hint="eastAsia"/>
                      <w:color w:val="auto"/>
                    </w:rPr>
                    <w:t>S</w:t>
                  </w:r>
                  <w:r>
                    <w:rPr>
                      <w:color w:val="auto"/>
                    </w:rPr>
                    <w:t>S</w:t>
                  </w:r>
                </w:p>
              </w:tc>
              <w:tc>
                <w:tcPr>
                  <w:tcW w:w="1862" w:type="pct"/>
                  <w:noWrap w:val="0"/>
                  <w:vAlign w:val="center"/>
                </w:tcPr>
                <w:p w14:paraId="07612F41">
                  <w:pPr>
                    <w:pStyle w:val="28"/>
                    <w:rPr>
                      <w:rFonts w:hint="eastAsia" w:hAnsi="宋体"/>
                      <w:color w:val="auto"/>
                    </w:rPr>
                  </w:pPr>
                  <w:r>
                    <w:rPr>
                      <w:rFonts w:hint="eastAsia" w:hAnsi="宋体"/>
                      <w:color w:val="auto"/>
                    </w:rPr>
                    <w:t>排入</w:t>
                  </w:r>
                  <w:r>
                    <w:rPr>
                      <w:rFonts w:hint="eastAsia" w:hAnsi="宋体"/>
                      <w:color w:val="auto"/>
                      <w:lang w:val="en-US" w:eastAsia="zh-CN"/>
                    </w:rPr>
                    <w:t>四级</w:t>
                  </w:r>
                  <w:r>
                    <w:rPr>
                      <w:rFonts w:hint="eastAsia" w:hAnsi="宋体"/>
                      <w:color w:val="auto"/>
                    </w:rPr>
                    <w:t>沉淀池经沉淀处理，经沉淀池处理后的废水</w:t>
                  </w:r>
                  <w:r>
                    <w:rPr>
                      <w:rFonts w:hint="eastAsia" w:hAnsi="宋体"/>
                      <w:color w:val="auto"/>
                      <w:lang w:val="en-US" w:eastAsia="zh-CN"/>
                    </w:rPr>
                    <w:t>回用于混凝土搅拌。</w:t>
                  </w:r>
                </w:p>
              </w:tc>
            </w:tr>
            <w:tr w14:paraId="68547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253" w:type="pct"/>
                  <w:vMerge w:val="continue"/>
                  <w:noWrap w:val="0"/>
                  <w:vAlign w:val="center"/>
                </w:tcPr>
                <w:p w14:paraId="291BC349">
                  <w:pPr>
                    <w:pStyle w:val="28"/>
                    <w:rPr>
                      <w:color w:val="auto"/>
                    </w:rPr>
                  </w:pPr>
                </w:p>
              </w:tc>
              <w:tc>
                <w:tcPr>
                  <w:tcW w:w="609" w:type="pct"/>
                  <w:noWrap w:val="0"/>
                  <w:vAlign w:val="center"/>
                </w:tcPr>
                <w:p w14:paraId="21A2061F">
                  <w:pPr>
                    <w:pStyle w:val="28"/>
                    <w:rPr>
                      <w:rFonts w:hint="default" w:eastAsia="宋体"/>
                      <w:color w:val="auto"/>
                      <w:lang w:val="en-US" w:eastAsia="zh-CN"/>
                    </w:rPr>
                  </w:pPr>
                  <w:r>
                    <w:rPr>
                      <w:rFonts w:hint="eastAsia"/>
                      <w:color w:val="auto"/>
                      <w:lang w:val="en-US" w:eastAsia="zh-CN"/>
                    </w:rPr>
                    <w:t>试验区</w:t>
                  </w:r>
                  <w:r>
                    <w:rPr>
                      <w:rFonts w:hint="default" w:eastAsia="宋体"/>
                      <w:color w:val="auto"/>
                      <w:lang w:val="en-US" w:eastAsia="zh-CN"/>
                    </w:rPr>
                    <w:t>混凝土养护</w:t>
                  </w:r>
                </w:p>
                <w:p w14:paraId="62DD0921">
                  <w:pPr>
                    <w:pStyle w:val="28"/>
                    <w:rPr>
                      <w:rFonts w:hint="default" w:eastAsia="宋体"/>
                      <w:color w:val="auto"/>
                      <w:lang w:val="en-US" w:eastAsia="zh-CN"/>
                    </w:rPr>
                  </w:pPr>
                  <w:r>
                    <w:rPr>
                      <w:rFonts w:hint="default" w:eastAsia="宋体"/>
                      <w:color w:val="auto"/>
                      <w:lang w:val="en-US" w:eastAsia="zh-CN"/>
                    </w:rPr>
                    <w:t>废水</w:t>
                  </w:r>
                </w:p>
              </w:tc>
              <w:tc>
                <w:tcPr>
                  <w:tcW w:w="720" w:type="pct"/>
                  <w:noWrap w:val="0"/>
                  <w:vAlign w:val="center"/>
                </w:tcPr>
                <w:p w14:paraId="14344E8C">
                  <w:pPr>
                    <w:pStyle w:val="28"/>
                    <w:rPr>
                      <w:rFonts w:hint="eastAsia" w:eastAsia="宋体"/>
                      <w:color w:val="auto"/>
                      <w:lang w:val="en-US" w:eastAsia="zh-CN"/>
                    </w:rPr>
                  </w:pPr>
                  <w:r>
                    <w:rPr>
                      <w:rFonts w:hint="eastAsia"/>
                      <w:color w:val="auto"/>
                      <w:lang w:val="en-US" w:eastAsia="zh-CN"/>
                    </w:rPr>
                    <w:t>试验区</w:t>
                  </w:r>
                </w:p>
              </w:tc>
              <w:tc>
                <w:tcPr>
                  <w:tcW w:w="696" w:type="pct"/>
                  <w:noWrap w:val="0"/>
                  <w:vAlign w:val="center"/>
                </w:tcPr>
                <w:p w14:paraId="06BFAA3C">
                  <w:pPr>
                    <w:pStyle w:val="28"/>
                    <w:rPr>
                      <w:rFonts w:hint="default" w:eastAsia="宋体"/>
                      <w:color w:val="auto"/>
                      <w:lang w:val="en-US" w:eastAsia="zh-CN"/>
                    </w:rPr>
                  </w:pPr>
                  <w:r>
                    <w:rPr>
                      <w:rFonts w:hint="eastAsia"/>
                      <w:color w:val="auto"/>
                      <w:lang w:val="en-US" w:eastAsia="zh-CN"/>
                    </w:rPr>
                    <w:t>间断产生</w:t>
                  </w:r>
                </w:p>
              </w:tc>
              <w:tc>
                <w:tcPr>
                  <w:tcW w:w="857" w:type="pct"/>
                  <w:noWrap w:val="0"/>
                  <w:vAlign w:val="center"/>
                </w:tcPr>
                <w:p w14:paraId="43D731A3">
                  <w:pPr>
                    <w:pStyle w:val="28"/>
                    <w:rPr>
                      <w:rFonts w:hint="default" w:eastAsia="宋体"/>
                      <w:color w:val="auto"/>
                      <w:lang w:val="en-US" w:eastAsia="zh-CN"/>
                    </w:rPr>
                  </w:pPr>
                  <w:r>
                    <w:rPr>
                      <w:color w:val="auto"/>
                    </w:rPr>
                    <w:t>SS</w:t>
                  </w:r>
                  <w:r>
                    <w:rPr>
                      <w:rFonts w:hint="eastAsia"/>
                      <w:color w:val="auto"/>
                      <w:lang w:eastAsia="zh-CN"/>
                    </w:rPr>
                    <w:t>、</w:t>
                  </w:r>
                  <w:r>
                    <w:rPr>
                      <w:rFonts w:hint="eastAsia"/>
                      <w:color w:val="auto"/>
                      <w:lang w:val="en-US" w:eastAsia="zh-CN"/>
                    </w:rPr>
                    <w:t>pH</w:t>
                  </w:r>
                </w:p>
              </w:tc>
              <w:tc>
                <w:tcPr>
                  <w:tcW w:w="1862" w:type="pct"/>
                  <w:noWrap w:val="0"/>
                  <w:vAlign w:val="center"/>
                </w:tcPr>
                <w:p w14:paraId="1334BA74">
                  <w:pPr>
                    <w:pStyle w:val="28"/>
                    <w:rPr>
                      <w:rFonts w:hint="default" w:hAnsi="宋体" w:eastAsia="宋体"/>
                      <w:color w:val="auto"/>
                      <w:lang w:val="en-US" w:eastAsia="zh-CN"/>
                    </w:rPr>
                  </w:pPr>
                  <w:r>
                    <w:rPr>
                      <w:rFonts w:hint="eastAsia" w:hAnsi="宋体"/>
                      <w:color w:val="auto"/>
                      <w:lang w:val="en-US" w:eastAsia="zh-CN"/>
                    </w:rPr>
                    <w:t>试验区南侧设置每个容积为0.6*5*1.5的三级沉淀池，沉淀后的废水回用于混凝土搅拌</w:t>
                  </w:r>
                </w:p>
              </w:tc>
            </w:tr>
            <w:tr w14:paraId="314AA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53" w:type="pct"/>
                  <w:vMerge w:val="continue"/>
                  <w:noWrap w:val="0"/>
                  <w:vAlign w:val="center"/>
                </w:tcPr>
                <w:p w14:paraId="02EB7377">
                  <w:pPr>
                    <w:pStyle w:val="28"/>
                    <w:rPr>
                      <w:color w:val="auto"/>
                    </w:rPr>
                  </w:pPr>
                </w:p>
              </w:tc>
              <w:tc>
                <w:tcPr>
                  <w:tcW w:w="609" w:type="pct"/>
                  <w:noWrap w:val="0"/>
                  <w:vAlign w:val="center"/>
                </w:tcPr>
                <w:p w14:paraId="0ABB0A0C">
                  <w:pPr>
                    <w:pStyle w:val="28"/>
                    <w:rPr>
                      <w:color w:val="auto"/>
                    </w:rPr>
                  </w:pPr>
                  <w:r>
                    <w:rPr>
                      <w:color w:val="auto"/>
                    </w:rPr>
                    <w:t>生活</w:t>
                  </w:r>
                </w:p>
                <w:p w14:paraId="2F446550">
                  <w:pPr>
                    <w:pStyle w:val="28"/>
                    <w:rPr>
                      <w:color w:val="auto"/>
                    </w:rPr>
                  </w:pPr>
                  <w:r>
                    <w:rPr>
                      <w:color w:val="auto"/>
                    </w:rPr>
                    <w:t>污水</w:t>
                  </w:r>
                </w:p>
              </w:tc>
              <w:tc>
                <w:tcPr>
                  <w:tcW w:w="720" w:type="pct"/>
                  <w:noWrap w:val="0"/>
                  <w:vAlign w:val="center"/>
                </w:tcPr>
                <w:p w14:paraId="43F38D04">
                  <w:pPr>
                    <w:pStyle w:val="28"/>
                    <w:rPr>
                      <w:color w:val="auto"/>
                    </w:rPr>
                  </w:pPr>
                  <w:r>
                    <w:rPr>
                      <w:color w:val="auto"/>
                    </w:rPr>
                    <w:t>员工办公生活</w:t>
                  </w:r>
                </w:p>
              </w:tc>
              <w:tc>
                <w:tcPr>
                  <w:tcW w:w="696" w:type="pct"/>
                  <w:noWrap w:val="0"/>
                  <w:vAlign w:val="center"/>
                </w:tcPr>
                <w:p w14:paraId="203572DF">
                  <w:pPr>
                    <w:pStyle w:val="28"/>
                    <w:rPr>
                      <w:color w:val="auto"/>
                    </w:rPr>
                  </w:pPr>
                  <w:r>
                    <w:rPr>
                      <w:color w:val="auto"/>
                    </w:rPr>
                    <w:t>间断产生</w:t>
                  </w:r>
                </w:p>
              </w:tc>
              <w:tc>
                <w:tcPr>
                  <w:tcW w:w="857" w:type="pct"/>
                  <w:noWrap w:val="0"/>
                  <w:vAlign w:val="center"/>
                </w:tcPr>
                <w:p w14:paraId="1B3B769B">
                  <w:pPr>
                    <w:pStyle w:val="28"/>
                    <w:rPr>
                      <w:color w:val="auto"/>
                    </w:rPr>
                  </w:pPr>
                  <w:r>
                    <w:rPr>
                      <w:color w:val="auto"/>
                    </w:rPr>
                    <w:t>COD、BOD</w:t>
                  </w:r>
                  <w:r>
                    <w:rPr>
                      <w:color w:val="auto"/>
                      <w:vertAlign w:val="subscript"/>
                    </w:rPr>
                    <w:t>5</w:t>
                  </w:r>
                  <w:r>
                    <w:rPr>
                      <w:color w:val="auto"/>
                    </w:rPr>
                    <w:t>、NH</w:t>
                  </w:r>
                  <w:r>
                    <w:rPr>
                      <w:color w:val="auto"/>
                      <w:vertAlign w:val="subscript"/>
                    </w:rPr>
                    <w:t>3</w:t>
                  </w:r>
                  <w:r>
                    <w:rPr>
                      <w:color w:val="auto"/>
                    </w:rPr>
                    <w:t>-N、SS、TP、TN</w:t>
                  </w:r>
                </w:p>
              </w:tc>
              <w:tc>
                <w:tcPr>
                  <w:tcW w:w="1862" w:type="pct"/>
                  <w:noWrap w:val="0"/>
                  <w:vAlign w:val="center"/>
                </w:tcPr>
                <w:p w14:paraId="7BC1D214">
                  <w:pPr>
                    <w:pStyle w:val="28"/>
                    <w:rPr>
                      <w:color w:val="auto"/>
                      <w:szCs w:val="21"/>
                    </w:rPr>
                  </w:pPr>
                  <w:r>
                    <w:rPr>
                      <w:rFonts w:hint="eastAsia"/>
                      <w:color w:val="auto"/>
                      <w:lang w:val="en-US" w:eastAsia="zh-CN"/>
                    </w:rPr>
                    <w:t>经厂区化粪池处理后委托</w:t>
                  </w:r>
                  <w:r>
                    <w:rPr>
                      <w:rFonts w:hint="eastAsia"/>
                      <w:color w:val="auto"/>
                      <w:szCs w:val="21"/>
                      <w:lang w:val="en-US" w:eastAsia="zh-CN"/>
                    </w:rPr>
                    <w:t>昆明洁龙保洁服务有限公司</w:t>
                  </w:r>
                  <w:r>
                    <w:rPr>
                      <w:color w:val="auto"/>
                      <w:szCs w:val="21"/>
                    </w:rPr>
                    <w:t>定期</w:t>
                  </w:r>
                </w:p>
                <w:p w14:paraId="29D1E38F">
                  <w:pPr>
                    <w:pStyle w:val="28"/>
                    <w:rPr>
                      <w:rFonts w:hint="eastAsia" w:eastAsia="宋体"/>
                      <w:color w:val="auto"/>
                      <w:lang w:val="en-US" w:eastAsia="zh-CN"/>
                    </w:rPr>
                  </w:pPr>
                  <w:r>
                    <w:rPr>
                      <w:rFonts w:hint="eastAsia"/>
                      <w:color w:val="auto"/>
                      <w:szCs w:val="21"/>
                    </w:rPr>
                    <w:t>清掏</w:t>
                  </w:r>
                  <w:r>
                    <w:rPr>
                      <w:rFonts w:hint="eastAsia"/>
                      <w:color w:val="auto"/>
                      <w:szCs w:val="21"/>
                      <w:lang w:val="en-US" w:eastAsia="zh-CN"/>
                    </w:rPr>
                    <w:t>处置</w:t>
                  </w:r>
                </w:p>
              </w:tc>
            </w:tr>
            <w:tr w14:paraId="22A9C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53" w:type="pct"/>
                  <w:vMerge w:val="continue"/>
                  <w:noWrap w:val="0"/>
                  <w:vAlign w:val="center"/>
                </w:tcPr>
                <w:p w14:paraId="699F684E">
                  <w:pPr>
                    <w:pStyle w:val="28"/>
                    <w:rPr>
                      <w:color w:val="auto"/>
                    </w:rPr>
                  </w:pPr>
                </w:p>
              </w:tc>
              <w:tc>
                <w:tcPr>
                  <w:tcW w:w="609" w:type="pct"/>
                  <w:noWrap w:val="0"/>
                  <w:vAlign w:val="center"/>
                </w:tcPr>
                <w:p w14:paraId="1C72ACE8">
                  <w:pPr>
                    <w:pStyle w:val="28"/>
                    <w:rPr>
                      <w:color w:val="auto"/>
                    </w:rPr>
                  </w:pPr>
                  <w:r>
                    <w:rPr>
                      <w:color w:val="auto"/>
                    </w:rPr>
                    <w:t>初期</w:t>
                  </w:r>
                </w:p>
                <w:p w14:paraId="23F54972">
                  <w:pPr>
                    <w:pStyle w:val="28"/>
                    <w:rPr>
                      <w:color w:val="auto"/>
                    </w:rPr>
                  </w:pPr>
                  <w:r>
                    <w:rPr>
                      <w:color w:val="auto"/>
                    </w:rPr>
                    <w:t>雨水</w:t>
                  </w:r>
                </w:p>
              </w:tc>
              <w:tc>
                <w:tcPr>
                  <w:tcW w:w="720" w:type="pct"/>
                  <w:noWrap w:val="0"/>
                  <w:vAlign w:val="center"/>
                </w:tcPr>
                <w:p w14:paraId="7EB1911F">
                  <w:pPr>
                    <w:pStyle w:val="28"/>
                    <w:rPr>
                      <w:color w:val="auto"/>
                    </w:rPr>
                  </w:pPr>
                  <w:r>
                    <w:rPr>
                      <w:color w:val="auto"/>
                    </w:rPr>
                    <w:t>厂区降雨初期</w:t>
                  </w:r>
                </w:p>
              </w:tc>
              <w:tc>
                <w:tcPr>
                  <w:tcW w:w="696" w:type="pct"/>
                  <w:noWrap w:val="0"/>
                  <w:vAlign w:val="center"/>
                </w:tcPr>
                <w:p w14:paraId="48EB6083">
                  <w:pPr>
                    <w:pStyle w:val="28"/>
                    <w:rPr>
                      <w:color w:val="auto"/>
                    </w:rPr>
                  </w:pPr>
                  <w:r>
                    <w:rPr>
                      <w:color w:val="auto"/>
                    </w:rPr>
                    <w:t>间断产生</w:t>
                  </w:r>
                </w:p>
              </w:tc>
              <w:tc>
                <w:tcPr>
                  <w:tcW w:w="857" w:type="pct"/>
                  <w:noWrap w:val="0"/>
                  <w:vAlign w:val="center"/>
                </w:tcPr>
                <w:p w14:paraId="79F71707">
                  <w:pPr>
                    <w:pStyle w:val="28"/>
                    <w:rPr>
                      <w:color w:val="auto"/>
                    </w:rPr>
                  </w:pPr>
                  <w:r>
                    <w:rPr>
                      <w:color w:val="auto"/>
                    </w:rPr>
                    <w:t>PH、SS、COD</w:t>
                  </w:r>
                </w:p>
              </w:tc>
              <w:tc>
                <w:tcPr>
                  <w:tcW w:w="1862" w:type="pct"/>
                  <w:noWrap w:val="0"/>
                  <w:vAlign w:val="center"/>
                </w:tcPr>
                <w:p w14:paraId="62641192">
                  <w:pPr>
                    <w:pStyle w:val="28"/>
                    <w:rPr>
                      <w:color w:val="auto"/>
                    </w:rPr>
                  </w:pPr>
                  <w:r>
                    <w:rPr>
                      <w:color w:val="auto"/>
                    </w:rPr>
                    <w:t>回用</w:t>
                  </w:r>
                  <w:r>
                    <w:rPr>
                      <w:rFonts w:hint="eastAsia"/>
                      <w:color w:val="auto"/>
                    </w:rPr>
                    <w:t>于搅拌工序</w:t>
                  </w:r>
                </w:p>
              </w:tc>
            </w:tr>
            <w:tr w14:paraId="748EC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53" w:type="pct"/>
                  <w:noWrap w:val="0"/>
                  <w:vAlign w:val="center"/>
                </w:tcPr>
                <w:p w14:paraId="23E16650">
                  <w:pPr>
                    <w:pStyle w:val="28"/>
                    <w:rPr>
                      <w:color w:val="auto"/>
                    </w:rPr>
                  </w:pPr>
                  <w:r>
                    <w:rPr>
                      <w:color w:val="auto"/>
                    </w:rPr>
                    <w:t>噪声</w:t>
                  </w:r>
                </w:p>
              </w:tc>
              <w:tc>
                <w:tcPr>
                  <w:tcW w:w="609" w:type="pct"/>
                  <w:noWrap w:val="0"/>
                  <w:vAlign w:val="center"/>
                </w:tcPr>
                <w:p w14:paraId="7EB3E7B8">
                  <w:pPr>
                    <w:pStyle w:val="28"/>
                    <w:rPr>
                      <w:color w:val="auto"/>
                    </w:rPr>
                  </w:pPr>
                  <w:r>
                    <w:rPr>
                      <w:color w:val="auto"/>
                    </w:rPr>
                    <w:t>设备运行噪声</w:t>
                  </w:r>
                </w:p>
              </w:tc>
              <w:tc>
                <w:tcPr>
                  <w:tcW w:w="720" w:type="pct"/>
                  <w:noWrap w:val="0"/>
                  <w:vAlign w:val="center"/>
                </w:tcPr>
                <w:p w14:paraId="3C20ECB2">
                  <w:pPr>
                    <w:pStyle w:val="28"/>
                    <w:rPr>
                      <w:color w:val="auto"/>
                    </w:rPr>
                  </w:pPr>
                  <w:r>
                    <w:rPr>
                      <w:color w:val="auto"/>
                    </w:rPr>
                    <w:t>热解炉、风机、水泵、除渣机等设备</w:t>
                  </w:r>
                </w:p>
              </w:tc>
              <w:tc>
                <w:tcPr>
                  <w:tcW w:w="696" w:type="pct"/>
                  <w:noWrap w:val="0"/>
                  <w:vAlign w:val="center"/>
                </w:tcPr>
                <w:p w14:paraId="20D080A7">
                  <w:pPr>
                    <w:pStyle w:val="28"/>
                    <w:rPr>
                      <w:color w:val="auto"/>
                    </w:rPr>
                  </w:pPr>
                  <w:r>
                    <w:rPr>
                      <w:color w:val="auto"/>
                    </w:rPr>
                    <w:t>连续产生</w:t>
                  </w:r>
                </w:p>
              </w:tc>
              <w:tc>
                <w:tcPr>
                  <w:tcW w:w="857" w:type="pct"/>
                  <w:noWrap w:val="0"/>
                  <w:vAlign w:val="center"/>
                </w:tcPr>
                <w:p w14:paraId="24A7C3BD">
                  <w:pPr>
                    <w:pStyle w:val="28"/>
                    <w:rPr>
                      <w:color w:val="auto"/>
                    </w:rPr>
                  </w:pPr>
                  <w:r>
                    <w:rPr>
                      <w:color w:val="auto"/>
                    </w:rPr>
                    <w:t>噪声</w:t>
                  </w:r>
                </w:p>
              </w:tc>
              <w:tc>
                <w:tcPr>
                  <w:tcW w:w="1862" w:type="pct"/>
                  <w:noWrap w:val="0"/>
                  <w:vAlign w:val="center"/>
                </w:tcPr>
                <w:p w14:paraId="521A6E74">
                  <w:pPr>
                    <w:pStyle w:val="28"/>
                    <w:rPr>
                      <w:color w:val="auto"/>
                    </w:rPr>
                  </w:pPr>
                  <w:r>
                    <w:rPr>
                      <w:color w:val="auto"/>
                    </w:rPr>
                    <w:t>选用低噪声设备，安装减振垫等</w:t>
                  </w:r>
                </w:p>
              </w:tc>
            </w:tr>
            <w:tr w14:paraId="2AE1D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53" w:type="pct"/>
                  <w:vMerge w:val="restart"/>
                  <w:noWrap w:val="0"/>
                  <w:vAlign w:val="center"/>
                </w:tcPr>
                <w:p w14:paraId="4A5938EB">
                  <w:pPr>
                    <w:pStyle w:val="28"/>
                    <w:rPr>
                      <w:color w:val="auto"/>
                    </w:rPr>
                  </w:pPr>
                  <w:r>
                    <w:rPr>
                      <w:color w:val="auto"/>
                    </w:rPr>
                    <w:t>固废</w:t>
                  </w:r>
                </w:p>
              </w:tc>
              <w:tc>
                <w:tcPr>
                  <w:tcW w:w="609" w:type="pct"/>
                  <w:noWrap w:val="0"/>
                  <w:vAlign w:val="center"/>
                </w:tcPr>
                <w:p w14:paraId="7311260F">
                  <w:pPr>
                    <w:pStyle w:val="28"/>
                    <w:rPr>
                      <w:rFonts w:hint="eastAsia"/>
                      <w:color w:val="auto"/>
                    </w:rPr>
                  </w:pPr>
                  <w:r>
                    <w:rPr>
                      <w:rFonts w:hint="eastAsia"/>
                      <w:color w:val="auto"/>
                    </w:rPr>
                    <w:t>废混</w:t>
                  </w:r>
                </w:p>
                <w:p w14:paraId="7DBA835B">
                  <w:pPr>
                    <w:pStyle w:val="28"/>
                    <w:rPr>
                      <w:color w:val="auto"/>
                    </w:rPr>
                  </w:pPr>
                  <w:r>
                    <w:rPr>
                      <w:rFonts w:hint="eastAsia"/>
                      <w:color w:val="auto"/>
                    </w:rPr>
                    <w:t>凝土</w:t>
                  </w:r>
                </w:p>
              </w:tc>
              <w:tc>
                <w:tcPr>
                  <w:tcW w:w="720" w:type="pct"/>
                  <w:noWrap w:val="0"/>
                  <w:vAlign w:val="center"/>
                </w:tcPr>
                <w:p w14:paraId="356C9234">
                  <w:pPr>
                    <w:pStyle w:val="28"/>
                    <w:rPr>
                      <w:color w:val="auto"/>
                    </w:rPr>
                  </w:pPr>
                  <w:r>
                    <w:rPr>
                      <w:rFonts w:hint="eastAsia"/>
                      <w:color w:val="auto"/>
                    </w:rPr>
                    <w:t>预制品震动、切边、成品脱模、检测、码垛</w:t>
                  </w:r>
                </w:p>
              </w:tc>
              <w:tc>
                <w:tcPr>
                  <w:tcW w:w="696" w:type="pct"/>
                  <w:noWrap w:val="0"/>
                  <w:vAlign w:val="center"/>
                </w:tcPr>
                <w:p w14:paraId="0E6806C2">
                  <w:pPr>
                    <w:pStyle w:val="28"/>
                    <w:rPr>
                      <w:color w:val="auto"/>
                    </w:rPr>
                  </w:pPr>
                  <w:r>
                    <w:rPr>
                      <w:rFonts w:hint="eastAsia"/>
                      <w:color w:val="auto"/>
                    </w:rPr>
                    <w:t>间断</w:t>
                  </w:r>
                  <w:r>
                    <w:rPr>
                      <w:color w:val="auto"/>
                    </w:rPr>
                    <w:t>产生</w:t>
                  </w:r>
                </w:p>
              </w:tc>
              <w:tc>
                <w:tcPr>
                  <w:tcW w:w="857" w:type="pct"/>
                  <w:noWrap w:val="0"/>
                  <w:vAlign w:val="center"/>
                </w:tcPr>
                <w:p w14:paraId="65F62542">
                  <w:pPr>
                    <w:pStyle w:val="28"/>
                    <w:rPr>
                      <w:color w:val="auto"/>
                    </w:rPr>
                  </w:pPr>
                  <w:r>
                    <w:rPr>
                      <w:rFonts w:hint="eastAsia"/>
                      <w:color w:val="auto"/>
                    </w:rPr>
                    <w:t>混凝土</w:t>
                  </w:r>
                </w:p>
              </w:tc>
              <w:tc>
                <w:tcPr>
                  <w:tcW w:w="1862" w:type="pct"/>
                  <w:noWrap w:val="0"/>
                  <w:vAlign w:val="center"/>
                </w:tcPr>
                <w:p w14:paraId="0F623E5F">
                  <w:pPr>
                    <w:pStyle w:val="28"/>
                    <w:rPr>
                      <w:rFonts w:hint="eastAsia" w:eastAsia="宋体"/>
                      <w:color w:val="auto"/>
                      <w:lang w:val="en-US" w:eastAsia="zh-CN"/>
                    </w:rPr>
                  </w:pPr>
                  <w:r>
                    <w:rPr>
                      <w:rFonts w:hint="eastAsia"/>
                      <w:color w:val="auto"/>
                    </w:rPr>
                    <w:t>经敲碎后返回生产</w:t>
                  </w:r>
                </w:p>
              </w:tc>
            </w:tr>
            <w:tr w14:paraId="619AF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53" w:type="pct"/>
                  <w:vMerge w:val="continue"/>
                  <w:noWrap w:val="0"/>
                  <w:vAlign w:val="center"/>
                </w:tcPr>
                <w:p w14:paraId="21DE687C">
                  <w:pPr>
                    <w:pStyle w:val="28"/>
                    <w:rPr>
                      <w:color w:val="auto"/>
                    </w:rPr>
                  </w:pPr>
                </w:p>
              </w:tc>
              <w:tc>
                <w:tcPr>
                  <w:tcW w:w="609" w:type="pct"/>
                  <w:noWrap w:val="0"/>
                  <w:vAlign w:val="center"/>
                </w:tcPr>
                <w:p w14:paraId="034D0EEA">
                  <w:pPr>
                    <w:pStyle w:val="28"/>
                    <w:rPr>
                      <w:color w:val="auto"/>
                    </w:rPr>
                  </w:pPr>
                  <w:r>
                    <w:rPr>
                      <w:rFonts w:hint="eastAsia"/>
                      <w:color w:val="auto"/>
                    </w:rPr>
                    <w:t>布袋收尘灰</w:t>
                  </w:r>
                </w:p>
              </w:tc>
              <w:tc>
                <w:tcPr>
                  <w:tcW w:w="720" w:type="pct"/>
                  <w:noWrap w:val="0"/>
                  <w:vAlign w:val="center"/>
                </w:tcPr>
                <w:p w14:paraId="4E29AF44">
                  <w:pPr>
                    <w:pStyle w:val="28"/>
                    <w:rPr>
                      <w:color w:val="auto"/>
                    </w:rPr>
                  </w:pPr>
                  <w:r>
                    <w:rPr>
                      <w:rFonts w:hint="eastAsia" w:hAnsi="宋体"/>
                      <w:snapToGrid w:val="0"/>
                      <w:color w:val="auto"/>
                    </w:rPr>
                    <w:t>废气净化</w:t>
                  </w:r>
                </w:p>
              </w:tc>
              <w:tc>
                <w:tcPr>
                  <w:tcW w:w="696" w:type="pct"/>
                  <w:noWrap w:val="0"/>
                  <w:vAlign w:val="center"/>
                </w:tcPr>
                <w:p w14:paraId="42104606">
                  <w:pPr>
                    <w:pStyle w:val="28"/>
                    <w:rPr>
                      <w:color w:val="auto"/>
                    </w:rPr>
                  </w:pPr>
                  <w:r>
                    <w:rPr>
                      <w:color w:val="auto"/>
                    </w:rPr>
                    <w:t>连续产生</w:t>
                  </w:r>
                </w:p>
              </w:tc>
              <w:tc>
                <w:tcPr>
                  <w:tcW w:w="857" w:type="pct"/>
                  <w:noWrap w:val="0"/>
                  <w:vAlign w:val="center"/>
                </w:tcPr>
                <w:p w14:paraId="2AC661F3">
                  <w:pPr>
                    <w:pStyle w:val="28"/>
                    <w:rPr>
                      <w:color w:val="auto"/>
                    </w:rPr>
                  </w:pPr>
                  <w:r>
                    <w:rPr>
                      <w:rFonts w:hint="eastAsia"/>
                      <w:color w:val="auto"/>
                    </w:rPr>
                    <w:t>颗粒物</w:t>
                  </w:r>
                </w:p>
              </w:tc>
              <w:tc>
                <w:tcPr>
                  <w:tcW w:w="1862" w:type="pct"/>
                  <w:noWrap w:val="0"/>
                  <w:vAlign w:val="center"/>
                </w:tcPr>
                <w:p w14:paraId="3B2A003D">
                  <w:pPr>
                    <w:pStyle w:val="28"/>
                    <w:rPr>
                      <w:color w:val="auto"/>
                    </w:rPr>
                  </w:pPr>
                  <w:r>
                    <w:rPr>
                      <w:rFonts w:hint="eastAsia"/>
                      <w:color w:val="auto"/>
                    </w:rPr>
                    <w:t>返回生产</w:t>
                  </w:r>
                  <w:r>
                    <w:rPr>
                      <w:color w:val="auto"/>
                    </w:rPr>
                    <w:t>。</w:t>
                  </w:r>
                </w:p>
              </w:tc>
            </w:tr>
            <w:tr w14:paraId="5F5DF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53" w:type="pct"/>
                  <w:vMerge w:val="continue"/>
                  <w:noWrap w:val="0"/>
                  <w:vAlign w:val="center"/>
                </w:tcPr>
                <w:p w14:paraId="35517095">
                  <w:pPr>
                    <w:pStyle w:val="28"/>
                    <w:rPr>
                      <w:color w:val="auto"/>
                    </w:rPr>
                  </w:pPr>
                </w:p>
              </w:tc>
              <w:tc>
                <w:tcPr>
                  <w:tcW w:w="609" w:type="pct"/>
                  <w:noWrap w:val="0"/>
                  <w:vAlign w:val="center"/>
                </w:tcPr>
                <w:p w14:paraId="2EB24F19">
                  <w:pPr>
                    <w:pStyle w:val="28"/>
                    <w:rPr>
                      <w:color w:val="auto"/>
                    </w:rPr>
                  </w:pPr>
                  <w:r>
                    <w:rPr>
                      <w:rFonts w:hint="eastAsia"/>
                      <w:color w:val="auto"/>
                    </w:rPr>
                    <w:t>废金属</w:t>
                  </w:r>
                </w:p>
              </w:tc>
              <w:tc>
                <w:tcPr>
                  <w:tcW w:w="720" w:type="pct"/>
                  <w:noWrap w:val="0"/>
                  <w:vAlign w:val="center"/>
                </w:tcPr>
                <w:p w14:paraId="2826F36C">
                  <w:pPr>
                    <w:pStyle w:val="28"/>
                    <w:rPr>
                      <w:color w:val="auto"/>
                    </w:rPr>
                  </w:pPr>
                  <w:r>
                    <w:rPr>
                      <w:rFonts w:hint="eastAsia"/>
                      <w:color w:val="auto"/>
                    </w:rPr>
                    <w:t>钢筋加工</w:t>
                  </w:r>
                </w:p>
              </w:tc>
              <w:tc>
                <w:tcPr>
                  <w:tcW w:w="696" w:type="pct"/>
                  <w:noWrap w:val="0"/>
                  <w:vAlign w:val="center"/>
                </w:tcPr>
                <w:p w14:paraId="05698399">
                  <w:pPr>
                    <w:pStyle w:val="28"/>
                    <w:rPr>
                      <w:color w:val="auto"/>
                    </w:rPr>
                  </w:pPr>
                  <w:r>
                    <w:rPr>
                      <w:color w:val="auto"/>
                    </w:rPr>
                    <w:t>间断产生</w:t>
                  </w:r>
                </w:p>
              </w:tc>
              <w:tc>
                <w:tcPr>
                  <w:tcW w:w="857" w:type="pct"/>
                  <w:noWrap w:val="0"/>
                  <w:vAlign w:val="center"/>
                </w:tcPr>
                <w:p w14:paraId="4FEB38CB">
                  <w:pPr>
                    <w:pStyle w:val="28"/>
                    <w:rPr>
                      <w:color w:val="auto"/>
                    </w:rPr>
                  </w:pPr>
                  <w:r>
                    <w:rPr>
                      <w:rFonts w:hint="eastAsia"/>
                      <w:color w:val="auto"/>
                    </w:rPr>
                    <w:t>钢筋</w:t>
                  </w:r>
                </w:p>
              </w:tc>
              <w:tc>
                <w:tcPr>
                  <w:tcW w:w="1862" w:type="pct"/>
                  <w:noWrap w:val="0"/>
                  <w:vAlign w:val="center"/>
                </w:tcPr>
                <w:p w14:paraId="760414C3">
                  <w:pPr>
                    <w:pStyle w:val="28"/>
                    <w:rPr>
                      <w:rFonts w:hint="eastAsia"/>
                      <w:color w:val="auto"/>
                    </w:rPr>
                  </w:pPr>
                  <w:r>
                    <w:rPr>
                      <w:rFonts w:hint="eastAsia"/>
                      <w:color w:val="auto"/>
                    </w:rPr>
                    <w:t>外售给废物回收部门。</w:t>
                  </w:r>
                </w:p>
              </w:tc>
            </w:tr>
            <w:tr w14:paraId="5A9B4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53" w:type="pct"/>
                  <w:vMerge w:val="continue"/>
                  <w:noWrap w:val="0"/>
                  <w:vAlign w:val="center"/>
                </w:tcPr>
                <w:p w14:paraId="355C113A">
                  <w:pPr>
                    <w:pStyle w:val="28"/>
                    <w:rPr>
                      <w:color w:val="auto"/>
                    </w:rPr>
                  </w:pPr>
                </w:p>
              </w:tc>
              <w:tc>
                <w:tcPr>
                  <w:tcW w:w="609" w:type="pct"/>
                  <w:noWrap w:val="0"/>
                  <w:vAlign w:val="center"/>
                </w:tcPr>
                <w:p w14:paraId="2C0DE498">
                  <w:pPr>
                    <w:pStyle w:val="28"/>
                    <w:rPr>
                      <w:rFonts w:hint="eastAsia"/>
                      <w:color w:val="auto"/>
                    </w:rPr>
                  </w:pPr>
                  <w:r>
                    <w:rPr>
                      <w:rFonts w:hint="eastAsia"/>
                      <w:color w:val="auto"/>
                    </w:rPr>
                    <w:t>沉淀池沉渣</w:t>
                  </w:r>
                </w:p>
              </w:tc>
              <w:tc>
                <w:tcPr>
                  <w:tcW w:w="720" w:type="pct"/>
                  <w:noWrap w:val="0"/>
                  <w:vAlign w:val="center"/>
                </w:tcPr>
                <w:p w14:paraId="03E3E6D9">
                  <w:pPr>
                    <w:pStyle w:val="28"/>
                    <w:rPr>
                      <w:rFonts w:hint="eastAsia"/>
                      <w:color w:val="auto"/>
                    </w:rPr>
                  </w:pPr>
                  <w:r>
                    <w:rPr>
                      <w:rFonts w:hint="eastAsia"/>
                      <w:color w:val="auto"/>
                    </w:rPr>
                    <w:t>沉淀池</w:t>
                  </w:r>
                </w:p>
              </w:tc>
              <w:tc>
                <w:tcPr>
                  <w:tcW w:w="696" w:type="pct"/>
                  <w:noWrap w:val="0"/>
                  <w:vAlign w:val="center"/>
                </w:tcPr>
                <w:p w14:paraId="7C298E78">
                  <w:pPr>
                    <w:pStyle w:val="28"/>
                    <w:rPr>
                      <w:color w:val="auto"/>
                    </w:rPr>
                  </w:pPr>
                  <w:r>
                    <w:rPr>
                      <w:rFonts w:hint="eastAsia"/>
                      <w:color w:val="auto"/>
                    </w:rPr>
                    <w:t>间断产生</w:t>
                  </w:r>
                </w:p>
              </w:tc>
              <w:tc>
                <w:tcPr>
                  <w:tcW w:w="857" w:type="pct"/>
                  <w:noWrap w:val="0"/>
                  <w:vAlign w:val="center"/>
                </w:tcPr>
                <w:p w14:paraId="08E26AAF">
                  <w:pPr>
                    <w:pStyle w:val="28"/>
                    <w:rPr>
                      <w:rFonts w:hint="eastAsia"/>
                      <w:color w:val="auto"/>
                    </w:rPr>
                  </w:pPr>
                  <w:r>
                    <w:rPr>
                      <w:rFonts w:hint="eastAsia"/>
                      <w:color w:val="auto"/>
                    </w:rPr>
                    <w:t>沉淀池沉渣</w:t>
                  </w:r>
                </w:p>
              </w:tc>
              <w:tc>
                <w:tcPr>
                  <w:tcW w:w="1862" w:type="pct"/>
                  <w:noWrap w:val="0"/>
                  <w:vAlign w:val="center"/>
                </w:tcPr>
                <w:p w14:paraId="2C5406F3">
                  <w:pPr>
                    <w:pStyle w:val="28"/>
                    <w:rPr>
                      <w:rFonts w:hint="default" w:eastAsia="宋体"/>
                      <w:color w:val="auto"/>
                      <w:lang w:val="en-US" w:eastAsia="zh-CN"/>
                    </w:rPr>
                  </w:pPr>
                  <w:r>
                    <w:rPr>
                      <w:rFonts w:hint="eastAsia"/>
                      <w:color w:val="auto"/>
                      <w:szCs w:val="21"/>
                      <w:lang w:val="en-US" w:eastAsia="zh-CN"/>
                    </w:rPr>
                    <w:t>定期清掏进行填埋处置</w:t>
                  </w:r>
                </w:p>
              </w:tc>
            </w:tr>
            <w:tr w14:paraId="68426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53" w:type="pct"/>
                  <w:vMerge w:val="continue"/>
                  <w:noWrap w:val="0"/>
                  <w:vAlign w:val="center"/>
                </w:tcPr>
                <w:p w14:paraId="6E3D66C7">
                  <w:pPr>
                    <w:pStyle w:val="28"/>
                    <w:rPr>
                      <w:color w:val="auto"/>
                    </w:rPr>
                  </w:pPr>
                </w:p>
              </w:tc>
              <w:tc>
                <w:tcPr>
                  <w:tcW w:w="609" w:type="pct"/>
                  <w:noWrap w:val="0"/>
                  <w:vAlign w:val="center"/>
                </w:tcPr>
                <w:p w14:paraId="7D239DE2">
                  <w:pPr>
                    <w:pStyle w:val="28"/>
                    <w:jc w:val="both"/>
                    <w:rPr>
                      <w:color w:val="auto"/>
                    </w:rPr>
                  </w:pPr>
                  <w:r>
                    <w:rPr>
                      <w:color w:val="auto"/>
                    </w:rPr>
                    <w:t>废机油、废机油桶</w:t>
                  </w:r>
                  <w:r>
                    <w:rPr>
                      <w:rFonts w:hint="eastAsia"/>
                      <w:color w:val="auto"/>
                    </w:rPr>
                    <w:t>、含油抹布</w:t>
                  </w:r>
                </w:p>
              </w:tc>
              <w:tc>
                <w:tcPr>
                  <w:tcW w:w="720" w:type="pct"/>
                  <w:noWrap w:val="0"/>
                  <w:vAlign w:val="center"/>
                </w:tcPr>
                <w:p w14:paraId="4B0B5CCA">
                  <w:pPr>
                    <w:pStyle w:val="28"/>
                    <w:rPr>
                      <w:rFonts w:hint="eastAsia"/>
                      <w:color w:val="auto"/>
                    </w:rPr>
                  </w:pPr>
                  <w:r>
                    <w:rPr>
                      <w:rFonts w:hint="eastAsia"/>
                      <w:color w:val="auto"/>
                    </w:rPr>
                    <w:t>设备维修</w:t>
                  </w:r>
                </w:p>
              </w:tc>
              <w:tc>
                <w:tcPr>
                  <w:tcW w:w="696" w:type="pct"/>
                  <w:noWrap w:val="0"/>
                  <w:vAlign w:val="center"/>
                </w:tcPr>
                <w:p w14:paraId="00F8CD23">
                  <w:pPr>
                    <w:pStyle w:val="28"/>
                    <w:rPr>
                      <w:color w:val="auto"/>
                    </w:rPr>
                  </w:pPr>
                  <w:r>
                    <w:rPr>
                      <w:rFonts w:hint="eastAsia"/>
                      <w:color w:val="auto"/>
                    </w:rPr>
                    <w:t>间断产生</w:t>
                  </w:r>
                </w:p>
              </w:tc>
              <w:tc>
                <w:tcPr>
                  <w:tcW w:w="857" w:type="pct"/>
                  <w:noWrap w:val="0"/>
                  <w:vAlign w:val="center"/>
                </w:tcPr>
                <w:p w14:paraId="0457502B">
                  <w:pPr>
                    <w:pStyle w:val="28"/>
                    <w:rPr>
                      <w:rFonts w:hint="eastAsia"/>
                      <w:color w:val="auto"/>
                    </w:rPr>
                  </w:pPr>
                  <w:r>
                    <w:rPr>
                      <w:color w:val="auto"/>
                    </w:rPr>
                    <w:t>废机油、废机油桶</w:t>
                  </w:r>
                </w:p>
              </w:tc>
              <w:tc>
                <w:tcPr>
                  <w:tcW w:w="1862" w:type="pct"/>
                  <w:noWrap w:val="0"/>
                  <w:vAlign w:val="center"/>
                </w:tcPr>
                <w:p w14:paraId="30202EE5">
                  <w:pPr>
                    <w:pStyle w:val="28"/>
                    <w:rPr>
                      <w:rFonts w:hint="eastAsia"/>
                      <w:color w:val="auto"/>
                    </w:rPr>
                  </w:pPr>
                  <w:r>
                    <w:rPr>
                      <w:rFonts w:hint="eastAsia"/>
                      <w:color w:val="auto"/>
                    </w:rPr>
                    <w:t>暂存于危废暂存间、</w:t>
                  </w:r>
                  <w:r>
                    <w:rPr>
                      <w:rFonts w:hint="eastAsia" w:hAnsi="宋体"/>
                      <w:snapToGrid w:val="0"/>
                      <w:color w:val="auto"/>
                    </w:rPr>
                    <w:t>定期交由资质单位进行处理</w:t>
                  </w:r>
                </w:p>
              </w:tc>
            </w:tr>
            <w:tr w14:paraId="6EC27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53" w:type="pct"/>
                  <w:vMerge w:val="continue"/>
                  <w:noWrap w:val="0"/>
                  <w:vAlign w:val="center"/>
                </w:tcPr>
                <w:p w14:paraId="2DD2B4D2">
                  <w:pPr>
                    <w:pStyle w:val="28"/>
                    <w:rPr>
                      <w:color w:val="auto"/>
                    </w:rPr>
                  </w:pPr>
                </w:p>
              </w:tc>
              <w:tc>
                <w:tcPr>
                  <w:tcW w:w="609" w:type="pct"/>
                  <w:noWrap w:val="0"/>
                  <w:vAlign w:val="center"/>
                </w:tcPr>
                <w:p w14:paraId="51C5FEAD">
                  <w:pPr>
                    <w:pStyle w:val="28"/>
                    <w:rPr>
                      <w:color w:val="auto"/>
                    </w:rPr>
                  </w:pPr>
                  <w:r>
                    <w:rPr>
                      <w:color w:val="auto"/>
                    </w:rPr>
                    <w:t>生活</w:t>
                  </w:r>
                </w:p>
                <w:p w14:paraId="14C2B80E">
                  <w:pPr>
                    <w:pStyle w:val="28"/>
                    <w:rPr>
                      <w:color w:val="auto"/>
                    </w:rPr>
                  </w:pPr>
                  <w:r>
                    <w:rPr>
                      <w:color w:val="auto"/>
                    </w:rPr>
                    <w:t>垃圾</w:t>
                  </w:r>
                </w:p>
              </w:tc>
              <w:tc>
                <w:tcPr>
                  <w:tcW w:w="720" w:type="pct"/>
                  <w:noWrap w:val="0"/>
                  <w:vAlign w:val="center"/>
                </w:tcPr>
                <w:p w14:paraId="603B3ECA">
                  <w:pPr>
                    <w:pStyle w:val="28"/>
                    <w:rPr>
                      <w:color w:val="auto"/>
                    </w:rPr>
                  </w:pPr>
                  <w:r>
                    <w:rPr>
                      <w:color w:val="auto"/>
                    </w:rPr>
                    <w:t>员工办公生活</w:t>
                  </w:r>
                </w:p>
              </w:tc>
              <w:tc>
                <w:tcPr>
                  <w:tcW w:w="696" w:type="pct"/>
                  <w:noWrap w:val="0"/>
                  <w:vAlign w:val="center"/>
                </w:tcPr>
                <w:p w14:paraId="6982547A">
                  <w:pPr>
                    <w:pStyle w:val="28"/>
                    <w:rPr>
                      <w:color w:val="auto"/>
                    </w:rPr>
                  </w:pPr>
                  <w:r>
                    <w:rPr>
                      <w:color w:val="auto"/>
                    </w:rPr>
                    <w:t>连续产生</w:t>
                  </w:r>
                </w:p>
              </w:tc>
              <w:tc>
                <w:tcPr>
                  <w:tcW w:w="857" w:type="pct"/>
                  <w:noWrap w:val="0"/>
                  <w:vAlign w:val="center"/>
                </w:tcPr>
                <w:p w14:paraId="6533BA73">
                  <w:pPr>
                    <w:pStyle w:val="28"/>
                    <w:rPr>
                      <w:color w:val="auto"/>
                    </w:rPr>
                  </w:pPr>
                  <w:r>
                    <w:rPr>
                      <w:color w:val="auto"/>
                    </w:rPr>
                    <w:t>纸张、塑料等生活垃圾</w:t>
                  </w:r>
                </w:p>
              </w:tc>
              <w:tc>
                <w:tcPr>
                  <w:tcW w:w="1862" w:type="pct"/>
                  <w:noWrap w:val="0"/>
                  <w:vAlign w:val="center"/>
                </w:tcPr>
                <w:p w14:paraId="1A96BE83">
                  <w:pPr>
                    <w:pStyle w:val="28"/>
                    <w:rPr>
                      <w:rFonts w:hint="eastAsia" w:eastAsia="宋体"/>
                      <w:color w:val="auto"/>
                      <w:lang w:eastAsia="zh-CN"/>
                    </w:rPr>
                  </w:pPr>
                  <w:r>
                    <w:rPr>
                      <w:rFonts w:hint="eastAsia" w:hAnsi="宋体"/>
                      <w:snapToGrid w:val="0"/>
                      <w:color w:val="auto"/>
                    </w:rPr>
                    <w:t>集中收集，由</w:t>
                  </w:r>
                  <w:r>
                    <w:rPr>
                      <w:rFonts w:hint="eastAsia"/>
                      <w:color w:val="auto"/>
                      <w:szCs w:val="21"/>
                      <w:lang w:val="en-US" w:eastAsia="zh-CN"/>
                    </w:rPr>
                    <w:t>昆明洁龙保洁服务有限公司</w:t>
                  </w:r>
                  <w:r>
                    <w:rPr>
                      <w:color w:val="auto"/>
                      <w:szCs w:val="21"/>
                    </w:rPr>
                    <w:t>定期</w:t>
                  </w:r>
                  <w:r>
                    <w:rPr>
                      <w:rFonts w:hint="eastAsia"/>
                      <w:color w:val="auto"/>
                      <w:szCs w:val="21"/>
                      <w:lang w:val="en-US" w:eastAsia="zh-CN"/>
                    </w:rPr>
                    <w:t>清运</w:t>
                  </w:r>
                </w:p>
              </w:tc>
            </w:tr>
          </w:tbl>
          <w:p w14:paraId="6F6B0FD0">
            <w:pPr>
              <w:spacing w:line="500" w:lineRule="exact"/>
              <w:ind w:firstLine="199" w:firstLineChars="83"/>
              <w:rPr>
                <w:rFonts w:hint="eastAsia" w:ascii="宋体" w:hAnsi="宋体"/>
                <w:bCs/>
                <w:color w:val="auto"/>
                <w:szCs w:val="21"/>
              </w:rPr>
            </w:pPr>
          </w:p>
        </w:tc>
      </w:tr>
      <w:tr w14:paraId="4EDDE3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7" w:hRule="atLeast"/>
          <w:jc w:val="center"/>
        </w:trPr>
        <w:tc>
          <w:tcPr>
            <w:tcW w:w="339" w:type="dxa"/>
            <w:noWrap w:val="0"/>
            <w:vAlign w:val="center"/>
          </w:tcPr>
          <w:p w14:paraId="5EDF2705">
            <w:pPr>
              <w:pStyle w:val="16"/>
              <w:adjustRightInd w:val="0"/>
              <w:snapToGrid w:val="0"/>
              <w:spacing w:before="0" w:beforeAutospacing="0" w:after="0" w:afterAutospacing="0"/>
              <w:ind w:left="0" w:leftChars="0" w:firstLine="0" w:firstLineChars="0"/>
              <w:jc w:val="both"/>
              <w:rPr>
                <w:rFonts w:cs="宋体"/>
                <w:color w:val="auto"/>
                <w:sz w:val="21"/>
                <w:szCs w:val="21"/>
              </w:rPr>
            </w:pPr>
            <w:r>
              <w:rPr>
                <w:rFonts w:hint="eastAsia" w:cs="宋体"/>
                <w:bCs/>
                <w:color w:val="auto"/>
                <w:kern w:val="2"/>
                <w:sz w:val="21"/>
                <w:szCs w:val="21"/>
              </w:rPr>
              <w:t>与项目有关的原有环境污染问题</w:t>
            </w:r>
          </w:p>
        </w:tc>
        <w:tc>
          <w:tcPr>
            <w:tcW w:w="8645" w:type="dxa"/>
            <w:noWrap w:val="0"/>
            <w:vAlign w:val="top"/>
          </w:tcPr>
          <w:p w14:paraId="46B66AF0">
            <w:pPr>
              <w:snapToGrid w:val="0"/>
              <w:ind w:firstLine="480"/>
              <w:rPr>
                <w:rFonts w:hint="default" w:ascii="Times New Roman" w:hAnsi="Times New Roman" w:eastAsia="宋体" w:cs="Times New Roman"/>
                <w:color w:val="auto"/>
                <w:lang w:val="en-US" w:eastAsia="zh-CN"/>
              </w:rPr>
            </w:pPr>
            <w:r>
              <w:rPr>
                <w:rFonts w:hint="default" w:ascii="Times New Roman" w:hAnsi="Times New Roman" w:cs="Times New Roman"/>
                <w:color w:val="auto"/>
              </w:rPr>
              <w:t>本项目为新建项目，不存在与项目有关的原有环境污染和生态破坏问题</w:t>
            </w:r>
            <w:r>
              <w:rPr>
                <w:rFonts w:hint="default" w:ascii="Times New Roman" w:hAnsi="Times New Roman" w:cs="Times New Roman"/>
                <w:color w:val="auto"/>
                <w:lang w:eastAsia="zh-CN"/>
              </w:rPr>
              <w:t>，</w:t>
            </w:r>
            <w:r>
              <w:rPr>
                <w:rFonts w:hint="eastAsia" w:cs="Times New Roman"/>
                <w:color w:val="auto"/>
                <w:lang w:val="en-US" w:eastAsia="zh-CN"/>
              </w:rPr>
              <w:t>大</w:t>
            </w:r>
            <w:r>
              <w:rPr>
                <w:rFonts w:hint="default" w:ascii="Times New Roman" w:hAnsi="Times New Roman" w:cs="Times New Roman"/>
                <w:color w:val="auto"/>
                <w:lang w:val="en-US" w:eastAsia="zh-CN"/>
              </w:rPr>
              <w:t>部分设施已经建设完成</w:t>
            </w:r>
            <w:r>
              <w:rPr>
                <w:rFonts w:hint="eastAsia" w:cs="Times New Roman"/>
                <w:color w:val="auto"/>
                <w:lang w:val="en-US" w:eastAsia="zh-CN"/>
              </w:rPr>
              <w:t>，建设过程洒水降尘，严格控制噪声，不在夜间施工，施工废水回用，前期施工对环境影响较小。本次施工主要为环保措施的落实施工，主要为</w:t>
            </w:r>
            <w:r>
              <w:rPr>
                <w:rFonts w:hint="default" w:ascii="Times New Roman" w:hAnsi="Times New Roman" w:cs="Times New Roman"/>
                <w:color w:val="auto"/>
                <w:lang w:val="en-US" w:eastAsia="zh-CN"/>
              </w:rPr>
              <w:t>食堂应增设油烟净化器；锅炉废气排气筒应增设至</w:t>
            </w:r>
            <w:r>
              <w:rPr>
                <w:rFonts w:hint="eastAsia" w:cs="Times New Roman"/>
                <w:color w:val="auto"/>
                <w:lang w:val="en-US" w:eastAsia="zh-CN"/>
              </w:rPr>
              <w:t>30</w:t>
            </w:r>
            <w:r>
              <w:rPr>
                <w:rFonts w:hint="default" w:ascii="Times New Roman" w:hAnsi="Times New Roman" w:cs="Times New Roman"/>
                <w:color w:val="auto"/>
                <w:lang w:val="en-US" w:eastAsia="zh-CN"/>
              </w:rPr>
              <w:t>m高；食堂废水增加1个油水分离器；建设一个雨水</w:t>
            </w:r>
            <w:r>
              <w:rPr>
                <w:rFonts w:hint="eastAsia" w:cs="Times New Roman"/>
                <w:color w:val="auto"/>
                <w:lang w:val="en-US" w:eastAsia="zh-CN"/>
              </w:rPr>
              <w:t>收集池</w:t>
            </w:r>
            <w:r>
              <w:rPr>
                <w:rFonts w:hint="default" w:ascii="Times New Roman" w:hAnsi="Times New Roman" w:cs="Times New Roman"/>
                <w:color w:val="auto"/>
                <w:lang w:val="en-US" w:eastAsia="zh-CN"/>
              </w:rPr>
              <w:t>；一般固废储存区加盖棚顶。</w:t>
            </w:r>
          </w:p>
          <w:p w14:paraId="567C059F">
            <w:pPr>
              <w:snapToGrid w:val="0"/>
              <w:ind w:firstLine="480"/>
              <w:rPr>
                <w:rFonts w:hint="default" w:ascii="Times New Roman" w:hAnsi="Times New Roman" w:eastAsia="宋体" w:cs="Times New Roman"/>
                <w:color w:val="auto"/>
                <w:lang w:val="en-US" w:eastAsia="zh-CN"/>
              </w:rPr>
            </w:pPr>
          </w:p>
          <w:p w14:paraId="0552C94E">
            <w:pPr>
              <w:snapToGrid w:val="0"/>
              <w:ind w:firstLine="480"/>
              <w:rPr>
                <w:rFonts w:hint="default" w:ascii="Times New Roman" w:hAnsi="Times New Roman" w:eastAsia="宋体" w:cs="Times New Roman"/>
                <w:color w:val="auto"/>
                <w:lang w:val="en-US" w:eastAsia="zh-CN"/>
              </w:rPr>
            </w:pPr>
          </w:p>
          <w:p w14:paraId="041B9245">
            <w:pPr>
              <w:snapToGrid w:val="0"/>
              <w:ind w:firstLine="480"/>
              <w:rPr>
                <w:rFonts w:hint="default" w:ascii="Times New Roman" w:hAnsi="Times New Roman" w:eastAsia="宋体" w:cs="Times New Roman"/>
                <w:color w:val="auto"/>
                <w:lang w:val="en-US" w:eastAsia="zh-CN"/>
              </w:rPr>
            </w:pPr>
          </w:p>
          <w:p w14:paraId="4F2EF27F">
            <w:pPr>
              <w:snapToGrid w:val="0"/>
              <w:ind w:firstLine="480"/>
              <w:rPr>
                <w:rFonts w:hint="default" w:ascii="Times New Roman" w:hAnsi="Times New Roman" w:eastAsia="宋体" w:cs="Times New Roman"/>
                <w:color w:val="auto"/>
                <w:lang w:val="en-US" w:eastAsia="zh-CN"/>
              </w:rPr>
            </w:pPr>
          </w:p>
          <w:p w14:paraId="1707F4EF">
            <w:pPr>
              <w:snapToGrid w:val="0"/>
              <w:ind w:firstLine="480"/>
              <w:rPr>
                <w:rFonts w:hint="default" w:ascii="Times New Roman" w:hAnsi="Times New Roman" w:eastAsia="宋体" w:cs="Times New Roman"/>
                <w:color w:val="auto"/>
                <w:lang w:val="en-US" w:eastAsia="zh-CN"/>
              </w:rPr>
            </w:pPr>
          </w:p>
          <w:p w14:paraId="006612C5">
            <w:pPr>
              <w:snapToGrid w:val="0"/>
              <w:ind w:firstLine="480"/>
              <w:rPr>
                <w:rFonts w:hint="default" w:ascii="Times New Roman" w:hAnsi="Times New Roman" w:eastAsia="宋体" w:cs="Times New Roman"/>
                <w:color w:val="auto"/>
                <w:lang w:val="en-US" w:eastAsia="zh-CN"/>
              </w:rPr>
            </w:pPr>
          </w:p>
          <w:p w14:paraId="5689B18A">
            <w:pPr>
              <w:snapToGrid w:val="0"/>
              <w:ind w:firstLine="480"/>
              <w:rPr>
                <w:rFonts w:hint="default" w:ascii="Times New Roman" w:hAnsi="Times New Roman" w:eastAsia="宋体" w:cs="Times New Roman"/>
                <w:color w:val="auto"/>
                <w:lang w:val="en-US" w:eastAsia="zh-CN"/>
              </w:rPr>
            </w:pPr>
          </w:p>
          <w:p w14:paraId="19BF749A">
            <w:pPr>
              <w:snapToGrid w:val="0"/>
              <w:ind w:firstLine="480"/>
              <w:rPr>
                <w:rFonts w:hint="default" w:ascii="Times New Roman" w:hAnsi="Times New Roman" w:eastAsia="宋体" w:cs="Times New Roman"/>
                <w:color w:val="auto"/>
                <w:lang w:val="en-US" w:eastAsia="zh-CN"/>
              </w:rPr>
            </w:pPr>
          </w:p>
          <w:p w14:paraId="08C9A098">
            <w:pPr>
              <w:snapToGrid w:val="0"/>
              <w:ind w:firstLine="480"/>
              <w:rPr>
                <w:rFonts w:hint="default" w:ascii="Times New Roman" w:hAnsi="Times New Roman" w:eastAsia="宋体" w:cs="Times New Roman"/>
                <w:color w:val="auto"/>
                <w:lang w:val="en-US" w:eastAsia="zh-CN"/>
              </w:rPr>
            </w:pPr>
          </w:p>
          <w:p w14:paraId="10B31D25">
            <w:pPr>
              <w:snapToGrid w:val="0"/>
              <w:ind w:firstLine="480"/>
              <w:rPr>
                <w:rFonts w:hint="default" w:ascii="Times New Roman" w:hAnsi="Times New Roman" w:eastAsia="宋体" w:cs="Times New Roman"/>
                <w:color w:val="auto"/>
                <w:lang w:val="en-US" w:eastAsia="zh-CN"/>
              </w:rPr>
            </w:pPr>
          </w:p>
          <w:p w14:paraId="3A3AAF5B">
            <w:pPr>
              <w:snapToGrid w:val="0"/>
              <w:ind w:firstLine="480"/>
              <w:rPr>
                <w:rFonts w:hint="default" w:ascii="Times New Roman" w:hAnsi="Times New Roman" w:eastAsia="宋体" w:cs="Times New Roman"/>
                <w:color w:val="auto"/>
                <w:lang w:val="en-US" w:eastAsia="zh-CN"/>
              </w:rPr>
            </w:pPr>
          </w:p>
          <w:p w14:paraId="41B2529F">
            <w:pPr>
              <w:snapToGrid w:val="0"/>
              <w:ind w:firstLine="480"/>
              <w:rPr>
                <w:rFonts w:hint="default" w:ascii="Times New Roman" w:hAnsi="Times New Roman" w:eastAsia="宋体" w:cs="Times New Roman"/>
                <w:color w:val="auto"/>
                <w:lang w:val="en-US" w:eastAsia="zh-CN"/>
              </w:rPr>
            </w:pPr>
          </w:p>
          <w:p w14:paraId="31795504">
            <w:pPr>
              <w:snapToGrid w:val="0"/>
              <w:ind w:firstLine="480"/>
              <w:rPr>
                <w:rFonts w:hint="default" w:ascii="Times New Roman" w:hAnsi="Times New Roman" w:eastAsia="宋体" w:cs="Times New Roman"/>
                <w:color w:val="auto"/>
                <w:lang w:val="en-US" w:eastAsia="zh-CN"/>
              </w:rPr>
            </w:pPr>
          </w:p>
          <w:p w14:paraId="60C15481">
            <w:pPr>
              <w:snapToGrid w:val="0"/>
              <w:ind w:firstLine="480"/>
              <w:rPr>
                <w:rFonts w:hint="default" w:ascii="Times New Roman" w:hAnsi="Times New Roman" w:eastAsia="宋体" w:cs="Times New Roman"/>
                <w:color w:val="auto"/>
                <w:lang w:val="en-US" w:eastAsia="zh-CN"/>
              </w:rPr>
            </w:pPr>
          </w:p>
          <w:p w14:paraId="226EFA85">
            <w:pPr>
              <w:snapToGrid w:val="0"/>
              <w:ind w:firstLine="480"/>
              <w:rPr>
                <w:rFonts w:hint="default" w:ascii="Times New Roman" w:hAnsi="Times New Roman" w:eastAsia="宋体" w:cs="Times New Roman"/>
                <w:color w:val="auto"/>
                <w:lang w:val="en-US" w:eastAsia="zh-CN"/>
              </w:rPr>
            </w:pPr>
          </w:p>
          <w:p w14:paraId="4E783175">
            <w:pPr>
              <w:snapToGrid w:val="0"/>
              <w:ind w:firstLine="480"/>
              <w:rPr>
                <w:rFonts w:hint="default" w:ascii="Times New Roman" w:hAnsi="Times New Roman" w:eastAsia="宋体" w:cs="Times New Roman"/>
                <w:color w:val="auto"/>
                <w:lang w:val="en-US" w:eastAsia="zh-CN"/>
              </w:rPr>
            </w:pPr>
          </w:p>
          <w:p w14:paraId="3684182B">
            <w:pPr>
              <w:snapToGrid w:val="0"/>
              <w:ind w:firstLine="480"/>
              <w:rPr>
                <w:rFonts w:hint="default" w:ascii="Times New Roman" w:hAnsi="Times New Roman" w:eastAsia="宋体" w:cs="Times New Roman"/>
                <w:color w:val="auto"/>
                <w:lang w:val="en-US" w:eastAsia="zh-CN"/>
              </w:rPr>
            </w:pPr>
          </w:p>
          <w:p w14:paraId="15D13666">
            <w:pPr>
              <w:snapToGrid w:val="0"/>
              <w:ind w:firstLine="480"/>
              <w:rPr>
                <w:rFonts w:hint="default" w:ascii="Times New Roman" w:hAnsi="Times New Roman" w:eastAsia="宋体" w:cs="Times New Roman"/>
                <w:color w:val="auto"/>
                <w:lang w:val="en-US" w:eastAsia="zh-CN"/>
              </w:rPr>
            </w:pPr>
          </w:p>
          <w:p w14:paraId="298942B8">
            <w:pPr>
              <w:snapToGrid w:val="0"/>
              <w:ind w:firstLine="480"/>
              <w:rPr>
                <w:rFonts w:hint="default" w:ascii="Times New Roman" w:hAnsi="Times New Roman" w:eastAsia="宋体" w:cs="Times New Roman"/>
                <w:color w:val="auto"/>
                <w:lang w:val="en-US" w:eastAsia="zh-CN"/>
              </w:rPr>
            </w:pPr>
          </w:p>
          <w:p w14:paraId="6D56D4F9">
            <w:pPr>
              <w:snapToGrid w:val="0"/>
              <w:ind w:firstLine="480"/>
              <w:rPr>
                <w:rFonts w:hint="default" w:ascii="Times New Roman" w:hAnsi="Times New Roman" w:eastAsia="宋体" w:cs="Times New Roman"/>
                <w:color w:val="auto"/>
                <w:lang w:val="en-US" w:eastAsia="zh-CN"/>
              </w:rPr>
            </w:pPr>
          </w:p>
          <w:p w14:paraId="02CFC86A">
            <w:pPr>
              <w:snapToGrid w:val="0"/>
              <w:ind w:firstLine="480"/>
              <w:rPr>
                <w:rFonts w:hint="default" w:ascii="Times New Roman" w:hAnsi="Times New Roman" w:eastAsia="宋体" w:cs="Times New Roman"/>
                <w:color w:val="auto"/>
                <w:lang w:val="en-US" w:eastAsia="zh-CN"/>
              </w:rPr>
            </w:pPr>
          </w:p>
          <w:p w14:paraId="4E6ED992">
            <w:pPr>
              <w:snapToGrid w:val="0"/>
              <w:ind w:firstLine="480"/>
              <w:rPr>
                <w:rFonts w:hint="default" w:ascii="Times New Roman" w:hAnsi="Times New Roman" w:eastAsia="宋体" w:cs="Times New Roman"/>
                <w:color w:val="auto"/>
                <w:lang w:val="en-US" w:eastAsia="zh-CN"/>
              </w:rPr>
            </w:pPr>
          </w:p>
          <w:p w14:paraId="3C6C878B">
            <w:pPr>
              <w:snapToGrid w:val="0"/>
              <w:ind w:firstLine="480"/>
              <w:rPr>
                <w:rFonts w:hint="default" w:ascii="Times New Roman" w:hAnsi="Times New Roman" w:eastAsia="宋体" w:cs="Times New Roman"/>
                <w:color w:val="auto"/>
                <w:lang w:val="en-US" w:eastAsia="zh-CN"/>
              </w:rPr>
            </w:pPr>
          </w:p>
          <w:p w14:paraId="696031C8">
            <w:pPr>
              <w:snapToGrid w:val="0"/>
              <w:ind w:firstLine="480"/>
              <w:rPr>
                <w:rFonts w:hint="default" w:ascii="Times New Roman" w:hAnsi="Times New Roman" w:eastAsia="宋体" w:cs="Times New Roman"/>
                <w:color w:val="auto"/>
                <w:lang w:val="en-US" w:eastAsia="zh-CN"/>
              </w:rPr>
            </w:pPr>
          </w:p>
          <w:p w14:paraId="57CF0F54">
            <w:pPr>
              <w:snapToGrid w:val="0"/>
              <w:ind w:firstLine="480"/>
              <w:rPr>
                <w:rFonts w:hint="default" w:ascii="Times New Roman" w:hAnsi="Times New Roman" w:eastAsia="宋体" w:cs="Times New Roman"/>
                <w:color w:val="auto"/>
                <w:lang w:val="en-US" w:eastAsia="zh-CN"/>
              </w:rPr>
            </w:pPr>
          </w:p>
          <w:p w14:paraId="2E10949C">
            <w:pPr>
              <w:snapToGrid w:val="0"/>
              <w:ind w:firstLine="480"/>
              <w:rPr>
                <w:rFonts w:hint="default" w:ascii="Times New Roman" w:hAnsi="Times New Roman" w:eastAsia="宋体" w:cs="Times New Roman"/>
                <w:color w:val="auto"/>
                <w:lang w:val="en-US" w:eastAsia="zh-CN"/>
              </w:rPr>
            </w:pPr>
          </w:p>
          <w:p w14:paraId="745AB357">
            <w:pPr>
              <w:snapToGrid w:val="0"/>
              <w:ind w:firstLine="480"/>
              <w:rPr>
                <w:rFonts w:hint="default" w:ascii="Times New Roman" w:hAnsi="Times New Roman" w:eastAsia="宋体" w:cs="Times New Roman"/>
                <w:color w:val="auto"/>
                <w:lang w:val="en-US" w:eastAsia="zh-CN"/>
              </w:rPr>
            </w:pPr>
          </w:p>
          <w:p w14:paraId="1918DF44">
            <w:pPr>
              <w:pStyle w:val="34"/>
              <w:rPr>
                <w:rFonts w:hAnsi="宋体"/>
                <w:bCs/>
                <w:color w:val="auto"/>
                <w:szCs w:val="21"/>
              </w:rPr>
            </w:pPr>
          </w:p>
        </w:tc>
      </w:tr>
    </w:tbl>
    <w:p w14:paraId="5F7CA161">
      <w:pPr>
        <w:pStyle w:val="16"/>
        <w:ind w:firstLine="720"/>
        <w:jc w:val="center"/>
        <w:rPr>
          <w:rFonts w:ascii="黑体" w:hAnsi="黑体" w:eastAsia="黑体"/>
          <w:snapToGrid w:val="0"/>
          <w:color w:val="auto"/>
          <w:sz w:val="36"/>
          <w:szCs w:val="36"/>
        </w:rPr>
        <w:sectPr>
          <w:pgSz w:w="11906" w:h="16838"/>
          <w:pgMar w:top="1417" w:right="1417" w:bottom="1417" w:left="1417" w:header="851" w:footer="851" w:gutter="0"/>
          <w:pgNumType w:fmt="decimal"/>
          <w:cols w:space="720" w:num="1"/>
          <w:docGrid w:linePitch="312" w:charSpace="0"/>
        </w:sectPr>
      </w:pPr>
    </w:p>
    <w:p w14:paraId="5CF4BA39">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outlineLvl w:val="0"/>
        <w:rPr>
          <w:rFonts w:hint="eastAsia" w:ascii="宋体" w:hAnsi="宋体" w:eastAsia="宋体" w:cs="宋体"/>
          <w:b/>
          <w:bCs/>
          <w:snapToGrid w:val="0"/>
          <w:color w:val="auto"/>
          <w:sz w:val="30"/>
          <w:szCs w:val="30"/>
        </w:rPr>
      </w:pPr>
      <w:bookmarkStart w:id="12" w:name="_Toc150763276"/>
      <w:r>
        <w:rPr>
          <w:rFonts w:hint="eastAsia" w:ascii="宋体" w:hAnsi="宋体" w:eastAsia="宋体" w:cs="宋体"/>
          <w:b/>
          <w:bCs/>
          <w:snapToGrid w:val="0"/>
          <w:color w:val="auto"/>
          <w:sz w:val="30"/>
          <w:szCs w:val="30"/>
        </w:rPr>
        <w:t>三、区域环境质量现状、环境保护目标及评价标准</w:t>
      </w:r>
      <w:bookmarkEnd w:id="12"/>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8614"/>
      </w:tblGrid>
      <w:tr w14:paraId="2DEB98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6" w:hRule="atLeast"/>
          <w:jc w:val="center"/>
        </w:trPr>
        <w:tc>
          <w:tcPr>
            <w:tcW w:w="675" w:type="dxa"/>
            <w:noWrap w:val="0"/>
            <w:vAlign w:val="center"/>
          </w:tcPr>
          <w:p w14:paraId="160F8646">
            <w:pPr>
              <w:adjustRightInd w:val="0"/>
              <w:snapToGrid w:val="0"/>
              <w:ind w:firstLine="0" w:firstLineChars="0"/>
              <w:jc w:val="center"/>
              <w:rPr>
                <w:rFonts w:ascii="宋体" w:hAnsi="宋体" w:cs="宋体"/>
                <w:color w:val="auto"/>
                <w:kern w:val="0"/>
                <w:szCs w:val="21"/>
              </w:rPr>
            </w:pPr>
            <w:r>
              <w:rPr>
                <w:rFonts w:hint="eastAsia" w:ascii="宋体" w:hAnsi="宋体" w:cs="宋体"/>
                <w:color w:val="auto"/>
                <w:kern w:val="0"/>
                <w:szCs w:val="21"/>
              </w:rPr>
              <w:t>区域环境质量现状</w:t>
            </w:r>
          </w:p>
        </w:tc>
        <w:tc>
          <w:tcPr>
            <w:tcW w:w="8614" w:type="dxa"/>
            <w:noWrap w:val="0"/>
            <w:vAlign w:val="center"/>
          </w:tcPr>
          <w:p w14:paraId="0DE5F482">
            <w:pPr>
              <w:spacing w:line="500" w:lineRule="exact"/>
              <w:ind w:firstLine="482"/>
              <w:rPr>
                <w:b/>
                <w:color w:val="auto"/>
              </w:rPr>
            </w:pPr>
            <w:r>
              <w:rPr>
                <w:rFonts w:hint="eastAsia"/>
                <w:b/>
                <w:color w:val="auto"/>
              </w:rPr>
              <w:t>3.1</w:t>
            </w:r>
            <w:r>
              <w:rPr>
                <w:b/>
                <w:color w:val="auto"/>
              </w:rPr>
              <w:t>大气环境质量状况</w:t>
            </w:r>
          </w:p>
          <w:p w14:paraId="56170FC7">
            <w:pPr>
              <w:adjustRightInd w:val="0"/>
              <w:snapToGrid w:val="0"/>
              <w:ind w:firstLine="482"/>
              <w:rPr>
                <w:b/>
                <w:bCs/>
                <w:color w:val="auto"/>
                <w:kern w:val="0"/>
              </w:rPr>
            </w:pPr>
            <w:r>
              <w:rPr>
                <w:rFonts w:hint="eastAsia"/>
                <w:b/>
                <w:color w:val="auto"/>
              </w:rPr>
              <w:t>3.1.1</w:t>
            </w:r>
            <w:r>
              <w:rPr>
                <w:rFonts w:hint="eastAsia"/>
                <w:b/>
                <w:bCs/>
                <w:color w:val="auto"/>
                <w:kern w:val="0"/>
              </w:rPr>
              <w:t>环境空气质量现状</w:t>
            </w:r>
          </w:p>
          <w:p w14:paraId="32A76B10">
            <w:pPr>
              <w:ind w:firstLine="480"/>
              <w:rPr>
                <w:color w:val="auto"/>
              </w:rPr>
            </w:pPr>
            <w:r>
              <w:rPr>
                <w:rFonts w:hint="eastAsia"/>
                <w:color w:val="auto"/>
                <w:kern w:val="0"/>
              </w:rPr>
              <w:t>项目位于</w:t>
            </w:r>
            <w:r>
              <w:rPr>
                <w:rFonts w:hint="eastAsia"/>
                <w:color w:val="auto"/>
              </w:rPr>
              <w:t>云南省昆明市寻甸回族彝族自治县仁德街道</w:t>
            </w:r>
            <w:r>
              <w:rPr>
                <w:color w:val="auto"/>
                <w:kern w:val="0"/>
              </w:rPr>
              <w:t>，</w:t>
            </w:r>
            <w:r>
              <w:rPr>
                <w:rFonts w:hint="eastAsia"/>
                <w:color w:val="auto"/>
                <w:kern w:val="0"/>
              </w:rPr>
              <w:t>属于</w:t>
            </w:r>
            <w:r>
              <w:rPr>
                <w:rFonts w:hint="eastAsia"/>
                <w:color w:val="auto"/>
              </w:rPr>
              <w:t>环境空气质量功能区划二类区，执行《环境空气质量标准》（GB 3095-2012）二级标准。</w:t>
            </w:r>
          </w:p>
          <w:p w14:paraId="36975B42">
            <w:pPr>
              <w:ind w:firstLine="480"/>
              <w:rPr>
                <w:color w:val="auto"/>
              </w:rPr>
            </w:pPr>
            <w:r>
              <w:rPr>
                <w:rFonts w:hint="eastAsia"/>
                <w:color w:val="auto"/>
              </w:rPr>
              <w:t>根据</w:t>
            </w:r>
            <w:r>
              <w:rPr>
                <w:snapToGrid w:val="0"/>
                <w:color w:val="auto"/>
                <w:kern w:val="0"/>
              </w:rPr>
              <w:t>《202</w:t>
            </w:r>
            <w:r>
              <w:rPr>
                <w:rFonts w:hint="eastAsia"/>
                <w:snapToGrid w:val="0"/>
                <w:color w:val="auto"/>
                <w:kern w:val="0"/>
                <w:lang w:val="en-US" w:eastAsia="zh-CN"/>
              </w:rPr>
              <w:t>3</w:t>
            </w:r>
            <w:r>
              <w:rPr>
                <w:snapToGrid w:val="0"/>
                <w:color w:val="auto"/>
                <w:kern w:val="0"/>
              </w:rPr>
              <w:t>年度昆明市生态环境状况公报》，昆明市主城区环境空气优良率达</w:t>
            </w:r>
            <w:r>
              <w:rPr>
                <w:rFonts w:hint="eastAsia"/>
                <w:snapToGrid w:val="0"/>
                <w:color w:val="auto"/>
                <w:kern w:val="0"/>
              </w:rPr>
              <w:t>100</w:t>
            </w:r>
            <w:r>
              <w:rPr>
                <w:snapToGrid w:val="0"/>
                <w:color w:val="auto"/>
                <w:kern w:val="0"/>
              </w:rPr>
              <w:t>%，其中优</w:t>
            </w:r>
            <w:r>
              <w:rPr>
                <w:rFonts w:hint="eastAsia"/>
                <w:snapToGrid w:val="0"/>
                <w:color w:val="auto"/>
                <w:kern w:val="0"/>
              </w:rPr>
              <w:t>246</w:t>
            </w:r>
            <w:r>
              <w:rPr>
                <w:snapToGrid w:val="0"/>
                <w:color w:val="auto"/>
                <w:kern w:val="0"/>
              </w:rPr>
              <w:t>天，良</w:t>
            </w:r>
            <w:r>
              <w:rPr>
                <w:rFonts w:hint="eastAsia"/>
                <w:snapToGrid w:val="0"/>
                <w:color w:val="auto"/>
                <w:kern w:val="0"/>
              </w:rPr>
              <w:t>119</w:t>
            </w:r>
            <w:r>
              <w:rPr>
                <w:snapToGrid w:val="0"/>
                <w:color w:val="auto"/>
                <w:kern w:val="0"/>
              </w:rPr>
              <w:t>天。与202</w:t>
            </w:r>
            <w:r>
              <w:rPr>
                <w:rFonts w:hint="eastAsia"/>
                <w:snapToGrid w:val="0"/>
                <w:color w:val="auto"/>
                <w:kern w:val="0"/>
                <w:lang w:val="en-US" w:eastAsia="zh-CN"/>
              </w:rPr>
              <w:t>1</w:t>
            </w:r>
            <w:r>
              <w:rPr>
                <w:snapToGrid w:val="0"/>
                <w:color w:val="auto"/>
                <w:kern w:val="0"/>
              </w:rPr>
              <w:t>年相比，优级天数增加</w:t>
            </w:r>
            <w:r>
              <w:rPr>
                <w:rFonts w:hint="eastAsia"/>
                <w:snapToGrid w:val="0"/>
                <w:color w:val="auto"/>
                <w:kern w:val="0"/>
              </w:rPr>
              <w:t>37</w:t>
            </w:r>
            <w:r>
              <w:rPr>
                <w:snapToGrid w:val="0"/>
                <w:color w:val="auto"/>
                <w:kern w:val="0"/>
              </w:rPr>
              <w:t>天，环境空气污染综合指数</w:t>
            </w:r>
            <w:r>
              <w:rPr>
                <w:rFonts w:hint="eastAsia"/>
                <w:snapToGrid w:val="0"/>
                <w:color w:val="auto"/>
                <w:kern w:val="0"/>
              </w:rPr>
              <w:t>降低13.68%，空气质量大幅改善。各县（市）区环境空气质量总体保持良好。</w:t>
            </w:r>
            <w:r>
              <w:rPr>
                <w:rFonts w:hint="eastAsia"/>
                <w:color w:val="auto"/>
              </w:rPr>
              <w:t>与202</w:t>
            </w:r>
            <w:r>
              <w:rPr>
                <w:rFonts w:hint="eastAsia"/>
                <w:color w:val="auto"/>
                <w:lang w:val="en-US" w:eastAsia="zh-CN"/>
              </w:rPr>
              <w:t>2</w:t>
            </w:r>
            <w:r>
              <w:rPr>
                <w:rFonts w:hint="eastAsia"/>
                <w:color w:val="auto"/>
              </w:rPr>
              <w:t>年相比，安宁市、禄劝县、石林县、嵩明县、富民县、宜良县、寻甸县环境空气综合污染指数有所下降，环境空气综合污染指数有所上升。</w:t>
            </w:r>
          </w:p>
          <w:p w14:paraId="11C65FC9">
            <w:pPr>
              <w:ind w:firstLine="480"/>
              <w:rPr>
                <w:color w:val="auto"/>
              </w:rPr>
            </w:pPr>
            <w:r>
              <w:rPr>
                <w:rFonts w:hint="eastAsia"/>
                <w:color w:val="auto"/>
              </w:rPr>
              <w:t>因此，项目所在区域属于环境空气质量达标区。</w:t>
            </w:r>
          </w:p>
          <w:p w14:paraId="1D0FD32C">
            <w:pPr>
              <w:adjustRightInd w:val="0"/>
              <w:snapToGrid w:val="0"/>
              <w:ind w:firstLine="482"/>
              <w:rPr>
                <w:rFonts w:hint="eastAsia"/>
                <w:b/>
                <w:bCs/>
                <w:color w:val="auto"/>
              </w:rPr>
            </w:pPr>
            <w:r>
              <w:rPr>
                <w:rFonts w:hint="eastAsia"/>
                <w:b/>
                <w:bCs/>
                <w:color w:val="auto"/>
              </w:rPr>
              <w:t>3.1.2补充监测</w:t>
            </w:r>
          </w:p>
          <w:p w14:paraId="30E3A55C">
            <w:pPr>
              <w:ind w:firstLine="480"/>
              <w:rPr>
                <w:color w:val="auto"/>
              </w:rPr>
            </w:pPr>
            <w:r>
              <w:rPr>
                <w:rFonts w:hint="eastAsia"/>
                <w:color w:val="auto"/>
              </w:rPr>
              <w:t>2023年11月5日至11月8日云南健牛环境监测有限公司对项目区T</w:t>
            </w:r>
            <w:r>
              <w:rPr>
                <w:color w:val="auto"/>
              </w:rPr>
              <w:t>SP</w:t>
            </w:r>
            <w:r>
              <w:rPr>
                <w:rFonts w:hint="eastAsia"/>
                <w:color w:val="auto"/>
              </w:rPr>
              <w:t>和N</w:t>
            </w:r>
            <w:r>
              <w:rPr>
                <w:color w:val="auto"/>
              </w:rPr>
              <w:t>O</w:t>
            </w:r>
            <w:r>
              <w:rPr>
                <w:color w:val="auto"/>
                <w:vertAlign w:val="subscript"/>
              </w:rPr>
              <w:t>X</w:t>
            </w:r>
            <w:r>
              <w:rPr>
                <w:rFonts w:hint="eastAsia"/>
                <w:color w:val="auto"/>
              </w:rPr>
              <w:t>空气质量现状进行了监测，在项目区下风向10m</w:t>
            </w:r>
            <w:r>
              <w:rPr>
                <w:color w:val="auto"/>
              </w:rPr>
              <w:t>设置了</w:t>
            </w:r>
            <w:r>
              <w:rPr>
                <w:rFonts w:hint="eastAsia"/>
                <w:color w:val="auto"/>
              </w:rPr>
              <w:t>1</w:t>
            </w:r>
            <w:r>
              <w:rPr>
                <w:color w:val="auto"/>
              </w:rPr>
              <w:t>个监测点，</w:t>
            </w:r>
            <w:r>
              <w:rPr>
                <w:rFonts w:hint="eastAsia"/>
                <w:color w:val="auto"/>
              </w:rPr>
              <w:t>具体</w:t>
            </w:r>
            <w:r>
              <w:rPr>
                <w:color w:val="auto"/>
              </w:rPr>
              <w:t>监测结果统计</w:t>
            </w:r>
            <w:r>
              <w:rPr>
                <w:rFonts w:hint="eastAsia"/>
                <w:color w:val="auto"/>
              </w:rPr>
              <w:t>见表3-1。</w:t>
            </w:r>
          </w:p>
          <w:p w14:paraId="150C79A5">
            <w:pPr>
              <w:pStyle w:val="29"/>
              <w:spacing w:before="24" w:after="24"/>
              <w:rPr>
                <w:rFonts w:hint="eastAsia"/>
                <w:color w:val="auto"/>
              </w:rPr>
            </w:pPr>
            <w:r>
              <w:rPr>
                <w:rFonts w:hint="eastAsia"/>
                <w:color w:val="auto"/>
              </w:rPr>
              <w:t>表</w:t>
            </w:r>
            <w:r>
              <w:rPr>
                <w:rFonts w:hint="eastAsia"/>
                <w:color w:val="auto"/>
                <w:lang w:val="en-US" w:eastAsia="zh-CN"/>
              </w:rPr>
              <w:t>3-1</w:t>
            </w:r>
            <w:r>
              <w:rPr>
                <w:rFonts w:hint="eastAsia"/>
                <w:color w:val="auto"/>
              </w:rPr>
              <w:t xml:space="preserve">  本项目环境空气质量现状监测结果</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0"/>
              <w:gridCol w:w="3222"/>
              <w:gridCol w:w="1219"/>
              <w:gridCol w:w="2307"/>
              <w:gridCol w:w="670"/>
            </w:tblGrid>
            <w:tr w14:paraId="34C0F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noWrap w:val="0"/>
                  <w:vAlign w:val="center"/>
                </w:tcPr>
                <w:p w14:paraId="50E1BBBB">
                  <w:pPr>
                    <w:pStyle w:val="28"/>
                    <w:rPr>
                      <w:rFonts w:hint="eastAsia"/>
                      <w:b/>
                      <w:bCs/>
                      <w:color w:val="auto"/>
                    </w:rPr>
                  </w:pPr>
                  <w:r>
                    <w:rPr>
                      <w:rFonts w:hint="eastAsia"/>
                      <w:b/>
                      <w:bCs/>
                      <w:color w:val="auto"/>
                    </w:rPr>
                    <w:t>监测</w:t>
                  </w:r>
                </w:p>
                <w:p w14:paraId="012B2A0D">
                  <w:pPr>
                    <w:pStyle w:val="28"/>
                    <w:rPr>
                      <w:b/>
                      <w:bCs/>
                      <w:color w:val="auto"/>
                    </w:rPr>
                  </w:pPr>
                  <w:r>
                    <w:rPr>
                      <w:rFonts w:hint="eastAsia"/>
                      <w:b/>
                      <w:bCs/>
                      <w:color w:val="auto"/>
                    </w:rPr>
                    <w:t>点位</w:t>
                  </w:r>
                </w:p>
              </w:tc>
              <w:tc>
                <w:tcPr>
                  <w:tcW w:w="3443" w:type="dxa"/>
                  <w:noWrap w:val="0"/>
                  <w:vAlign w:val="center"/>
                </w:tcPr>
                <w:p w14:paraId="7C56631F">
                  <w:pPr>
                    <w:pStyle w:val="28"/>
                    <w:rPr>
                      <w:b/>
                      <w:bCs/>
                      <w:color w:val="auto"/>
                    </w:rPr>
                  </w:pPr>
                  <w:r>
                    <w:rPr>
                      <w:rFonts w:hint="eastAsia"/>
                      <w:b/>
                      <w:bCs/>
                      <w:color w:val="auto"/>
                    </w:rPr>
                    <w:t>采样时间</w:t>
                  </w:r>
                </w:p>
              </w:tc>
              <w:tc>
                <w:tcPr>
                  <w:tcW w:w="926" w:type="dxa"/>
                  <w:noWrap w:val="0"/>
                  <w:vAlign w:val="center"/>
                </w:tcPr>
                <w:p w14:paraId="7A366019">
                  <w:pPr>
                    <w:pStyle w:val="28"/>
                    <w:rPr>
                      <w:b/>
                      <w:bCs/>
                      <w:color w:val="auto"/>
                    </w:rPr>
                  </w:pPr>
                  <w:r>
                    <w:rPr>
                      <w:rFonts w:hint="eastAsia"/>
                      <w:b/>
                      <w:bCs/>
                      <w:color w:val="auto"/>
                    </w:rPr>
                    <w:t>监测值（mg/m</w:t>
                  </w:r>
                  <w:r>
                    <w:rPr>
                      <w:rFonts w:hint="eastAsia"/>
                      <w:b/>
                      <w:bCs/>
                      <w:color w:val="auto"/>
                      <w:vertAlign w:val="superscript"/>
                    </w:rPr>
                    <w:t>3</w:t>
                  </w:r>
                  <w:r>
                    <w:rPr>
                      <w:rFonts w:hint="eastAsia"/>
                      <w:b/>
                      <w:bCs/>
                      <w:color w:val="auto"/>
                    </w:rPr>
                    <w:t>）</w:t>
                  </w:r>
                </w:p>
              </w:tc>
              <w:tc>
                <w:tcPr>
                  <w:tcW w:w="2349" w:type="dxa"/>
                  <w:noWrap w:val="0"/>
                  <w:vAlign w:val="center"/>
                </w:tcPr>
                <w:p w14:paraId="30188D6E">
                  <w:pPr>
                    <w:pStyle w:val="28"/>
                    <w:rPr>
                      <w:rFonts w:hint="eastAsia"/>
                      <w:b/>
                      <w:bCs/>
                      <w:color w:val="auto"/>
                    </w:rPr>
                  </w:pPr>
                  <w:r>
                    <w:rPr>
                      <w:rFonts w:hint="eastAsia"/>
                      <w:b/>
                      <w:bCs/>
                      <w:color w:val="auto"/>
                    </w:rPr>
                    <w:t>标准值</w:t>
                  </w:r>
                </w:p>
              </w:tc>
              <w:tc>
                <w:tcPr>
                  <w:tcW w:w="692" w:type="dxa"/>
                  <w:noWrap w:val="0"/>
                  <w:vAlign w:val="center"/>
                </w:tcPr>
                <w:p w14:paraId="3DFA3ECE">
                  <w:pPr>
                    <w:pStyle w:val="28"/>
                    <w:rPr>
                      <w:rFonts w:hint="eastAsia"/>
                      <w:b/>
                      <w:bCs/>
                      <w:color w:val="auto"/>
                    </w:rPr>
                  </w:pPr>
                  <w:r>
                    <w:rPr>
                      <w:rFonts w:hint="eastAsia"/>
                      <w:b/>
                      <w:bCs/>
                      <w:color w:val="auto"/>
                    </w:rPr>
                    <w:t>达标情况</w:t>
                  </w:r>
                </w:p>
              </w:tc>
            </w:tr>
            <w:tr w14:paraId="286D4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0" w:type="auto"/>
                  <w:vMerge w:val="restart"/>
                  <w:noWrap w:val="0"/>
                  <w:vAlign w:val="center"/>
                </w:tcPr>
                <w:p w14:paraId="7E5962AC">
                  <w:pPr>
                    <w:pStyle w:val="28"/>
                    <w:rPr>
                      <w:color w:val="auto"/>
                    </w:rPr>
                  </w:pPr>
                  <w:r>
                    <w:rPr>
                      <w:color w:val="auto"/>
                      <w:spacing w:val="-4"/>
                      <w:szCs w:val="21"/>
                    </w:rPr>
                    <w:t>项目区下风向</w:t>
                  </w:r>
                  <w:r>
                    <w:rPr>
                      <w:color w:val="auto"/>
                      <w:spacing w:val="-4"/>
                    </w:rPr>
                    <w:t>10m</w:t>
                  </w:r>
                  <w:r>
                    <w:rPr>
                      <w:rFonts w:hint="eastAsia"/>
                      <w:color w:val="auto"/>
                      <w:spacing w:val="-4"/>
                    </w:rPr>
                    <w:t>（T</w:t>
                  </w:r>
                  <w:r>
                    <w:rPr>
                      <w:color w:val="auto"/>
                      <w:spacing w:val="-4"/>
                    </w:rPr>
                    <w:t>SP</w:t>
                  </w:r>
                  <w:r>
                    <w:rPr>
                      <w:rFonts w:hint="eastAsia"/>
                      <w:color w:val="auto"/>
                      <w:spacing w:val="-4"/>
                    </w:rPr>
                    <w:t>）</w:t>
                  </w:r>
                </w:p>
              </w:tc>
              <w:tc>
                <w:tcPr>
                  <w:tcW w:w="3443" w:type="dxa"/>
                  <w:noWrap w:val="0"/>
                  <w:vAlign w:val="center"/>
                </w:tcPr>
                <w:p w14:paraId="0ED99985">
                  <w:pPr>
                    <w:pStyle w:val="28"/>
                    <w:rPr>
                      <w:color w:val="auto"/>
                    </w:rPr>
                  </w:pPr>
                  <w:r>
                    <w:rPr>
                      <w:color w:val="auto"/>
                    </w:rPr>
                    <w:t>2023</w:t>
                  </w:r>
                  <w:r>
                    <w:rPr>
                      <w:rFonts w:hint="eastAsia"/>
                      <w:color w:val="auto"/>
                    </w:rPr>
                    <w:t>年11月5日</w:t>
                  </w:r>
                  <w:r>
                    <w:rPr>
                      <w:color w:val="auto"/>
                    </w:rPr>
                    <w:t>~2023</w:t>
                  </w:r>
                  <w:r>
                    <w:rPr>
                      <w:rFonts w:hint="eastAsia"/>
                      <w:color w:val="auto"/>
                    </w:rPr>
                    <w:t>年11月6日</w:t>
                  </w:r>
                </w:p>
              </w:tc>
              <w:tc>
                <w:tcPr>
                  <w:tcW w:w="926" w:type="dxa"/>
                  <w:noWrap w:val="0"/>
                  <w:vAlign w:val="center"/>
                </w:tcPr>
                <w:p w14:paraId="55052CF8">
                  <w:pPr>
                    <w:pStyle w:val="28"/>
                    <w:rPr>
                      <w:color w:val="auto"/>
                    </w:rPr>
                  </w:pPr>
                  <w:r>
                    <w:rPr>
                      <w:rFonts w:hint="eastAsia"/>
                      <w:color w:val="auto"/>
                      <w:spacing w:val="-2"/>
                    </w:rPr>
                    <w:t>0.115</w:t>
                  </w:r>
                </w:p>
              </w:tc>
              <w:tc>
                <w:tcPr>
                  <w:tcW w:w="2349" w:type="dxa"/>
                  <w:vMerge w:val="restart"/>
                  <w:noWrap w:val="0"/>
                  <w:vAlign w:val="center"/>
                </w:tcPr>
                <w:p w14:paraId="7861D6AD">
                  <w:pPr>
                    <w:pStyle w:val="28"/>
                    <w:rPr>
                      <w:rFonts w:hint="eastAsia"/>
                      <w:color w:val="auto"/>
                      <w:szCs w:val="21"/>
                    </w:rPr>
                  </w:pPr>
                  <w:r>
                    <w:rPr>
                      <w:color w:val="auto"/>
                      <w:szCs w:val="21"/>
                    </w:rPr>
                    <w:t>《环境空气质量标准》（GB3095-2012）二级标准0.3</w:t>
                  </w:r>
                  <w:r>
                    <w:rPr>
                      <w:rFonts w:hint="eastAsia"/>
                      <w:color w:val="auto"/>
                      <w:szCs w:val="21"/>
                    </w:rPr>
                    <w:t>m</w:t>
                  </w:r>
                  <w:r>
                    <w:rPr>
                      <w:color w:val="auto"/>
                      <w:szCs w:val="21"/>
                    </w:rPr>
                    <w:t>g/m</w:t>
                  </w:r>
                  <w:r>
                    <w:rPr>
                      <w:color w:val="auto"/>
                      <w:szCs w:val="21"/>
                      <w:vertAlign w:val="superscript"/>
                    </w:rPr>
                    <w:t>3</w:t>
                  </w:r>
                  <w:r>
                    <w:rPr>
                      <w:color w:val="auto"/>
                      <w:szCs w:val="21"/>
                    </w:rPr>
                    <w:t>（</w:t>
                  </w:r>
                  <w:r>
                    <w:rPr>
                      <w:rFonts w:hint="eastAsia"/>
                      <w:color w:val="auto"/>
                      <w:szCs w:val="21"/>
                    </w:rPr>
                    <w:t>日均</w:t>
                  </w:r>
                  <w:r>
                    <w:rPr>
                      <w:color w:val="auto"/>
                      <w:szCs w:val="21"/>
                    </w:rPr>
                    <w:t>值）</w:t>
                  </w:r>
                </w:p>
              </w:tc>
              <w:tc>
                <w:tcPr>
                  <w:tcW w:w="692" w:type="dxa"/>
                  <w:noWrap w:val="0"/>
                  <w:vAlign w:val="center"/>
                </w:tcPr>
                <w:p w14:paraId="59A1ABBD">
                  <w:pPr>
                    <w:pStyle w:val="28"/>
                    <w:rPr>
                      <w:color w:val="auto"/>
                    </w:rPr>
                  </w:pPr>
                  <w:r>
                    <w:rPr>
                      <w:rFonts w:hint="eastAsia"/>
                      <w:color w:val="auto"/>
                    </w:rPr>
                    <w:t>达标</w:t>
                  </w:r>
                </w:p>
              </w:tc>
            </w:tr>
            <w:tr w14:paraId="0FF01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0" w:type="auto"/>
                  <w:vMerge w:val="continue"/>
                  <w:noWrap w:val="0"/>
                  <w:vAlign w:val="center"/>
                </w:tcPr>
                <w:p w14:paraId="7BC5BD8A">
                  <w:pPr>
                    <w:pStyle w:val="28"/>
                    <w:rPr>
                      <w:color w:val="auto"/>
                    </w:rPr>
                  </w:pPr>
                </w:p>
              </w:tc>
              <w:tc>
                <w:tcPr>
                  <w:tcW w:w="3443" w:type="dxa"/>
                  <w:noWrap w:val="0"/>
                  <w:vAlign w:val="center"/>
                </w:tcPr>
                <w:p w14:paraId="7442C825">
                  <w:pPr>
                    <w:pStyle w:val="28"/>
                    <w:rPr>
                      <w:color w:val="auto"/>
                    </w:rPr>
                  </w:pPr>
                  <w:r>
                    <w:rPr>
                      <w:color w:val="auto"/>
                    </w:rPr>
                    <w:t>2023年</w:t>
                  </w:r>
                  <w:r>
                    <w:rPr>
                      <w:rFonts w:hint="eastAsia"/>
                      <w:color w:val="auto"/>
                    </w:rPr>
                    <w:t>11</w:t>
                  </w:r>
                  <w:r>
                    <w:rPr>
                      <w:color w:val="auto"/>
                    </w:rPr>
                    <w:t>月</w:t>
                  </w:r>
                  <w:r>
                    <w:rPr>
                      <w:rFonts w:hint="eastAsia"/>
                      <w:color w:val="auto"/>
                    </w:rPr>
                    <w:t>6</w:t>
                  </w:r>
                  <w:r>
                    <w:rPr>
                      <w:color w:val="auto"/>
                    </w:rPr>
                    <w:t>日~2023年</w:t>
                  </w:r>
                  <w:r>
                    <w:rPr>
                      <w:rFonts w:hint="eastAsia"/>
                      <w:color w:val="auto"/>
                    </w:rPr>
                    <w:t>11</w:t>
                  </w:r>
                  <w:r>
                    <w:rPr>
                      <w:color w:val="auto"/>
                    </w:rPr>
                    <w:t>月</w:t>
                  </w:r>
                  <w:r>
                    <w:rPr>
                      <w:rFonts w:hint="eastAsia"/>
                      <w:color w:val="auto"/>
                    </w:rPr>
                    <w:t>7</w:t>
                  </w:r>
                  <w:r>
                    <w:rPr>
                      <w:color w:val="auto"/>
                    </w:rPr>
                    <w:t>日</w:t>
                  </w:r>
                </w:p>
              </w:tc>
              <w:tc>
                <w:tcPr>
                  <w:tcW w:w="926" w:type="dxa"/>
                  <w:noWrap w:val="0"/>
                  <w:vAlign w:val="center"/>
                </w:tcPr>
                <w:p w14:paraId="0C9A3B2E">
                  <w:pPr>
                    <w:pStyle w:val="28"/>
                    <w:rPr>
                      <w:color w:val="auto"/>
                    </w:rPr>
                  </w:pPr>
                  <w:r>
                    <w:rPr>
                      <w:rFonts w:hint="eastAsia"/>
                      <w:color w:val="auto"/>
                      <w:spacing w:val="-2"/>
                    </w:rPr>
                    <w:t>0.110</w:t>
                  </w:r>
                </w:p>
              </w:tc>
              <w:tc>
                <w:tcPr>
                  <w:tcW w:w="2349" w:type="dxa"/>
                  <w:vMerge w:val="continue"/>
                  <w:noWrap w:val="0"/>
                  <w:vAlign w:val="center"/>
                </w:tcPr>
                <w:p w14:paraId="3040F63B">
                  <w:pPr>
                    <w:pStyle w:val="28"/>
                    <w:rPr>
                      <w:rFonts w:hint="eastAsia"/>
                      <w:color w:val="auto"/>
                    </w:rPr>
                  </w:pPr>
                </w:p>
              </w:tc>
              <w:tc>
                <w:tcPr>
                  <w:tcW w:w="692" w:type="dxa"/>
                  <w:noWrap w:val="0"/>
                  <w:vAlign w:val="center"/>
                </w:tcPr>
                <w:p w14:paraId="1D3C40B4">
                  <w:pPr>
                    <w:pStyle w:val="28"/>
                    <w:rPr>
                      <w:color w:val="auto"/>
                    </w:rPr>
                  </w:pPr>
                  <w:r>
                    <w:rPr>
                      <w:rFonts w:hint="eastAsia"/>
                      <w:color w:val="auto"/>
                    </w:rPr>
                    <w:t>达标</w:t>
                  </w:r>
                </w:p>
              </w:tc>
            </w:tr>
            <w:tr w14:paraId="044C3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noWrap w:val="0"/>
                  <w:vAlign w:val="center"/>
                </w:tcPr>
                <w:p w14:paraId="5ED6C61C">
                  <w:pPr>
                    <w:pStyle w:val="28"/>
                    <w:rPr>
                      <w:color w:val="auto"/>
                    </w:rPr>
                  </w:pPr>
                </w:p>
              </w:tc>
              <w:tc>
                <w:tcPr>
                  <w:tcW w:w="3443" w:type="dxa"/>
                  <w:noWrap w:val="0"/>
                  <w:vAlign w:val="center"/>
                </w:tcPr>
                <w:p w14:paraId="59BEF442">
                  <w:pPr>
                    <w:pStyle w:val="28"/>
                    <w:rPr>
                      <w:color w:val="auto"/>
                    </w:rPr>
                  </w:pPr>
                  <w:r>
                    <w:rPr>
                      <w:color w:val="auto"/>
                    </w:rPr>
                    <w:t>2023年</w:t>
                  </w:r>
                  <w:r>
                    <w:rPr>
                      <w:rFonts w:hint="eastAsia"/>
                      <w:color w:val="auto"/>
                    </w:rPr>
                    <w:t>11</w:t>
                  </w:r>
                  <w:r>
                    <w:rPr>
                      <w:color w:val="auto"/>
                    </w:rPr>
                    <w:t>月</w:t>
                  </w:r>
                  <w:r>
                    <w:rPr>
                      <w:rFonts w:hint="eastAsia"/>
                      <w:color w:val="auto"/>
                    </w:rPr>
                    <w:t>7</w:t>
                  </w:r>
                  <w:r>
                    <w:rPr>
                      <w:color w:val="auto"/>
                    </w:rPr>
                    <w:t>日~2023年</w:t>
                  </w:r>
                  <w:r>
                    <w:rPr>
                      <w:rFonts w:hint="eastAsia"/>
                      <w:color w:val="auto"/>
                    </w:rPr>
                    <w:t>11</w:t>
                  </w:r>
                  <w:r>
                    <w:rPr>
                      <w:color w:val="auto"/>
                    </w:rPr>
                    <w:t>月</w:t>
                  </w:r>
                  <w:r>
                    <w:rPr>
                      <w:rFonts w:hint="eastAsia"/>
                      <w:color w:val="auto"/>
                    </w:rPr>
                    <w:t>8</w:t>
                  </w:r>
                  <w:r>
                    <w:rPr>
                      <w:color w:val="auto"/>
                    </w:rPr>
                    <w:t>日</w:t>
                  </w:r>
                </w:p>
              </w:tc>
              <w:tc>
                <w:tcPr>
                  <w:tcW w:w="926" w:type="dxa"/>
                  <w:noWrap w:val="0"/>
                  <w:vAlign w:val="center"/>
                </w:tcPr>
                <w:p w14:paraId="4B73A99C">
                  <w:pPr>
                    <w:pStyle w:val="28"/>
                    <w:rPr>
                      <w:color w:val="auto"/>
                    </w:rPr>
                  </w:pPr>
                  <w:r>
                    <w:rPr>
                      <w:rFonts w:hint="eastAsia"/>
                      <w:color w:val="auto"/>
                      <w:spacing w:val="-2"/>
                    </w:rPr>
                    <w:t>0.121</w:t>
                  </w:r>
                </w:p>
              </w:tc>
              <w:tc>
                <w:tcPr>
                  <w:tcW w:w="2349" w:type="dxa"/>
                  <w:vMerge w:val="continue"/>
                  <w:noWrap w:val="0"/>
                  <w:vAlign w:val="center"/>
                </w:tcPr>
                <w:p w14:paraId="11670449">
                  <w:pPr>
                    <w:pStyle w:val="28"/>
                    <w:rPr>
                      <w:rFonts w:hint="eastAsia"/>
                      <w:color w:val="auto"/>
                    </w:rPr>
                  </w:pPr>
                </w:p>
              </w:tc>
              <w:tc>
                <w:tcPr>
                  <w:tcW w:w="692" w:type="dxa"/>
                  <w:noWrap w:val="0"/>
                  <w:vAlign w:val="center"/>
                </w:tcPr>
                <w:p w14:paraId="274702FE">
                  <w:pPr>
                    <w:pStyle w:val="28"/>
                    <w:rPr>
                      <w:color w:val="auto"/>
                    </w:rPr>
                  </w:pPr>
                  <w:r>
                    <w:rPr>
                      <w:rFonts w:hint="eastAsia"/>
                      <w:color w:val="auto"/>
                    </w:rPr>
                    <w:t>达标</w:t>
                  </w:r>
                </w:p>
              </w:tc>
            </w:tr>
            <w:tr w14:paraId="22A1B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noWrap w:val="0"/>
                  <w:vAlign w:val="center"/>
                </w:tcPr>
                <w:p w14:paraId="1AD63999">
                  <w:pPr>
                    <w:pStyle w:val="28"/>
                    <w:rPr>
                      <w:color w:val="auto"/>
                      <w:spacing w:val="-4"/>
                    </w:rPr>
                  </w:pPr>
                  <w:r>
                    <w:rPr>
                      <w:color w:val="auto"/>
                      <w:spacing w:val="-4"/>
                      <w:szCs w:val="21"/>
                    </w:rPr>
                    <w:t>项目区下风向</w:t>
                  </w:r>
                  <w:r>
                    <w:rPr>
                      <w:color w:val="auto"/>
                      <w:spacing w:val="-4"/>
                    </w:rPr>
                    <w:t>10m</w:t>
                  </w:r>
                </w:p>
                <w:p w14:paraId="7113CE64">
                  <w:pPr>
                    <w:pStyle w:val="28"/>
                    <w:rPr>
                      <w:color w:val="auto"/>
                    </w:rPr>
                  </w:pPr>
                  <w:r>
                    <w:rPr>
                      <w:color w:val="auto"/>
                      <w:spacing w:val="-4"/>
                    </w:rPr>
                    <w:t>(NO</w:t>
                  </w:r>
                  <w:r>
                    <w:rPr>
                      <w:color w:val="auto"/>
                      <w:spacing w:val="-4"/>
                      <w:vertAlign w:val="subscript"/>
                    </w:rPr>
                    <w:t>X</w:t>
                  </w:r>
                  <w:r>
                    <w:rPr>
                      <w:color w:val="auto"/>
                      <w:spacing w:val="-4"/>
                    </w:rPr>
                    <w:t>)</w:t>
                  </w:r>
                </w:p>
              </w:tc>
              <w:tc>
                <w:tcPr>
                  <w:tcW w:w="3443" w:type="dxa"/>
                  <w:vMerge w:val="restart"/>
                  <w:noWrap w:val="0"/>
                  <w:vAlign w:val="center"/>
                </w:tcPr>
                <w:p w14:paraId="4FE70418">
                  <w:pPr>
                    <w:pStyle w:val="28"/>
                    <w:rPr>
                      <w:color w:val="auto"/>
                    </w:rPr>
                  </w:pPr>
                  <w:r>
                    <w:rPr>
                      <w:color w:val="auto"/>
                    </w:rPr>
                    <w:t>2023</w:t>
                  </w:r>
                  <w:r>
                    <w:rPr>
                      <w:rFonts w:hint="eastAsia"/>
                      <w:color w:val="auto"/>
                    </w:rPr>
                    <w:t>年11月5日</w:t>
                  </w:r>
                  <w:r>
                    <w:rPr>
                      <w:color w:val="auto"/>
                    </w:rPr>
                    <w:t>~2023</w:t>
                  </w:r>
                  <w:r>
                    <w:rPr>
                      <w:rFonts w:hint="eastAsia"/>
                      <w:color w:val="auto"/>
                    </w:rPr>
                    <w:t>年11月6日</w:t>
                  </w:r>
                </w:p>
              </w:tc>
              <w:tc>
                <w:tcPr>
                  <w:tcW w:w="926" w:type="dxa"/>
                  <w:noWrap w:val="0"/>
                  <w:vAlign w:val="top"/>
                </w:tcPr>
                <w:p w14:paraId="454EAAC2">
                  <w:pPr>
                    <w:pStyle w:val="28"/>
                    <w:rPr>
                      <w:rFonts w:hint="eastAsia"/>
                      <w:color w:val="auto"/>
                      <w:spacing w:val="-2"/>
                    </w:rPr>
                  </w:pPr>
                  <w:r>
                    <w:rPr>
                      <w:color w:val="auto"/>
                      <w:spacing w:val="-2"/>
                    </w:rPr>
                    <w:t>0.112</w:t>
                  </w:r>
                </w:p>
              </w:tc>
              <w:tc>
                <w:tcPr>
                  <w:tcW w:w="2349" w:type="dxa"/>
                  <w:vMerge w:val="restart"/>
                  <w:noWrap w:val="0"/>
                  <w:vAlign w:val="center"/>
                </w:tcPr>
                <w:p w14:paraId="3C6C29DB">
                  <w:pPr>
                    <w:pStyle w:val="28"/>
                    <w:rPr>
                      <w:rFonts w:hint="eastAsia"/>
                      <w:color w:val="auto"/>
                    </w:rPr>
                  </w:pPr>
                  <w:r>
                    <w:rPr>
                      <w:color w:val="auto"/>
                      <w:szCs w:val="21"/>
                    </w:rPr>
                    <w:t>《环境空气质量标准》（GB3095-2012）二级标准</w:t>
                  </w:r>
                  <w:r>
                    <w:rPr>
                      <w:rFonts w:hint="eastAsia"/>
                      <w:color w:val="auto"/>
                      <w:szCs w:val="21"/>
                    </w:rPr>
                    <w:t>0.25m</w:t>
                  </w:r>
                  <w:r>
                    <w:rPr>
                      <w:color w:val="auto"/>
                      <w:szCs w:val="21"/>
                    </w:rPr>
                    <w:t>g/m</w:t>
                  </w:r>
                  <w:r>
                    <w:rPr>
                      <w:color w:val="auto"/>
                      <w:szCs w:val="21"/>
                      <w:vertAlign w:val="superscript"/>
                    </w:rPr>
                    <w:t>3</w:t>
                  </w:r>
                  <w:r>
                    <w:rPr>
                      <w:color w:val="auto"/>
                      <w:szCs w:val="21"/>
                    </w:rPr>
                    <w:t>（</w:t>
                  </w:r>
                  <w:r>
                    <w:rPr>
                      <w:rFonts w:hint="eastAsia"/>
                      <w:color w:val="auto"/>
                      <w:szCs w:val="21"/>
                    </w:rPr>
                    <w:t>小时</w:t>
                  </w:r>
                  <w:r>
                    <w:rPr>
                      <w:color w:val="auto"/>
                      <w:szCs w:val="21"/>
                    </w:rPr>
                    <w:t>值）</w:t>
                  </w:r>
                </w:p>
              </w:tc>
              <w:tc>
                <w:tcPr>
                  <w:tcW w:w="692" w:type="dxa"/>
                  <w:noWrap w:val="0"/>
                  <w:vAlign w:val="top"/>
                </w:tcPr>
                <w:p w14:paraId="7F2E003A">
                  <w:pPr>
                    <w:pStyle w:val="28"/>
                    <w:rPr>
                      <w:rFonts w:hint="eastAsia"/>
                      <w:color w:val="auto"/>
                    </w:rPr>
                  </w:pPr>
                  <w:r>
                    <w:rPr>
                      <w:rFonts w:hint="eastAsia"/>
                      <w:color w:val="auto"/>
                    </w:rPr>
                    <w:t>达标</w:t>
                  </w:r>
                </w:p>
              </w:tc>
            </w:tr>
            <w:tr w14:paraId="47376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noWrap w:val="0"/>
                  <w:vAlign w:val="center"/>
                </w:tcPr>
                <w:p w14:paraId="5C34F9FA">
                  <w:pPr>
                    <w:pStyle w:val="28"/>
                    <w:rPr>
                      <w:color w:val="auto"/>
                    </w:rPr>
                  </w:pPr>
                </w:p>
              </w:tc>
              <w:tc>
                <w:tcPr>
                  <w:tcW w:w="3443" w:type="dxa"/>
                  <w:vMerge w:val="continue"/>
                  <w:noWrap w:val="0"/>
                  <w:vAlign w:val="center"/>
                </w:tcPr>
                <w:p w14:paraId="75F91A34">
                  <w:pPr>
                    <w:pStyle w:val="28"/>
                    <w:rPr>
                      <w:color w:val="auto"/>
                    </w:rPr>
                  </w:pPr>
                </w:p>
              </w:tc>
              <w:tc>
                <w:tcPr>
                  <w:tcW w:w="926" w:type="dxa"/>
                  <w:noWrap w:val="0"/>
                  <w:vAlign w:val="top"/>
                </w:tcPr>
                <w:p w14:paraId="01A83E53">
                  <w:pPr>
                    <w:pStyle w:val="28"/>
                    <w:rPr>
                      <w:rFonts w:hint="eastAsia"/>
                      <w:color w:val="auto"/>
                      <w:spacing w:val="-2"/>
                    </w:rPr>
                  </w:pPr>
                  <w:r>
                    <w:rPr>
                      <w:color w:val="auto"/>
                      <w:spacing w:val="-2"/>
                    </w:rPr>
                    <w:t>0.114</w:t>
                  </w:r>
                </w:p>
              </w:tc>
              <w:tc>
                <w:tcPr>
                  <w:tcW w:w="2349" w:type="dxa"/>
                  <w:vMerge w:val="continue"/>
                  <w:noWrap w:val="0"/>
                  <w:vAlign w:val="center"/>
                </w:tcPr>
                <w:p w14:paraId="30B75516">
                  <w:pPr>
                    <w:pStyle w:val="28"/>
                    <w:rPr>
                      <w:rFonts w:hint="eastAsia"/>
                      <w:color w:val="auto"/>
                    </w:rPr>
                  </w:pPr>
                </w:p>
              </w:tc>
              <w:tc>
                <w:tcPr>
                  <w:tcW w:w="692" w:type="dxa"/>
                  <w:noWrap w:val="0"/>
                  <w:vAlign w:val="top"/>
                </w:tcPr>
                <w:p w14:paraId="34D5AA39">
                  <w:pPr>
                    <w:pStyle w:val="28"/>
                    <w:rPr>
                      <w:rFonts w:hint="eastAsia"/>
                      <w:color w:val="auto"/>
                    </w:rPr>
                  </w:pPr>
                  <w:r>
                    <w:rPr>
                      <w:rFonts w:hint="eastAsia"/>
                      <w:color w:val="auto"/>
                    </w:rPr>
                    <w:t>达标</w:t>
                  </w:r>
                </w:p>
              </w:tc>
            </w:tr>
            <w:tr w14:paraId="74035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noWrap w:val="0"/>
                  <w:vAlign w:val="center"/>
                </w:tcPr>
                <w:p w14:paraId="1A6D583B">
                  <w:pPr>
                    <w:pStyle w:val="28"/>
                    <w:rPr>
                      <w:color w:val="auto"/>
                    </w:rPr>
                  </w:pPr>
                </w:p>
              </w:tc>
              <w:tc>
                <w:tcPr>
                  <w:tcW w:w="3443" w:type="dxa"/>
                  <w:vMerge w:val="continue"/>
                  <w:noWrap w:val="0"/>
                  <w:vAlign w:val="center"/>
                </w:tcPr>
                <w:p w14:paraId="31DECC67">
                  <w:pPr>
                    <w:pStyle w:val="28"/>
                    <w:rPr>
                      <w:color w:val="auto"/>
                    </w:rPr>
                  </w:pPr>
                </w:p>
              </w:tc>
              <w:tc>
                <w:tcPr>
                  <w:tcW w:w="926" w:type="dxa"/>
                  <w:noWrap w:val="0"/>
                  <w:vAlign w:val="top"/>
                </w:tcPr>
                <w:p w14:paraId="3ED61A48">
                  <w:pPr>
                    <w:pStyle w:val="28"/>
                    <w:rPr>
                      <w:rFonts w:hint="eastAsia"/>
                      <w:color w:val="auto"/>
                      <w:spacing w:val="-2"/>
                    </w:rPr>
                  </w:pPr>
                  <w:r>
                    <w:rPr>
                      <w:color w:val="auto"/>
                      <w:spacing w:val="-2"/>
                    </w:rPr>
                    <w:t>0.107</w:t>
                  </w:r>
                </w:p>
              </w:tc>
              <w:tc>
                <w:tcPr>
                  <w:tcW w:w="2349" w:type="dxa"/>
                  <w:vMerge w:val="continue"/>
                  <w:noWrap w:val="0"/>
                  <w:vAlign w:val="center"/>
                </w:tcPr>
                <w:p w14:paraId="77FDB958">
                  <w:pPr>
                    <w:pStyle w:val="28"/>
                    <w:rPr>
                      <w:rFonts w:hint="eastAsia"/>
                      <w:color w:val="auto"/>
                    </w:rPr>
                  </w:pPr>
                </w:p>
              </w:tc>
              <w:tc>
                <w:tcPr>
                  <w:tcW w:w="692" w:type="dxa"/>
                  <w:noWrap w:val="0"/>
                  <w:vAlign w:val="top"/>
                </w:tcPr>
                <w:p w14:paraId="2B74741E">
                  <w:pPr>
                    <w:pStyle w:val="28"/>
                    <w:rPr>
                      <w:rFonts w:hint="eastAsia"/>
                      <w:color w:val="auto"/>
                    </w:rPr>
                  </w:pPr>
                  <w:r>
                    <w:rPr>
                      <w:rFonts w:hint="eastAsia"/>
                      <w:color w:val="auto"/>
                    </w:rPr>
                    <w:t>达标</w:t>
                  </w:r>
                </w:p>
              </w:tc>
            </w:tr>
            <w:tr w14:paraId="17189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noWrap w:val="0"/>
                  <w:vAlign w:val="center"/>
                </w:tcPr>
                <w:p w14:paraId="7FE5479B">
                  <w:pPr>
                    <w:pStyle w:val="28"/>
                    <w:rPr>
                      <w:color w:val="auto"/>
                    </w:rPr>
                  </w:pPr>
                </w:p>
              </w:tc>
              <w:tc>
                <w:tcPr>
                  <w:tcW w:w="3443" w:type="dxa"/>
                  <w:vMerge w:val="continue"/>
                  <w:noWrap w:val="0"/>
                  <w:vAlign w:val="center"/>
                </w:tcPr>
                <w:p w14:paraId="48B6B032">
                  <w:pPr>
                    <w:pStyle w:val="28"/>
                    <w:rPr>
                      <w:color w:val="auto"/>
                    </w:rPr>
                  </w:pPr>
                </w:p>
              </w:tc>
              <w:tc>
                <w:tcPr>
                  <w:tcW w:w="926" w:type="dxa"/>
                  <w:noWrap w:val="0"/>
                  <w:vAlign w:val="top"/>
                </w:tcPr>
                <w:p w14:paraId="2F6C5E63">
                  <w:pPr>
                    <w:pStyle w:val="28"/>
                    <w:rPr>
                      <w:rFonts w:hint="eastAsia"/>
                      <w:color w:val="auto"/>
                      <w:spacing w:val="-2"/>
                    </w:rPr>
                  </w:pPr>
                  <w:r>
                    <w:rPr>
                      <w:color w:val="auto"/>
                      <w:spacing w:val="-2"/>
                    </w:rPr>
                    <w:t>0.115</w:t>
                  </w:r>
                </w:p>
              </w:tc>
              <w:tc>
                <w:tcPr>
                  <w:tcW w:w="2349" w:type="dxa"/>
                  <w:vMerge w:val="continue"/>
                  <w:noWrap w:val="0"/>
                  <w:vAlign w:val="center"/>
                </w:tcPr>
                <w:p w14:paraId="5525B0C3">
                  <w:pPr>
                    <w:pStyle w:val="28"/>
                    <w:rPr>
                      <w:rFonts w:hint="eastAsia"/>
                      <w:color w:val="auto"/>
                    </w:rPr>
                  </w:pPr>
                </w:p>
              </w:tc>
              <w:tc>
                <w:tcPr>
                  <w:tcW w:w="692" w:type="dxa"/>
                  <w:noWrap w:val="0"/>
                  <w:vAlign w:val="top"/>
                </w:tcPr>
                <w:p w14:paraId="737C8725">
                  <w:pPr>
                    <w:pStyle w:val="28"/>
                    <w:rPr>
                      <w:rFonts w:hint="eastAsia"/>
                      <w:color w:val="auto"/>
                    </w:rPr>
                  </w:pPr>
                  <w:r>
                    <w:rPr>
                      <w:rFonts w:hint="eastAsia"/>
                      <w:color w:val="auto"/>
                    </w:rPr>
                    <w:t>达标</w:t>
                  </w:r>
                </w:p>
              </w:tc>
            </w:tr>
            <w:tr w14:paraId="145F8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noWrap w:val="0"/>
                  <w:vAlign w:val="center"/>
                </w:tcPr>
                <w:p w14:paraId="7518DDF8">
                  <w:pPr>
                    <w:pStyle w:val="28"/>
                    <w:rPr>
                      <w:color w:val="auto"/>
                    </w:rPr>
                  </w:pPr>
                </w:p>
              </w:tc>
              <w:tc>
                <w:tcPr>
                  <w:tcW w:w="3443" w:type="dxa"/>
                  <w:vMerge w:val="restart"/>
                  <w:noWrap w:val="0"/>
                  <w:vAlign w:val="center"/>
                </w:tcPr>
                <w:p w14:paraId="4E65CE19">
                  <w:pPr>
                    <w:pStyle w:val="28"/>
                    <w:rPr>
                      <w:color w:val="auto"/>
                    </w:rPr>
                  </w:pPr>
                  <w:r>
                    <w:rPr>
                      <w:color w:val="auto"/>
                    </w:rPr>
                    <w:t>2023年</w:t>
                  </w:r>
                  <w:r>
                    <w:rPr>
                      <w:rFonts w:hint="eastAsia"/>
                      <w:color w:val="auto"/>
                    </w:rPr>
                    <w:t>11</w:t>
                  </w:r>
                  <w:r>
                    <w:rPr>
                      <w:color w:val="auto"/>
                    </w:rPr>
                    <w:t>月</w:t>
                  </w:r>
                  <w:r>
                    <w:rPr>
                      <w:rFonts w:hint="eastAsia"/>
                      <w:color w:val="auto"/>
                    </w:rPr>
                    <w:t>6</w:t>
                  </w:r>
                  <w:r>
                    <w:rPr>
                      <w:color w:val="auto"/>
                    </w:rPr>
                    <w:t>日~2023年</w:t>
                  </w:r>
                  <w:r>
                    <w:rPr>
                      <w:rFonts w:hint="eastAsia"/>
                      <w:color w:val="auto"/>
                    </w:rPr>
                    <w:t>11</w:t>
                  </w:r>
                  <w:r>
                    <w:rPr>
                      <w:color w:val="auto"/>
                    </w:rPr>
                    <w:t>月</w:t>
                  </w:r>
                  <w:r>
                    <w:rPr>
                      <w:rFonts w:hint="eastAsia"/>
                      <w:color w:val="auto"/>
                    </w:rPr>
                    <w:t>7</w:t>
                  </w:r>
                  <w:r>
                    <w:rPr>
                      <w:color w:val="auto"/>
                    </w:rPr>
                    <w:t>日</w:t>
                  </w:r>
                </w:p>
              </w:tc>
              <w:tc>
                <w:tcPr>
                  <w:tcW w:w="926" w:type="dxa"/>
                  <w:noWrap w:val="0"/>
                  <w:vAlign w:val="top"/>
                </w:tcPr>
                <w:p w14:paraId="1ACBEFB8">
                  <w:pPr>
                    <w:pStyle w:val="28"/>
                    <w:rPr>
                      <w:rFonts w:hint="eastAsia"/>
                      <w:color w:val="auto"/>
                      <w:spacing w:val="-2"/>
                    </w:rPr>
                  </w:pPr>
                  <w:r>
                    <w:rPr>
                      <w:color w:val="auto"/>
                      <w:spacing w:val="-2"/>
                    </w:rPr>
                    <w:t>0.101</w:t>
                  </w:r>
                </w:p>
              </w:tc>
              <w:tc>
                <w:tcPr>
                  <w:tcW w:w="2349" w:type="dxa"/>
                  <w:vMerge w:val="continue"/>
                  <w:noWrap w:val="0"/>
                  <w:vAlign w:val="center"/>
                </w:tcPr>
                <w:p w14:paraId="2AB8C0A9">
                  <w:pPr>
                    <w:pStyle w:val="28"/>
                    <w:rPr>
                      <w:rFonts w:hint="eastAsia"/>
                      <w:color w:val="auto"/>
                    </w:rPr>
                  </w:pPr>
                </w:p>
              </w:tc>
              <w:tc>
                <w:tcPr>
                  <w:tcW w:w="692" w:type="dxa"/>
                  <w:noWrap w:val="0"/>
                  <w:vAlign w:val="top"/>
                </w:tcPr>
                <w:p w14:paraId="197E56ED">
                  <w:pPr>
                    <w:pStyle w:val="28"/>
                    <w:rPr>
                      <w:rFonts w:hint="eastAsia"/>
                      <w:color w:val="auto"/>
                    </w:rPr>
                  </w:pPr>
                  <w:r>
                    <w:rPr>
                      <w:rFonts w:hint="eastAsia"/>
                      <w:color w:val="auto"/>
                    </w:rPr>
                    <w:t>达标</w:t>
                  </w:r>
                </w:p>
              </w:tc>
            </w:tr>
            <w:tr w14:paraId="208E5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noWrap w:val="0"/>
                  <w:vAlign w:val="center"/>
                </w:tcPr>
                <w:p w14:paraId="539FBB46">
                  <w:pPr>
                    <w:pStyle w:val="28"/>
                    <w:rPr>
                      <w:color w:val="auto"/>
                    </w:rPr>
                  </w:pPr>
                </w:p>
              </w:tc>
              <w:tc>
                <w:tcPr>
                  <w:tcW w:w="3443" w:type="dxa"/>
                  <w:vMerge w:val="continue"/>
                  <w:noWrap w:val="0"/>
                  <w:vAlign w:val="center"/>
                </w:tcPr>
                <w:p w14:paraId="04BA389B">
                  <w:pPr>
                    <w:pStyle w:val="28"/>
                    <w:rPr>
                      <w:color w:val="auto"/>
                    </w:rPr>
                  </w:pPr>
                </w:p>
              </w:tc>
              <w:tc>
                <w:tcPr>
                  <w:tcW w:w="926" w:type="dxa"/>
                  <w:noWrap w:val="0"/>
                  <w:vAlign w:val="top"/>
                </w:tcPr>
                <w:p w14:paraId="70928A91">
                  <w:pPr>
                    <w:pStyle w:val="28"/>
                    <w:rPr>
                      <w:rFonts w:hint="eastAsia"/>
                      <w:color w:val="auto"/>
                      <w:spacing w:val="-2"/>
                    </w:rPr>
                  </w:pPr>
                  <w:r>
                    <w:rPr>
                      <w:color w:val="auto"/>
                      <w:spacing w:val="-2"/>
                    </w:rPr>
                    <w:t>0.107</w:t>
                  </w:r>
                </w:p>
              </w:tc>
              <w:tc>
                <w:tcPr>
                  <w:tcW w:w="2349" w:type="dxa"/>
                  <w:vMerge w:val="continue"/>
                  <w:noWrap w:val="0"/>
                  <w:vAlign w:val="center"/>
                </w:tcPr>
                <w:p w14:paraId="32B3FF47">
                  <w:pPr>
                    <w:pStyle w:val="28"/>
                    <w:rPr>
                      <w:rFonts w:hint="eastAsia"/>
                      <w:color w:val="auto"/>
                    </w:rPr>
                  </w:pPr>
                </w:p>
              </w:tc>
              <w:tc>
                <w:tcPr>
                  <w:tcW w:w="692" w:type="dxa"/>
                  <w:noWrap w:val="0"/>
                  <w:vAlign w:val="top"/>
                </w:tcPr>
                <w:p w14:paraId="605F99EB">
                  <w:pPr>
                    <w:pStyle w:val="28"/>
                    <w:rPr>
                      <w:rFonts w:hint="eastAsia"/>
                      <w:color w:val="auto"/>
                    </w:rPr>
                  </w:pPr>
                  <w:r>
                    <w:rPr>
                      <w:rFonts w:hint="eastAsia"/>
                      <w:color w:val="auto"/>
                    </w:rPr>
                    <w:t>达标</w:t>
                  </w:r>
                </w:p>
              </w:tc>
            </w:tr>
            <w:tr w14:paraId="09B21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noWrap w:val="0"/>
                  <w:vAlign w:val="center"/>
                </w:tcPr>
                <w:p w14:paraId="26EBF05F">
                  <w:pPr>
                    <w:pStyle w:val="28"/>
                    <w:rPr>
                      <w:color w:val="auto"/>
                    </w:rPr>
                  </w:pPr>
                </w:p>
              </w:tc>
              <w:tc>
                <w:tcPr>
                  <w:tcW w:w="3443" w:type="dxa"/>
                  <w:vMerge w:val="continue"/>
                  <w:noWrap w:val="0"/>
                  <w:vAlign w:val="center"/>
                </w:tcPr>
                <w:p w14:paraId="08BAFF47">
                  <w:pPr>
                    <w:pStyle w:val="28"/>
                    <w:rPr>
                      <w:color w:val="auto"/>
                    </w:rPr>
                  </w:pPr>
                </w:p>
              </w:tc>
              <w:tc>
                <w:tcPr>
                  <w:tcW w:w="926" w:type="dxa"/>
                  <w:noWrap w:val="0"/>
                  <w:vAlign w:val="top"/>
                </w:tcPr>
                <w:p w14:paraId="0BA5DBE0">
                  <w:pPr>
                    <w:pStyle w:val="28"/>
                    <w:rPr>
                      <w:rFonts w:hint="eastAsia"/>
                      <w:color w:val="auto"/>
                      <w:spacing w:val="-2"/>
                    </w:rPr>
                  </w:pPr>
                  <w:r>
                    <w:rPr>
                      <w:color w:val="auto"/>
                      <w:spacing w:val="-2"/>
                    </w:rPr>
                    <w:t>0.120</w:t>
                  </w:r>
                </w:p>
              </w:tc>
              <w:tc>
                <w:tcPr>
                  <w:tcW w:w="2349" w:type="dxa"/>
                  <w:vMerge w:val="continue"/>
                  <w:noWrap w:val="0"/>
                  <w:vAlign w:val="center"/>
                </w:tcPr>
                <w:p w14:paraId="11FAE7B2">
                  <w:pPr>
                    <w:pStyle w:val="28"/>
                    <w:rPr>
                      <w:rFonts w:hint="eastAsia"/>
                      <w:color w:val="auto"/>
                    </w:rPr>
                  </w:pPr>
                </w:p>
              </w:tc>
              <w:tc>
                <w:tcPr>
                  <w:tcW w:w="692" w:type="dxa"/>
                  <w:noWrap w:val="0"/>
                  <w:vAlign w:val="top"/>
                </w:tcPr>
                <w:p w14:paraId="00B105D6">
                  <w:pPr>
                    <w:pStyle w:val="28"/>
                    <w:rPr>
                      <w:rFonts w:hint="eastAsia"/>
                      <w:color w:val="auto"/>
                    </w:rPr>
                  </w:pPr>
                  <w:r>
                    <w:rPr>
                      <w:rFonts w:hint="eastAsia"/>
                      <w:color w:val="auto"/>
                    </w:rPr>
                    <w:t>达标</w:t>
                  </w:r>
                </w:p>
              </w:tc>
            </w:tr>
            <w:tr w14:paraId="726FF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noWrap w:val="0"/>
                  <w:vAlign w:val="center"/>
                </w:tcPr>
                <w:p w14:paraId="45443EE1">
                  <w:pPr>
                    <w:pStyle w:val="28"/>
                    <w:rPr>
                      <w:color w:val="auto"/>
                    </w:rPr>
                  </w:pPr>
                </w:p>
              </w:tc>
              <w:tc>
                <w:tcPr>
                  <w:tcW w:w="3443" w:type="dxa"/>
                  <w:vMerge w:val="continue"/>
                  <w:noWrap w:val="0"/>
                  <w:vAlign w:val="center"/>
                </w:tcPr>
                <w:p w14:paraId="1BBCF53C">
                  <w:pPr>
                    <w:pStyle w:val="28"/>
                    <w:rPr>
                      <w:color w:val="auto"/>
                    </w:rPr>
                  </w:pPr>
                </w:p>
              </w:tc>
              <w:tc>
                <w:tcPr>
                  <w:tcW w:w="926" w:type="dxa"/>
                  <w:noWrap w:val="0"/>
                  <w:vAlign w:val="top"/>
                </w:tcPr>
                <w:p w14:paraId="05B926A9">
                  <w:pPr>
                    <w:pStyle w:val="28"/>
                    <w:rPr>
                      <w:rFonts w:hint="eastAsia"/>
                      <w:color w:val="auto"/>
                      <w:spacing w:val="-2"/>
                    </w:rPr>
                  </w:pPr>
                  <w:r>
                    <w:rPr>
                      <w:color w:val="auto"/>
                      <w:spacing w:val="-2"/>
                    </w:rPr>
                    <w:t>0.110</w:t>
                  </w:r>
                </w:p>
              </w:tc>
              <w:tc>
                <w:tcPr>
                  <w:tcW w:w="2349" w:type="dxa"/>
                  <w:vMerge w:val="continue"/>
                  <w:noWrap w:val="0"/>
                  <w:vAlign w:val="center"/>
                </w:tcPr>
                <w:p w14:paraId="581889EB">
                  <w:pPr>
                    <w:pStyle w:val="28"/>
                    <w:rPr>
                      <w:rFonts w:hint="eastAsia"/>
                      <w:color w:val="auto"/>
                    </w:rPr>
                  </w:pPr>
                </w:p>
              </w:tc>
              <w:tc>
                <w:tcPr>
                  <w:tcW w:w="692" w:type="dxa"/>
                  <w:noWrap w:val="0"/>
                  <w:vAlign w:val="top"/>
                </w:tcPr>
                <w:p w14:paraId="75BEDC71">
                  <w:pPr>
                    <w:pStyle w:val="28"/>
                    <w:rPr>
                      <w:rFonts w:hint="eastAsia"/>
                      <w:color w:val="auto"/>
                    </w:rPr>
                  </w:pPr>
                  <w:r>
                    <w:rPr>
                      <w:rFonts w:hint="eastAsia"/>
                      <w:color w:val="auto"/>
                    </w:rPr>
                    <w:t>达标</w:t>
                  </w:r>
                </w:p>
              </w:tc>
            </w:tr>
            <w:tr w14:paraId="00806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noWrap w:val="0"/>
                  <w:vAlign w:val="center"/>
                </w:tcPr>
                <w:p w14:paraId="76A01017">
                  <w:pPr>
                    <w:pStyle w:val="28"/>
                    <w:rPr>
                      <w:color w:val="auto"/>
                    </w:rPr>
                  </w:pPr>
                </w:p>
              </w:tc>
              <w:tc>
                <w:tcPr>
                  <w:tcW w:w="3443" w:type="dxa"/>
                  <w:vMerge w:val="restart"/>
                  <w:noWrap w:val="0"/>
                  <w:vAlign w:val="center"/>
                </w:tcPr>
                <w:p w14:paraId="26D268C5">
                  <w:pPr>
                    <w:pStyle w:val="28"/>
                    <w:rPr>
                      <w:color w:val="auto"/>
                    </w:rPr>
                  </w:pPr>
                  <w:r>
                    <w:rPr>
                      <w:color w:val="auto"/>
                    </w:rPr>
                    <w:t>2023年</w:t>
                  </w:r>
                  <w:r>
                    <w:rPr>
                      <w:rFonts w:hint="eastAsia"/>
                      <w:color w:val="auto"/>
                    </w:rPr>
                    <w:t>11</w:t>
                  </w:r>
                  <w:r>
                    <w:rPr>
                      <w:color w:val="auto"/>
                    </w:rPr>
                    <w:t>月7日~2023年</w:t>
                  </w:r>
                  <w:r>
                    <w:rPr>
                      <w:rFonts w:hint="eastAsia"/>
                      <w:color w:val="auto"/>
                    </w:rPr>
                    <w:t>11</w:t>
                  </w:r>
                  <w:r>
                    <w:rPr>
                      <w:color w:val="auto"/>
                    </w:rPr>
                    <w:t>月8日</w:t>
                  </w:r>
                </w:p>
              </w:tc>
              <w:tc>
                <w:tcPr>
                  <w:tcW w:w="926" w:type="dxa"/>
                  <w:noWrap w:val="0"/>
                  <w:vAlign w:val="top"/>
                </w:tcPr>
                <w:p w14:paraId="202B348B">
                  <w:pPr>
                    <w:pStyle w:val="28"/>
                    <w:rPr>
                      <w:rFonts w:hint="eastAsia"/>
                      <w:color w:val="auto"/>
                      <w:spacing w:val="-2"/>
                    </w:rPr>
                  </w:pPr>
                  <w:r>
                    <w:rPr>
                      <w:color w:val="auto"/>
                      <w:spacing w:val="-2"/>
                    </w:rPr>
                    <w:t>0.117</w:t>
                  </w:r>
                </w:p>
              </w:tc>
              <w:tc>
                <w:tcPr>
                  <w:tcW w:w="2349" w:type="dxa"/>
                  <w:vMerge w:val="continue"/>
                  <w:noWrap w:val="0"/>
                  <w:vAlign w:val="center"/>
                </w:tcPr>
                <w:p w14:paraId="10277643">
                  <w:pPr>
                    <w:pStyle w:val="28"/>
                    <w:rPr>
                      <w:rFonts w:hint="eastAsia"/>
                      <w:color w:val="auto"/>
                    </w:rPr>
                  </w:pPr>
                </w:p>
              </w:tc>
              <w:tc>
                <w:tcPr>
                  <w:tcW w:w="692" w:type="dxa"/>
                  <w:noWrap w:val="0"/>
                  <w:vAlign w:val="top"/>
                </w:tcPr>
                <w:p w14:paraId="4C772B32">
                  <w:pPr>
                    <w:pStyle w:val="28"/>
                    <w:rPr>
                      <w:rFonts w:hint="eastAsia"/>
                      <w:color w:val="auto"/>
                    </w:rPr>
                  </w:pPr>
                  <w:r>
                    <w:rPr>
                      <w:rFonts w:hint="eastAsia"/>
                      <w:color w:val="auto"/>
                    </w:rPr>
                    <w:t>达标</w:t>
                  </w:r>
                </w:p>
              </w:tc>
            </w:tr>
            <w:tr w14:paraId="46CE1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noWrap w:val="0"/>
                  <w:vAlign w:val="center"/>
                </w:tcPr>
                <w:p w14:paraId="0080839E">
                  <w:pPr>
                    <w:pStyle w:val="28"/>
                    <w:rPr>
                      <w:color w:val="auto"/>
                    </w:rPr>
                  </w:pPr>
                </w:p>
              </w:tc>
              <w:tc>
                <w:tcPr>
                  <w:tcW w:w="3443" w:type="dxa"/>
                  <w:vMerge w:val="continue"/>
                  <w:noWrap w:val="0"/>
                  <w:vAlign w:val="center"/>
                </w:tcPr>
                <w:p w14:paraId="330DE52F">
                  <w:pPr>
                    <w:pStyle w:val="28"/>
                    <w:rPr>
                      <w:color w:val="auto"/>
                    </w:rPr>
                  </w:pPr>
                </w:p>
              </w:tc>
              <w:tc>
                <w:tcPr>
                  <w:tcW w:w="926" w:type="dxa"/>
                  <w:noWrap w:val="0"/>
                  <w:vAlign w:val="top"/>
                </w:tcPr>
                <w:p w14:paraId="174FBA8C">
                  <w:pPr>
                    <w:pStyle w:val="28"/>
                    <w:rPr>
                      <w:rFonts w:hint="eastAsia"/>
                      <w:color w:val="auto"/>
                      <w:spacing w:val="-2"/>
                    </w:rPr>
                  </w:pPr>
                  <w:r>
                    <w:rPr>
                      <w:color w:val="auto"/>
                      <w:spacing w:val="-2"/>
                    </w:rPr>
                    <w:t>0.122</w:t>
                  </w:r>
                </w:p>
              </w:tc>
              <w:tc>
                <w:tcPr>
                  <w:tcW w:w="2349" w:type="dxa"/>
                  <w:vMerge w:val="continue"/>
                  <w:noWrap w:val="0"/>
                  <w:vAlign w:val="center"/>
                </w:tcPr>
                <w:p w14:paraId="25BC5F14">
                  <w:pPr>
                    <w:pStyle w:val="28"/>
                    <w:rPr>
                      <w:rFonts w:hint="eastAsia"/>
                      <w:color w:val="auto"/>
                    </w:rPr>
                  </w:pPr>
                </w:p>
              </w:tc>
              <w:tc>
                <w:tcPr>
                  <w:tcW w:w="692" w:type="dxa"/>
                  <w:noWrap w:val="0"/>
                  <w:vAlign w:val="top"/>
                </w:tcPr>
                <w:p w14:paraId="798A51A9">
                  <w:pPr>
                    <w:pStyle w:val="28"/>
                    <w:rPr>
                      <w:rFonts w:hint="eastAsia"/>
                      <w:color w:val="auto"/>
                    </w:rPr>
                  </w:pPr>
                  <w:r>
                    <w:rPr>
                      <w:rFonts w:hint="eastAsia"/>
                      <w:color w:val="auto"/>
                    </w:rPr>
                    <w:t>达标</w:t>
                  </w:r>
                </w:p>
              </w:tc>
            </w:tr>
            <w:tr w14:paraId="432E7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noWrap w:val="0"/>
                  <w:vAlign w:val="center"/>
                </w:tcPr>
                <w:p w14:paraId="5ADDB437">
                  <w:pPr>
                    <w:pStyle w:val="28"/>
                    <w:rPr>
                      <w:color w:val="auto"/>
                    </w:rPr>
                  </w:pPr>
                </w:p>
              </w:tc>
              <w:tc>
                <w:tcPr>
                  <w:tcW w:w="3443" w:type="dxa"/>
                  <w:vMerge w:val="continue"/>
                  <w:noWrap w:val="0"/>
                  <w:vAlign w:val="center"/>
                </w:tcPr>
                <w:p w14:paraId="43A66B60">
                  <w:pPr>
                    <w:pStyle w:val="28"/>
                    <w:rPr>
                      <w:color w:val="auto"/>
                    </w:rPr>
                  </w:pPr>
                </w:p>
              </w:tc>
              <w:tc>
                <w:tcPr>
                  <w:tcW w:w="926" w:type="dxa"/>
                  <w:noWrap w:val="0"/>
                  <w:vAlign w:val="top"/>
                </w:tcPr>
                <w:p w14:paraId="2129EDD6">
                  <w:pPr>
                    <w:pStyle w:val="28"/>
                    <w:rPr>
                      <w:rFonts w:hint="eastAsia"/>
                      <w:color w:val="auto"/>
                      <w:spacing w:val="-2"/>
                    </w:rPr>
                  </w:pPr>
                  <w:r>
                    <w:rPr>
                      <w:color w:val="auto"/>
                      <w:spacing w:val="-2"/>
                    </w:rPr>
                    <w:t>0.119</w:t>
                  </w:r>
                </w:p>
              </w:tc>
              <w:tc>
                <w:tcPr>
                  <w:tcW w:w="2349" w:type="dxa"/>
                  <w:vMerge w:val="continue"/>
                  <w:noWrap w:val="0"/>
                  <w:vAlign w:val="center"/>
                </w:tcPr>
                <w:p w14:paraId="31FB0210">
                  <w:pPr>
                    <w:pStyle w:val="28"/>
                    <w:rPr>
                      <w:rFonts w:hint="eastAsia"/>
                      <w:color w:val="auto"/>
                    </w:rPr>
                  </w:pPr>
                </w:p>
              </w:tc>
              <w:tc>
                <w:tcPr>
                  <w:tcW w:w="692" w:type="dxa"/>
                  <w:noWrap w:val="0"/>
                  <w:vAlign w:val="top"/>
                </w:tcPr>
                <w:p w14:paraId="6A80EB14">
                  <w:pPr>
                    <w:pStyle w:val="28"/>
                    <w:rPr>
                      <w:rFonts w:hint="eastAsia"/>
                      <w:color w:val="auto"/>
                    </w:rPr>
                  </w:pPr>
                  <w:r>
                    <w:rPr>
                      <w:rFonts w:hint="eastAsia"/>
                      <w:color w:val="auto"/>
                    </w:rPr>
                    <w:t>达标</w:t>
                  </w:r>
                </w:p>
              </w:tc>
            </w:tr>
            <w:tr w14:paraId="2C1E3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noWrap w:val="0"/>
                  <w:vAlign w:val="center"/>
                </w:tcPr>
                <w:p w14:paraId="31F9A83E">
                  <w:pPr>
                    <w:pStyle w:val="28"/>
                    <w:rPr>
                      <w:color w:val="auto"/>
                    </w:rPr>
                  </w:pPr>
                </w:p>
              </w:tc>
              <w:tc>
                <w:tcPr>
                  <w:tcW w:w="3443" w:type="dxa"/>
                  <w:vMerge w:val="continue"/>
                  <w:noWrap w:val="0"/>
                  <w:vAlign w:val="center"/>
                </w:tcPr>
                <w:p w14:paraId="14166113">
                  <w:pPr>
                    <w:pStyle w:val="28"/>
                    <w:rPr>
                      <w:color w:val="auto"/>
                    </w:rPr>
                  </w:pPr>
                </w:p>
              </w:tc>
              <w:tc>
                <w:tcPr>
                  <w:tcW w:w="926" w:type="dxa"/>
                  <w:noWrap w:val="0"/>
                  <w:vAlign w:val="top"/>
                </w:tcPr>
                <w:p w14:paraId="7652B875">
                  <w:pPr>
                    <w:pStyle w:val="28"/>
                    <w:rPr>
                      <w:rFonts w:hint="eastAsia"/>
                      <w:color w:val="auto"/>
                      <w:spacing w:val="-2"/>
                    </w:rPr>
                  </w:pPr>
                  <w:r>
                    <w:rPr>
                      <w:color w:val="auto"/>
                      <w:spacing w:val="-2"/>
                    </w:rPr>
                    <w:t>0.120</w:t>
                  </w:r>
                </w:p>
              </w:tc>
              <w:tc>
                <w:tcPr>
                  <w:tcW w:w="2349" w:type="dxa"/>
                  <w:vMerge w:val="continue"/>
                  <w:noWrap w:val="0"/>
                  <w:vAlign w:val="center"/>
                </w:tcPr>
                <w:p w14:paraId="32CF150A">
                  <w:pPr>
                    <w:pStyle w:val="28"/>
                    <w:rPr>
                      <w:rFonts w:hint="eastAsia"/>
                      <w:color w:val="auto"/>
                    </w:rPr>
                  </w:pPr>
                </w:p>
              </w:tc>
              <w:tc>
                <w:tcPr>
                  <w:tcW w:w="692" w:type="dxa"/>
                  <w:noWrap w:val="0"/>
                  <w:vAlign w:val="top"/>
                </w:tcPr>
                <w:p w14:paraId="245A9DFF">
                  <w:pPr>
                    <w:pStyle w:val="28"/>
                    <w:rPr>
                      <w:rFonts w:hint="eastAsia"/>
                      <w:color w:val="auto"/>
                    </w:rPr>
                  </w:pPr>
                  <w:r>
                    <w:rPr>
                      <w:rFonts w:hint="eastAsia"/>
                      <w:color w:val="auto"/>
                    </w:rPr>
                    <w:t>达标</w:t>
                  </w:r>
                </w:p>
              </w:tc>
            </w:tr>
          </w:tbl>
          <w:p w14:paraId="115842DA">
            <w:pPr>
              <w:ind w:firstLine="480"/>
              <w:rPr>
                <w:color w:val="auto"/>
              </w:rPr>
            </w:pPr>
            <w:r>
              <w:rPr>
                <w:rFonts w:hint="eastAsia"/>
                <w:color w:val="auto"/>
              </w:rPr>
              <w:t>根据上表可知，T</w:t>
            </w:r>
            <w:r>
              <w:rPr>
                <w:color w:val="auto"/>
              </w:rPr>
              <w:t>SP</w:t>
            </w:r>
            <w:r>
              <w:rPr>
                <w:rFonts w:hint="eastAsia"/>
                <w:color w:val="auto"/>
              </w:rPr>
              <w:t>和N</w:t>
            </w:r>
            <w:r>
              <w:rPr>
                <w:color w:val="auto"/>
              </w:rPr>
              <w:t>O</w:t>
            </w:r>
            <w:r>
              <w:rPr>
                <w:color w:val="auto"/>
                <w:vertAlign w:val="subscript"/>
              </w:rPr>
              <w:t>X</w:t>
            </w:r>
            <w:r>
              <w:rPr>
                <w:rFonts w:hint="eastAsia"/>
                <w:color w:val="auto"/>
              </w:rPr>
              <w:t>满足《环境空气质量标准》（GB3095-2012）二级标准。</w:t>
            </w:r>
          </w:p>
          <w:p w14:paraId="4FC0063C">
            <w:pPr>
              <w:ind w:firstLine="482"/>
              <w:rPr>
                <w:b/>
                <w:bCs/>
                <w:color w:val="auto"/>
                <w:lang w:val="zh-CN"/>
              </w:rPr>
            </w:pPr>
            <w:r>
              <w:rPr>
                <w:rFonts w:hint="eastAsia"/>
                <w:b/>
                <w:bCs/>
                <w:color w:val="auto"/>
              </w:rPr>
              <w:t>3.2地表水环境质量现状</w:t>
            </w:r>
          </w:p>
          <w:p w14:paraId="09AEEADE">
            <w:pPr>
              <w:ind w:firstLine="480"/>
              <w:rPr>
                <w:rFonts w:hint="default" w:ascii="Times New Roman" w:hAnsi="Times New Roman" w:cs="Times New Roman"/>
                <w:color w:val="auto"/>
              </w:rPr>
            </w:pPr>
            <w:r>
              <w:rPr>
                <w:rFonts w:hint="default" w:ascii="Times New Roman" w:hAnsi="Times New Roman" w:cs="Times New Roman"/>
                <w:color w:val="auto"/>
              </w:rPr>
              <w:t>项目周边地表水体主要为项目北侧50m的前进河、</w:t>
            </w:r>
            <w:r>
              <w:rPr>
                <w:rFonts w:hint="default" w:ascii="Times New Roman" w:hAnsi="Times New Roman" w:cs="Times New Roman"/>
                <w:color w:val="auto"/>
                <w:lang w:val="en-US" w:eastAsia="zh-CN"/>
              </w:rPr>
              <w:t>南侧125m的刘家坝河及</w:t>
            </w:r>
            <w:r>
              <w:rPr>
                <w:rFonts w:hint="default" w:ascii="Times New Roman" w:hAnsi="Times New Roman" w:cs="Times New Roman"/>
                <w:color w:val="auto"/>
              </w:rPr>
              <w:t>项目东侧710m的牛栏江。根据《云南省水功能区划（2014年修订）》，牛栏江（牛栏江—滇池补水水源保护区）2030年水质目标为III类，前进河</w:t>
            </w:r>
            <w:r>
              <w:rPr>
                <w:rFonts w:hint="default" w:ascii="Times New Roman" w:hAnsi="Times New Roman" w:cs="Times New Roman"/>
                <w:color w:val="auto"/>
                <w:lang w:val="en-US" w:eastAsia="zh-CN"/>
              </w:rPr>
              <w:t>汇入牛栏江，刘家坝河为牛栏江一支流，故刘家坝河及</w:t>
            </w:r>
            <w:r>
              <w:rPr>
                <w:rFonts w:hint="default" w:ascii="Times New Roman" w:hAnsi="Times New Roman" w:cs="Times New Roman"/>
                <w:color w:val="auto"/>
              </w:rPr>
              <w:t>前进河参照执行《地表水环境质量标准》（GB3838-2002）III类标准。</w:t>
            </w:r>
          </w:p>
          <w:p w14:paraId="5C8F95D5">
            <w:pPr>
              <w:ind w:firstLine="482"/>
              <w:rPr>
                <w:rFonts w:hint="default" w:ascii="Times New Roman" w:hAnsi="Times New Roman" w:cs="Times New Roman"/>
                <w:color w:val="auto"/>
                <w:lang w:val="en-US" w:eastAsia="zh-CN"/>
              </w:rPr>
            </w:pPr>
            <w:r>
              <w:rPr>
                <w:rFonts w:hint="default" w:ascii="Times New Roman" w:hAnsi="Times New Roman" w:cs="Times New Roman"/>
                <w:color w:val="auto"/>
              </w:rPr>
              <w:t>根据</w:t>
            </w:r>
            <w:r>
              <w:rPr>
                <w:rFonts w:hint="default" w:ascii="Times New Roman" w:hAnsi="Times New Roman" w:cs="Times New Roman"/>
                <w:color w:val="auto"/>
                <w:lang w:val="en-US" w:eastAsia="zh-CN"/>
              </w:rPr>
              <w:t>《寻甸县2024年第三季度环境质量公报》，牛栏江干流共设3个监控断面，七星桥水质类别为Ⅲ类水，与2023年同期相比有所上升，从Ⅳ类上升为Ⅲ类；河口糯基桥断面水质类别为Ⅲ类水，与2023年同期相比无明显变化；老秧田村大桥断面水质类别为Ⅳ类水，与2023年同期相比无明显变化。项目位于源头——七星桥断面之间，水质</w:t>
            </w:r>
            <w:r>
              <w:rPr>
                <w:rFonts w:hint="eastAsia" w:cs="Times New Roman"/>
                <w:color w:val="auto"/>
                <w:lang w:val="en-US" w:eastAsia="zh-CN"/>
              </w:rPr>
              <w:t>达到</w:t>
            </w:r>
            <w:r>
              <w:rPr>
                <w:rFonts w:hint="default" w:ascii="Times New Roman" w:hAnsi="Times New Roman" w:cs="Times New Roman"/>
                <w:color w:val="auto"/>
                <w:lang w:val="en-US" w:eastAsia="zh-CN"/>
              </w:rPr>
              <w:t>《地表水环境质量标准》（GB3838-2002）Ⅲ类水质标准；前进河共设1个监控断面为哦嘎电站断面，哦嘎电站断面水质达到《地表水环境质量标准》（GB3838-2002）Ⅲ类水质量标准，与2023年同期相比无明显变化</w:t>
            </w:r>
            <w:r>
              <w:rPr>
                <w:rFonts w:hint="eastAsia" w:ascii="Times New Roman" w:hAnsi="Times New Roman" w:cs="Times New Roman"/>
                <w:color w:val="auto"/>
                <w:lang w:val="en-US" w:eastAsia="zh-CN"/>
              </w:rPr>
              <w:t>。且</w:t>
            </w:r>
            <w:r>
              <w:rPr>
                <w:rFonts w:hint="default" w:ascii="Times New Roman" w:hAnsi="Times New Roman" w:cs="Times New Roman"/>
                <w:color w:val="auto"/>
                <w:lang w:val="en-US" w:eastAsia="zh-CN"/>
              </w:rPr>
              <w:t>哦嘎电站断面</w:t>
            </w:r>
            <w:r>
              <w:rPr>
                <w:rFonts w:hint="eastAsia" w:ascii="Times New Roman" w:hAnsi="Times New Roman" w:cs="Times New Roman"/>
                <w:color w:val="auto"/>
                <w:lang w:val="en-US" w:eastAsia="zh-CN"/>
              </w:rPr>
              <w:t>位于项目区域及七星桥断面之间，</w:t>
            </w:r>
            <w:r>
              <w:rPr>
                <w:rFonts w:hint="default" w:ascii="Times New Roman" w:hAnsi="Times New Roman" w:cs="Times New Roman"/>
                <w:color w:val="auto"/>
              </w:rPr>
              <w:t>因此，项目区水质满足《地表水环境质量标准》（GB3838-2002）III类标准。</w:t>
            </w:r>
          </w:p>
          <w:p w14:paraId="68C1382F">
            <w:pPr>
              <w:ind w:firstLine="482"/>
              <w:rPr>
                <w:b/>
                <w:color w:val="auto"/>
              </w:rPr>
            </w:pPr>
            <w:r>
              <w:rPr>
                <w:rFonts w:hint="eastAsia"/>
                <w:b/>
                <w:color w:val="auto"/>
              </w:rPr>
              <w:t>3.3</w:t>
            </w:r>
            <w:r>
              <w:rPr>
                <w:rFonts w:hint="eastAsia"/>
                <w:b/>
                <w:bCs/>
                <w:color w:val="auto"/>
                <w:kern w:val="0"/>
              </w:rPr>
              <w:t>声环境质量现状</w:t>
            </w:r>
          </w:p>
          <w:p w14:paraId="56BE992A">
            <w:pPr>
              <w:pStyle w:val="33"/>
              <w:spacing w:line="360" w:lineRule="auto"/>
              <w:ind w:firstLine="480" w:firstLineChars="200"/>
              <w:rPr>
                <w:color w:val="auto"/>
                <w:szCs w:val="24"/>
              </w:rPr>
            </w:pPr>
            <w:r>
              <w:rPr>
                <w:color w:val="auto"/>
              </w:rPr>
              <w:t>项目所在区域属农村地区，</w:t>
            </w:r>
            <w:r>
              <w:rPr>
                <w:color w:val="auto"/>
                <w:szCs w:val="24"/>
              </w:rPr>
              <w:t>根据</w:t>
            </w:r>
            <w:r>
              <w:rPr>
                <w:rFonts w:hint="eastAsia"/>
                <w:color w:val="auto"/>
                <w:szCs w:val="24"/>
              </w:rPr>
              <w:t>《</w:t>
            </w:r>
            <w:r>
              <w:rPr>
                <w:color w:val="auto"/>
              </w:rPr>
              <w:t>声环境质量标准》</w:t>
            </w:r>
            <w:r>
              <w:rPr>
                <w:rFonts w:hint="eastAsia"/>
                <w:color w:val="auto"/>
              </w:rPr>
              <w:t>（</w:t>
            </w:r>
            <w:r>
              <w:rPr>
                <w:color w:val="auto"/>
                <w:szCs w:val="24"/>
              </w:rPr>
              <w:t>GB3096－2008</w:t>
            </w:r>
            <w:r>
              <w:rPr>
                <w:rFonts w:hint="eastAsia"/>
                <w:color w:val="auto"/>
                <w:szCs w:val="24"/>
              </w:rPr>
              <w:t>）</w:t>
            </w:r>
            <w:r>
              <w:rPr>
                <w:color w:val="auto"/>
                <w:szCs w:val="24"/>
              </w:rPr>
              <w:t>要求：工业活动较多的村庄以及有交通干线经过的村庄（指执行4类声环境功能区要求以外的地区）可局部或全部执行2类声环境功能区要求，项目区</w:t>
            </w:r>
            <w:r>
              <w:rPr>
                <w:rFonts w:hint="eastAsia"/>
                <w:color w:val="auto"/>
                <w:szCs w:val="24"/>
              </w:rPr>
              <w:t>北侧</w:t>
            </w:r>
            <w:r>
              <w:rPr>
                <w:color w:val="auto"/>
                <w:szCs w:val="24"/>
              </w:rPr>
              <w:t>为</w:t>
            </w:r>
            <w:r>
              <w:rPr>
                <w:rFonts w:hint="eastAsia"/>
                <w:color w:val="auto"/>
                <w:szCs w:val="24"/>
              </w:rPr>
              <w:t>易白公路</w:t>
            </w:r>
            <w:r>
              <w:rPr>
                <w:color w:val="auto"/>
                <w:szCs w:val="24"/>
              </w:rPr>
              <w:t>，</w:t>
            </w:r>
            <w:r>
              <w:rPr>
                <w:color w:val="auto"/>
              </w:rPr>
              <w:t>距</w:t>
            </w:r>
            <w:r>
              <w:rPr>
                <w:rFonts w:hint="eastAsia"/>
                <w:color w:val="auto"/>
                <w:szCs w:val="24"/>
              </w:rPr>
              <w:t>易白公路</w:t>
            </w:r>
            <w:r>
              <w:rPr>
                <w:color w:val="auto"/>
              </w:rPr>
              <w:t>两侧30</w:t>
            </w:r>
            <w:r>
              <w:rPr>
                <w:rFonts w:hint="eastAsia"/>
                <w:color w:val="auto"/>
              </w:rPr>
              <w:t>±5</w:t>
            </w:r>
            <w:r>
              <w:rPr>
                <w:color w:val="auto"/>
              </w:rPr>
              <w:t>m范围内执行《声环境质量标准》（GB3096-2008）中4类标准，其他区域执行2类标准</w:t>
            </w:r>
            <w:r>
              <w:rPr>
                <w:color w:val="auto"/>
                <w:szCs w:val="24"/>
              </w:rPr>
              <w:t>。</w:t>
            </w:r>
          </w:p>
          <w:p w14:paraId="1F168F81">
            <w:pPr>
              <w:pStyle w:val="33"/>
              <w:spacing w:line="360" w:lineRule="auto"/>
              <w:ind w:firstLine="480" w:firstLineChars="200"/>
              <w:rPr>
                <w:rFonts w:hint="eastAsia"/>
                <w:color w:val="auto"/>
                <w:szCs w:val="24"/>
                <w:lang w:eastAsia="zh-CN"/>
              </w:rPr>
            </w:pPr>
            <w:r>
              <w:rPr>
                <w:rFonts w:hint="eastAsia" w:ascii="Times New Roman" w:hAnsi="Times New Roman" w:eastAsia="宋体" w:cs="Times New Roman"/>
                <w:color w:val="auto"/>
                <w:sz w:val="24"/>
                <w:highlight w:val="none"/>
              </w:rPr>
              <w:t>根据《202</w:t>
            </w:r>
            <w:r>
              <w:rPr>
                <w:rFonts w:hint="eastAsia" w:cs="Times New Roman"/>
                <w:color w:val="auto"/>
                <w:sz w:val="24"/>
                <w:highlight w:val="none"/>
                <w:lang w:val="en-US" w:eastAsia="zh-CN"/>
              </w:rPr>
              <w:t>3</w:t>
            </w:r>
            <w:r>
              <w:rPr>
                <w:rFonts w:hint="eastAsia" w:ascii="Times New Roman" w:hAnsi="Times New Roman" w:eastAsia="宋体" w:cs="Times New Roman"/>
                <w:color w:val="auto"/>
                <w:sz w:val="24"/>
                <w:highlight w:val="none"/>
              </w:rPr>
              <w:t>年度昆明市生态环境状况公报》，“2022年，</w:t>
            </w:r>
            <w:r>
              <w:rPr>
                <w:rFonts w:hint="eastAsia" w:cs="Times New Roman"/>
                <w:color w:val="auto"/>
                <w:sz w:val="24"/>
                <w:highlight w:val="none"/>
                <w:lang w:val="en-US" w:eastAsia="zh-CN"/>
              </w:rPr>
              <w:t>寻甸县</w:t>
            </w:r>
            <w:r>
              <w:rPr>
                <w:rFonts w:hint="eastAsia" w:ascii="Times New Roman" w:hAnsi="Times New Roman" w:eastAsia="宋体" w:cs="Times New Roman"/>
                <w:color w:val="auto"/>
                <w:sz w:val="24"/>
                <w:highlight w:val="none"/>
              </w:rPr>
              <w:t>环境噪声平均等效声级为48.6分贝。根据区域环境噪声质量划分等级进行评价，总体水平在一级（好）和二级（较好）之间”。</w:t>
            </w:r>
            <w:r>
              <w:rPr>
                <w:color w:val="auto"/>
                <w:szCs w:val="24"/>
              </w:rPr>
              <w:t>项目区周边无重大工</w:t>
            </w:r>
            <w:r>
              <w:rPr>
                <w:rFonts w:hint="eastAsia"/>
                <w:color w:val="auto"/>
                <w:szCs w:val="24"/>
              </w:rPr>
              <w:t>矿</w:t>
            </w:r>
            <w:r>
              <w:rPr>
                <w:color w:val="auto"/>
                <w:szCs w:val="24"/>
              </w:rPr>
              <w:t>企业，区域声环境质量</w:t>
            </w:r>
            <w:r>
              <w:rPr>
                <w:rFonts w:hint="eastAsia"/>
                <w:color w:val="auto"/>
                <w:szCs w:val="24"/>
                <w:lang w:val="en-US" w:eastAsia="zh-CN"/>
              </w:rPr>
              <w:t>相对</w:t>
            </w:r>
            <w:r>
              <w:rPr>
                <w:color w:val="auto"/>
                <w:szCs w:val="24"/>
              </w:rPr>
              <w:t>较好</w:t>
            </w:r>
            <w:r>
              <w:rPr>
                <w:rFonts w:hint="eastAsia"/>
                <w:color w:val="auto"/>
                <w:szCs w:val="24"/>
                <w:lang w:eastAsia="zh-CN"/>
              </w:rPr>
              <w:t>。</w:t>
            </w:r>
          </w:p>
          <w:p w14:paraId="132AC9CE">
            <w:pPr>
              <w:ind w:firstLine="482"/>
              <w:rPr>
                <w:b/>
                <w:bCs/>
                <w:color w:val="auto"/>
              </w:rPr>
            </w:pPr>
            <w:r>
              <w:rPr>
                <w:rFonts w:hint="eastAsia"/>
                <w:b/>
                <w:bCs/>
                <w:color w:val="auto"/>
              </w:rPr>
              <w:t>3.4</w:t>
            </w:r>
            <w:r>
              <w:rPr>
                <w:b/>
                <w:bCs/>
                <w:color w:val="auto"/>
              </w:rPr>
              <w:t>生态环境现状</w:t>
            </w:r>
          </w:p>
          <w:p w14:paraId="0CB07801">
            <w:pPr>
              <w:ind w:firstLine="480"/>
              <w:rPr>
                <w:color w:val="auto"/>
                <w:lang w:val="zh-CN"/>
              </w:rPr>
            </w:pPr>
            <w:r>
              <w:rPr>
                <w:rFonts w:hint="eastAsia"/>
                <w:color w:val="auto"/>
                <w:lang w:val="zh-CN"/>
              </w:rPr>
              <w:t>根据现场踏勘，</w:t>
            </w:r>
            <w:r>
              <w:rPr>
                <w:color w:val="auto"/>
                <w:lang w:val="zh-CN"/>
              </w:rPr>
              <w:t>项目位于城市建成区，生态环境受人为干扰较大</w:t>
            </w:r>
            <w:r>
              <w:rPr>
                <w:rFonts w:hint="eastAsia"/>
                <w:color w:val="auto"/>
                <w:lang w:val="zh-CN"/>
              </w:rPr>
              <w:t>，</w:t>
            </w:r>
            <w:r>
              <w:rPr>
                <w:color w:val="auto"/>
                <w:lang w:val="zh-CN"/>
              </w:rPr>
              <w:t>项目区域无原生植被，</w:t>
            </w:r>
            <w:r>
              <w:rPr>
                <w:rFonts w:ascii="宋体" w:hAnsi="宋体" w:cs="宋体"/>
                <w:color w:val="auto"/>
              </w:rPr>
              <w:t>主要为人工种植的</w:t>
            </w:r>
            <w:r>
              <w:rPr>
                <w:rFonts w:hint="eastAsia" w:ascii="宋体" w:hAnsi="宋体" w:cs="宋体"/>
                <w:color w:val="auto"/>
              </w:rPr>
              <w:t>农作物</w:t>
            </w:r>
            <w:r>
              <w:rPr>
                <w:color w:val="auto"/>
                <w:lang w:val="zh-CN"/>
              </w:rPr>
              <w:t>。总体来说，</w:t>
            </w:r>
            <w:r>
              <w:rPr>
                <w:rFonts w:hint="eastAsia"/>
                <w:color w:val="auto"/>
                <w:lang w:val="zh-CN"/>
              </w:rPr>
              <w:t>项目区</w:t>
            </w:r>
            <w:r>
              <w:rPr>
                <w:color w:val="auto"/>
                <w:lang w:val="zh-CN"/>
              </w:rPr>
              <w:t>植物类型单一，生态系统受人为</w:t>
            </w:r>
            <w:r>
              <w:rPr>
                <w:rFonts w:hint="eastAsia"/>
                <w:color w:val="auto"/>
                <w:lang w:val="zh-CN"/>
              </w:rPr>
              <w:t>干扰破坏</w:t>
            </w:r>
            <w:r>
              <w:rPr>
                <w:color w:val="auto"/>
                <w:lang w:val="zh-CN"/>
              </w:rPr>
              <w:t>，自身调节能力较弱。</w:t>
            </w:r>
            <w:r>
              <w:rPr>
                <w:rFonts w:hint="eastAsia" w:ascii="宋体" w:hAnsi="宋体" w:cs="宋体"/>
                <w:color w:val="auto"/>
              </w:rPr>
              <w:t>项目区未发现重点保护野生动植物和</w:t>
            </w:r>
            <w:r>
              <w:rPr>
                <w:rFonts w:ascii="宋体" w:hAnsi="宋体" w:cs="宋体"/>
                <w:color w:val="auto"/>
              </w:rPr>
              <w:t>古树名木</w:t>
            </w:r>
            <w:r>
              <w:rPr>
                <w:color w:val="auto"/>
                <w:lang w:val="zh-CN"/>
              </w:rPr>
              <w:t>。</w:t>
            </w:r>
          </w:p>
          <w:p w14:paraId="40201175">
            <w:pPr>
              <w:ind w:firstLine="482"/>
              <w:rPr>
                <w:b/>
                <w:bCs/>
                <w:color w:val="auto"/>
              </w:rPr>
            </w:pPr>
            <w:r>
              <w:rPr>
                <w:b/>
                <w:bCs/>
                <w:color w:val="auto"/>
              </w:rPr>
              <w:t>3.</w:t>
            </w:r>
            <w:r>
              <w:rPr>
                <w:rFonts w:hint="eastAsia"/>
                <w:b/>
                <w:bCs/>
                <w:color w:val="auto"/>
                <w:lang w:val="en-US" w:eastAsia="zh-CN"/>
              </w:rPr>
              <w:t>5</w:t>
            </w:r>
            <w:r>
              <w:rPr>
                <w:b/>
                <w:bCs/>
                <w:color w:val="auto"/>
              </w:rPr>
              <w:t>地下水、土壤环境</w:t>
            </w:r>
          </w:p>
          <w:p w14:paraId="6009CD34">
            <w:pPr>
              <w:pStyle w:val="2"/>
              <w:tabs>
                <w:tab w:val="left" w:pos="888"/>
              </w:tabs>
              <w:spacing w:before="0" w:after="0" w:line="360" w:lineRule="auto"/>
              <w:ind w:firstLine="480"/>
              <w:rPr>
                <w:rFonts w:hint="eastAsia"/>
                <w:b w:val="0"/>
                <w:bCs w:val="0"/>
                <w:color w:val="auto"/>
                <w:kern w:val="44"/>
                <w:sz w:val="24"/>
                <w:szCs w:val="24"/>
                <w:lang w:eastAsia="zh-CN"/>
              </w:rPr>
            </w:pPr>
            <w:r>
              <w:rPr>
                <w:rFonts w:hint="eastAsia"/>
                <w:b w:val="0"/>
                <w:bCs w:val="0"/>
                <w:color w:val="auto"/>
                <w:kern w:val="44"/>
                <w:sz w:val="24"/>
                <w:szCs w:val="24"/>
                <w:lang w:val="en-US" w:eastAsia="zh-CN"/>
              </w:rPr>
              <w:t>根据</w:t>
            </w:r>
            <w:r>
              <w:rPr>
                <w:b w:val="0"/>
                <w:bCs w:val="0"/>
                <w:color w:val="auto"/>
                <w:kern w:val="44"/>
                <w:sz w:val="24"/>
                <w:szCs w:val="24"/>
              </w:rPr>
              <w:t xml:space="preserve">《环境影响评价技术导则 </w:t>
            </w:r>
            <w:r>
              <w:rPr>
                <w:rFonts w:hint="eastAsia"/>
                <w:b w:val="0"/>
                <w:bCs w:val="0"/>
                <w:color w:val="auto"/>
                <w:kern w:val="44"/>
                <w:sz w:val="24"/>
                <w:szCs w:val="24"/>
                <w:lang w:val="en-US" w:eastAsia="zh-CN"/>
              </w:rPr>
              <w:t>地下水环境</w:t>
            </w:r>
            <w:r>
              <w:rPr>
                <w:b w:val="0"/>
                <w:bCs w:val="0"/>
                <w:color w:val="auto"/>
                <w:kern w:val="44"/>
                <w:sz w:val="24"/>
                <w:szCs w:val="24"/>
              </w:rPr>
              <w:t>》</w:t>
            </w:r>
            <w:r>
              <w:rPr>
                <w:rFonts w:hint="eastAsia"/>
                <w:b w:val="0"/>
                <w:bCs w:val="0"/>
                <w:color w:val="auto"/>
                <w:kern w:val="44"/>
                <w:sz w:val="24"/>
                <w:szCs w:val="24"/>
                <w:lang w:eastAsia="zh-CN"/>
              </w:rPr>
              <w:t>（</w:t>
            </w:r>
            <w:r>
              <w:rPr>
                <w:rFonts w:hint="eastAsia"/>
                <w:b w:val="0"/>
                <w:bCs w:val="0"/>
                <w:color w:val="auto"/>
                <w:kern w:val="44"/>
                <w:sz w:val="24"/>
                <w:szCs w:val="24"/>
                <w:lang w:val="en-US" w:eastAsia="zh-CN"/>
              </w:rPr>
              <w:t>HJ610-2016</w:t>
            </w:r>
            <w:r>
              <w:rPr>
                <w:rFonts w:hint="eastAsia"/>
                <w:b w:val="0"/>
                <w:bCs w:val="0"/>
                <w:color w:val="auto"/>
                <w:kern w:val="44"/>
                <w:sz w:val="24"/>
                <w:szCs w:val="24"/>
                <w:lang w:eastAsia="zh-CN"/>
              </w:rPr>
              <w:t>）</w:t>
            </w:r>
            <w:r>
              <w:rPr>
                <w:b w:val="0"/>
                <w:bCs w:val="0"/>
                <w:color w:val="auto"/>
                <w:kern w:val="44"/>
                <w:sz w:val="24"/>
                <w:szCs w:val="24"/>
              </w:rPr>
              <w:t>附录A，属于</w:t>
            </w:r>
            <w:r>
              <w:rPr>
                <w:rFonts w:hint="eastAsia"/>
                <w:b w:val="0"/>
                <w:bCs w:val="0"/>
                <w:color w:val="auto"/>
                <w:kern w:val="44"/>
                <w:sz w:val="24"/>
                <w:szCs w:val="24"/>
                <w:lang w:val="en-US" w:eastAsia="zh-CN"/>
              </w:rPr>
              <w:t>U城镇基础设施及房地产，142、热力生产和供应工程中“其他”应编制报告表，地下水环境影响评价项目类别为</w:t>
            </w:r>
            <w:r>
              <w:rPr>
                <w:rFonts w:hint="default" w:ascii="Times New Roman" w:hAnsi="Times New Roman" w:eastAsia="宋体" w:cs="Times New Roman"/>
                <w:b w:val="0"/>
                <w:bCs w:val="0"/>
                <w:color w:val="auto"/>
                <w:kern w:val="44"/>
                <w:sz w:val="24"/>
                <w:szCs w:val="24"/>
              </w:rPr>
              <w:t>Ⅳ</w:t>
            </w:r>
            <w:r>
              <w:rPr>
                <w:b w:val="0"/>
                <w:bCs w:val="0"/>
                <w:color w:val="auto"/>
                <w:kern w:val="44"/>
                <w:sz w:val="24"/>
                <w:szCs w:val="24"/>
              </w:rPr>
              <w:t>类项目</w:t>
            </w:r>
            <w:r>
              <w:rPr>
                <w:rFonts w:hint="eastAsia"/>
                <w:b w:val="0"/>
                <w:bCs w:val="0"/>
                <w:color w:val="auto"/>
                <w:kern w:val="44"/>
                <w:sz w:val="24"/>
                <w:szCs w:val="24"/>
                <w:lang w:val="en-US" w:eastAsia="zh-CN"/>
              </w:rPr>
              <w:t>以及J非金属矿采选及制品制造，60、砼结构构件制造、商品混凝土加工中“全部”，应编制报告表，地下水环境影响评价项目类别为</w:t>
            </w:r>
            <w:r>
              <w:rPr>
                <w:rFonts w:hint="default" w:ascii="Times New Roman" w:hAnsi="Times New Roman" w:eastAsia="宋体" w:cs="Times New Roman"/>
                <w:b w:val="0"/>
                <w:bCs w:val="0"/>
                <w:color w:val="auto"/>
                <w:kern w:val="44"/>
                <w:sz w:val="24"/>
                <w:szCs w:val="24"/>
              </w:rPr>
              <w:t>Ⅳ</w:t>
            </w:r>
            <w:r>
              <w:rPr>
                <w:b w:val="0"/>
                <w:bCs w:val="0"/>
                <w:color w:val="auto"/>
                <w:kern w:val="44"/>
                <w:sz w:val="24"/>
                <w:szCs w:val="24"/>
              </w:rPr>
              <w:t>类项目</w:t>
            </w:r>
            <w:r>
              <w:rPr>
                <w:rFonts w:hint="eastAsia"/>
                <w:b w:val="0"/>
                <w:bCs w:val="0"/>
                <w:color w:val="auto"/>
                <w:kern w:val="44"/>
                <w:sz w:val="24"/>
                <w:szCs w:val="24"/>
                <w:lang w:eastAsia="zh-CN"/>
              </w:rPr>
              <w:t>，</w:t>
            </w:r>
            <w:r>
              <w:rPr>
                <w:rFonts w:hint="default" w:ascii="Times New Roman" w:hAnsi="Times New Roman" w:cs="Times New Roman"/>
                <w:b w:val="0"/>
                <w:bCs w:val="0"/>
                <w:color w:val="auto"/>
                <w:kern w:val="44"/>
                <w:sz w:val="24"/>
                <w:szCs w:val="24"/>
                <w:lang w:val="en-US" w:eastAsia="zh-CN"/>
              </w:rPr>
              <w:t>Ⅳ</w:t>
            </w:r>
            <w:r>
              <w:rPr>
                <w:rFonts w:hint="eastAsia"/>
                <w:b w:val="0"/>
                <w:bCs w:val="0"/>
                <w:color w:val="auto"/>
                <w:kern w:val="44"/>
                <w:sz w:val="24"/>
                <w:szCs w:val="24"/>
                <w:lang w:val="en-US" w:eastAsia="zh-CN"/>
              </w:rPr>
              <w:t>类建设项目不开展地下水环境影响评价。</w:t>
            </w:r>
          </w:p>
          <w:p w14:paraId="37539930">
            <w:pPr>
              <w:pStyle w:val="2"/>
              <w:tabs>
                <w:tab w:val="left" w:pos="888"/>
              </w:tabs>
              <w:spacing w:before="0" w:after="0" w:line="360" w:lineRule="auto"/>
              <w:ind w:firstLine="480"/>
              <w:rPr>
                <w:rFonts w:hint="default" w:eastAsia="宋体"/>
                <w:color w:val="auto"/>
                <w:lang w:val="en-US" w:eastAsia="zh-CN"/>
              </w:rPr>
            </w:pPr>
            <w:r>
              <w:rPr>
                <w:b w:val="0"/>
                <w:bCs w:val="0"/>
                <w:color w:val="auto"/>
                <w:kern w:val="44"/>
                <w:sz w:val="24"/>
                <w:szCs w:val="24"/>
              </w:rPr>
              <w:t>根据《环境影响评价技术导则 土壤环境》（HJ964-2018）附录A，属于</w:t>
            </w:r>
            <w:r>
              <w:rPr>
                <w:rFonts w:hint="eastAsia"/>
                <w:b w:val="0"/>
                <w:bCs w:val="0"/>
                <w:color w:val="auto"/>
                <w:kern w:val="44"/>
                <w:sz w:val="24"/>
                <w:szCs w:val="24"/>
                <w:lang w:val="en-US" w:eastAsia="zh-CN"/>
              </w:rPr>
              <w:t>电力热力燃气及水生产和供应业中“其他”及其他行业中“全部”，均</w:t>
            </w:r>
            <w:r>
              <w:rPr>
                <w:b w:val="0"/>
                <w:bCs w:val="0"/>
                <w:color w:val="auto"/>
                <w:kern w:val="44"/>
                <w:sz w:val="24"/>
                <w:szCs w:val="24"/>
              </w:rPr>
              <w:t>为</w:t>
            </w:r>
            <w:r>
              <w:rPr>
                <w:rFonts w:hint="default" w:ascii="Times New Roman" w:hAnsi="Times New Roman" w:eastAsia="宋体" w:cs="Times New Roman"/>
                <w:b w:val="0"/>
                <w:bCs w:val="0"/>
                <w:color w:val="auto"/>
                <w:kern w:val="44"/>
                <w:sz w:val="24"/>
                <w:szCs w:val="24"/>
              </w:rPr>
              <w:t>Ⅳ</w:t>
            </w:r>
            <w:r>
              <w:rPr>
                <w:rFonts w:hint="eastAsia" w:ascii="Times New Roman" w:hAnsi="Times New Roman" w:cs="Times New Roman"/>
                <w:b w:val="0"/>
                <w:bCs w:val="0"/>
                <w:color w:val="auto"/>
                <w:kern w:val="44"/>
                <w:sz w:val="24"/>
                <w:szCs w:val="24"/>
                <w:lang w:val="en-US" w:eastAsia="zh-CN"/>
              </w:rPr>
              <w:t>类项目，</w:t>
            </w:r>
            <w:r>
              <w:rPr>
                <w:rFonts w:hint="default" w:ascii="Times New Roman" w:hAnsi="Times New Roman" w:eastAsia="宋体" w:cs="Times New Roman"/>
                <w:b w:val="0"/>
                <w:bCs w:val="0"/>
                <w:color w:val="auto"/>
                <w:kern w:val="44"/>
                <w:sz w:val="24"/>
                <w:szCs w:val="24"/>
              </w:rPr>
              <w:t>Ⅳ</w:t>
            </w:r>
            <w:r>
              <w:rPr>
                <w:rFonts w:hint="eastAsia" w:ascii="Times New Roman" w:hAnsi="Times New Roman" w:cs="Times New Roman"/>
                <w:b w:val="0"/>
                <w:bCs w:val="0"/>
                <w:color w:val="auto"/>
                <w:kern w:val="44"/>
                <w:sz w:val="24"/>
                <w:szCs w:val="24"/>
                <w:lang w:val="en-US" w:eastAsia="zh-CN"/>
              </w:rPr>
              <w:t>类项目可不开展土壤环境影响评价。</w:t>
            </w:r>
          </w:p>
        </w:tc>
      </w:tr>
      <w:tr w14:paraId="02AC4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center"/>
          </w:tcPr>
          <w:p w14:paraId="168ABA5C">
            <w:pPr>
              <w:adjustRightInd w:val="0"/>
              <w:snapToGrid w:val="0"/>
              <w:ind w:firstLine="0" w:firstLineChars="0"/>
              <w:jc w:val="center"/>
              <w:rPr>
                <w:rFonts w:hint="eastAsia" w:ascii="宋体" w:hAnsi="宋体" w:cs="宋体"/>
                <w:color w:val="auto"/>
                <w:kern w:val="0"/>
                <w:szCs w:val="21"/>
              </w:rPr>
            </w:pPr>
            <w:r>
              <w:rPr>
                <w:rFonts w:hint="eastAsia" w:ascii="宋体" w:hAnsi="宋体" w:cs="宋体"/>
                <w:color w:val="auto"/>
                <w:kern w:val="0"/>
              </w:rPr>
              <w:t>环境保护目标</w:t>
            </w:r>
          </w:p>
        </w:tc>
        <w:tc>
          <w:tcPr>
            <w:tcW w:w="8614" w:type="dxa"/>
            <w:noWrap w:val="0"/>
            <w:vAlign w:val="center"/>
          </w:tcPr>
          <w:p w14:paraId="5B405FB9">
            <w:pPr>
              <w:pStyle w:val="33"/>
              <w:spacing w:line="360" w:lineRule="auto"/>
              <w:ind w:firstLine="482" w:firstLineChars="200"/>
              <w:rPr>
                <w:b/>
                <w:bCs/>
                <w:color w:val="auto"/>
                <w:szCs w:val="24"/>
              </w:rPr>
            </w:pPr>
            <w:r>
              <w:rPr>
                <w:b/>
                <w:bCs/>
                <w:color w:val="auto"/>
                <w:szCs w:val="24"/>
              </w:rPr>
              <w:t>3.</w:t>
            </w:r>
            <w:r>
              <w:rPr>
                <w:rFonts w:hint="eastAsia"/>
                <w:b/>
                <w:bCs/>
                <w:color w:val="auto"/>
                <w:szCs w:val="24"/>
                <w:lang w:val="en-US" w:eastAsia="zh-CN"/>
              </w:rPr>
              <w:t>6</w:t>
            </w:r>
            <w:r>
              <w:rPr>
                <w:b/>
                <w:bCs/>
                <w:color w:val="auto"/>
                <w:szCs w:val="24"/>
              </w:rPr>
              <w:t>主要环境保护目标</w:t>
            </w:r>
          </w:p>
          <w:p w14:paraId="3F20518F">
            <w:pPr>
              <w:pStyle w:val="33"/>
              <w:spacing w:line="360" w:lineRule="auto"/>
              <w:ind w:firstLine="480" w:firstLineChars="200"/>
              <w:rPr>
                <w:color w:val="auto"/>
                <w:szCs w:val="24"/>
              </w:rPr>
            </w:pPr>
            <w:r>
              <w:rPr>
                <w:color w:val="auto"/>
                <w:szCs w:val="24"/>
              </w:rPr>
              <w:t>据现场调查及相关资料查询，项目</w:t>
            </w:r>
            <w:r>
              <w:rPr>
                <w:rFonts w:hint="eastAsia"/>
                <w:color w:val="auto"/>
                <w:szCs w:val="24"/>
              </w:rPr>
              <w:t>区不涉及</w:t>
            </w:r>
            <w:r>
              <w:rPr>
                <w:color w:val="auto"/>
                <w:szCs w:val="24"/>
              </w:rPr>
              <w:t>自然保护区、风景名胜区、文物保护单位、地质遗迹，也无饮用水水源和热水、矿泉水、温泉等特殊地下水资源。据此，确定本项目环境保护目标见表</w:t>
            </w:r>
            <w:r>
              <w:rPr>
                <w:rFonts w:hint="eastAsia"/>
                <w:color w:val="auto"/>
                <w:szCs w:val="24"/>
              </w:rPr>
              <w:t>3-2</w:t>
            </w:r>
            <w:r>
              <w:rPr>
                <w:color w:val="auto"/>
                <w:szCs w:val="24"/>
              </w:rPr>
              <w:t>，环境保护目标分布见</w:t>
            </w:r>
            <w:r>
              <w:rPr>
                <w:b w:val="0"/>
                <w:bCs w:val="0"/>
                <w:color w:val="auto"/>
                <w:szCs w:val="24"/>
              </w:rPr>
              <w:t>附图4</w:t>
            </w:r>
            <w:r>
              <w:rPr>
                <w:color w:val="auto"/>
                <w:szCs w:val="24"/>
              </w:rPr>
              <w:t>。</w:t>
            </w:r>
          </w:p>
          <w:p w14:paraId="08904AB3">
            <w:pPr>
              <w:pStyle w:val="29"/>
              <w:spacing w:before="24" w:after="24"/>
              <w:rPr>
                <w:color w:val="auto"/>
              </w:rPr>
            </w:pPr>
            <w:r>
              <w:rPr>
                <w:color w:val="auto"/>
              </w:rPr>
              <w:t>表</w:t>
            </w:r>
            <w:r>
              <w:rPr>
                <w:rFonts w:hint="eastAsia"/>
                <w:color w:val="auto"/>
                <w:lang w:val="en-US" w:eastAsia="zh-CN"/>
              </w:rPr>
              <w:t xml:space="preserve">3-2 </w:t>
            </w:r>
            <w:r>
              <w:rPr>
                <w:color w:val="auto"/>
              </w:rPr>
              <w:t xml:space="preserve"> 项目环境保护目标一览表</w:t>
            </w:r>
          </w:p>
          <w:tbl>
            <w:tblPr>
              <w:tblStyle w:val="20"/>
              <w:tblW w:w="5000" w:type="pct"/>
              <w:jc w:val="center"/>
              <w:tblBorders>
                <w:top w:val="single" w:color="auto" w:sz="4" w:space="0"/>
                <w:left w:val="single" w:color="FFFFFF" w:sz="4" w:space="0"/>
                <w:bottom w:val="single" w:color="auto" w:sz="4" w:space="0"/>
                <w:right w:val="single" w:color="FFFFFF" w:sz="4" w:space="0"/>
                <w:insideH w:val="single" w:color="auto" w:sz="4" w:space="0"/>
                <w:insideV w:val="single" w:color="auto" w:sz="4" w:space="0"/>
              </w:tblBorders>
              <w:tblLayout w:type="autofit"/>
              <w:tblCellMar>
                <w:top w:w="0" w:type="dxa"/>
                <w:left w:w="57" w:type="dxa"/>
                <w:bottom w:w="0" w:type="dxa"/>
                <w:right w:w="57" w:type="dxa"/>
              </w:tblCellMar>
            </w:tblPr>
            <w:tblGrid>
              <w:gridCol w:w="353"/>
              <w:gridCol w:w="555"/>
              <w:gridCol w:w="1292"/>
              <w:gridCol w:w="1191"/>
              <w:gridCol w:w="574"/>
              <w:gridCol w:w="616"/>
              <w:gridCol w:w="574"/>
              <w:gridCol w:w="579"/>
              <w:gridCol w:w="726"/>
              <w:gridCol w:w="1928"/>
            </w:tblGrid>
            <w:tr w14:paraId="1E53CED5">
              <w:tblPrEx>
                <w:tblBorders>
                  <w:top w:val="single" w:color="auto" w:sz="4" w:space="0"/>
                  <w:left w:val="single" w:color="FFFFFF" w:sz="4" w:space="0"/>
                  <w:bottom w:val="single" w:color="auto" w:sz="4" w:space="0"/>
                  <w:right w:val="single" w:color="FFFFFF" w:sz="4" w:space="0"/>
                  <w:insideH w:val="single" w:color="auto" w:sz="4" w:space="0"/>
                  <w:insideV w:val="single" w:color="auto" w:sz="4" w:space="0"/>
                </w:tblBorders>
              </w:tblPrEx>
              <w:trPr>
                <w:jc w:val="center"/>
              </w:trPr>
              <w:tc>
                <w:tcPr>
                  <w:tcW w:w="211" w:type="pct"/>
                  <w:vMerge w:val="restart"/>
                  <w:tcBorders>
                    <w:left w:val="single" w:color="auto" w:sz="4" w:space="0"/>
                  </w:tcBorders>
                  <w:noWrap w:val="0"/>
                  <w:tcMar>
                    <w:top w:w="0" w:type="dxa"/>
                    <w:left w:w="0" w:type="dxa"/>
                    <w:bottom w:w="0" w:type="dxa"/>
                    <w:right w:w="0" w:type="dxa"/>
                  </w:tcMar>
                  <w:vAlign w:val="center"/>
                </w:tcPr>
                <w:p w14:paraId="339CC518">
                  <w:pPr>
                    <w:pStyle w:val="28"/>
                    <w:rPr>
                      <w:b/>
                      <w:bCs/>
                      <w:color w:val="auto"/>
                    </w:rPr>
                  </w:pPr>
                  <w:r>
                    <w:rPr>
                      <w:b/>
                      <w:bCs/>
                      <w:color w:val="auto"/>
                    </w:rPr>
                    <w:t>环境要素</w:t>
                  </w:r>
                </w:p>
              </w:tc>
              <w:tc>
                <w:tcPr>
                  <w:tcW w:w="331" w:type="pct"/>
                  <w:vMerge w:val="restart"/>
                  <w:noWrap w:val="0"/>
                  <w:tcMar>
                    <w:top w:w="0" w:type="dxa"/>
                    <w:left w:w="0" w:type="dxa"/>
                    <w:bottom w:w="0" w:type="dxa"/>
                    <w:right w:w="0" w:type="dxa"/>
                  </w:tcMar>
                  <w:vAlign w:val="center"/>
                </w:tcPr>
                <w:p w14:paraId="3A69D06B">
                  <w:pPr>
                    <w:pStyle w:val="28"/>
                    <w:rPr>
                      <w:b/>
                      <w:bCs/>
                      <w:color w:val="auto"/>
                    </w:rPr>
                  </w:pPr>
                  <w:r>
                    <w:rPr>
                      <w:b/>
                      <w:bCs/>
                      <w:color w:val="auto"/>
                    </w:rPr>
                    <w:t>名称</w:t>
                  </w:r>
                </w:p>
              </w:tc>
              <w:tc>
                <w:tcPr>
                  <w:tcW w:w="1480" w:type="pct"/>
                  <w:gridSpan w:val="2"/>
                  <w:noWrap w:val="0"/>
                  <w:tcMar>
                    <w:top w:w="0" w:type="dxa"/>
                    <w:left w:w="0" w:type="dxa"/>
                    <w:bottom w:w="0" w:type="dxa"/>
                    <w:right w:w="0" w:type="dxa"/>
                  </w:tcMar>
                  <w:vAlign w:val="center"/>
                </w:tcPr>
                <w:p w14:paraId="4B11FE67">
                  <w:pPr>
                    <w:pStyle w:val="28"/>
                    <w:rPr>
                      <w:b/>
                      <w:bCs/>
                      <w:color w:val="auto"/>
                    </w:rPr>
                  </w:pPr>
                  <w:r>
                    <w:rPr>
                      <w:b/>
                      <w:bCs/>
                      <w:color w:val="auto"/>
                    </w:rPr>
                    <w:t>坐标</w:t>
                  </w:r>
                </w:p>
              </w:tc>
              <w:tc>
                <w:tcPr>
                  <w:tcW w:w="342" w:type="pct"/>
                  <w:vMerge w:val="restart"/>
                  <w:noWrap w:val="0"/>
                  <w:tcMar>
                    <w:top w:w="0" w:type="dxa"/>
                    <w:left w:w="0" w:type="dxa"/>
                    <w:bottom w:w="0" w:type="dxa"/>
                    <w:right w:w="0" w:type="dxa"/>
                  </w:tcMar>
                  <w:vAlign w:val="center"/>
                </w:tcPr>
                <w:p w14:paraId="60F15A88">
                  <w:pPr>
                    <w:pStyle w:val="28"/>
                    <w:rPr>
                      <w:b/>
                      <w:bCs/>
                      <w:color w:val="auto"/>
                    </w:rPr>
                  </w:pPr>
                  <w:r>
                    <w:rPr>
                      <w:b/>
                      <w:bCs/>
                      <w:color w:val="auto"/>
                    </w:rPr>
                    <w:t>保护对象</w:t>
                  </w:r>
                </w:p>
              </w:tc>
              <w:tc>
                <w:tcPr>
                  <w:tcW w:w="367" w:type="pct"/>
                  <w:vMerge w:val="restart"/>
                  <w:noWrap w:val="0"/>
                  <w:tcMar>
                    <w:top w:w="0" w:type="dxa"/>
                    <w:left w:w="0" w:type="dxa"/>
                    <w:bottom w:w="0" w:type="dxa"/>
                    <w:right w:w="0" w:type="dxa"/>
                  </w:tcMar>
                  <w:vAlign w:val="center"/>
                </w:tcPr>
                <w:p w14:paraId="4FEC84ED">
                  <w:pPr>
                    <w:pStyle w:val="28"/>
                    <w:rPr>
                      <w:b/>
                      <w:bCs/>
                      <w:color w:val="auto"/>
                    </w:rPr>
                  </w:pPr>
                  <w:r>
                    <w:rPr>
                      <w:b/>
                      <w:bCs/>
                      <w:color w:val="auto"/>
                    </w:rPr>
                    <w:t>保护内容</w:t>
                  </w:r>
                </w:p>
              </w:tc>
              <w:tc>
                <w:tcPr>
                  <w:tcW w:w="342" w:type="pct"/>
                  <w:vMerge w:val="restart"/>
                  <w:noWrap w:val="0"/>
                  <w:tcMar>
                    <w:top w:w="0" w:type="dxa"/>
                    <w:left w:w="0" w:type="dxa"/>
                    <w:bottom w:w="0" w:type="dxa"/>
                    <w:right w:w="0" w:type="dxa"/>
                  </w:tcMar>
                  <w:vAlign w:val="center"/>
                </w:tcPr>
                <w:p w14:paraId="164D1F8C">
                  <w:pPr>
                    <w:pStyle w:val="28"/>
                    <w:rPr>
                      <w:b/>
                      <w:bCs/>
                      <w:color w:val="auto"/>
                    </w:rPr>
                  </w:pPr>
                  <w:r>
                    <w:rPr>
                      <w:b/>
                      <w:bCs/>
                      <w:color w:val="auto"/>
                    </w:rPr>
                    <w:t>环境功能区</w:t>
                  </w:r>
                </w:p>
              </w:tc>
              <w:tc>
                <w:tcPr>
                  <w:tcW w:w="345" w:type="pct"/>
                  <w:vMerge w:val="restart"/>
                  <w:noWrap w:val="0"/>
                  <w:tcMar>
                    <w:top w:w="0" w:type="dxa"/>
                    <w:left w:w="0" w:type="dxa"/>
                    <w:bottom w:w="0" w:type="dxa"/>
                    <w:right w:w="0" w:type="dxa"/>
                  </w:tcMar>
                  <w:vAlign w:val="center"/>
                </w:tcPr>
                <w:p w14:paraId="280604EF">
                  <w:pPr>
                    <w:pStyle w:val="28"/>
                    <w:rPr>
                      <w:b/>
                      <w:bCs/>
                      <w:color w:val="auto"/>
                    </w:rPr>
                  </w:pPr>
                  <w:r>
                    <w:rPr>
                      <w:b/>
                      <w:bCs/>
                      <w:color w:val="auto"/>
                    </w:rPr>
                    <w:t>相对厂址方位</w:t>
                  </w:r>
                </w:p>
              </w:tc>
              <w:tc>
                <w:tcPr>
                  <w:tcW w:w="430" w:type="pct"/>
                  <w:vMerge w:val="restart"/>
                  <w:noWrap w:val="0"/>
                  <w:tcMar>
                    <w:top w:w="0" w:type="dxa"/>
                    <w:left w:w="0" w:type="dxa"/>
                    <w:bottom w:w="0" w:type="dxa"/>
                    <w:right w:w="0" w:type="dxa"/>
                  </w:tcMar>
                  <w:vAlign w:val="center"/>
                </w:tcPr>
                <w:p w14:paraId="40E45509">
                  <w:pPr>
                    <w:pStyle w:val="28"/>
                    <w:rPr>
                      <w:b/>
                      <w:bCs/>
                      <w:color w:val="auto"/>
                    </w:rPr>
                  </w:pPr>
                  <w:r>
                    <w:rPr>
                      <w:b/>
                      <w:bCs/>
                      <w:color w:val="auto"/>
                    </w:rPr>
                    <w:t>相对厂界距离</w:t>
                  </w:r>
                </w:p>
              </w:tc>
              <w:tc>
                <w:tcPr>
                  <w:tcW w:w="1149" w:type="pct"/>
                  <w:vMerge w:val="restart"/>
                  <w:tcBorders>
                    <w:right w:val="single" w:color="auto" w:sz="4" w:space="0"/>
                  </w:tcBorders>
                  <w:noWrap w:val="0"/>
                  <w:tcMar>
                    <w:top w:w="0" w:type="dxa"/>
                    <w:left w:w="0" w:type="dxa"/>
                    <w:bottom w:w="0" w:type="dxa"/>
                    <w:right w:w="0" w:type="dxa"/>
                  </w:tcMar>
                  <w:vAlign w:val="center"/>
                </w:tcPr>
                <w:p w14:paraId="780EAAF5">
                  <w:pPr>
                    <w:pStyle w:val="28"/>
                    <w:rPr>
                      <w:b/>
                      <w:bCs/>
                      <w:color w:val="auto"/>
                    </w:rPr>
                  </w:pPr>
                  <w:r>
                    <w:rPr>
                      <w:b/>
                      <w:bCs/>
                      <w:color w:val="auto"/>
                    </w:rPr>
                    <w:t>保护级别（执行标准）</w:t>
                  </w:r>
                </w:p>
              </w:tc>
            </w:tr>
            <w:tr w14:paraId="502E793B">
              <w:tblPrEx>
                <w:tblBorders>
                  <w:top w:val="single" w:color="auto" w:sz="4" w:space="0"/>
                  <w:left w:val="single" w:color="FFFFFF" w:sz="4" w:space="0"/>
                  <w:bottom w:val="single" w:color="auto" w:sz="4" w:space="0"/>
                  <w:right w:val="single" w:color="FFFFFF" w:sz="4" w:space="0"/>
                  <w:insideH w:val="single" w:color="auto" w:sz="4" w:space="0"/>
                  <w:insideV w:val="single" w:color="auto" w:sz="4" w:space="0"/>
                </w:tblBorders>
                <w:tblCellMar>
                  <w:top w:w="0" w:type="dxa"/>
                  <w:left w:w="57" w:type="dxa"/>
                  <w:bottom w:w="0" w:type="dxa"/>
                  <w:right w:w="57" w:type="dxa"/>
                </w:tblCellMar>
              </w:tblPrEx>
              <w:trPr>
                <w:jc w:val="center"/>
              </w:trPr>
              <w:tc>
                <w:tcPr>
                  <w:tcW w:w="211" w:type="pct"/>
                  <w:vMerge w:val="continue"/>
                  <w:tcBorders>
                    <w:left w:val="single" w:color="auto" w:sz="4" w:space="0"/>
                  </w:tcBorders>
                  <w:noWrap w:val="0"/>
                  <w:tcMar>
                    <w:top w:w="0" w:type="dxa"/>
                    <w:left w:w="0" w:type="dxa"/>
                    <w:bottom w:w="0" w:type="dxa"/>
                    <w:right w:w="0" w:type="dxa"/>
                  </w:tcMar>
                  <w:vAlign w:val="center"/>
                </w:tcPr>
                <w:p w14:paraId="2F379326">
                  <w:pPr>
                    <w:pStyle w:val="28"/>
                    <w:rPr>
                      <w:color w:val="auto"/>
                    </w:rPr>
                  </w:pPr>
                </w:p>
              </w:tc>
              <w:tc>
                <w:tcPr>
                  <w:tcW w:w="331" w:type="pct"/>
                  <w:vMerge w:val="continue"/>
                  <w:noWrap w:val="0"/>
                  <w:tcMar>
                    <w:top w:w="0" w:type="dxa"/>
                    <w:left w:w="0" w:type="dxa"/>
                    <w:bottom w:w="0" w:type="dxa"/>
                    <w:right w:w="0" w:type="dxa"/>
                  </w:tcMar>
                  <w:vAlign w:val="center"/>
                </w:tcPr>
                <w:p w14:paraId="508BFA14">
                  <w:pPr>
                    <w:pStyle w:val="28"/>
                    <w:rPr>
                      <w:color w:val="auto"/>
                    </w:rPr>
                  </w:pPr>
                </w:p>
              </w:tc>
              <w:tc>
                <w:tcPr>
                  <w:tcW w:w="770" w:type="pct"/>
                  <w:noWrap w:val="0"/>
                  <w:tcMar>
                    <w:top w:w="0" w:type="dxa"/>
                    <w:left w:w="0" w:type="dxa"/>
                    <w:bottom w:w="0" w:type="dxa"/>
                    <w:right w:w="0" w:type="dxa"/>
                  </w:tcMar>
                  <w:vAlign w:val="center"/>
                </w:tcPr>
                <w:p w14:paraId="120C10CE">
                  <w:pPr>
                    <w:pStyle w:val="28"/>
                    <w:rPr>
                      <w:b/>
                      <w:bCs/>
                      <w:color w:val="auto"/>
                    </w:rPr>
                  </w:pPr>
                  <w:r>
                    <w:rPr>
                      <w:rFonts w:hint="eastAsia"/>
                      <w:b/>
                      <w:bCs/>
                      <w:color w:val="auto"/>
                    </w:rPr>
                    <w:t>经度</w:t>
                  </w:r>
                </w:p>
              </w:tc>
              <w:tc>
                <w:tcPr>
                  <w:tcW w:w="709" w:type="pct"/>
                  <w:noWrap w:val="0"/>
                  <w:tcMar>
                    <w:top w:w="0" w:type="dxa"/>
                    <w:left w:w="0" w:type="dxa"/>
                    <w:bottom w:w="0" w:type="dxa"/>
                    <w:right w:w="0" w:type="dxa"/>
                  </w:tcMar>
                  <w:vAlign w:val="center"/>
                </w:tcPr>
                <w:p w14:paraId="27CFAC79">
                  <w:pPr>
                    <w:pStyle w:val="28"/>
                    <w:rPr>
                      <w:b/>
                      <w:bCs/>
                      <w:color w:val="auto"/>
                    </w:rPr>
                  </w:pPr>
                  <w:r>
                    <w:rPr>
                      <w:rFonts w:hint="eastAsia"/>
                      <w:b/>
                      <w:bCs/>
                      <w:color w:val="auto"/>
                    </w:rPr>
                    <w:t>纬度</w:t>
                  </w:r>
                </w:p>
              </w:tc>
              <w:tc>
                <w:tcPr>
                  <w:tcW w:w="342" w:type="pct"/>
                  <w:vMerge w:val="continue"/>
                  <w:noWrap w:val="0"/>
                  <w:tcMar>
                    <w:top w:w="0" w:type="dxa"/>
                    <w:left w:w="0" w:type="dxa"/>
                    <w:bottom w:w="0" w:type="dxa"/>
                    <w:right w:w="0" w:type="dxa"/>
                  </w:tcMar>
                  <w:vAlign w:val="center"/>
                </w:tcPr>
                <w:p w14:paraId="3F76B3AC">
                  <w:pPr>
                    <w:pStyle w:val="28"/>
                    <w:rPr>
                      <w:color w:val="auto"/>
                    </w:rPr>
                  </w:pPr>
                </w:p>
              </w:tc>
              <w:tc>
                <w:tcPr>
                  <w:tcW w:w="367" w:type="pct"/>
                  <w:vMerge w:val="continue"/>
                  <w:noWrap w:val="0"/>
                  <w:tcMar>
                    <w:top w:w="0" w:type="dxa"/>
                    <w:left w:w="0" w:type="dxa"/>
                    <w:bottom w:w="0" w:type="dxa"/>
                    <w:right w:w="0" w:type="dxa"/>
                  </w:tcMar>
                  <w:vAlign w:val="center"/>
                </w:tcPr>
                <w:p w14:paraId="1915BFBA">
                  <w:pPr>
                    <w:pStyle w:val="28"/>
                    <w:rPr>
                      <w:color w:val="auto"/>
                    </w:rPr>
                  </w:pPr>
                </w:p>
              </w:tc>
              <w:tc>
                <w:tcPr>
                  <w:tcW w:w="342" w:type="pct"/>
                  <w:vMerge w:val="continue"/>
                  <w:noWrap w:val="0"/>
                  <w:tcMar>
                    <w:top w:w="0" w:type="dxa"/>
                    <w:left w:w="0" w:type="dxa"/>
                    <w:bottom w:w="0" w:type="dxa"/>
                    <w:right w:w="0" w:type="dxa"/>
                  </w:tcMar>
                  <w:vAlign w:val="center"/>
                </w:tcPr>
                <w:p w14:paraId="02331F2C">
                  <w:pPr>
                    <w:pStyle w:val="28"/>
                    <w:rPr>
                      <w:color w:val="auto"/>
                    </w:rPr>
                  </w:pPr>
                </w:p>
              </w:tc>
              <w:tc>
                <w:tcPr>
                  <w:tcW w:w="345" w:type="pct"/>
                  <w:vMerge w:val="continue"/>
                  <w:noWrap w:val="0"/>
                  <w:tcMar>
                    <w:top w:w="0" w:type="dxa"/>
                    <w:left w:w="0" w:type="dxa"/>
                    <w:bottom w:w="0" w:type="dxa"/>
                    <w:right w:w="0" w:type="dxa"/>
                  </w:tcMar>
                  <w:vAlign w:val="center"/>
                </w:tcPr>
                <w:p w14:paraId="44BA8FE8">
                  <w:pPr>
                    <w:pStyle w:val="28"/>
                    <w:rPr>
                      <w:color w:val="auto"/>
                    </w:rPr>
                  </w:pPr>
                </w:p>
              </w:tc>
              <w:tc>
                <w:tcPr>
                  <w:tcW w:w="430" w:type="pct"/>
                  <w:vMerge w:val="continue"/>
                  <w:noWrap w:val="0"/>
                  <w:tcMar>
                    <w:top w:w="0" w:type="dxa"/>
                    <w:left w:w="0" w:type="dxa"/>
                    <w:bottom w:w="0" w:type="dxa"/>
                    <w:right w:w="0" w:type="dxa"/>
                  </w:tcMar>
                  <w:vAlign w:val="center"/>
                </w:tcPr>
                <w:p w14:paraId="27D80619">
                  <w:pPr>
                    <w:pStyle w:val="28"/>
                    <w:rPr>
                      <w:color w:val="auto"/>
                    </w:rPr>
                  </w:pPr>
                </w:p>
              </w:tc>
              <w:tc>
                <w:tcPr>
                  <w:tcW w:w="1149" w:type="pct"/>
                  <w:vMerge w:val="continue"/>
                  <w:tcBorders>
                    <w:right w:val="single" w:color="auto" w:sz="4" w:space="0"/>
                  </w:tcBorders>
                  <w:noWrap w:val="0"/>
                  <w:tcMar>
                    <w:top w:w="0" w:type="dxa"/>
                    <w:left w:w="0" w:type="dxa"/>
                    <w:bottom w:w="0" w:type="dxa"/>
                    <w:right w:w="0" w:type="dxa"/>
                  </w:tcMar>
                  <w:vAlign w:val="center"/>
                </w:tcPr>
                <w:p w14:paraId="218438A7">
                  <w:pPr>
                    <w:pStyle w:val="28"/>
                    <w:rPr>
                      <w:color w:val="auto"/>
                    </w:rPr>
                  </w:pPr>
                </w:p>
              </w:tc>
            </w:tr>
            <w:tr w14:paraId="3A6605F0">
              <w:tblPrEx>
                <w:tblBorders>
                  <w:top w:val="single" w:color="auto" w:sz="4" w:space="0"/>
                  <w:left w:val="single" w:color="FFFFFF" w:sz="4" w:space="0"/>
                  <w:bottom w:val="single" w:color="auto" w:sz="4" w:space="0"/>
                  <w:right w:val="single" w:color="FFFFFF" w:sz="4" w:space="0"/>
                  <w:insideH w:val="single" w:color="auto" w:sz="4" w:space="0"/>
                  <w:insideV w:val="single" w:color="auto" w:sz="4" w:space="0"/>
                </w:tblBorders>
              </w:tblPrEx>
              <w:trPr>
                <w:jc w:val="center"/>
              </w:trPr>
              <w:tc>
                <w:tcPr>
                  <w:tcW w:w="211" w:type="pct"/>
                  <w:vMerge w:val="restart"/>
                  <w:tcBorders>
                    <w:left w:val="single" w:color="auto" w:sz="4" w:space="0"/>
                  </w:tcBorders>
                  <w:noWrap w:val="0"/>
                  <w:tcMar>
                    <w:top w:w="0" w:type="dxa"/>
                    <w:left w:w="0" w:type="dxa"/>
                    <w:bottom w:w="0" w:type="dxa"/>
                    <w:right w:w="0" w:type="dxa"/>
                  </w:tcMar>
                  <w:vAlign w:val="center"/>
                </w:tcPr>
                <w:p w14:paraId="1BA203A8">
                  <w:pPr>
                    <w:pStyle w:val="28"/>
                    <w:rPr>
                      <w:color w:val="auto"/>
                    </w:rPr>
                  </w:pPr>
                  <w:r>
                    <w:rPr>
                      <w:color w:val="auto"/>
                    </w:rPr>
                    <w:t>大气环境</w:t>
                  </w:r>
                </w:p>
              </w:tc>
              <w:tc>
                <w:tcPr>
                  <w:tcW w:w="331" w:type="pct"/>
                  <w:noWrap w:val="0"/>
                  <w:tcMar>
                    <w:top w:w="0" w:type="dxa"/>
                    <w:left w:w="0" w:type="dxa"/>
                    <w:bottom w:w="0" w:type="dxa"/>
                    <w:right w:w="0" w:type="dxa"/>
                  </w:tcMar>
                  <w:vAlign w:val="center"/>
                </w:tcPr>
                <w:p w14:paraId="5C764514">
                  <w:pPr>
                    <w:pStyle w:val="28"/>
                    <w:rPr>
                      <w:color w:val="auto"/>
                    </w:rPr>
                  </w:pPr>
                  <w:r>
                    <w:rPr>
                      <w:rFonts w:hint="eastAsia"/>
                      <w:color w:val="auto"/>
                    </w:rPr>
                    <w:t>木龙村居民点</w:t>
                  </w:r>
                </w:p>
              </w:tc>
              <w:tc>
                <w:tcPr>
                  <w:tcW w:w="770" w:type="pct"/>
                  <w:noWrap w:val="0"/>
                  <w:tcMar>
                    <w:top w:w="0" w:type="dxa"/>
                    <w:left w:w="0" w:type="dxa"/>
                    <w:bottom w:w="0" w:type="dxa"/>
                    <w:right w:w="0" w:type="dxa"/>
                  </w:tcMar>
                  <w:vAlign w:val="center"/>
                </w:tcPr>
                <w:p w14:paraId="72CBFB9B">
                  <w:pPr>
                    <w:pStyle w:val="28"/>
                    <w:rPr>
                      <w:color w:val="auto"/>
                    </w:rPr>
                  </w:pPr>
                  <w:r>
                    <w:rPr>
                      <w:color w:val="auto"/>
                    </w:rPr>
                    <w:t>103.2906797</w:t>
                  </w:r>
                </w:p>
              </w:tc>
              <w:tc>
                <w:tcPr>
                  <w:tcW w:w="709" w:type="pct"/>
                  <w:noWrap w:val="0"/>
                  <w:tcMar>
                    <w:top w:w="0" w:type="dxa"/>
                    <w:left w:w="0" w:type="dxa"/>
                    <w:bottom w:w="0" w:type="dxa"/>
                    <w:right w:w="0" w:type="dxa"/>
                  </w:tcMar>
                  <w:vAlign w:val="center"/>
                </w:tcPr>
                <w:p w14:paraId="2DB2537B">
                  <w:pPr>
                    <w:pStyle w:val="28"/>
                    <w:rPr>
                      <w:rFonts w:hint="eastAsia"/>
                      <w:color w:val="auto"/>
                    </w:rPr>
                  </w:pPr>
                  <w:r>
                    <w:rPr>
                      <w:color w:val="auto"/>
                    </w:rPr>
                    <w:t>25.537369</w:t>
                  </w:r>
                </w:p>
              </w:tc>
              <w:tc>
                <w:tcPr>
                  <w:tcW w:w="342" w:type="pct"/>
                  <w:noWrap w:val="0"/>
                  <w:tcMar>
                    <w:top w:w="0" w:type="dxa"/>
                    <w:left w:w="0" w:type="dxa"/>
                    <w:bottom w:w="0" w:type="dxa"/>
                    <w:right w:w="0" w:type="dxa"/>
                  </w:tcMar>
                  <w:vAlign w:val="center"/>
                </w:tcPr>
                <w:p w14:paraId="6A46F7ED">
                  <w:pPr>
                    <w:pStyle w:val="28"/>
                    <w:rPr>
                      <w:color w:val="auto"/>
                    </w:rPr>
                  </w:pPr>
                  <w:r>
                    <w:rPr>
                      <w:color w:val="auto"/>
                    </w:rPr>
                    <w:t>居民</w:t>
                  </w:r>
                </w:p>
              </w:tc>
              <w:tc>
                <w:tcPr>
                  <w:tcW w:w="367" w:type="pct"/>
                  <w:noWrap w:val="0"/>
                  <w:tcMar>
                    <w:top w:w="0" w:type="dxa"/>
                    <w:left w:w="0" w:type="dxa"/>
                    <w:bottom w:w="0" w:type="dxa"/>
                    <w:right w:w="0" w:type="dxa"/>
                  </w:tcMar>
                  <w:vAlign w:val="center"/>
                </w:tcPr>
                <w:p w14:paraId="50137ADA">
                  <w:pPr>
                    <w:pStyle w:val="28"/>
                    <w:rPr>
                      <w:color w:val="auto"/>
                    </w:rPr>
                  </w:pPr>
                  <w:r>
                    <w:rPr>
                      <w:color w:val="auto"/>
                    </w:rPr>
                    <w:t>200户约1000人</w:t>
                  </w:r>
                </w:p>
              </w:tc>
              <w:tc>
                <w:tcPr>
                  <w:tcW w:w="342" w:type="pct"/>
                  <w:vMerge w:val="restart"/>
                  <w:noWrap w:val="0"/>
                  <w:tcMar>
                    <w:top w:w="0" w:type="dxa"/>
                    <w:left w:w="0" w:type="dxa"/>
                    <w:bottom w:w="0" w:type="dxa"/>
                    <w:right w:w="0" w:type="dxa"/>
                  </w:tcMar>
                  <w:vAlign w:val="center"/>
                </w:tcPr>
                <w:p w14:paraId="38057873">
                  <w:pPr>
                    <w:pStyle w:val="28"/>
                    <w:rPr>
                      <w:color w:val="auto"/>
                    </w:rPr>
                  </w:pPr>
                  <w:r>
                    <w:rPr>
                      <w:color w:val="auto"/>
                    </w:rPr>
                    <w:t>环境空气二类区</w:t>
                  </w:r>
                </w:p>
              </w:tc>
              <w:tc>
                <w:tcPr>
                  <w:tcW w:w="345" w:type="pct"/>
                  <w:noWrap w:val="0"/>
                  <w:tcMar>
                    <w:top w:w="0" w:type="dxa"/>
                    <w:left w:w="0" w:type="dxa"/>
                    <w:bottom w:w="0" w:type="dxa"/>
                    <w:right w:w="0" w:type="dxa"/>
                  </w:tcMar>
                  <w:vAlign w:val="center"/>
                </w:tcPr>
                <w:p w14:paraId="031398E0">
                  <w:pPr>
                    <w:pStyle w:val="28"/>
                    <w:rPr>
                      <w:color w:val="auto"/>
                    </w:rPr>
                  </w:pPr>
                  <w:r>
                    <w:rPr>
                      <w:rFonts w:hint="eastAsia"/>
                      <w:color w:val="auto"/>
                    </w:rPr>
                    <w:t>北</w:t>
                  </w:r>
                </w:p>
              </w:tc>
              <w:tc>
                <w:tcPr>
                  <w:tcW w:w="430" w:type="pct"/>
                  <w:noWrap w:val="0"/>
                  <w:tcMar>
                    <w:top w:w="0" w:type="dxa"/>
                    <w:left w:w="0" w:type="dxa"/>
                    <w:bottom w:w="0" w:type="dxa"/>
                    <w:right w:w="0" w:type="dxa"/>
                  </w:tcMar>
                  <w:vAlign w:val="center"/>
                </w:tcPr>
                <w:p w14:paraId="608E6EE5">
                  <w:pPr>
                    <w:pStyle w:val="28"/>
                    <w:rPr>
                      <w:rFonts w:hint="default" w:eastAsia="宋体"/>
                      <w:color w:val="auto"/>
                      <w:lang w:val="en-US" w:eastAsia="zh-CN"/>
                    </w:rPr>
                  </w:pPr>
                  <w:r>
                    <w:rPr>
                      <w:rFonts w:hint="eastAsia"/>
                      <w:color w:val="auto"/>
                      <w:lang w:val="en-US" w:eastAsia="zh-CN"/>
                    </w:rPr>
                    <w:t>170m</w:t>
                  </w:r>
                </w:p>
              </w:tc>
              <w:tc>
                <w:tcPr>
                  <w:tcW w:w="1149" w:type="pct"/>
                  <w:vMerge w:val="restart"/>
                  <w:tcBorders>
                    <w:right w:val="single" w:color="auto" w:sz="4" w:space="0"/>
                  </w:tcBorders>
                  <w:noWrap w:val="0"/>
                  <w:tcMar>
                    <w:top w:w="0" w:type="dxa"/>
                    <w:left w:w="0" w:type="dxa"/>
                    <w:bottom w:w="0" w:type="dxa"/>
                    <w:right w:w="0" w:type="dxa"/>
                  </w:tcMar>
                  <w:vAlign w:val="center"/>
                </w:tcPr>
                <w:p w14:paraId="06056A3E">
                  <w:pPr>
                    <w:pStyle w:val="28"/>
                    <w:rPr>
                      <w:color w:val="auto"/>
                    </w:rPr>
                  </w:pPr>
                  <w:r>
                    <w:rPr>
                      <w:color w:val="auto"/>
                    </w:rPr>
                    <w:t>《环境空气质量标准》（GB3095-2012）二级标准</w:t>
                  </w:r>
                </w:p>
              </w:tc>
            </w:tr>
            <w:tr w14:paraId="7CBFA475">
              <w:tblPrEx>
                <w:tblBorders>
                  <w:top w:val="single" w:color="auto" w:sz="4" w:space="0"/>
                  <w:left w:val="single" w:color="FFFFFF" w:sz="4" w:space="0"/>
                  <w:bottom w:val="single" w:color="auto" w:sz="4" w:space="0"/>
                  <w:right w:val="single" w:color="FFFFFF" w:sz="4" w:space="0"/>
                  <w:insideH w:val="single" w:color="auto" w:sz="4" w:space="0"/>
                  <w:insideV w:val="single" w:color="auto" w:sz="4" w:space="0"/>
                </w:tblBorders>
                <w:tblCellMar>
                  <w:top w:w="0" w:type="dxa"/>
                  <w:left w:w="57" w:type="dxa"/>
                  <w:bottom w:w="0" w:type="dxa"/>
                  <w:right w:w="57" w:type="dxa"/>
                </w:tblCellMar>
              </w:tblPrEx>
              <w:trPr>
                <w:trHeight w:val="999" w:hRule="atLeast"/>
                <w:jc w:val="center"/>
              </w:trPr>
              <w:tc>
                <w:tcPr>
                  <w:tcW w:w="211" w:type="pct"/>
                  <w:vMerge w:val="continue"/>
                  <w:tcBorders>
                    <w:left w:val="single" w:color="auto" w:sz="4" w:space="0"/>
                  </w:tcBorders>
                  <w:noWrap w:val="0"/>
                  <w:tcMar>
                    <w:top w:w="0" w:type="dxa"/>
                    <w:left w:w="0" w:type="dxa"/>
                    <w:bottom w:w="0" w:type="dxa"/>
                    <w:right w:w="0" w:type="dxa"/>
                  </w:tcMar>
                  <w:vAlign w:val="center"/>
                </w:tcPr>
                <w:p w14:paraId="17109DA3">
                  <w:pPr>
                    <w:pStyle w:val="28"/>
                    <w:rPr>
                      <w:color w:val="auto"/>
                    </w:rPr>
                  </w:pPr>
                </w:p>
              </w:tc>
              <w:tc>
                <w:tcPr>
                  <w:tcW w:w="331" w:type="pct"/>
                  <w:noWrap w:val="0"/>
                  <w:tcMar>
                    <w:top w:w="0" w:type="dxa"/>
                    <w:left w:w="0" w:type="dxa"/>
                    <w:bottom w:w="0" w:type="dxa"/>
                    <w:right w:w="0" w:type="dxa"/>
                  </w:tcMar>
                  <w:vAlign w:val="center"/>
                </w:tcPr>
                <w:p w14:paraId="1A6ABAB9">
                  <w:pPr>
                    <w:pStyle w:val="28"/>
                    <w:rPr>
                      <w:rFonts w:hint="eastAsia"/>
                      <w:color w:val="auto"/>
                    </w:rPr>
                  </w:pPr>
                  <w:r>
                    <w:rPr>
                      <w:rFonts w:hint="eastAsia"/>
                      <w:color w:val="auto"/>
                    </w:rPr>
                    <w:t>木龙小学</w:t>
                  </w:r>
                </w:p>
              </w:tc>
              <w:tc>
                <w:tcPr>
                  <w:tcW w:w="770" w:type="pct"/>
                  <w:noWrap w:val="0"/>
                  <w:tcMar>
                    <w:top w:w="0" w:type="dxa"/>
                    <w:left w:w="0" w:type="dxa"/>
                    <w:bottom w:w="0" w:type="dxa"/>
                    <w:right w:w="0" w:type="dxa"/>
                  </w:tcMar>
                  <w:vAlign w:val="center"/>
                </w:tcPr>
                <w:p w14:paraId="39AED25E">
                  <w:pPr>
                    <w:pStyle w:val="28"/>
                    <w:rPr>
                      <w:color w:val="auto"/>
                    </w:rPr>
                  </w:pPr>
                  <w:r>
                    <w:rPr>
                      <w:rFonts w:hint="eastAsia"/>
                      <w:color w:val="auto"/>
                    </w:rPr>
                    <w:t>103.2921174</w:t>
                  </w:r>
                </w:p>
              </w:tc>
              <w:tc>
                <w:tcPr>
                  <w:tcW w:w="709" w:type="pct"/>
                  <w:noWrap w:val="0"/>
                  <w:tcMar>
                    <w:top w:w="0" w:type="dxa"/>
                    <w:left w:w="0" w:type="dxa"/>
                    <w:bottom w:w="0" w:type="dxa"/>
                    <w:right w:w="0" w:type="dxa"/>
                  </w:tcMar>
                  <w:vAlign w:val="center"/>
                </w:tcPr>
                <w:p w14:paraId="7D80A3F9">
                  <w:pPr>
                    <w:pStyle w:val="28"/>
                    <w:rPr>
                      <w:color w:val="auto"/>
                    </w:rPr>
                  </w:pPr>
                  <w:r>
                    <w:rPr>
                      <w:rFonts w:hint="eastAsia"/>
                      <w:color w:val="auto"/>
                    </w:rPr>
                    <w:t>25.538677</w:t>
                  </w:r>
                </w:p>
              </w:tc>
              <w:tc>
                <w:tcPr>
                  <w:tcW w:w="342" w:type="pct"/>
                  <w:noWrap w:val="0"/>
                  <w:tcMar>
                    <w:top w:w="0" w:type="dxa"/>
                    <w:left w:w="0" w:type="dxa"/>
                    <w:bottom w:w="0" w:type="dxa"/>
                    <w:right w:w="0" w:type="dxa"/>
                  </w:tcMar>
                  <w:vAlign w:val="center"/>
                </w:tcPr>
                <w:p w14:paraId="1355F150">
                  <w:pPr>
                    <w:pStyle w:val="28"/>
                    <w:rPr>
                      <w:rFonts w:hint="eastAsia"/>
                      <w:color w:val="auto"/>
                    </w:rPr>
                  </w:pPr>
                  <w:r>
                    <w:rPr>
                      <w:rFonts w:hint="eastAsia"/>
                      <w:color w:val="auto"/>
                    </w:rPr>
                    <w:t>学校</w:t>
                  </w:r>
                </w:p>
              </w:tc>
              <w:tc>
                <w:tcPr>
                  <w:tcW w:w="367" w:type="pct"/>
                  <w:noWrap w:val="0"/>
                  <w:tcMar>
                    <w:top w:w="0" w:type="dxa"/>
                    <w:left w:w="0" w:type="dxa"/>
                    <w:bottom w:w="0" w:type="dxa"/>
                    <w:right w:w="0" w:type="dxa"/>
                  </w:tcMar>
                  <w:vAlign w:val="center"/>
                </w:tcPr>
                <w:p w14:paraId="1F7A026C">
                  <w:pPr>
                    <w:pStyle w:val="28"/>
                    <w:rPr>
                      <w:color w:val="auto"/>
                    </w:rPr>
                  </w:pPr>
                  <w:r>
                    <w:rPr>
                      <w:rFonts w:hint="eastAsia"/>
                      <w:color w:val="auto"/>
                    </w:rPr>
                    <w:t>约500人</w:t>
                  </w:r>
                </w:p>
              </w:tc>
              <w:tc>
                <w:tcPr>
                  <w:tcW w:w="342" w:type="pct"/>
                  <w:vMerge w:val="continue"/>
                  <w:noWrap w:val="0"/>
                  <w:tcMar>
                    <w:top w:w="0" w:type="dxa"/>
                    <w:left w:w="0" w:type="dxa"/>
                    <w:bottom w:w="0" w:type="dxa"/>
                    <w:right w:w="0" w:type="dxa"/>
                  </w:tcMar>
                  <w:vAlign w:val="center"/>
                </w:tcPr>
                <w:p w14:paraId="08C7A5F2">
                  <w:pPr>
                    <w:pStyle w:val="28"/>
                    <w:rPr>
                      <w:color w:val="auto"/>
                    </w:rPr>
                  </w:pPr>
                </w:p>
              </w:tc>
              <w:tc>
                <w:tcPr>
                  <w:tcW w:w="345" w:type="pct"/>
                  <w:noWrap w:val="0"/>
                  <w:tcMar>
                    <w:top w:w="0" w:type="dxa"/>
                    <w:left w:w="0" w:type="dxa"/>
                    <w:bottom w:w="0" w:type="dxa"/>
                    <w:right w:w="0" w:type="dxa"/>
                  </w:tcMar>
                  <w:vAlign w:val="center"/>
                </w:tcPr>
                <w:p w14:paraId="0CF14EF9">
                  <w:pPr>
                    <w:pStyle w:val="28"/>
                    <w:rPr>
                      <w:rFonts w:hint="eastAsia"/>
                      <w:color w:val="auto"/>
                    </w:rPr>
                  </w:pPr>
                  <w:r>
                    <w:rPr>
                      <w:rFonts w:hint="eastAsia"/>
                      <w:color w:val="auto"/>
                    </w:rPr>
                    <w:t>北</w:t>
                  </w:r>
                </w:p>
              </w:tc>
              <w:tc>
                <w:tcPr>
                  <w:tcW w:w="430" w:type="pct"/>
                  <w:noWrap w:val="0"/>
                  <w:tcMar>
                    <w:top w:w="0" w:type="dxa"/>
                    <w:left w:w="0" w:type="dxa"/>
                    <w:bottom w:w="0" w:type="dxa"/>
                    <w:right w:w="0" w:type="dxa"/>
                  </w:tcMar>
                  <w:vAlign w:val="center"/>
                </w:tcPr>
                <w:p w14:paraId="068BADB5">
                  <w:pPr>
                    <w:pStyle w:val="28"/>
                    <w:rPr>
                      <w:rFonts w:hint="eastAsia" w:eastAsia="宋体"/>
                      <w:color w:val="auto"/>
                      <w:lang w:val="en-US" w:eastAsia="zh-CN"/>
                    </w:rPr>
                  </w:pPr>
                  <w:r>
                    <w:rPr>
                      <w:rFonts w:hint="eastAsia"/>
                      <w:color w:val="auto"/>
                    </w:rPr>
                    <w:t>400</w:t>
                  </w:r>
                  <w:r>
                    <w:rPr>
                      <w:rFonts w:hint="eastAsia"/>
                      <w:color w:val="auto"/>
                      <w:lang w:val="en-US" w:eastAsia="zh-CN"/>
                    </w:rPr>
                    <w:t>m</w:t>
                  </w:r>
                </w:p>
              </w:tc>
              <w:tc>
                <w:tcPr>
                  <w:tcW w:w="1149" w:type="pct"/>
                  <w:vMerge w:val="continue"/>
                  <w:tcBorders>
                    <w:right w:val="single" w:color="auto" w:sz="4" w:space="0"/>
                  </w:tcBorders>
                  <w:noWrap w:val="0"/>
                  <w:tcMar>
                    <w:top w:w="0" w:type="dxa"/>
                    <w:left w:w="0" w:type="dxa"/>
                    <w:bottom w:w="0" w:type="dxa"/>
                    <w:right w:w="0" w:type="dxa"/>
                  </w:tcMar>
                  <w:vAlign w:val="center"/>
                </w:tcPr>
                <w:p w14:paraId="5D690310">
                  <w:pPr>
                    <w:pStyle w:val="28"/>
                    <w:rPr>
                      <w:color w:val="auto"/>
                    </w:rPr>
                  </w:pPr>
                </w:p>
              </w:tc>
            </w:tr>
            <w:tr w14:paraId="63267C4B">
              <w:tblPrEx>
                <w:tblBorders>
                  <w:top w:val="single" w:color="auto" w:sz="4" w:space="0"/>
                  <w:left w:val="single" w:color="FFFFFF" w:sz="4" w:space="0"/>
                  <w:bottom w:val="single" w:color="auto" w:sz="4" w:space="0"/>
                  <w:right w:val="single" w:color="FFFFFF" w:sz="4" w:space="0"/>
                  <w:insideH w:val="single" w:color="auto" w:sz="4" w:space="0"/>
                  <w:insideV w:val="single" w:color="auto" w:sz="4" w:space="0"/>
                </w:tblBorders>
                <w:tblCellMar>
                  <w:top w:w="0" w:type="dxa"/>
                  <w:left w:w="57" w:type="dxa"/>
                  <w:bottom w:w="0" w:type="dxa"/>
                  <w:right w:w="57" w:type="dxa"/>
                </w:tblCellMar>
              </w:tblPrEx>
              <w:trPr>
                <w:trHeight w:val="552" w:hRule="atLeast"/>
                <w:jc w:val="center"/>
              </w:trPr>
              <w:tc>
                <w:tcPr>
                  <w:tcW w:w="211" w:type="pct"/>
                  <w:tcBorders>
                    <w:left w:val="single" w:color="auto" w:sz="4" w:space="0"/>
                    <w:bottom w:val="single" w:color="auto" w:sz="4" w:space="0"/>
                  </w:tcBorders>
                  <w:noWrap w:val="0"/>
                  <w:tcMar>
                    <w:top w:w="0" w:type="dxa"/>
                    <w:left w:w="0" w:type="dxa"/>
                    <w:bottom w:w="0" w:type="dxa"/>
                    <w:right w:w="0" w:type="dxa"/>
                  </w:tcMar>
                  <w:vAlign w:val="center"/>
                </w:tcPr>
                <w:p w14:paraId="2B66572F">
                  <w:pPr>
                    <w:pStyle w:val="28"/>
                    <w:rPr>
                      <w:color w:val="auto"/>
                    </w:rPr>
                  </w:pPr>
                  <w:r>
                    <w:rPr>
                      <w:color w:val="auto"/>
                    </w:rPr>
                    <w:t>声环境</w:t>
                  </w:r>
                </w:p>
              </w:tc>
              <w:tc>
                <w:tcPr>
                  <w:tcW w:w="4788" w:type="pct"/>
                  <w:gridSpan w:val="9"/>
                  <w:tcBorders>
                    <w:right w:val="single" w:color="auto" w:sz="4" w:space="0"/>
                  </w:tcBorders>
                  <w:noWrap w:val="0"/>
                  <w:tcMar>
                    <w:top w:w="0" w:type="dxa"/>
                    <w:left w:w="0" w:type="dxa"/>
                    <w:bottom w:w="0" w:type="dxa"/>
                    <w:right w:w="0" w:type="dxa"/>
                  </w:tcMar>
                  <w:vAlign w:val="center"/>
                </w:tcPr>
                <w:p w14:paraId="74FCDF06">
                  <w:pPr>
                    <w:pStyle w:val="28"/>
                    <w:rPr>
                      <w:rFonts w:hint="eastAsia" w:eastAsia="宋体"/>
                      <w:color w:val="auto"/>
                      <w:lang w:eastAsia="zh-CN"/>
                    </w:rPr>
                  </w:pPr>
                  <w:r>
                    <w:rPr>
                      <w:rFonts w:hint="eastAsia"/>
                      <w:color w:val="auto"/>
                    </w:rPr>
                    <w:t>项目区50m范围内无敏感点</w:t>
                  </w:r>
                </w:p>
              </w:tc>
            </w:tr>
            <w:tr w14:paraId="067534A2">
              <w:tblPrEx>
                <w:tblBorders>
                  <w:top w:val="single" w:color="auto" w:sz="4" w:space="0"/>
                  <w:left w:val="single" w:color="FFFFFF" w:sz="4" w:space="0"/>
                  <w:bottom w:val="single" w:color="auto" w:sz="4" w:space="0"/>
                  <w:right w:val="single" w:color="FFFFFF" w:sz="4" w:space="0"/>
                  <w:insideH w:val="single" w:color="auto" w:sz="4" w:space="0"/>
                  <w:insideV w:val="single" w:color="auto" w:sz="4" w:space="0"/>
                </w:tblBorders>
                <w:tblCellMar>
                  <w:top w:w="0" w:type="dxa"/>
                  <w:left w:w="57" w:type="dxa"/>
                  <w:bottom w:w="0" w:type="dxa"/>
                  <w:right w:w="57" w:type="dxa"/>
                </w:tblCellMar>
              </w:tblPrEx>
              <w:trPr>
                <w:trHeight w:val="1219" w:hRule="atLeast"/>
                <w:jc w:val="center"/>
              </w:trPr>
              <w:tc>
                <w:tcPr>
                  <w:tcW w:w="211" w:type="pct"/>
                  <w:vMerge w:val="restart"/>
                  <w:tcBorders>
                    <w:left w:val="single" w:color="auto" w:sz="4" w:space="0"/>
                  </w:tcBorders>
                  <w:noWrap w:val="0"/>
                  <w:tcMar>
                    <w:top w:w="0" w:type="dxa"/>
                    <w:left w:w="0" w:type="dxa"/>
                    <w:bottom w:w="0" w:type="dxa"/>
                    <w:right w:w="0" w:type="dxa"/>
                  </w:tcMar>
                  <w:vAlign w:val="center"/>
                </w:tcPr>
                <w:p w14:paraId="2F4A33A2">
                  <w:pPr>
                    <w:pStyle w:val="28"/>
                    <w:rPr>
                      <w:color w:val="auto"/>
                    </w:rPr>
                  </w:pPr>
                  <w:r>
                    <w:rPr>
                      <w:color w:val="auto"/>
                    </w:rPr>
                    <w:t>地表水环境</w:t>
                  </w:r>
                </w:p>
              </w:tc>
              <w:tc>
                <w:tcPr>
                  <w:tcW w:w="331" w:type="pct"/>
                  <w:noWrap w:val="0"/>
                  <w:tcMar>
                    <w:top w:w="0" w:type="dxa"/>
                    <w:left w:w="0" w:type="dxa"/>
                    <w:bottom w:w="0" w:type="dxa"/>
                    <w:right w:w="0" w:type="dxa"/>
                  </w:tcMar>
                  <w:vAlign w:val="center"/>
                </w:tcPr>
                <w:p w14:paraId="209641A5">
                  <w:pPr>
                    <w:pStyle w:val="28"/>
                    <w:rPr>
                      <w:color w:val="auto"/>
                    </w:rPr>
                  </w:pPr>
                  <w:r>
                    <w:rPr>
                      <w:rFonts w:hint="eastAsia"/>
                      <w:color w:val="auto"/>
                    </w:rPr>
                    <w:t>前进河</w:t>
                  </w:r>
                </w:p>
              </w:tc>
              <w:tc>
                <w:tcPr>
                  <w:tcW w:w="770" w:type="pct"/>
                  <w:noWrap w:val="0"/>
                  <w:tcMar>
                    <w:top w:w="0" w:type="dxa"/>
                    <w:left w:w="0" w:type="dxa"/>
                    <w:bottom w:w="0" w:type="dxa"/>
                    <w:right w:w="0" w:type="dxa"/>
                  </w:tcMar>
                  <w:vAlign w:val="center"/>
                </w:tcPr>
                <w:p w14:paraId="7FD14F57">
                  <w:pPr>
                    <w:pStyle w:val="28"/>
                    <w:rPr>
                      <w:color w:val="auto"/>
                    </w:rPr>
                  </w:pPr>
                  <w:r>
                    <w:rPr>
                      <w:rFonts w:hint="eastAsia"/>
                      <w:color w:val="auto"/>
                    </w:rPr>
                    <w:t>103.2922246</w:t>
                  </w:r>
                </w:p>
              </w:tc>
              <w:tc>
                <w:tcPr>
                  <w:tcW w:w="709" w:type="pct"/>
                  <w:noWrap w:val="0"/>
                  <w:tcMar>
                    <w:top w:w="0" w:type="dxa"/>
                    <w:left w:w="0" w:type="dxa"/>
                    <w:bottom w:w="0" w:type="dxa"/>
                    <w:right w:w="0" w:type="dxa"/>
                  </w:tcMar>
                  <w:vAlign w:val="center"/>
                </w:tcPr>
                <w:p w14:paraId="06877539">
                  <w:pPr>
                    <w:pStyle w:val="28"/>
                    <w:rPr>
                      <w:color w:val="auto"/>
                    </w:rPr>
                  </w:pPr>
                  <w:r>
                    <w:rPr>
                      <w:rFonts w:hint="eastAsia"/>
                      <w:color w:val="auto"/>
                    </w:rPr>
                    <w:t>25.535673</w:t>
                  </w:r>
                </w:p>
              </w:tc>
              <w:tc>
                <w:tcPr>
                  <w:tcW w:w="709" w:type="pct"/>
                  <w:gridSpan w:val="2"/>
                  <w:vMerge w:val="restart"/>
                  <w:noWrap w:val="0"/>
                  <w:tcMar>
                    <w:top w:w="0" w:type="dxa"/>
                    <w:left w:w="0" w:type="dxa"/>
                    <w:bottom w:w="0" w:type="dxa"/>
                    <w:right w:w="0" w:type="dxa"/>
                  </w:tcMar>
                  <w:vAlign w:val="center"/>
                </w:tcPr>
                <w:p w14:paraId="5B2D9041">
                  <w:pPr>
                    <w:pStyle w:val="28"/>
                    <w:rPr>
                      <w:color w:val="auto"/>
                    </w:rPr>
                  </w:pPr>
                  <w:r>
                    <w:rPr>
                      <w:color w:val="auto"/>
                    </w:rPr>
                    <w:t>保证项目废水不外排、保护水质不因项目建设而受到影响</w:t>
                  </w:r>
                </w:p>
              </w:tc>
              <w:tc>
                <w:tcPr>
                  <w:tcW w:w="342" w:type="pct"/>
                  <w:vMerge w:val="restart"/>
                  <w:noWrap w:val="0"/>
                  <w:tcMar>
                    <w:top w:w="0" w:type="dxa"/>
                    <w:left w:w="0" w:type="dxa"/>
                    <w:bottom w:w="0" w:type="dxa"/>
                    <w:right w:w="0" w:type="dxa"/>
                  </w:tcMar>
                  <w:vAlign w:val="center"/>
                </w:tcPr>
                <w:p w14:paraId="302A8138">
                  <w:pPr>
                    <w:pStyle w:val="28"/>
                    <w:rPr>
                      <w:color w:val="auto"/>
                    </w:rPr>
                  </w:pPr>
                  <w:r>
                    <w:rPr>
                      <w:color w:val="auto"/>
                    </w:rPr>
                    <w:t>一般鱼类保护、农业用水、工业用水</w:t>
                  </w:r>
                </w:p>
              </w:tc>
              <w:tc>
                <w:tcPr>
                  <w:tcW w:w="345" w:type="pct"/>
                  <w:noWrap w:val="0"/>
                  <w:tcMar>
                    <w:top w:w="0" w:type="dxa"/>
                    <w:left w:w="0" w:type="dxa"/>
                    <w:bottom w:w="0" w:type="dxa"/>
                    <w:right w:w="0" w:type="dxa"/>
                  </w:tcMar>
                  <w:vAlign w:val="center"/>
                </w:tcPr>
                <w:p w14:paraId="689E1A00">
                  <w:pPr>
                    <w:pStyle w:val="28"/>
                    <w:rPr>
                      <w:color w:val="auto"/>
                    </w:rPr>
                  </w:pPr>
                  <w:r>
                    <w:rPr>
                      <w:rFonts w:hint="eastAsia"/>
                      <w:color w:val="auto"/>
                    </w:rPr>
                    <w:t>北</w:t>
                  </w:r>
                  <w:r>
                    <w:rPr>
                      <w:color w:val="auto"/>
                    </w:rPr>
                    <w:t>面</w:t>
                  </w:r>
                </w:p>
              </w:tc>
              <w:tc>
                <w:tcPr>
                  <w:tcW w:w="430" w:type="pct"/>
                  <w:noWrap w:val="0"/>
                  <w:tcMar>
                    <w:top w:w="0" w:type="dxa"/>
                    <w:left w:w="0" w:type="dxa"/>
                    <w:bottom w:w="0" w:type="dxa"/>
                    <w:right w:w="0" w:type="dxa"/>
                  </w:tcMar>
                  <w:vAlign w:val="center"/>
                </w:tcPr>
                <w:p w14:paraId="51D4FF5B">
                  <w:pPr>
                    <w:pStyle w:val="28"/>
                    <w:rPr>
                      <w:rFonts w:hint="eastAsia" w:eastAsia="宋体"/>
                      <w:color w:val="auto"/>
                      <w:lang w:val="en-US" w:eastAsia="zh-CN"/>
                    </w:rPr>
                  </w:pPr>
                  <w:r>
                    <w:rPr>
                      <w:color w:val="auto"/>
                    </w:rPr>
                    <w:t>50</w:t>
                  </w:r>
                  <w:r>
                    <w:rPr>
                      <w:rFonts w:hint="eastAsia"/>
                      <w:color w:val="auto"/>
                      <w:lang w:val="en-US" w:eastAsia="zh-CN"/>
                    </w:rPr>
                    <w:t>m</w:t>
                  </w:r>
                </w:p>
              </w:tc>
              <w:tc>
                <w:tcPr>
                  <w:tcW w:w="1149" w:type="pct"/>
                  <w:vMerge w:val="restart"/>
                  <w:tcBorders>
                    <w:top w:val="single" w:color="auto" w:sz="4" w:space="0"/>
                    <w:right w:val="single" w:color="auto" w:sz="4" w:space="0"/>
                  </w:tcBorders>
                  <w:noWrap w:val="0"/>
                  <w:tcMar>
                    <w:top w:w="0" w:type="dxa"/>
                    <w:left w:w="0" w:type="dxa"/>
                    <w:bottom w:w="0" w:type="dxa"/>
                    <w:right w:w="0" w:type="dxa"/>
                  </w:tcMar>
                  <w:vAlign w:val="center"/>
                </w:tcPr>
                <w:p w14:paraId="5435FEE7">
                  <w:pPr>
                    <w:pStyle w:val="28"/>
                    <w:rPr>
                      <w:color w:val="auto"/>
                    </w:rPr>
                  </w:pPr>
                  <w:r>
                    <w:rPr>
                      <w:color w:val="auto"/>
                    </w:rPr>
                    <w:t>执行《地表水环境质量标准》(GB3838-2002)Ⅲ类水标准</w:t>
                  </w:r>
                </w:p>
              </w:tc>
            </w:tr>
            <w:tr w14:paraId="1C1BE7FB">
              <w:tblPrEx>
                <w:tblBorders>
                  <w:top w:val="single" w:color="auto" w:sz="4" w:space="0"/>
                  <w:left w:val="single" w:color="FFFFFF" w:sz="4" w:space="0"/>
                  <w:bottom w:val="single" w:color="auto" w:sz="4" w:space="0"/>
                  <w:right w:val="single" w:color="FFFFFF" w:sz="4" w:space="0"/>
                  <w:insideH w:val="single" w:color="auto" w:sz="4" w:space="0"/>
                  <w:insideV w:val="single" w:color="auto" w:sz="4" w:space="0"/>
                </w:tblBorders>
                <w:tblCellMar>
                  <w:top w:w="0" w:type="dxa"/>
                  <w:left w:w="57" w:type="dxa"/>
                  <w:bottom w:w="0" w:type="dxa"/>
                  <w:right w:w="57" w:type="dxa"/>
                </w:tblCellMar>
              </w:tblPrEx>
              <w:trPr>
                <w:trHeight w:val="593" w:hRule="atLeast"/>
                <w:jc w:val="center"/>
              </w:trPr>
              <w:tc>
                <w:tcPr>
                  <w:tcW w:w="211" w:type="pct"/>
                  <w:vMerge w:val="continue"/>
                  <w:tcBorders>
                    <w:left w:val="single" w:color="auto" w:sz="4" w:space="0"/>
                  </w:tcBorders>
                  <w:noWrap w:val="0"/>
                  <w:tcMar>
                    <w:top w:w="0" w:type="dxa"/>
                    <w:left w:w="0" w:type="dxa"/>
                    <w:bottom w:w="0" w:type="dxa"/>
                    <w:right w:w="0" w:type="dxa"/>
                  </w:tcMar>
                  <w:vAlign w:val="center"/>
                </w:tcPr>
                <w:p w14:paraId="67B88AB6">
                  <w:pPr>
                    <w:pStyle w:val="28"/>
                    <w:rPr>
                      <w:color w:val="auto"/>
                    </w:rPr>
                  </w:pPr>
                </w:p>
              </w:tc>
              <w:tc>
                <w:tcPr>
                  <w:tcW w:w="331" w:type="pct"/>
                  <w:noWrap w:val="0"/>
                  <w:tcMar>
                    <w:top w:w="0" w:type="dxa"/>
                    <w:left w:w="0" w:type="dxa"/>
                    <w:bottom w:w="0" w:type="dxa"/>
                    <w:right w:w="0" w:type="dxa"/>
                  </w:tcMar>
                  <w:vAlign w:val="center"/>
                </w:tcPr>
                <w:p w14:paraId="02580380">
                  <w:pPr>
                    <w:pStyle w:val="28"/>
                    <w:rPr>
                      <w:rFonts w:hint="eastAsia"/>
                      <w:color w:val="auto"/>
                    </w:rPr>
                  </w:pPr>
                  <w:r>
                    <w:rPr>
                      <w:rFonts w:hint="eastAsia"/>
                      <w:color w:val="auto"/>
                    </w:rPr>
                    <w:t>牛栏江</w:t>
                  </w:r>
                </w:p>
              </w:tc>
              <w:tc>
                <w:tcPr>
                  <w:tcW w:w="770" w:type="pct"/>
                  <w:noWrap w:val="0"/>
                  <w:tcMar>
                    <w:top w:w="0" w:type="dxa"/>
                    <w:left w:w="0" w:type="dxa"/>
                    <w:bottom w:w="0" w:type="dxa"/>
                    <w:right w:w="0" w:type="dxa"/>
                  </w:tcMar>
                  <w:vAlign w:val="center"/>
                </w:tcPr>
                <w:p w14:paraId="659DCB83">
                  <w:pPr>
                    <w:pStyle w:val="28"/>
                    <w:rPr>
                      <w:rFonts w:hint="eastAsia"/>
                      <w:color w:val="auto"/>
                    </w:rPr>
                  </w:pPr>
                  <w:r>
                    <w:rPr>
                      <w:rFonts w:hint="eastAsia"/>
                      <w:color w:val="auto"/>
                    </w:rPr>
                    <w:t>103.30095426</w:t>
                  </w:r>
                </w:p>
              </w:tc>
              <w:tc>
                <w:tcPr>
                  <w:tcW w:w="709" w:type="pct"/>
                  <w:noWrap w:val="0"/>
                  <w:tcMar>
                    <w:top w:w="0" w:type="dxa"/>
                    <w:left w:w="0" w:type="dxa"/>
                    <w:bottom w:w="0" w:type="dxa"/>
                    <w:right w:w="0" w:type="dxa"/>
                  </w:tcMar>
                  <w:vAlign w:val="center"/>
                </w:tcPr>
                <w:p w14:paraId="0B76784C">
                  <w:pPr>
                    <w:pStyle w:val="28"/>
                    <w:rPr>
                      <w:rFonts w:hint="eastAsia"/>
                      <w:color w:val="auto"/>
                    </w:rPr>
                  </w:pPr>
                  <w:r>
                    <w:rPr>
                      <w:rFonts w:hint="eastAsia"/>
                      <w:color w:val="auto"/>
                    </w:rPr>
                    <w:t>25.5330225</w:t>
                  </w:r>
                </w:p>
              </w:tc>
              <w:tc>
                <w:tcPr>
                  <w:tcW w:w="709" w:type="pct"/>
                  <w:gridSpan w:val="2"/>
                  <w:vMerge w:val="continue"/>
                  <w:noWrap w:val="0"/>
                  <w:tcMar>
                    <w:top w:w="0" w:type="dxa"/>
                    <w:left w:w="0" w:type="dxa"/>
                    <w:bottom w:w="0" w:type="dxa"/>
                    <w:right w:w="0" w:type="dxa"/>
                  </w:tcMar>
                  <w:vAlign w:val="center"/>
                </w:tcPr>
                <w:p w14:paraId="7A254F63">
                  <w:pPr>
                    <w:pStyle w:val="28"/>
                    <w:rPr>
                      <w:color w:val="auto"/>
                    </w:rPr>
                  </w:pPr>
                </w:p>
              </w:tc>
              <w:tc>
                <w:tcPr>
                  <w:tcW w:w="342" w:type="pct"/>
                  <w:vMerge w:val="continue"/>
                  <w:noWrap w:val="0"/>
                  <w:tcMar>
                    <w:top w:w="0" w:type="dxa"/>
                    <w:left w:w="0" w:type="dxa"/>
                    <w:bottom w:w="0" w:type="dxa"/>
                    <w:right w:w="0" w:type="dxa"/>
                  </w:tcMar>
                  <w:vAlign w:val="center"/>
                </w:tcPr>
                <w:p w14:paraId="49D193CB">
                  <w:pPr>
                    <w:pStyle w:val="28"/>
                    <w:rPr>
                      <w:color w:val="auto"/>
                    </w:rPr>
                  </w:pPr>
                </w:p>
              </w:tc>
              <w:tc>
                <w:tcPr>
                  <w:tcW w:w="345" w:type="pct"/>
                  <w:noWrap w:val="0"/>
                  <w:tcMar>
                    <w:top w:w="0" w:type="dxa"/>
                    <w:left w:w="0" w:type="dxa"/>
                    <w:bottom w:w="0" w:type="dxa"/>
                    <w:right w:w="0" w:type="dxa"/>
                  </w:tcMar>
                  <w:vAlign w:val="center"/>
                </w:tcPr>
                <w:p w14:paraId="084DAFB6">
                  <w:pPr>
                    <w:pStyle w:val="28"/>
                    <w:rPr>
                      <w:rFonts w:hint="eastAsia"/>
                      <w:color w:val="auto"/>
                    </w:rPr>
                  </w:pPr>
                  <w:r>
                    <w:rPr>
                      <w:rFonts w:hint="eastAsia"/>
                      <w:color w:val="auto"/>
                    </w:rPr>
                    <w:t>东面</w:t>
                  </w:r>
                </w:p>
              </w:tc>
              <w:tc>
                <w:tcPr>
                  <w:tcW w:w="430" w:type="pct"/>
                  <w:noWrap w:val="0"/>
                  <w:tcMar>
                    <w:top w:w="0" w:type="dxa"/>
                    <w:left w:w="0" w:type="dxa"/>
                    <w:bottom w:w="0" w:type="dxa"/>
                    <w:right w:w="0" w:type="dxa"/>
                  </w:tcMar>
                  <w:vAlign w:val="center"/>
                </w:tcPr>
                <w:p w14:paraId="26F6C79B">
                  <w:pPr>
                    <w:pStyle w:val="28"/>
                    <w:rPr>
                      <w:rFonts w:hint="eastAsia" w:eastAsia="宋体"/>
                      <w:color w:val="auto"/>
                      <w:lang w:val="en-US" w:eastAsia="zh-CN"/>
                    </w:rPr>
                  </w:pPr>
                  <w:r>
                    <w:rPr>
                      <w:rFonts w:hint="eastAsia"/>
                      <w:color w:val="auto"/>
                    </w:rPr>
                    <w:t>710</w:t>
                  </w:r>
                  <w:r>
                    <w:rPr>
                      <w:rFonts w:hint="eastAsia"/>
                      <w:color w:val="auto"/>
                      <w:lang w:val="en-US" w:eastAsia="zh-CN"/>
                    </w:rPr>
                    <w:t>m</w:t>
                  </w:r>
                </w:p>
              </w:tc>
              <w:tc>
                <w:tcPr>
                  <w:tcW w:w="1149" w:type="pct"/>
                  <w:vMerge w:val="continue"/>
                  <w:tcBorders>
                    <w:right w:val="single" w:color="auto" w:sz="4" w:space="0"/>
                  </w:tcBorders>
                  <w:noWrap w:val="0"/>
                  <w:tcMar>
                    <w:top w:w="0" w:type="dxa"/>
                    <w:left w:w="0" w:type="dxa"/>
                    <w:bottom w:w="0" w:type="dxa"/>
                    <w:right w:w="0" w:type="dxa"/>
                  </w:tcMar>
                  <w:vAlign w:val="center"/>
                </w:tcPr>
                <w:p w14:paraId="303FD430">
                  <w:pPr>
                    <w:pStyle w:val="28"/>
                    <w:rPr>
                      <w:color w:val="auto"/>
                    </w:rPr>
                  </w:pPr>
                </w:p>
              </w:tc>
            </w:tr>
            <w:tr w14:paraId="012D3CCC">
              <w:tblPrEx>
                <w:tblBorders>
                  <w:top w:val="single" w:color="auto" w:sz="4" w:space="0"/>
                  <w:left w:val="single" w:color="FFFFFF" w:sz="4" w:space="0"/>
                  <w:bottom w:val="single" w:color="auto" w:sz="4" w:space="0"/>
                  <w:right w:val="single" w:color="FFFFFF" w:sz="4" w:space="0"/>
                  <w:insideH w:val="single" w:color="auto" w:sz="4" w:space="0"/>
                  <w:insideV w:val="single" w:color="auto" w:sz="4" w:space="0"/>
                </w:tblBorders>
                <w:tblCellMar>
                  <w:top w:w="0" w:type="dxa"/>
                  <w:left w:w="57" w:type="dxa"/>
                  <w:bottom w:w="0" w:type="dxa"/>
                  <w:right w:w="57" w:type="dxa"/>
                </w:tblCellMar>
              </w:tblPrEx>
              <w:trPr>
                <w:trHeight w:val="94" w:hRule="atLeast"/>
                <w:jc w:val="center"/>
              </w:trPr>
              <w:tc>
                <w:tcPr>
                  <w:tcW w:w="211" w:type="pct"/>
                  <w:vMerge w:val="continue"/>
                  <w:tcBorders>
                    <w:left w:val="single" w:color="auto" w:sz="4" w:space="0"/>
                  </w:tcBorders>
                  <w:noWrap w:val="0"/>
                  <w:tcMar>
                    <w:top w:w="0" w:type="dxa"/>
                    <w:left w:w="0" w:type="dxa"/>
                    <w:bottom w:w="0" w:type="dxa"/>
                    <w:right w:w="0" w:type="dxa"/>
                  </w:tcMar>
                  <w:vAlign w:val="center"/>
                </w:tcPr>
                <w:p w14:paraId="4D5F94F4">
                  <w:pPr>
                    <w:pStyle w:val="28"/>
                    <w:rPr>
                      <w:color w:val="auto"/>
                    </w:rPr>
                  </w:pPr>
                </w:p>
              </w:tc>
              <w:tc>
                <w:tcPr>
                  <w:tcW w:w="331" w:type="pct"/>
                  <w:noWrap w:val="0"/>
                  <w:tcMar>
                    <w:top w:w="0" w:type="dxa"/>
                    <w:left w:w="0" w:type="dxa"/>
                    <w:bottom w:w="0" w:type="dxa"/>
                    <w:right w:w="0" w:type="dxa"/>
                  </w:tcMar>
                  <w:vAlign w:val="center"/>
                </w:tcPr>
                <w:p w14:paraId="148B0E5E">
                  <w:pPr>
                    <w:pStyle w:val="28"/>
                    <w:rPr>
                      <w:rFonts w:hint="default" w:eastAsia="宋体"/>
                      <w:color w:val="auto"/>
                      <w:lang w:val="en-US" w:eastAsia="zh-CN"/>
                    </w:rPr>
                  </w:pPr>
                  <w:r>
                    <w:rPr>
                      <w:rFonts w:hint="eastAsia"/>
                      <w:color w:val="auto"/>
                      <w:lang w:val="en-US" w:eastAsia="zh-CN"/>
                    </w:rPr>
                    <w:t>刘家坝河</w:t>
                  </w:r>
                </w:p>
              </w:tc>
              <w:tc>
                <w:tcPr>
                  <w:tcW w:w="770" w:type="pct"/>
                  <w:noWrap w:val="0"/>
                  <w:tcMar>
                    <w:top w:w="0" w:type="dxa"/>
                    <w:left w:w="0" w:type="dxa"/>
                    <w:bottom w:w="0" w:type="dxa"/>
                    <w:right w:w="0" w:type="dxa"/>
                  </w:tcMar>
                  <w:vAlign w:val="center"/>
                </w:tcPr>
                <w:p w14:paraId="767D79D9">
                  <w:pPr>
                    <w:pStyle w:val="28"/>
                    <w:rPr>
                      <w:rFonts w:hint="default" w:eastAsia="宋体"/>
                      <w:color w:val="auto"/>
                      <w:lang w:val="en-US" w:eastAsia="zh-CN"/>
                    </w:rPr>
                  </w:pPr>
                  <w:r>
                    <w:rPr>
                      <w:rFonts w:hint="eastAsia"/>
                      <w:color w:val="auto"/>
                      <w:lang w:val="en-US" w:eastAsia="zh-CN"/>
                    </w:rPr>
                    <w:t>103.29435250</w:t>
                  </w:r>
                </w:p>
              </w:tc>
              <w:tc>
                <w:tcPr>
                  <w:tcW w:w="709" w:type="pct"/>
                  <w:noWrap w:val="0"/>
                  <w:tcMar>
                    <w:top w:w="0" w:type="dxa"/>
                    <w:left w:w="0" w:type="dxa"/>
                    <w:bottom w:w="0" w:type="dxa"/>
                    <w:right w:w="0" w:type="dxa"/>
                  </w:tcMar>
                  <w:vAlign w:val="center"/>
                </w:tcPr>
                <w:p w14:paraId="68E62617">
                  <w:pPr>
                    <w:pStyle w:val="28"/>
                    <w:rPr>
                      <w:rFonts w:hint="default" w:eastAsia="宋体"/>
                      <w:color w:val="auto"/>
                      <w:lang w:val="en-US" w:eastAsia="zh-CN"/>
                    </w:rPr>
                  </w:pPr>
                  <w:r>
                    <w:rPr>
                      <w:rFonts w:hint="eastAsia"/>
                      <w:color w:val="auto"/>
                      <w:lang w:val="en-US" w:eastAsia="zh-CN"/>
                    </w:rPr>
                    <w:t>25.52900712</w:t>
                  </w:r>
                </w:p>
              </w:tc>
              <w:tc>
                <w:tcPr>
                  <w:tcW w:w="709" w:type="pct"/>
                  <w:gridSpan w:val="2"/>
                  <w:vMerge w:val="continue"/>
                  <w:noWrap w:val="0"/>
                  <w:tcMar>
                    <w:top w:w="0" w:type="dxa"/>
                    <w:left w:w="0" w:type="dxa"/>
                    <w:bottom w:w="0" w:type="dxa"/>
                    <w:right w:w="0" w:type="dxa"/>
                  </w:tcMar>
                  <w:vAlign w:val="center"/>
                </w:tcPr>
                <w:p w14:paraId="23A9E893">
                  <w:pPr>
                    <w:pStyle w:val="28"/>
                    <w:rPr>
                      <w:color w:val="auto"/>
                    </w:rPr>
                  </w:pPr>
                </w:p>
              </w:tc>
              <w:tc>
                <w:tcPr>
                  <w:tcW w:w="342" w:type="pct"/>
                  <w:vMerge w:val="continue"/>
                  <w:noWrap w:val="0"/>
                  <w:tcMar>
                    <w:top w:w="0" w:type="dxa"/>
                    <w:left w:w="0" w:type="dxa"/>
                    <w:bottom w:w="0" w:type="dxa"/>
                    <w:right w:w="0" w:type="dxa"/>
                  </w:tcMar>
                  <w:vAlign w:val="center"/>
                </w:tcPr>
                <w:p w14:paraId="77791324">
                  <w:pPr>
                    <w:pStyle w:val="28"/>
                    <w:rPr>
                      <w:color w:val="auto"/>
                    </w:rPr>
                  </w:pPr>
                </w:p>
              </w:tc>
              <w:tc>
                <w:tcPr>
                  <w:tcW w:w="345" w:type="pct"/>
                  <w:noWrap w:val="0"/>
                  <w:tcMar>
                    <w:top w:w="0" w:type="dxa"/>
                    <w:left w:w="0" w:type="dxa"/>
                    <w:bottom w:w="0" w:type="dxa"/>
                    <w:right w:w="0" w:type="dxa"/>
                  </w:tcMar>
                  <w:vAlign w:val="center"/>
                </w:tcPr>
                <w:p w14:paraId="646BE7C8">
                  <w:pPr>
                    <w:pStyle w:val="28"/>
                    <w:rPr>
                      <w:rFonts w:hint="default" w:eastAsia="宋体"/>
                      <w:color w:val="auto"/>
                      <w:lang w:val="en-US" w:eastAsia="zh-CN"/>
                    </w:rPr>
                  </w:pPr>
                  <w:r>
                    <w:rPr>
                      <w:rFonts w:hint="eastAsia"/>
                      <w:color w:val="auto"/>
                      <w:lang w:val="en-US" w:eastAsia="zh-CN"/>
                    </w:rPr>
                    <w:t>南面</w:t>
                  </w:r>
                </w:p>
              </w:tc>
              <w:tc>
                <w:tcPr>
                  <w:tcW w:w="430" w:type="pct"/>
                  <w:noWrap w:val="0"/>
                  <w:tcMar>
                    <w:top w:w="0" w:type="dxa"/>
                    <w:left w:w="0" w:type="dxa"/>
                    <w:bottom w:w="0" w:type="dxa"/>
                    <w:right w:w="0" w:type="dxa"/>
                  </w:tcMar>
                  <w:vAlign w:val="center"/>
                </w:tcPr>
                <w:p w14:paraId="167FC141">
                  <w:pPr>
                    <w:pStyle w:val="28"/>
                    <w:rPr>
                      <w:rFonts w:hint="default" w:eastAsia="宋体"/>
                      <w:color w:val="auto"/>
                      <w:lang w:val="en-US" w:eastAsia="zh-CN"/>
                    </w:rPr>
                  </w:pPr>
                  <w:r>
                    <w:rPr>
                      <w:rFonts w:hint="eastAsia"/>
                      <w:color w:val="auto"/>
                      <w:lang w:val="en-US" w:eastAsia="zh-CN"/>
                    </w:rPr>
                    <w:t>125m</w:t>
                  </w:r>
                </w:p>
              </w:tc>
              <w:tc>
                <w:tcPr>
                  <w:tcW w:w="1149" w:type="pct"/>
                  <w:vMerge w:val="continue"/>
                  <w:tcBorders>
                    <w:right w:val="single" w:color="auto" w:sz="4" w:space="0"/>
                  </w:tcBorders>
                  <w:noWrap w:val="0"/>
                  <w:tcMar>
                    <w:top w:w="0" w:type="dxa"/>
                    <w:left w:w="0" w:type="dxa"/>
                    <w:bottom w:w="0" w:type="dxa"/>
                    <w:right w:w="0" w:type="dxa"/>
                  </w:tcMar>
                  <w:vAlign w:val="center"/>
                </w:tcPr>
                <w:p w14:paraId="249612A1">
                  <w:pPr>
                    <w:pStyle w:val="28"/>
                    <w:rPr>
                      <w:color w:val="auto"/>
                    </w:rPr>
                  </w:pPr>
                </w:p>
              </w:tc>
            </w:tr>
            <w:tr w14:paraId="28B65E7A">
              <w:tblPrEx>
                <w:tblBorders>
                  <w:top w:val="single" w:color="auto" w:sz="4" w:space="0"/>
                  <w:left w:val="single" w:color="FFFFFF" w:sz="4" w:space="0"/>
                  <w:bottom w:val="single" w:color="auto" w:sz="4" w:space="0"/>
                  <w:right w:val="single" w:color="FFFFFF" w:sz="4" w:space="0"/>
                  <w:insideH w:val="single" w:color="auto" w:sz="4" w:space="0"/>
                  <w:insideV w:val="single" w:color="auto" w:sz="4" w:space="0"/>
                </w:tblBorders>
                <w:tblCellMar>
                  <w:top w:w="0" w:type="dxa"/>
                  <w:left w:w="57" w:type="dxa"/>
                  <w:bottom w:w="0" w:type="dxa"/>
                  <w:right w:w="57" w:type="dxa"/>
                </w:tblCellMar>
              </w:tblPrEx>
              <w:trPr>
                <w:jc w:val="center"/>
              </w:trPr>
              <w:tc>
                <w:tcPr>
                  <w:tcW w:w="211" w:type="pct"/>
                  <w:tcBorders>
                    <w:left w:val="single" w:color="auto" w:sz="4" w:space="0"/>
                  </w:tcBorders>
                  <w:noWrap w:val="0"/>
                  <w:tcMar>
                    <w:top w:w="0" w:type="dxa"/>
                    <w:left w:w="0" w:type="dxa"/>
                    <w:bottom w:w="0" w:type="dxa"/>
                    <w:right w:w="0" w:type="dxa"/>
                  </w:tcMar>
                  <w:vAlign w:val="center"/>
                </w:tcPr>
                <w:p w14:paraId="0C5613F2">
                  <w:pPr>
                    <w:pStyle w:val="28"/>
                    <w:rPr>
                      <w:color w:val="auto"/>
                    </w:rPr>
                  </w:pPr>
                  <w:r>
                    <w:rPr>
                      <w:color w:val="auto"/>
                    </w:rPr>
                    <w:t>生态环境</w:t>
                  </w:r>
                </w:p>
              </w:tc>
              <w:tc>
                <w:tcPr>
                  <w:tcW w:w="3639" w:type="pct"/>
                  <w:gridSpan w:val="8"/>
                  <w:noWrap w:val="0"/>
                  <w:tcMar>
                    <w:top w:w="0" w:type="dxa"/>
                    <w:left w:w="0" w:type="dxa"/>
                    <w:bottom w:w="0" w:type="dxa"/>
                    <w:right w:w="0" w:type="dxa"/>
                  </w:tcMar>
                  <w:vAlign w:val="center"/>
                </w:tcPr>
                <w:p w14:paraId="4F97164D">
                  <w:pPr>
                    <w:pStyle w:val="28"/>
                    <w:rPr>
                      <w:color w:val="auto"/>
                    </w:rPr>
                  </w:pPr>
                  <w:r>
                    <w:rPr>
                      <w:color w:val="auto"/>
                    </w:rPr>
                    <w:t>据</w:t>
                  </w:r>
                  <w:r>
                    <w:rPr>
                      <w:rFonts w:hint="eastAsia"/>
                      <w:color w:val="auto"/>
                    </w:rPr>
                    <w:t>项目区植被及动植物资源</w:t>
                  </w:r>
                </w:p>
              </w:tc>
              <w:tc>
                <w:tcPr>
                  <w:tcW w:w="1149" w:type="pct"/>
                  <w:tcBorders>
                    <w:right w:val="single" w:color="auto" w:sz="4" w:space="0"/>
                  </w:tcBorders>
                  <w:noWrap w:val="0"/>
                  <w:tcMar>
                    <w:top w:w="0" w:type="dxa"/>
                    <w:left w:w="0" w:type="dxa"/>
                    <w:bottom w:w="0" w:type="dxa"/>
                    <w:right w:w="0" w:type="dxa"/>
                  </w:tcMar>
                  <w:vAlign w:val="center"/>
                </w:tcPr>
                <w:p w14:paraId="5EBEEA5A">
                  <w:pPr>
                    <w:pStyle w:val="28"/>
                    <w:rPr>
                      <w:color w:val="auto"/>
                    </w:rPr>
                  </w:pPr>
                  <w:r>
                    <w:rPr>
                      <w:color w:val="auto"/>
                    </w:rPr>
                    <w:t>不降低现有的生</w:t>
                  </w:r>
                </w:p>
                <w:p w14:paraId="4BCEC88C">
                  <w:pPr>
                    <w:pStyle w:val="28"/>
                    <w:rPr>
                      <w:color w:val="auto"/>
                    </w:rPr>
                  </w:pPr>
                  <w:r>
                    <w:rPr>
                      <w:color w:val="auto"/>
                    </w:rPr>
                    <w:t>态环境功能</w:t>
                  </w:r>
                </w:p>
              </w:tc>
            </w:tr>
          </w:tbl>
          <w:p w14:paraId="143E561F">
            <w:pPr>
              <w:adjustRightInd w:val="0"/>
              <w:snapToGrid w:val="0"/>
              <w:ind w:firstLine="480"/>
              <w:jc w:val="left"/>
              <w:rPr>
                <w:rFonts w:ascii="宋体" w:hAnsi="宋体" w:cs="宋体"/>
                <w:color w:val="auto"/>
                <w:kern w:val="0"/>
                <w:szCs w:val="21"/>
              </w:rPr>
            </w:pPr>
          </w:p>
        </w:tc>
      </w:tr>
      <w:tr w14:paraId="6FB05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center"/>
          </w:tcPr>
          <w:p w14:paraId="2382B1F9">
            <w:pPr>
              <w:adjustRightInd w:val="0"/>
              <w:snapToGrid w:val="0"/>
              <w:ind w:firstLine="0" w:firstLineChars="0"/>
              <w:jc w:val="center"/>
              <w:rPr>
                <w:rFonts w:ascii="宋体" w:hAnsi="宋体" w:cs="宋体"/>
                <w:color w:val="auto"/>
                <w:kern w:val="0"/>
                <w:szCs w:val="21"/>
              </w:rPr>
            </w:pPr>
            <w:r>
              <w:rPr>
                <w:rFonts w:hint="eastAsia" w:ascii="宋体" w:hAnsi="宋体" w:cs="宋体"/>
                <w:color w:val="auto"/>
                <w:kern w:val="0"/>
                <w:szCs w:val="21"/>
              </w:rPr>
              <w:t>污染物排放控制标准</w:t>
            </w:r>
          </w:p>
        </w:tc>
        <w:tc>
          <w:tcPr>
            <w:tcW w:w="8614" w:type="dxa"/>
            <w:noWrap w:val="0"/>
            <w:vAlign w:val="center"/>
          </w:tcPr>
          <w:p w14:paraId="1DD6777D">
            <w:pPr>
              <w:pStyle w:val="35"/>
              <w:spacing w:line="500" w:lineRule="exact"/>
              <w:ind w:firstLine="482"/>
              <w:rPr>
                <w:b/>
                <w:bCs/>
                <w:color w:val="auto"/>
              </w:rPr>
            </w:pPr>
            <w:r>
              <w:rPr>
                <w:rFonts w:hint="eastAsia"/>
                <w:b/>
                <w:bCs/>
                <w:color w:val="auto"/>
              </w:rPr>
              <w:t>3.</w:t>
            </w:r>
            <w:r>
              <w:rPr>
                <w:rFonts w:hint="eastAsia"/>
                <w:b/>
                <w:bCs/>
                <w:color w:val="auto"/>
                <w:lang w:val="en-US" w:eastAsia="zh-CN"/>
              </w:rPr>
              <w:t>7</w:t>
            </w:r>
            <w:r>
              <w:rPr>
                <w:b/>
                <w:bCs/>
                <w:color w:val="auto"/>
              </w:rPr>
              <w:t>大气污染物排放标准</w:t>
            </w:r>
          </w:p>
          <w:p w14:paraId="21C17012">
            <w:pPr>
              <w:ind w:firstLine="482"/>
              <w:rPr>
                <w:b/>
                <w:bCs/>
                <w:color w:val="auto"/>
              </w:rPr>
            </w:pPr>
            <w:r>
              <w:rPr>
                <w:rFonts w:hint="eastAsia"/>
                <w:b/>
                <w:bCs/>
                <w:color w:val="auto"/>
              </w:rPr>
              <w:t>3.</w:t>
            </w:r>
            <w:r>
              <w:rPr>
                <w:rFonts w:hint="eastAsia"/>
                <w:b/>
                <w:bCs/>
                <w:color w:val="auto"/>
                <w:lang w:val="en-US" w:eastAsia="zh-CN"/>
              </w:rPr>
              <w:t>7</w:t>
            </w:r>
            <w:r>
              <w:rPr>
                <w:rFonts w:hint="eastAsia"/>
                <w:b/>
                <w:bCs/>
                <w:color w:val="auto"/>
              </w:rPr>
              <w:t>.1</w:t>
            </w:r>
            <w:r>
              <w:rPr>
                <w:b/>
                <w:bCs/>
                <w:color w:val="auto"/>
              </w:rPr>
              <w:t>废气</w:t>
            </w:r>
          </w:p>
          <w:p w14:paraId="0B8CF10D">
            <w:pPr>
              <w:ind w:firstLine="480"/>
              <w:rPr>
                <w:color w:val="auto"/>
              </w:rPr>
            </w:pPr>
            <w:r>
              <w:rPr>
                <w:color w:val="auto"/>
              </w:rPr>
              <w:t>（1）施工期</w:t>
            </w:r>
          </w:p>
          <w:p w14:paraId="61D1E0BC">
            <w:pPr>
              <w:ind w:firstLine="480"/>
              <w:rPr>
                <w:color w:val="auto"/>
              </w:rPr>
            </w:pPr>
            <w:r>
              <w:rPr>
                <w:color w:val="auto"/>
              </w:rPr>
              <w:t>项目施工期执行《大气污染物综合排放标准》（GB16297－1996）二级</w:t>
            </w:r>
            <w:r>
              <w:rPr>
                <w:rFonts w:hint="eastAsia"/>
                <w:color w:val="auto"/>
              </w:rPr>
              <w:t>标准</w:t>
            </w:r>
            <w:r>
              <w:rPr>
                <w:color w:val="auto"/>
              </w:rPr>
              <w:t>，无组织排放监控浓度限值颗粒物≤1.0（mg/m</w:t>
            </w:r>
            <w:r>
              <w:rPr>
                <w:color w:val="auto"/>
                <w:vertAlign w:val="superscript"/>
              </w:rPr>
              <w:t>3</w:t>
            </w:r>
            <w:r>
              <w:rPr>
                <w:color w:val="auto"/>
              </w:rPr>
              <w:t>）。</w:t>
            </w:r>
          </w:p>
          <w:p w14:paraId="34CD0F22">
            <w:pPr>
              <w:ind w:firstLine="480"/>
              <w:rPr>
                <w:bCs/>
                <w:color w:val="auto"/>
                <w:kern w:val="0"/>
              </w:rPr>
            </w:pPr>
            <w:r>
              <w:rPr>
                <w:rFonts w:hint="eastAsia"/>
                <w:bCs/>
                <w:color w:val="auto"/>
                <w:kern w:val="0"/>
              </w:rPr>
              <w:t>（2）</w:t>
            </w:r>
            <w:r>
              <w:rPr>
                <w:bCs/>
                <w:color w:val="auto"/>
                <w:kern w:val="0"/>
              </w:rPr>
              <w:t>运营期</w:t>
            </w:r>
          </w:p>
          <w:p w14:paraId="2C3025FE">
            <w:pPr>
              <w:ind w:firstLine="480"/>
              <w:rPr>
                <w:rFonts w:hint="eastAsia" w:ascii="宋体" w:hAnsi="宋体"/>
                <w:bCs/>
                <w:color w:val="auto"/>
                <w:kern w:val="0"/>
                <w:szCs w:val="22"/>
              </w:rPr>
            </w:pPr>
            <w:r>
              <w:rPr>
                <w:rFonts w:ascii="宋体" w:hAnsi="宋体" w:cs="宋体"/>
                <w:bCs/>
                <w:color w:val="auto"/>
                <w:kern w:val="0"/>
                <w:szCs w:val="22"/>
              </w:rPr>
              <w:fldChar w:fldCharType="begin"/>
            </w:r>
            <w:r>
              <w:rPr>
                <w:rFonts w:ascii="宋体" w:hAnsi="宋体" w:cs="宋体"/>
                <w:bCs/>
                <w:color w:val="auto"/>
                <w:kern w:val="0"/>
                <w:szCs w:val="22"/>
              </w:rPr>
              <w:instrText xml:space="preserve"> </w:instrText>
            </w:r>
            <w:r>
              <w:rPr>
                <w:rFonts w:hint="eastAsia" w:ascii="宋体" w:hAnsi="宋体" w:cs="宋体"/>
                <w:bCs/>
                <w:color w:val="auto"/>
                <w:kern w:val="0"/>
                <w:szCs w:val="22"/>
              </w:rPr>
              <w:instrText xml:space="preserve">= 1 \* GB3</w:instrText>
            </w:r>
            <w:r>
              <w:rPr>
                <w:rFonts w:ascii="宋体" w:hAnsi="宋体" w:cs="宋体"/>
                <w:bCs/>
                <w:color w:val="auto"/>
                <w:kern w:val="0"/>
                <w:szCs w:val="22"/>
              </w:rPr>
              <w:instrText xml:space="preserve"> </w:instrText>
            </w:r>
            <w:r>
              <w:rPr>
                <w:rFonts w:ascii="宋体" w:hAnsi="宋体" w:cs="宋体"/>
                <w:bCs/>
                <w:color w:val="auto"/>
                <w:kern w:val="0"/>
                <w:szCs w:val="22"/>
              </w:rPr>
              <w:fldChar w:fldCharType="separate"/>
            </w:r>
            <w:r>
              <w:rPr>
                <w:rFonts w:hint="eastAsia" w:ascii="宋体" w:hAnsi="宋体" w:cs="宋体"/>
                <w:bCs/>
                <w:color w:val="auto"/>
                <w:kern w:val="0"/>
                <w:szCs w:val="22"/>
              </w:rPr>
              <w:t>①</w:t>
            </w:r>
            <w:r>
              <w:rPr>
                <w:rFonts w:ascii="宋体" w:hAnsi="宋体" w:cs="宋体"/>
                <w:bCs/>
                <w:color w:val="auto"/>
                <w:kern w:val="0"/>
                <w:szCs w:val="22"/>
              </w:rPr>
              <w:fldChar w:fldCharType="end"/>
            </w:r>
            <w:r>
              <w:rPr>
                <w:rFonts w:hint="eastAsia" w:ascii="宋体" w:hAnsi="宋体" w:cs="宋体"/>
                <w:bCs/>
                <w:color w:val="auto"/>
                <w:kern w:val="0"/>
                <w:szCs w:val="22"/>
              </w:rPr>
              <w:t>粉尘</w:t>
            </w:r>
          </w:p>
          <w:p w14:paraId="43D952B0">
            <w:pPr>
              <w:ind w:firstLine="480"/>
              <w:rPr>
                <w:bCs/>
                <w:color w:val="auto"/>
                <w:kern w:val="0"/>
                <w:szCs w:val="22"/>
              </w:rPr>
            </w:pPr>
            <w:r>
              <w:rPr>
                <w:bCs/>
                <w:color w:val="auto"/>
                <w:kern w:val="0"/>
                <w:szCs w:val="22"/>
              </w:rPr>
              <w:t>运营期</w:t>
            </w:r>
            <w:r>
              <w:rPr>
                <w:rFonts w:hint="eastAsia"/>
                <w:bCs/>
                <w:color w:val="auto"/>
                <w:kern w:val="0"/>
                <w:szCs w:val="22"/>
              </w:rPr>
              <w:t>铁路轨枕生产环节</w:t>
            </w:r>
            <w:r>
              <w:rPr>
                <w:bCs/>
                <w:color w:val="auto"/>
                <w:kern w:val="0"/>
                <w:szCs w:val="22"/>
              </w:rPr>
              <w:t>有组织粉尘执行《水泥工业大气污染物排放标准》（GB4915-2013）表1现有与新建企业大气污染物排放限值中的“水泥仓及其他通风生产设备颗粒物排放浓度：20mg/m</w:t>
            </w:r>
            <w:r>
              <w:rPr>
                <w:bCs/>
                <w:color w:val="auto"/>
                <w:kern w:val="0"/>
                <w:szCs w:val="22"/>
                <w:vertAlign w:val="superscript"/>
              </w:rPr>
              <w:t>3</w:t>
            </w:r>
            <w:r>
              <w:rPr>
                <w:bCs/>
                <w:color w:val="auto"/>
                <w:kern w:val="0"/>
                <w:szCs w:val="22"/>
              </w:rPr>
              <w:t>”，无组织粉尘执行《水泥工业大气污染物排放标准》（GB4915-2013）表3大气污染物无组织排放限值中的“水泥制品厂颗粒物无组织排放监控点浓度限值：0.5mg/m</w:t>
            </w:r>
            <w:r>
              <w:rPr>
                <w:bCs/>
                <w:color w:val="auto"/>
                <w:kern w:val="0"/>
                <w:szCs w:val="22"/>
                <w:vertAlign w:val="superscript"/>
              </w:rPr>
              <w:t>3</w:t>
            </w:r>
            <w:r>
              <w:rPr>
                <w:bCs/>
                <w:color w:val="auto"/>
                <w:kern w:val="0"/>
                <w:szCs w:val="22"/>
              </w:rPr>
              <w:t>”</w:t>
            </w:r>
            <w:r>
              <w:rPr>
                <w:color w:val="auto"/>
              </w:rPr>
              <w:t>。标准限值见表</w:t>
            </w:r>
            <w:r>
              <w:rPr>
                <w:rFonts w:hint="eastAsia"/>
                <w:color w:val="auto"/>
                <w:lang w:val="en-US" w:eastAsia="zh-CN"/>
              </w:rPr>
              <w:t>3-3</w:t>
            </w:r>
            <w:r>
              <w:rPr>
                <w:color w:val="auto"/>
              </w:rPr>
              <w:t>。</w:t>
            </w:r>
            <w:r>
              <w:rPr>
                <w:rFonts w:hint="eastAsia"/>
                <w:color w:val="auto"/>
              </w:rPr>
              <w:t>同时，周界外浓度最高点执行《大气污染物综合排放标准》（GB16297-1996）表2标准限值。</w:t>
            </w:r>
          </w:p>
          <w:p w14:paraId="355024C8">
            <w:pPr>
              <w:pStyle w:val="29"/>
              <w:spacing w:before="24" w:after="24"/>
              <w:rPr>
                <w:color w:val="auto"/>
              </w:rPr>
            </w:pPr>
            <w:r>
              <w:rPr>
                <w:color w:val="auto"/>
              </w:rPr>
              <w:t>表</w:t>
            </w:r>
            <w:r>
              <w:rPr>
                <w:rFonts w:hint="eastAsia"/>
                <w:color w:val="auto"/>
                <w:lang w:val="en-US" w:eastAsia="zh-CN"/>
              </w:rPr>
              <w:t>3-3</w:t>
            </w:r>
            <w:r>
              <w:rPr>
                <w:color w:val="auto"/>
              </w:rPr>
              <w:t xml:space="preserve">  水泥工业大气污染物排放标准</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8"/>
              <w:gridCol w:w="3224"/>
              <w:gridCol w:w="3676"/>
            </w:tblGrid>
            <w:tr w14:paraId="29E1F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7" w:type="pct"/>
                  <w:noWrap w:val="0"/>
                  <w:vAlign w:val="center"/>
                </w:tcPr>
                <w:p w14:paraId="3C4E1464">
                  <w:pPr>
                    <w:pStyle w:val="28"/>
                    <w:rPr>
                      <w:b/>
                      <w:bCs/>
                      <w:color w:val="auto"/>
                    </w:rPr>
                  </w:pPr>
                  <w:r>
                    <w:rPr>
                      <w:b/>
                      <w:bCs/>
                      <w:color w:val="auto"/>
                    </w:rPr>
                    <w:t>污染物名称</w:t>
                  </w:r>
                </w:p>
              </w:tc>
              <w:tc>
                <w:tcPr>
                  <w:tcW w:w="1922" w:type="pct"/>
                  <w:noWrap w:val="0"/>
                  <w:vAlign w:val="center"/>
                </w:tcPr>
                <w:p w14:paraId="2F389FCD">
                  <w:pPr>
                    <w:pStyle w:val="28"/>
                    <w:rPr>
                      <w:b/>
                      <w:bCs/>
                      <w:color w:val="auto"/>
                    </w:rPr>
                  </w:pPr>
                  <w:r>
                    <w:rPr>
                      <w:b/>
                      <w:bCs/>
                      <w:color w:val="auto"/>
                    </w:rPr>
                    <w:t>水泥仓及其他通风生产设备</w:t>
                  </w:r>
                </w:p>
              </w:tc>
              <w:tc>
                <w:tcPr>
                  <w:tcW w:w="2191" w:type="pct"/>
                  <w:noWrap w:val="0"/>
                  <w:vAlign w:val="center"/>
                </w:tcPr>
                <w:p w14:paraId="4DA1C91E">
                  <w:pPr>
                    <w:pStyle w:val="28"/>
                    <w:rPr>
                      <w:b/>
                      <w:bCs/>
                      <w:color w:val="auto"/>
                    </w:rPr>
                  </w:pPr>
                  <w:r>
                    <w:rPr>
                      <w:b/>
                      <w:bCs/>
                      <w:color w:val="auto"/>
                    </w:rPr>
                    <w:t>厂界外无组织排放监控点浓度限值</w:t>
                  </w:r>
                </w:p>
              </w:tc>
            </w:tr>
            <w:tr w14:paraId="072E5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87" w:type="pct"/>
                  <w:noWrap w:val="0"/>
                  <w:vAlign w:val="center"/>
                </w:tcPr>
                <w:p w14:paraId="3E853BB8">
                  <w:pPr>
                    <w:pStyle w:val="28"/>
                    <w:ind w:firstLine="480"/>
                    <w:rPr>
                      <w:color w:val="auto"/>
                    </w:rPr>
                  </w:pPr>
                  <w:r>
                    <w:rPr>
                      <w:color w:val="auto"/>
                    </w:rPr>
                    <w:t>颗粒物</w:t>
                  </w:r>
                </w:p>
              </w:tc>
              <w:tc>
                <w:tcPr>
                  <w:tcW w:w="1922" w:type="pct"/>
                  <w:noWrap w:val="0"/>
                  <w:vAlign w:val="center"/>
                </w:tcPr>
                <w:p w14:paraId="482070A8">
                  <w:pPr>
                    <w:pStyle w:val="28"/>
                    <w:ind w:firstLine="480"/>
                    <w:rPr>
                      <w:color w:val="auto"/>
                    </w:rPr>
                  </w:pPr>
                  <w:r>
                    <w:rPr>
                      <w:color w:val="auto"/>
                    </w:rPr>
                    <w:t>20mg/m</w:t>
                  </w:r>
                  <w:r>
                    <w:rPr>
                      <w:color w:val="auto"/>
                      <w:vertAlign w:val="superscript"/>
                    </w:rPr>
                    <w:t>3</w:t>
                  </w:r>
                </w:p>
              </w:tc>
              <w:tc>
                <w:tcPr>
                  <w:tcW w:w="2191" w:type="pct"/>
                  <w:noWrap w:val="0"/>
                  <w:vAlign w:val="center"/>
                </w:tcPr>
                <w:p w14:paraId="07F25B2F">
                  <w:pPr>
                    <w:pStyle w:val="28"/>
                    <w:ind w:firstLine="480"/>
                    <w:rPr>
                      <w:color w:val="auto"/>
                    </w:rPr>
                  </w:pPr>
                  <w:r>
                    <w:rPr>
                      <w:color w:val="auto"/>
                    </w:rPr>
                    <w:t>0.5mg/m</w:t>
                  </w:r>
                  <w:r>
                    <w:rPr>
                      <w:color w:val="auto"/>
                      <w:vertAlign w:val="superscript"/>
                    </w:rPr>
                    <w:t>3</w:t>
                  </w:r>
                </w:p>
              </w:tc>
            </w:tr>
            <w:tr w14:paraId="1E5D8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3"/>
                  <w:noWrap w:val="0"/>
                  <w:vAlign w:val="center"/>
                </w:tcPr>
                <w:p w14:paraId="72E6EE39">
                  <w:pPr>
                    <w:pStyle w:val="28"/>
                    <w:ind w:firstLine="480"/>
                    <w:rPr>
                      <w:color w:val="auto"/>
                    </w:rPr>
                  </w:pPr>
                  <w:r>
                    <w:rPr>
                      <w:color w:val="auto"/>
                    </w:rPr>
                    <w:t>厂界外无组织排放监控点浓度限值含义：</w:t>
                  </w:r>
                  <w:r>
                    <w:rPr>
                      <w:rFonts w:hint="eastAsia"/>
                      <w:color w:val="auto"/>
                    </w:rPr>
                    <w:t>下风向监控点与厂界外20m处上风向的参照点TSP的1小时浓度差值不高于0.5mg/m</w:t>
                  </w:r>
                  <w:r>
                    <w:rPr>
                      <w:rFonts w:hint="eastAsia"/>
                      <w:color w:val="auto"/>
                      <w:vertAlign w:val="superscript"/>
                    </w:rPr>
                    <w:t>3</w:t>
                  </w:r>
                  <w:r>
                    <w:rPr>
                      <w:rFonts w:hint="eastAsia"/>
                      <w:color w:val="auto"/>
                    </w:rPr>
                    <w:t>。</w:t>
                  </w:r>
                </w:p>
              </w:tc>
            </w:tr>
          </w:tbl>
          <w:p w14:paraId="4E689EEB">
            <w:pPr>
              <w:pStyle w:val="29"/>
              <w:spacing w:before="24" w:after="24"/>
              <w:rPr>
                <w:color w:val="auto"/>
              </w:rPr>
            </w:pPr>
            <w:r>
              <w:rPr>
                <w:color w:val="auto"/>
              </w:rPr>
              <w:t>表</w:t>
            </w:r>
            <w:r>
              <w:rPr>
                <w:rFonts w:hint="eastAsia"/>
                <w:color w:val="auto"/>
                <w:lang w:val="en-US" w:eastAsia="zh-CN"/>
              </w:rPr>
              <w:t xml:space="preserve">3-4  </w:t>
            </w:r>
            <w:r>
              <w:rPr>
                <w:color w:val="auto"/>
              </w:rPr>
              <w:t>《大气污染物综合排放标准》排放限值</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9"/>
              <w:gridCol w:w="1768"/>
              <w:gridCol w:w="1840"/>
              <w:gridCol w:w="1802"/>
              <w:gridCol w:w="1799"/>
            </w:tblGrid>
            <w:tr w14:paraId="7D863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pct"/>
                  <w:vMerge w:val="restart"/>
                  <w:noWrap w:val="0"/>
                  <w:vAlign w:val="center"/>
                </w:tcPr>
                <w:p w14:paraId="033ADF18">
                  <w:pPr>
                    <w:spacing w:line="240" w:lineRule="auto"/>
                    <w:ind w:firstLine="0" w:firstLineChars="0"/>
                    <w:rPr>
                      <w:b/>
                      <w:color w:val="auto"/>
                      <w:sz w:val="21"/>
                      <w:szCs w:val="21"/>
                    </w:rPr>
                  </w:pPr>
                  <w:r>
                    <w:rPr>
                      <w:b/>
                      <w:color w:val="auto"/>
                      <w:sz w:val="21"/>
                      <w:szCs w:val="21"/>
                    </w:rPr>
                    <w:t>污染物</w:t>
                  </w:r>
                </w:p>
              </w:tc>
              <w:tc>
                <w:tcPr>
                  <w:tcW w:w="2151" w:type="pct"/>
                  <w:gridSpan w:val="2"/>
                  <w:noWrap w:val="0"/>
                  <w:vAlign w:val="center"/>
                </w:tcPr>
                <w:p w14:paraId="6E23A594">
                  <w:pPr>
                    <w:spacing w:line="240" w:lineRule="auto"/>
                    <w:ind w:firstLine="0" w:firstLineChars="0"/>
                    <w:jc w:val="center"/>
                    <w:rPr>
                      <w:b/>
                      <w:color w:val="auto"/>
                      <w:sz w:val="21"/>
                      <w:szCs w:val="21"/>
                    </w:rPr>
                  </w:pPr>
                  <w:r>
                    <w:rPr>
                      <w:rFonts w:hint="eastAsia"/>
                      <w:b/>
                      <w:color w:val="auto"/>
                      <w:sz w:val="21"/>
                      <w:szCs w:val="21"/>
                    </w:rPr>
                    <w:t>有组织</w:t>
                  </w:r>
                </w:p>
              </w:tc>
              <w:tc>
                <w:tcPr>
                  <w:tcW w:w="2146" w:type="pct"/>
                  <w:gridSpan w:val="2"/>
                  <w:noWrap w:val="0"/>
                  <w:vAlign w:val="top"/>
                </w:tcPr>
                <w:p w14:paraId="449FA23E">
                  <w:pPr>
                    <w:spacing w:line="240" w:lineRule="auto"/>
                    <w:ind w:firstLine="0" w:firstLineChars="0"/>
                    <w:jc w:val="center"/>
                    <w:rPr>
                      <w:b/>
                      <w:color w:val="auto"/>
                      <w:sz w:val="21"/>
                      <w:szCs w:val="21"/>
                    </w:rPr>
                  </w:pPr>
                  <w:r>
                    <w:rPr>
                      <w:rFonts w:hint="eastAsia"/>
                      <w:b/>
                      <w:color w:val="auto"/>
                      <w:sz w:val="21"/>
                      <w:szCs w:val="21"/>
                    </w:rPr>
                    <w:t>无组织</w:t>
                  </w:r>
                </w:p>
              </w:tc>
            </w:tr>
            <w:tr w14:paraId="0CFD5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703" w:type="pct"/>
                  <w:vMerge w:val="continue"/>
                  <w:noWrap w:val="0"/>
                  <w:vAlign w:val="center"/>
                </w:tcPr>
                <w:p w14:paraId="15B47AD2">
                  <w:pPr>
                    <w:spacing w:line="240" w:lineRule="auto"/>
                    <w:ind w:firstLine="0" w:firstLineChars="0"/>
                    <w:jc w:val="center"/>
                    <w:rPr>
                      <w:b/>
                      <w:color w:val="auto"/>
                      <w:sz w:val="21"/>
                      <w:szCs w:val="21"/>
                    </w:rPr>
                  </w:pPr>
                </w:p>
              </w:tc>
              <w:tc>
                <w:tcPr>
                  <w:tcW w:w="1054" w:type="pct"/>
                  <w:vMerge w:val="restart"/>
                  <w:noWrap w:val="0"/>
                  <w:vAlign w:val="center"/>
                </w:tcPr>
                <w:p w14:paraId="22D983E1">
                  <w:pPr>
                    <w:spacing w:line="240" w:lineRule="auto"/>
                    <w:ind w:firstLine="0" w:firstLineChars="0"/>
                    <w:jc w:val="center"/>
                    <w:rPr>
                      <w:rFonts w:hint="eastAsia"/>
                      <w:b/>
                      <w:color w:val="auto"/>
                      <w:sz w:val="21"/>
                      <w:szCs w:val="21"/>
                    </w:rPr>
                  </w:pPr>
                  <w:r>
                    <w:rPr>
                      <w:b/>
                      <w:color w:val="auto"/>
                      <w:sz w:val="21"/>
                      <w:szCs w:val="21"/>
                    </w:rPr>
                    <w:t>最高允许排放浓度（mg/m</w:t>
                  </w:r>
                  <w:r>
                    <w:rPr>
                      <w:b/>
                      <w:color w:val="auto"/>
                      <w:sz w:val="21"/>
                      <w:szCs w:val="21"/>
                      <w:vertAlign w:val="superscript"/>
                    </w:rPr>
                    <w:t>3</w:t>
                  </w:r>
                  <w:r>
                    <w:rPr>
                      <w:b/>
                      <w:color w:val="auto"/>
                      <w:sz w:val="21"/>
                      <w:szCs w:val="21"/>
                    </w:rPr>
                    <w:t>）</w:t>
                  </w:r>
                </w:p>
              </w:tc>
              <w:tc>
                <w:tcPr>
                  <w:tcW w:w="1097" w:type="pct"/>
                  <w:vMerge w:val="restart"/>
                  <w:noWrap w:val="0"/>
                  <w:vAlign w:val="center"/>
                </w:tcPr>
                <w:p w14:paraId="7FA1C787">
                  <w:pPr>
                    <w:spacing w:line="240" w:lineRule="auto"/>
                    <w:ind w:firstLine="0" w:firstLineChars="0"/>
                    <w:jc w:val="center"/>
                    <w:rPr>
                      <w:rFonts w:hint="eastAsia"/>
                      <w:b/>
                      <w:color w:val="auto"/>
                      <w:sz w:val="21"/>
                      <w:szCs w:val="21"/>
                    </w:rPr>
                  </w:pPr>
                  <w:r>
                    <w:rPr>
                      <w:rFonts w:hint="eastAsia"/>
                      <w:b/>
                      <w:color w:val="auto"/>
                      <w:sz w:val="21"/>
                      <w:szCs w:val="21"/>
                    </w:rPr>
                    <w:t>最高允许排放速率（kg/h）</w:t>
                  </w:r>
                </w:p>
              </w:tc>
              <w:tc>
                <w:tcPr>
                  <w:tcW w:w="2146" w:type="pct"/>
                  <w:gridSpan w:val="2"/>
                  <w:noWrap w:val="0"/>
                  <w:vAlign w:val="top"/>
                </w:tcPr>
                <w:p w14:paraId="1CC64E7B">
                  <w:pPr>
                    <w:spacing w:line="240" w:lineRule="auto"/>
                    <w:ind w:firstLine="0" w:firstLineChars="0"/>
                    <w:jc w:val="center"/>
                    <w:rPr>
                      <w:b/>
                      <w:color w:val="auto"/>
                      <w:sz w:val="21"/>
                      <w:szCs w:val="21"/>
                    </w:rPr>
                  </w:pPr>
                  <w:r>
                    <w:rPr>
                      <w:b/>
                      <w:color w:val="auto"/>
                      <w:sz w:val="21"/>
                      <w:szCs w:val="21"/>
                    </w:rPr>
                    <w:t>最高允许排放浓度</w:t>
                  </w:r>
                </w:p>
              </w:tc>
            </w:tr>
            <w:tr w14:paraId="34A86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pct"/>
                  <w:vMerge w:val="continue"/>
                  <w:noWrap w:val="0"/>
                  <w:vAlign w:val="center"/>
                </w:tcPr>
                <w:p w14:paraId="6AC16D8A">
                  <w:pPr>
                    <w:spacing w:line="240" w:lineRule="auto"/>
                    <w:ind w:firstLine="0" w:firstLineChars="0"/>
                    <w:jc w:val="center"/>
                    <w:rPr>
                      <w:b/>
                      <w:color w:val="auto"/>
                      <w:sz w:val="21"/>
                      <w:szCs w:val="21"/>
                    </w:rPr>
                  </w:pPr>
                </w:p>
              </w:tc>
              <w:tc>
                <w:tcPr>
                  <w:tcW w:w="1054" w:type="pct"/>
                  <w:vMerge w:val="continue"/>
                  <w:noWrap w:val="0"/>
                  <w:vAlign w:val="center"/>
                </w:tcPr>
                <w:p w14:paraId="45694036">
                  <w:pPr>
                    <w:spacing w:line="240" w:lineRule="auto"/>
                    <w:ind w:firstLine="0" w:firstLineChars="0"/>
                    <w:jc w:val="center"/>
                    <w:rPr>
                      <w:b/>
                      <w:color w:val="auto"/>
                      <w:sz w:val="21"/>
                      <w:szCs w:val="21"/>
                    </w:rPr>
                  </w:pPr>
                </w:p>
              </w:tc>
              <w:tc>
                <w:tcPr>
                  <w:tcW w:w="1097" w:type="pct"/>
                  <w:vMerge w:val="continue"/>
                  <w:noWrap w:val="0"/>
                  <w:vAlign w:val="center"/>
                </w:tcPr>
                <w:p w14:paraId="0EC74A30">
                  <w:pPr>
                    <w:spacing w:line="240" w:lineRule="auto"/>
                    <w:ind w:firstLine="0" w:firstLineChars="0"/>
                    <w:jc w:val="center"/>
                    <w:rPr>
                      <w:b/>
                      <w:color w:val="auto"/>
                      <w:sz w:val="21"/>
                      <w:szCs w:val="21"/>
                    </w:rPr>
                  </w:pPr>
                </w:p>
              </w:tc>
              <w:tc>
                <w:tcPr>
                  <w:tcW w:w="1074" w:type="pct"/>
                  <w:noWrap w:val="0"/>
                  <w:vAlign w:val="center"/>
                </w:tcPr>
                <w:p w14:paraId="7E86EC62">
                  <w:pPr>
                    <w:spacing w:line="240" w:lineRule="auto"/>
                    <w:ind w:firstLine="0" w:firstLineChars="0"/>
                    <w:jc w:val="center"/>
                    <w:rPr>
                      <w:b/>
                      <w:color w:val="auto"/>
                      <w:sz w:val="21"/>
                      <w:szCs w:val="21"/>
                    </w:rPr>
                  </w:pPr>
                  <w:r>
                    <w:rPr>
                      <w:b/>
                      <w:color w:val="auto"/>
                      <w:sz w:val="21"/>
                      <w:szCs w:val="21"/>
                    </w:rPr>
                    <w:t>监控点</w:t>
                  </w:r>
                </w:p>
              </w:tc>
              <w:tc>
                <w:tcPr>
                  <w:tcW w:w="1072" w:type="pct"/>
                  <w:noWrap w:val="0"/>
                  <w:vAlign w:val="center"/>
                </w:tcPr>
                <w:p w14:paraId="224C7266">
                  <w:pPr>
                    <w:spacing w:line="240" w:lineRule="auto"/>
                    <w:ind w:firstLine="0" w:firstLineChars="0"/>
                    <w:jc w:val="center"/>
                    <w:rPr>
                      <w:b/>
                      <w:color w:val="auto"/>
                      <w:sz w:val="21"/>
                      <w:szCs w:val="21"/>
                    </w:rPr>
                  </w:pPr>
                  <w:r>
                    <w:rPr>
                      <w:b/>
                      <w:color w:val="auto"/>
                      <w:sz w:val="21"/>
                      <w:szCs w:val="21"/>
                    </w:rPr>
                    <w:t>浓度（mg/m</w:t>
                  </w:r>
                  <w:r>
                    <w:rPr>
                      <w:b/>
                      <w:color w:val="auto"/>
                      <w:sz w:val="21"/>
                      <w:szCs w:val="21"/>
                      <w:vertAlign w:val="superscript"/>
                    </w:rPr>
                    <w:t>3</w:t>
                  </w:r>
                  <w:r>
                    <w:rPr>
                      <w:b/>
                      <w:color w:val="auto"/>
                      <w:sz w:val="21"/>
                      <w:szCs w:val="21"/>
                    </w:rPr>
                    <w:t>）</w:t>
                  </w:r>
                </w:p>
              </w:tc>
            </w:tr>
            <w:tr w14:paraId="505AC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pct"/>
                  <w:noWrap w:val="0"/>
                  <w:vAlign w:val="center"/>
                </w:tcPr>
                <w:p w14:paraId="42DE7566">
                  <w:pPr>
                    <w:spacing w:line="240" w:lineRule="auto"/>
                    <w:ind w:firstLine="0" w:firstLineChars="0"/>
                    <w:jc w:val="center"/>
                    <w:rPr>
                      <w:color w:val="auto"/>
                      <w:sz w:val="21"/>
                      <w:szCs w:val="21"/>
                    </w:rPr>
                  </w:pPr>
                  <w:r>
                    <w:rPr>
                      <w:color w:val="auto"/>
                      <w:sz w:val="21"/>
                      <w:szCs w:val="21"/>
                    </w:rPr>
                    <w:t>颗粒物</w:t>
                  </w:r>
                </w:p>
              </w:tc>
              <w:tc>
                <w:tcPr>
                  <w:tcW w:w="1054" w:type="pct"/>
                  <w:noWrap w:val="0"/>
                  <w:vAlign w:val="center"/>
                </w:tcPr>
                <w:p w14:paraId="61F77312">
                  <w:pPr>
                    <w:spacing w:line="240" w:lineRule="auto"/>
                    <w:ind w:firstLine="0" w:firstLineChars="0"/>
                    <w:jc w:val="center"/>
                    <w:rPr>
                      <w:color w:val="auto"/>
                      <w:sz w:val="21"/>
                      <w:szCs w:val="21"/>
                    </w:rPr>
                  </w:pPr>
                  <w:r>
                    <w:rPr>
                      <w:rFonts w:hint="eastAsia"/>
                      <w:color w:val="auto"/>
                      <w:sz w:val="21"/>
                      <w:szCs w:val="21"/>
                    </w:rPr>
                    <w:t>1</w:t>
                  </w:r>
                  <w:r>
                    <w:rPr>
                      <w:color w:val="auto"/>
                      <w:sz w:val="21"/>
                      <w:szCs w:val="21"/>
                    </w:rPr>
                    <w:t>20</w:t>
                  </w:r>
                </w:p>
              </w:tc>
              <w:tc>
                <w:tcPr>
                  <w:tcW w:w="1097" w:type="pct"/>
                  <w:noWrap w:val="0"/>
                  <w:vAlign w:val="center"/>
                </w:tcPr>
                <w:p w14:paraId="185F0D0F">
                  <w:pPr>
                    <w:spacing w:line="240" w:lineRule="auto"/>
                    <w:ind w:firstLine="0" w:firstLineChars="0"/>
                    <w:jc w:val="center"/>
                    <w:rPr>
                      <w:color w:val="auto"/>
                      <w:sz w:val="21"/>
                      <w:szCs w:val="21"/>
                    </w:rPr>
                  </w:pPr>
                  <w:r>
                    <w:rPr>
                      <w:color w:val="auto"/>
                      <w:sz w:val="21"/>
                      <w:szCs w:val="21"/>
                    </w:rPr>
                    <w:t>3.5</w:t>
                  </w:r>
                </w:p>
              </w:tc>
              <w:tc>
                <w:tcPr>
                  <w:tcW w:w="1074" w:type="pct"/>
                  <w:noWrap w:val="0"/>
                  <w:vAlign w:val="center"/>
                </w:tcPr>
                <w:p w14:paraId="0C8EB059">
                  <w:pPr>
                    <w:spacing w:line="240" w:lineRule="auto"/>
                    <w:ind w:firstLine="0" w:firstLineChars="0"/>
                    <w:jc w:val="center"/>
                    <w:rPr>
                      <w:color w:val="auto"/>
                      <w:sz w:val="21"/>
                      <w:szCs w:val="21"/>
                    </w:rPr>
                  </w:pPr>
                  <w:r>
                    <w:rPr>
                      <w:color w:val="auto"/>
                      <w:sz w:val="21"/>
                      <w:szCs w:val="21"/>
                    </w:rPr>
                    <w:t>周界外浓度最高点</w:t>
                  </w:r>
                </w:p>
              </w:tc>
              <w:tc>
                <w:tcPr>
                  <w:tcW w:w="1072" w:type="pct"/>
                  <w:noWrap w:val="0"/>
                  <w:vAlign w:val="center"/>
                </w:tcPr>
                <w:p w14:paraId="4D860054">
                  <w:pPr>
                    <w:spacing w:line="240" w:lineRule="auto"/>
                    <w:ind w:firstLine="0" w:firstLineChars="0"/>
                    <w:jc w:val="center"/>
                    <w:rPr>
                      <w:color w:val="auto"/>
                      <w:sz w:val="21"/>
                      <w:szCs w:val="21"/>
                    </w:rPr>
                  </w:pPr>
                  <w:r>
                    <w:rPr>
                      <w:color w:val="auto"/>
                      <w:sz w:val="21"/>
                      <w:szCs w:val="21"/>
                    </w:rPr>
                    <w:t>1.0</w:t>
                  </w:r>
                </w:p>
              </w:tc>
            </w:tr>
          </w:tbl>
          <w:p w14:paraId="5DE6A849">
            <w:pPr>
              <w:ind w:left="468" w:firstLine="0" w:firstLineChars="0"/>
              <w:rPr>
                <w:color w:val="auto"/>
                <w:kern w:val="0"/>
              </w:rPr>
            </w:pPr>
            <w:r>
              <w:rPr>
                <w:color w:val="auto"/>
                <w:kern w:val="0"/>
              </w:rPr>
              <w:fldChar w:fldCharType="begin"/>
            </w:r>
            <w:r>
              <w:rPr>
                <w:color w:val="auto"/>
                <w:kern w:val="0"/>
              </w:rPr>
              <w:instrText xml:space="preserve"> </w:instrText>
            </w:r>
            <w:r>
              <w:rPr>
                <w:rFonts w:hint="eastAsia"/>
                <w:color w:val="auto"/>
                <w:kern w:val="0"/>
              </w:rPr>
              <w:instrText xml:space="preserve">= 2 \* GB3</w:instrText>
            </w:r>
            <w:r>
              <w:rPr>
                <w:color w:val="auto"/>
                <w:kern w:val="0"/>
              </w:rPr>
              <w:instrText xml:space="preserve"> </w:instrText>
            </w:r>
            <w:r>
              <w:rPr>
                <w:color w:val="auto"/>
                <w:kern w:val="0"/>
              </w:rPr>
              <w:fldChar w:fldCharType="separate"/>
            </w:r>
            <w:r>
              <w:rPr>
                <w:rFonts w:hint="eastAsia"/>
                <w:color w:val="auto"/>
                <w:kern w:val="0"/>
              </w:rPr>
              <w:t>②</w:t>
            </w:r>
            <w:r>
              <w:rPr>
                <w:color w:val="auto"/>
                <w:kern w:val="0"/>
              </w:rPr>
              <w:fldChar w:fldCharType="end"/>
            </w:r>
            <w:r>
              <w:rPr>
                <w:color w:val="auto"/>
                <w:kern w:val="0"/>
              </w:rPr>
              <w:t>锅炉废气</w:t>
            </w:r>
          </w:p>
          <w:p w14:paraId="3AA83F3A">
            <w:pPr>
              <w:snapToGrid w:val="0"/>
              <w:ind w:firstLine="480"/>
              <w:rPr>
                <w:color w:val="auto"/>
                <w:kern w:val="0"/>
              </w:rPr>
            </w:pPr>
            <w:r>
              <w:rPr>
                <w:color w:val="auto"/>
                <w:kern w:val="0"/>
              </w:rPr>
              <w:t>项目运营期锅炉废气的排放执行《锅炉大气污染物排放标准》（GB13271-2014）中“表2新建锅炉大气污染物排放浓度限值”的要求，根据《锅炉大气污染物排放标准》（GB13271-2014）中的适用范围，使用型煤、水煤浆、煤矸石、石油焦、油页岩、生物质成型燃料等的锅炉，因</w:t>
            </w:r>
            <w:r>
              <w:rPr>
                <w:color w:val="auto"/>
              </w:rPr>
              <w:t>本项目燃料使用</w:t>
            </w:r>
            <w:r>
              <w:rPr>
                <w:color w:val="auto"/>
                <w:kern w:val="0"/>
              </w:rPr>
              <w:t>生物质成型燃料，所以参照本标准中燃煤锅炉排放控制要求执行。详见表</w:t>
            </w:r>
            <w:r>
              <w:rPr>
                <w:rFonts w:hint="eastAsia"/>
                <w:color w:val="auto"/>
                <w:kern w:val="0"/>
                <w:lang w:val="en-US" w:eastAsia="zh-CN"/>
              </w:rPr>
              <w:t>3-5</w:t>
            </w:r>
            <w:r>
              <w:rPr>
                <w:color w:val="auto"/>
                <w:kern w:val="0"/>
              </w:rPr>
              <w:t>。</w:t>
            </w:r>
          </w:p>
          <w:p w14:paraId="74D4BB87">
            <w:pPr>
              <w:ind w:firstLine="480"/>
              <w:rPr>
                <w:rFonts w:hint="eastAsia"/>
                <w:color w:val="auto"/>
              </w:rPr>
            </w:pPr>
            <w:r>
              <w:rPr>
                <w:color w:val="auto"/>
                <w:kern w:val="0"/>
              </w:rPr>
              <w:t>新建燃煤锅炉房只能设一根烟囱，烟囱高度不得低于</w:t>
            </w:r>
            <w:r>
              <w:rPr>
                <w:rFonts w:hint="eastAsia"/>
                <w:color w:val="auto"/>
                <w:kern w:val="0"/>
                <w:lang w:val="en-US" w:eastAsia="zh-CN"/>
              </w:rPr>
              <w:t>30</w:t>
            </w:r>
            <w:r>
              <w:rPr>
                <w:color w:val="auto"/>
                <w:kern w:val="0"/>
              </w:rPr>
              <w:t>m。</w:t>
            </w:r>
          </w:p>
          <w:p w14:paraId="3BC19A81">
            <w:pPr>
              <w:pStyle w:val="29"/>
              <w:spacing w:before="24" w:after="24"/>
              <w:rPr>
                <w:color w:val="auto"/>
              </w:rPr>
            </w:pPr>
          </w:p>
          <w:p w14:paraId="3314FFF5">
            <w:pPr>
              <w:pStyle w:val="29"/>
              <w:spacing w:before="24" w:after="24"/>
              <w:rPr>
                <w:color w:val="auto"/>
              </w:rPr>
            </w:pPr>
          </w:p>
          <w:p w14:paraId="25EFB0B0">
            <w:pPr>
              <w:pStyle w:val="29"/>
              <w:spacing w:before="24" w:after="24"/>
              <w:rPr>
                <w:color w:val="auto"/>
              </w:rPr>
            </w:pPr>
            <w:r>
              <w:rPr>
                <w:color w:val="auto"/>
              </w:rPr>
              <w:t>表</w:t>
            </w:r>
            <w:r>
              <w:rPr>
                <w:rFonts w:hint="eastAsia"/>
                <w:color w:val="auto"/>
                <w:lang w:val="en-US" w:eastAsia="zh-CN"/>
              </w:rPr>
              <w:t>3-5</w:t>
            </w:r>
            <w:r>
              <w:rPr>
                <w:color w:val="auto"/>
              </w:rPr>
              <w:t xml:space="preserve">  锅炉大气污染物排放浓度限值</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0"/>
              <w:gridCol w:w="2413"/>
              <w:gridCol w:w="2252"/>
              <w:gridCol w:w="1800"/>
            </w:tblGrid>
            <w:tr w14:paraId="019CE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4" w:type="pct"/>
                  <w:vMerge w:val="restart"/>
                  <w:noWrap w:val="0"/>
                  <w:vAlign w:val="center"/>
                </w:tcPr>
                <w:p w14:paraId="2AC2C2BC">
                  <w:pPr>
                    <w:pStyle w:val="28"/>
                    <w:keepNext w:val="0"/>
                    <w:keepLines w:val="0"/>
                    <w:pageBreakBefore w:val="0"/>
                    <w:widowControl w:val="0"/>
                    <w:kinsoku/>
                    <w:wordWrap/>
                    <w:overflowPunct/>
                    <w:topLinePunct w:val="0"/>
                    <w:autoSpaceDE w:val="0"/>
                    <w:autoSpaceDN w:val="0"/>
                    <w:bidi w:val="0"/>
                    <w:adjustRightInd w:val="0"/>
                    <w:snapToGrid/>
                    <w:ind w:firstLine="0"/>
                    <w:jc w:val="center"/>
                    <w:textAlignment w:val="auto"/>
                    <w:rPr>
                      <w:b/>
                      <w:bCs/>
                      <w:color w:val="auto"/>
                    </w:rPr>
                  </w:pPr>
                  <w:r>
                    <w:rPr>
                      <w:b/>
                      <w:bCs/>
                      <w:color w:val="auto"/>
                    </w:rPr>
                    <w:t>污染物项目</w:t>
                  </w:r>
                </w:p>
              </w:tc>
              <w:tc>
                <w:tcPr>
                  <w:tcW w:w="1438" w:type="pct"/>
                  <w:noWrap w:val="0"/>
                  <w:vAlign w:val="center"/>
                </w:tcPr>
                <w:p w14:paraId="190ECC58">
                  <w:pPr>
                    <w:pStyle w:val="28"/>
                    <w:keepNext w:val="0"/>
                    <w:keepLines w:val="0"/>
                    <w:pageBreakBefore w:val="0"/>
                    <w:widowControl w:val="0"/>
                    <w:kinsoku/>
                    <w:wordWrap/>
                    <w:overflowPunct/>
                    <w:topLinePunct w:val="0"/>
                    <w:autoSpaceDE w:val="0"/>
                    <w:autoSpaceDN w:val="0"/>
                    <w:bidi w:val="0"/>
                    <w:adjustRightInd w:val="0"/>
                    <w:snapToGrid/>
                    <w:ind w:firstLine="0"/>
                    <w:jc w:val="center"/>
                    <w:textAlignment w:val="auto"/>
                    <w:rPr>
                      <w:b/>
                      <w:bCs/>
                      <w:color w:val="auto"/>
                    </w:rPr>
                  </w:pPr>
                  <w:r>
                    <w:rPr>
                      <w:b/>
                      <w:bCs/>
                      <w:color w:val="auto"/>
                    </w:rPr>
                    <w:t>限值</w:t>
                  </w:r>
                </w:p>
              </w:tc>
              <w:tc>
                <w:tcPr>
                  <w:tcW w:w="1342" w:type="pct"/>
                  <w:vMerge w:val="restart"/>
                  <w:noWrap w:val="0"/>
                  <w:vAlign w:val="center"/>
                </w:tcPr>
                <w:p w14:paraId="463D1A5D">
                  <w:pPr>
                    <w:pStyle w:val="28"/>
                    <w:keepNext w:val="0"/>
                    <w:keepLines w:val="0"/>
                    <w:pageBreakBefore w:val="0"/>
                    <w:widowControl w:val="0"/>
                    <w:kinsoku/>
                    <w:wordWrap/>
                    <w:overflowPunct/>
                    <w:topLinePunct w:val="0"/>
                    <w:autoSpaceDE w:val="0"/>
                    <w:autoSpaceDN w:val="0"/>
                    <w:bidi w:val="0"/>
                    <w:adjustRightInd w:val="0"/>
                    <w:snapToGrid/>
                    <w:ind w:firstLine="0"/>
                    <w:jc w:val="center"/>
                    <w:textAlignment w:val="auto"/>
                    <w:rPr>
                      <w:b/>
                      <w:bCs/>
                      <w:color w:val="auto"/>
                    </w:rPr>
                  </w:pPr>
                  <w:r>
                    <w:rPr>
                      <w:b/>
                      <w:bCs/>
                      <w:color w:val="auto"/>
                    </w:rPr>
                    <w:t>污染物排放监控位置</w:t>
                  </w:r>
                </w:p>
              </w:tc>
              <w:tc>
                <w:tcPr>
                  <w:tcW w:w="1073" w:type="pct"/>
                  <w:vMerge w:val="restart"/>
                  <w:noWrap w:val="0"/>
                  <w:vAlign w:val="center"/>
                </w:tcPr>
                <w:p w14:paraId="5D620543">
                  <w:pPr>
                    <w:pStyle w:val="28"/>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default" w:eastAsia="宋体"/>
                      <w:b/>
                      <w:bCs/>
                      <w:color w:val="auto"/>
                      <w:lang w:val="en-US" w:eastAsia="zh-CN"/>
                    </w:rPr>
                  </w:pPr>
                  <w:r>
                    <w:rPr>
                      <w:rFonts w:hint="eastAsia"/>
                      <w:b/>
                      <w:bCs/>
                      <w:color w:val="auto"/>
                      <w:lang w:val="en-US" w:eastAsia="zh-CN"/>
                    </w:rPr>
                    <w:t>排气筒高度</w:t>
                  </w:r>
                </w:p>
              </w:tc>
            </w:tr>
            <w:tr w14:paraId="02F92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4" w:type="pct"/>
                  <w:vMerge w:val="continue"/>
                  <w:noWrap w:val="0"/>
                  <w:vAlign w:val="center"/>
                </w:tcPr>
                <w:p w14:paraId="16EEDA0B">
                  <w:pPr>
                    <w:pStyle w:val="28"/>
                    <w:keepNext w:val="0"/>
                    <w:keepLines w:val="0"/>
                    <w:pageBreakBefore w:val="0"/>
                    <w:widowControl w:val="0"/>
                    <w:kinsoku/>
                    <w:wordWrap/>
                    <w:overflowPunct/>
                    <w:topLinePunct w:val="0"/>
                    <w:autoSpaceDE w:val="0"/>
                    <w:autoSpaceDN w:val="0"/>
                    <w:bidi w:val="0"/>
                    <w:adjustRightInd w:val="0"/>
                    <w:snapToGrid/>
                    <w:ind w:firstLine="0"/>
                    <w:jc w:val="center"/>
                    <w:textAlignment w:val="auto"/>
                    <w:rPr>
                      <w:color w:val="auto"/>
                    </w:rPr>
                  </w:pPr>
                </w:p>
              </w:tc>
              <w:tc>
                <w:tcPr>
                  <w:tcW w:w="1438" w:type="pct"/>
                  <w:noWrap w:val="0"/>
                  <w:vAlign w:val="center"/>
                </w:tcPr>
                <w:p w14:paraId="2EF199EC">
                  <w:pPr>
                    <w:pStyle w:val="28"/>
                    <w:keepNext w:val="0"/>
                    <w:keepLines w:val="0"/>
                    <w:pageBreakBefore w:val="0"/>
                    <w:widowControl w:val="0"/>
                    <w:kinsoku/>
                    <w:wordWrap/>
                    <w:overflowPunct/>
                    <w:topLinePunct w:val="0"/>
                    <w:autoSpaceDE w:val="0"/>
                    <w:autoSpaceDN w:val="0"/>
                    <w:bidi w:val="0"/>
                    <w:adjustRightInd w:val="0"/>
                    <w:snapToGrid/>
                    <w:ind w:firstLine="0"/>
                    <w:jc w:val="center"/>
                    <w:textAlignment w:val="auto"/>
                    <w:rPr>
                      <w:b/>
                      <w:bCs/>
                      <w:color w:val="auto"/>
                    </w:rPr>
                  </w:pPr>
                  <w:r>
                    <w:rPr>
                      <w:b/>
                      <w:bCs/>
                      <w:color w:val="auto"/>
                    </w:rPr>
                    <w:t>燃煤锅炉</w:t>
                  </w:r>
                </w:p>
              </w:tc>
              <w:tc>
                <w:tcPr>
                  <w:tcW w:w="1342" w:type="pct"/>
                  <w:vMerge w:val="continue"/>
                  <w:noWrap w:val="0"/>
                  <w:vAlign w:val="center"/>
                </w:tcPr>
                <w:p w14:paraId="04350FAE">
                  <w:pPr>
                    <w:pStyle w:val="28"/>
                    <w:keepNext w:val="0"/>
                    <w:keepLines w:val="0"/>
                    <w:pageBreakBefore w:val="0"/>
                    <w:widowControl w:val="0"/>
                    <w:kinsoku/>
                    <w:wordWrap/>
                    <w:overflowPunct/>
                    <w:topLinePunct w:val="0"/>
                    <w:autoSpaceDE w:val="0"/>
                    <w:autoSpaceDN w:val="0"/>
                    <w:bidi w:val="0"/>
                    <w:adjustRightInd w:val="0"/>
                    <w:snapToGrid/>
                    <w:ind w:firstLine="0"/>
                    <w:jc w:val="center"/>
                    <w:textAlignment w:val="auto"/>
                    <w:rPr>
                      <w:color w:val="auto"/>
                    </w:rPr>
                  </w:pPr>
                </w:p>
              </w:tc>
              <w:tc>
                <w:tcPr>
                  <w:tcW w:w="1073" w:type="pct"/>
                  <w:vMerge w:val="continue"/>
                  <w:noWrap w:val="0"/>
                  <w:vAlign w:val="center"/>
                </w:tcPr>
                <w:p w14:paraId="553E53B7">
                  <w:pPr>
                    <w:pStyle w:val="28"/>
                    <w:keepNext w:val="0"/>
                    <w:keepLines w:val="0"/>
                    <w:pageBreakBefore w:val="0"/>
                    <w:widowControl w:val="0"/>
                    <w:kinsoku/>
                    <w:wordWrap/>
                    <w:overflowPunct/>
                    <w:topLinePunct w:val="0"/>
                    <w:autoSpaceDE w:val="0"/>
                    <w:autoSpaceDN w:val="0"/>
                    <w:bidi w:val="0"/>
                    <w:adjustRightInd w:val="0"/>
                    <w:snapToGrid/>
                    <w:ind w:firstLine="0"/>
                    <w:jc w:val="center"/>
                    <w:textAlignment w:val="auto"/>
                    <w:rPr>
                      <w:color w:val="auto"/>
                    </w:rPr>
                  </w:pPr>
                </w:p>
              </w:tc>
            </w:tr>
            <w:tr w14:paraId="68F36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4" w:type="pct"/>
                  <w:noWrap w:val="0"/>
                  <w:vAlign w:val="center"/>
                </w:tcPr>
                <w:p w14:paraId="4ED98799">
                  <w:pPr>
                    <w:pStyle w:val="28"/>
                    <w:keepNext w:val="0"/>
                    <w:keepLines w:val="0"/>
                    <w:pageBreakBefore w:val="0"/>
                    <w:widowControl w:val="0"/>
                    <w:kinsoku/>
                    <w:wordWrap/>
                    <w:overflowPunct/>
                    <w:topLinePunct w:val="0"/>
                    <w:autoSpaceDE w:val="0"/>
                    <w:autoSpaceDN w:val="0"/>
                    <w:bidi w:val="0"/>
                    <w:adjustRightInd w:val="0"/>
                    <w:snapToGrid/>
                    <w:ind w:firstLine="0"/>
                    <w:jc w:val="center"/>
                    <w:textAlignment w:val="auto"/>
                    <w:rPr>
                      <w:color w:val="auto"/>
                    </w:rPr>
                  </w:pPr>
                  <w:r>
                    <w:rPr>
                      <w:color w:val="auto"/>
                    </w:rPr>
                    <w:t>颗粒物</w:t>
                  </w:r>
                </w:p>
              </w:tc>
              <w:tc>
                <w:tcPr>
                  <w:tcW w:w="1438" w:type="pct"/>
                  <w:noWrap w:val="0"/>
                  <w:vAlign w:val="center"/>
                </w:tcPr>
                <w:p w14:paraId="367C1B50">
                  <w:pPr>
                    <w:pStyle w:val="28"/>
                    <w:keepNext w:val="0"/>
                    <w:keepLines w:val="0"/>
                    <w:pageBreakBefore w:val="0"/>
                    <w:widowControl w:val="0"/>
                    <w:kinsoku/>
                    <w:wordWrap/>
                    <w:overflowPunct/>
                    <w:topLinePunct w:val="0"/>
                    <w:autoSpaceDE w:val="0"/>
                    <w:autoSpaceDN w:val="0"/>
                    <w:bidi w:val="0"/>
                    <w:adjustRightInd w:val="0"/>
                    <w:snapToGrid/>
                    <w:ind w:firstLine="0"/>
                    <w:jc w:val="center"/>
                    <w:textAlignment w:val="auto"/>
                    <w:rPr>
                      <w:color w:val="auto"/>
                    </w:rPr>
                  </w:pPr>
                  <w:r>
                    <w:rPr>
                      <w:color w:val="auto"/>
                    </w:rPr>
                    <w:t>50</w:t>
                  </w:r>
                </w:p>
              </w:tc>
              <w:tc>
                <w:tcPr>
                  <w:tcW w:w="1342" w:type="pct"/>
                  <w:vMerge w:val="restart"/>
                  <w:noWrap w:val="0"/>
                  <w:vAlign w:val="center"/>
                </w:tcPr>
                <w:p w14:paraId="5CB2639E">
                  <w:pPr>
                    <w:pStyle w:val="28"/>
                    <w:keepNext w:val="0"/>
                    <w:keepLines w:val="0"/>
                    <w:pageBreakBefore w:val="0"/>
                    <w:widowControl w:val="0"/>
                    <w:kinsoku/>
                    <w:wordWrap/>
                    <w:overflowPunct/>
                    <w:topLinePunct w:val="0"/>
                    <w:autoSpaceDE w:val="0"/>
                    <w:autoSpaceDN w:val="0"/>
                    <w:bidi w:val="0"/>
                    <w:adjustRightInd w:val="0"/>
                    <w:snapToGrid/>
                    <w:ind w:firstLine="0"/>
                    <w:jc w:val="center"/>
                    <w:textAlignment w:val="auto"/>
                    <w:rPr>
                      <w:color w:val="auto"/>
                    </w:rPr>
                  </w:pPr>
                  <w:r>
                    <w:rPr>
                      <w:color w:val="auto"/>
                    </w:rPr>
                    <w:t>烟囱或烟道</w:t>
                  </w:r>
                </w:p>
              </w:tc>
              <w:tc>
                <w:tcPr>
                  <w:tcW w:w="1073" w:type="pct"/>
                  <w:vMerge w:val="restart"/>
                  <w:noWrap w:val="0"/>
                  <w:vAlign w:val="center"/>
                </w:tcPr>
                <w:p w14:paraId="08C20E47">
                  <w:pPr>
                    <w:pStyle w:val="28"/>
                    <w:keepNext w:val="0"/>
                    <w:keepLines w:val="0"/>
                    <w:pageBreakBefore w:val="0"/>
                    <w:widowControl w:val="0"/>
                    <w:kinsoku/>
                    <w:wordWrap/>
                    <w:overflowPunct/>
                    <w:topLinePunct w:val="0"/>
                    <w:autoSpaceDE w:val="0"/>
                    <w:autoSpaceDN w:val="0"/>
                    <w:bidi w:val="0"/>
                    <w:adjustRightInd w:val="0"/>
                    <w:snapToGrid/>
                    <w:ind w:firstLine="0"/>
                    <w:jc w:val="center"/>
                    <w:textAlignment w:val="auto"/>
                    <w:rPr>
                      <w:rFonts w:hint="default" w:eastAsia="宋体"/>
                      <w:color w:val="auto"/>
                      <w:lang w:val="en-US" w:eastAsia="zh-CN"/>
                    </w:rPr>
                  </w:pPr>
                  <w:r>
                    <w:rPr>
                      <w:rFonts w:hint="eastAsia"/>
                      <w:color w:val="auto"/>
                      <w:lang w:val="en-US" w:eastAsia="zh-CN"/>
                    </w:rPr>
                    <w:t>30m</w:t>
                  </w:r>
                </w:p>
              </w:tc>
            </w:tr>
            <w:tr w14:paraId="5BF47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4" w:type="pct"/>
                  <w:noWrap w:val="0"/>
                  <w:vAlign w:val="center"/>
                </w:tcPr>
                <w:p w14:paraId="0BF3577D">
                  <w:pPr>
                    <w:pStyle w:val="28"/>
                    <w:keepNext w:val="0"/>
                    <w:keepLines w:val="0"/>
                    <w:pageBreakBefore w:val="0"/>
                    <w:widowControl w:val="0"/>
                    <w:kinsoku/>
                    <w:wordWrap/>
                    <w:overflowPunct/>
                    <w:topLinePunct w:val="0"/>
                    <w:autoSpaceDE w:val="0"/>
                    <w:autoSpaceDN w:val="0"/>
                    <w:bidi w:val="0"/>
                    <w:adjustRightInd w:val="0"/>
                    <w:snapToGrid/>
                    <w:ind w:firstLine="0"/>
                    <w:jc w:val="center"/>
                    <w:textAlignment w:val="auto"/>
                    <w:rPr>
                      <w:color w:val="auto"/>
                    </w:rPr>
                  </w:pPr>
                  <w:r>
                    <w:rPr>
                      <w:color w:val="auto"/>
                    </w:rPr>
                    <w:t>SO</w:t>
                  </w:r>
                  <w:r>
                    <w:rPr>
                      <w:color w:val="auto"/>
                      <w:vertAlign w:val="subscript"/>
                    </w:rPr>
                    <w:t>2</w:t>
                  </w:r>
                </w:p>
              </w:tc>
              <w:tc>
                <w:tcPr>
                  <w:tcW w:w="1438" w:type="pct"/>
                  <w:noWrap w:val="0"/>
                  <w:vAlign w:val="center"/>
                </w:tcPr>
                <w:p w14:paraId="7BC60A01">
                  <w:pPr>
                    <w:pStyle w:val="28"/>
                    <w:keepNext w:val="0"/>
                    <w:keepLines w:val="0"/>
                    <w:pageBreakBefore w:val="0"/>
                    <w:widowControl w:val="0"/>
                    <w:kinsoku/>
                    <w:wordWrap/>
                    <w:overflowPunct/>
                    <w:topLinePunct w:val="0"/>
                    <w:autoSpaceDE w:val="0"/>
                    <w:autoSpaceDN w:val="0"/>
                    <w:bidi w:val="0"/>
                    <w:adjustRightInd w:val="0"/>
                    <w:snapToGrid/>
                    <w:ind w:firstLine="0"/>
                    <w:jc w:val="center"/>
                    <w:textAlignment w:val="auto"/>
                    <w:rPr>
                      <w:color w:val="auto"/>
                    </w:rPr>
                  </w:pPr>
                  <w:r>
                    <w:rPr>
                      <w:color w:val="auto"/>
                    </w:rPr>
                    <w:t>300</w:t>
                  </w:r>
                </w:p>
              </w:tc>
              <w:tc>
                <w:tcPr>
                  <w:tcW w:w="1342" w:type="pct"/>
                  <w:vMerge w:val="continue"/>
                  <w:noWrap w:val="0"/>
                  <w:vAlign w:val="center"/>
                </w:tcPr>
                <w:p w14:paraId="1B9C7BDD">
                  <w:pPr>
                    <w:pStyle w:val="28"/>
                    <w:keepNext w:val="0"/>
                    <w:keepLines w:val="0"/>
                    <w:pageBreakBefore w:val="0"/>
                    <w:widowControl w:val="0"/>
                    <w:kinsoku/>
                    <w:wordWrap/>
                    <w:overflowPunct/>
                    <w:topLinePunct w:val="0"/>
                    <w:autoSpaceDE w:val="0"/>
                    <w:autoSpaceDN w:val="0"/>
                    <w:bidi w:val="0"/>
                    <w:adjustRightInd w:val="0"/>
                    <w:snapToGrid/>
                    <w:ind w:firstLine="0"/>
                    <w:jc w:val="center"/>
                    <w:textAlignment w:val="auto"/>
                    <w:rPr>
                      <w:color w:val="auto"/>
                    </w:rPr>
                  </w:pPr>
                </w:p>
              </w:tc>
              <w:tc>
                <w:tcPr>
                  <w:tcW w:w="1073" w:type="pct"/>
                  <w:vMerge w:val="continue"/>
                  <w:noWrap w:val="0"/>
                  <w:vAlign w:val="center"/>
                </w:tcPr>
                <w:p w14:paraId="1EA5C63D">
                  <w:pPr>
                    <w:pStyle w:val="28"/>
                    <w:keepNext w:val="0"/>
                    <w:keepLines w:val="0"/>
                    <w:pageBreakBefore w:val="0"/>
                    <w:widowControl w:val="0"/>
                    <w:kinsoku/>
                    <w:wordWrap/>
                    <w:overflowPunct/>
                    <w:topLinePunct w:val="0"/>
                    <w:autoSpaceDE w:val="0"/>
                    <w:autoSpaceDN w:val="0"/>
                    <w:bidi w:val="0"/>
                    <w:adjustRightInd w:val="0"/>
                    <w:snapToGrid/>
                    <w:ind w:firstLine="0"/>
                    <w:jc w:val="center"/>
                    <w:textAlignment w:val="auto"/>
                    <w:rPr>
                      <w:color w:val="auto"/>
                    </w:rPr>
                  </w:pPr>
                </w:p>
              </w:tc>
            </w:tr>
            <w:tr w14:paraId="271AC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44" w:type="pct"/>
                  <w:noWrap w:val="0"/>
                  <w:vAlign w:val="center"/>
                </w:tcPr>
                <w:p w14:paraId="6CB03723">
                  <w:pPr>
                    <w:pStyle w:val="28"/>
                    <w:keepNext w:val="0"/>
                    <w:keepLines w:val="0"/>
                    <w:pageBreakBefore w:val="0"/>
                    <w:widowControl w:val="0"/>
                    <w:kinsoku/>
                    <w:wordWrap/>
                    <w:overflowPunct/>
                    <w:topLinePunct w:val="0"/>
                    <w:autoSpaceDE w:val="0"/>
                    <w:autoSpaceDN w:val="0"/>
                    <w:bidi w:val="0"/>
                    <w:adjustRightInd w:val="0"/>
                    <w:snapToGrid/>
                    <w:ind w:firstLine="0"/>
                    <w:jc w:val="center"/>
                    <w:textAlignment w:val="auto"/>
                    <w:rPr>
                      <w:color w:val="auto"/>
                    </w:rPr>
                  </w:pPr>
                  <w:r>
                    <w:rPr>
                      <w:color w:val="auto"/>
                    </w:rPr>
                    <w:t>NO</w:t>
                  </w:r>
                  <w:r>
                    <w:rPr>
                      <w:color w:val="auto"/>
                      <w:vertAlign w:val="subscript"/>
                    </w:rPr>
                    <w:t>X</w:t>
                  </w:r>
                </w:p>
              </w:tc>
              <w:tc>
                <w:tcPr>
                  <w:tcW w:w="1438" w:type="pct"/>
                  <w:noWrap w:val="0"/>
                  <w:vAlign w:val="center"/>
                </w:tcPr>
                <w:p w14:paraId="7550F900">
                  <w:pPr>
                    <w:pStyle w:val="28"/>
                    <w:keepNext w:val="0"/>
                    <w:keepLines w:val="0"/>
                    <w:pageBreakBefore w:val="0"/>
                    <w:widowControl w:val="0"/>
                    <w:kinsoku/>
                    <w:wordWrap/>
                    <w:overflowPunct/>
                    <w:topLinePunct w:val="0"/>
                    <w:autoSpaceDE w:val="0"/>
                    <w:autoSpaceDN w:val="0"/>
                    <w:bidi w:val="0"/>
                    <w:adjustRightInd w:val="0"/>
                    <w:snapToGrid/>
                    <w:ind w:firstLine="0"/>
                    <w:jc w:val="center"/>
                    <w:textAlignment w:val="auto"/>
                    <w:rPr>
                      <w:color w:val="auto"/>
                    </w:rPr>
                  </w:pPr>
                  <w:r>
                    <w:rPr>
                      <w:color w:val="auto"/>
                    </w:rPr>
                    <w:t>300</w:t>
                  </w:r>
                </w:p>
              </w:tc>
              <w:tc>
                <w:tcPr>
                  <w:tcW w:w="1342" w:type="pct"/>
                  <w:vMerge w:val="continue"/>
                  <w:noWrap w:val="0"/>
                  <w:vAlign w:val="center"/>
                </w:tcPr>
                <w:p w14:paraId="2712F2C4">
                  <w:pPr>
                    <w:pStyle w:val="28"/>
                    <w:keepNext w:val="0"/>
                    <w:keepLines w:val="0"/>
                    <w:pageBreakBefore w:val="0"/>
                    <w:widowControl w:val="0"/>
                    <w:kinsoku/>
                    <w:wordWrap/>
                    <w:overflowPunct/>
                    <w:topLinePunct w:val="0"/>
                    <w:autoSpaceDE w:val="0"/>
                    <w:autoSpaceDN w:val="0"/>
                    <w:bidi w:val="0"/>
                    <w:adjustRightInd w:val="0"/>
                    <w:snapToGrid/>
                    <w:ind w:firstLine="0"/>
                    <w:jc w:val="center"/>
                    <w:textAlignment w:val="auto"/>
                    <w:rPr>
                      <w:color w:val="auto"/>
                    </w:rPr>
                  </w:pPr>
                </w:p>
              </w:tc>
              <w:tc>
                <w:tcPr>
                  <w:tcW w:w="1073" w:type="pct"/>
                  <w:vMerge w:val="continue"/>
                  <w:noWrap w:val="0"/>
                  <w:vAlign w:val="center"/>
                </w:tcPr>
                <w:p w14:paraId="0F2705AC">
                  <w:pPr>
                    <w:pStyle w:val="28"/>
                    <w:keepNext w:val="0"/>
                    <w:keepLines w:val="0"/>
                    <w:pageBreakBefore w:val="0"/>
                    <w:widowControl w:val="0"/>
                    <w:kinsoku/>
                    <w:wordWrap/>
                    <w:overflowPunct/>
                    <w:topLinePunct w:val="0"/>
                    <w:autoSpaceDE w:val="0"/>
                    <w:autoSpaceDN w:val="0"/>
                    <w:bidi w:val="0"/>
                    <w:adjustRightInd w:val="0"/>
                    <w:snapToGrid/>
                    <w:ind w:firstLine="0"/>
                    <w:jc w:val="center"/>
                    <w:textAlignment w:val="auto"/>
                    <w:rPr>
                      <w:color w:val="auto"/>
                    </w:rPr>
                  </w:pPr>
                </w:p>
              </w:tc>
            </w:tr>
            <w:tr w14:paraId="2ECAE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4" w:type="pct"/>
                  <w:noWrap w:val="0"/>
                  <w:vAlign w:val="center"/>
                </w:tcPr>
                <w:p w14:paraId="59DBABB7">
                  <w:pPr>
                    <w:pStyle w:val="28"/>
                    <w:keepNext w:val="0"/>
                    <w:keepLines w:val="0"/>
                    <w:pageBreakBefore w:val="0"/>
                    <w:widowControl w:val="0"/>
                    <w:kinsoku/>
                    <w:wordWrap/>
                    <w:overflowPunct/>
                    <w:topLinePunct w:val="0"/>
                    <w:autoSpaceDE w:val="0"/>
                    <w:autoSpaceDN w:val="0"/>
                    <w:bidi w:val="0"/>
                    <w:adjustRightInd w:val="0"/>
                    <w:snapToGrid/>
                    <w:ind w:firstLine="0"/>
                    <w:jc w:val="center"/>
                    <w:textAlignment w:val="auto"/>
                    <w:rPr>
                      <w:color w:val="auto"/>
                    </w:rPr>
                  </w:pPr>
                  <w:r>
                    <w:rPr>
                      <w:color w:val="auto"/>
                    </w:rPr>
                    <w:t>汞及其化合物</w:t>
                  </w:r>
                </w:p>
              </w:tc>
              <w:tc>
                <w:tcPr>
                  <w:tcW w:w="1438" w:type="pct"/>
                  <w:noWrap w:val="0"/>
                  <w:vAlign w:val="center"/>
                </w:tcPr>
                <w:p w14:paraId="3C67FE93">
                  <w:pPr>
                    <w:pStyle w:val="28"/>
                    <w:keepNext w:val="0"/>
                    <w:keepLines w:val="0"/>
                    <w:pageBreakBefore w:val="0"/>
                    <w:widowControl w:val="0"/>
                    <w:kinsoku/>
                    <w:wordWrap/>
                    <w:overflowPunct/>
                    <w:topLinePunct w:val="0"/>
                    <w:autoSpaceDE w:val="0"/>
                    <w:autoSpaceDN w:val="0"/>
                    <w:bidi w:val="0"/>
                    <w:adjustRightInd w:val="0"/>
                    <w:snapToGrid/>
                    <w:ind w:firstLine="0"/>
                    <w:jc w:val="center"/>
                    <w:textAlignment w:val="auto"/>
                    <w:rPr>
                      <w:color w:val="auto"/>
                    </w:rPr>
                  </w:pPr>
                  <w:r>
                    <w:rPr>
                      <w:color w:val="auto"/>
                    </w:rPr>
                    <w:t>0.05</w:t>
                  </w:r>
                </w:p>
              </w:tc>
              <w:tc>
                <w:tcPr>
                  <w:tcW w:w="1342" w:type="pct"/>
                  <w:vMerge w:val="continue"/>
                  <w:noWrap w:val="0"/>
                  <w:vAlign w:val="center"/>
                </w:tcPr>
                <w:p w14:paraId="75968D9B">
                  <w:pPr>
                    <w:pStyle w:val="28"/>
                    <w:keepNext w:val="0"/>
                    <w:keepLines w:val="0"/>
                    <w:pageBreakBefore w:val="0"/>
                    <w:widowControl w:val="0"/>
                    <w:kinsoku/>
                    <w:wordWrap/>
                    <w:overflowPunct/>
                    <w:topLinePunct w:val="0"/>
                    <w:autoSpaceDE w:val="0"/>
                    <w:autoSpaceDN w:val="0"/>
                    <w:bidi w:val="0"/>
                    <w:adjustRightInd w:val="0"/>
                    <w:snapToGrid/>
                    <w:ind w:firstLine="0"/>
                    <w:jc w:val="center"/>
                    <w:textAlignment w:val="auto"/>
                    <w:rPr>
                      <w:color w:val="auto"/>
                    </w:rPr>
                  </w:pPr>
                </w:p>
              </w:tc>
              <w:tc>
                <w:tcPr>
                  <w:tcW w:w="1073" w:type="pct"/>
                  <w:vMerge w:val="continue"/>
                  <w:noWrap w:val="0"/>
                  <w:vAlign w:val="center"/>
                </w:tcPr>
                <w:p w14:paraId="5AE880F3">
                  <w:pPr>
                    <w:pStyle w:val="28"/>
                    <w:keepNext w:val="0"/>
                    <w:keepLines w:val="0"/>
                    <w:pageBreakBefore w:val="0"/>
                    <w:widowControl w:val="0"/>
                    <w:kinsoku/>
                    <w:wordWrap/>
                    <w:overflowPunct/>
                    <w:topLinePunct w:val="0"/>
                    <w:autoSpaceDE w:val="0"/>
                    <w:autoSpaceDN w:val="0"/>
                    <w:bidi w:val="0"/>
                    <w:adjustRightInd w:val="0"/>
                    <w:snapToGrid/>
                    <w:ind w:firstLine="0"/>
                    <w:jc w:val="center"/>
                    <w:textAlignment w:val="auto"/>
                    <w:rPr>
                      <w:color w:val="auto"/>
                    </w:rPr>
                  </w:pPr>
                </w:p>
              </w:tc>
            </w:tr>
            <w:tr w14:paraId="63BA1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4" w:type="pct"/>
                  <w:noWrap w:val="0"/>
                  <w:vAlign w:val="center"/>
                </w:tcPr>
                <w:p w14:paraId="4510BC65">
                  <w:pPr>
                    <w:pStyle w:val="28"/>
                    <w:keepNext w:val="0"/>
                    <w:keepLines w:val="0"/>
                    <w:pageBreakBefore w:val="0"/>
                    <w:widowControl w:val="0"/>
                    <w:kinsoku/>
                    <w:wordWrap/>
                    <w:overflowPunct/>
                    <w:topLinePunct w:val="0"/>
                    <w:autoSpaceDE w:val="0"/>
                    <w:autoSpaceDN w:val="0"/>
                    <w:bidi w:val="0"/>
                    <w:adjustRightInd w:val="0"/>
                    <w:snapToGrid/>
                    <w:ind w:firstLine="0"/>
                    <w:jc w:val="center"/>
                    <w:textAlignment w:val="auto"/>
                    <w:rPr>
                      <w:color w:val="auto"/>
                    </w:rPr>
                  </w:pPr>
                  <w:r>
                    <w:rPr>
                      <w:color w:val="auto"/>
                    </w:rPr>
                    <w:t>烟气黑度（林格曼黑度，级）</w:t>
                  </w:r>
                </w:p>
              </w:tc>
              <w:tc>
                <w:tcPr>
                  <w:tcW w:w="1438" w:type="pct"/>
                  <w:noWrap w:val="0"/>
                  <w:vAlign w:val="center"/>
                </w:tcPr>
                <w:p w14:paraId="084AE10F">
                  <w:pPr>
                    <w:pStyle w:val="28"/>
                    <w:keepNext w:val="0"/>
                    <w:keepLines w:val="0"/>
                    <w:pageBreakBefore w:val="0"/>
                    <w:widowControl w:val="0"/>
                    <w:kinsoku/>
                    <w:wordWrap/>
                    <w:overflowPunct/>
                    <w:topLinePunct w:val="0"/>
                    <w:autoSpaceDE w:val="0"/>
                    <w:autoSpaceDN w:val="0"/>
                    <w:bidi w:val="0"/>
                    <w:adjustRightInd w:val="0"/>
                    <w:snapToGrid/>
                    <w:ind w:firstLine="0"/>
                    <w:jc w:val="center"/>
                    <w:textAlignment w:val="auto"/>
                    <w:rPr>
                      <w:color w:val="auto"/>
                    </w:rPr>
                  </w:pPr>
                  <w:r>
                    <w:rPr>
                      <w:color w:val="auto"/>
                    </w:rPr>
                    <w:t>≤1</w:t>
                  </w:r>
                </w:p>
              </w:tc>
              <w:tc>
                <w:tcPr>
                  <w:tcW w:w="1342" w:type="pct"/>
                  <w:noWrap w:val="0"/>
                  <w:vAlign w:val="center"/>
                </w:tcPr>
                <w:p w14:paraId="150A6BC5">
                  <w:pPr>
                    <w:pStyle w:val="28"/>
                    <w:keepNext w:val="0"/>
                    <w:keepLines w:val="0"/>
                    <w:pageBreakBefore w:val="0"/>
                    <w:widowControl w:val="0"/>
                    <w:kinsoku/>
                    <w:wordWrap/>
                    <w:overflowPunct/>
                    <w:topLinePunct w:val="0"/>
                    <w:autoSpaceDE w:val="0"/>
                    <w:autoSpaceDN w:val="0"/>
                    <w:bidi w:val="0"/>
                    <w:adjustRightInd w:val="0"/>
                    <w:snapToGrid/>
                    <w:ind w:firstLine="0"/>
                    <w:jc w:val="center"/>
                    <w:textAlignment w:val="auto"/>
                    <w:rPr>
                      <w:color w:val="auto"/>
                    </w:rPr>
                  </w:pPr>
                  <w:r>
                    <w:rPr>
                      <w:color w:val="auto"/>
                    </w:rPr>
                    <w:t>烟囱排放口</w:t>
                  </w:r>
                </w:p>
              </w:tc>
              <w:tc>
                <w:tcPr>
                  <w:tcW w:w="1073" w:type="pct"/>
                  <w:vMerge w:val="continue"/>
                  <w:noWrap w:val="0"/>
                  <w:vAlign w:val="center"/>
                </w:tcPr>
                <w:p w14:paraId="078081F8">
                  <w:pPr>
                    <w:pStyle w:val="28"/>
                    <w:keepNext w:val="0"/>
                    <w:keepLines w:val="0"/>
                    <w:pageBreakBefore w:val="0"/>
                    <w:widowControl w:val="0"/>
                    <w:kinsoku/>
                    <w:wordWrap/>
                    <w:overflowPunct/>
                    <w:topLinePunct w:val="0"/>
                    <w:autoSpaceDE w:val="0"/>
                    <w:autoSpaceDN w:val="0"/>
                    <w:bidi w:val="0"/>
                    <w:adjustRightInd w:val="0"/>
                    <w:snapToGrid/>
                    <w:ind w:firstLine="0"/>
                    <w:jc w:val="center"/>
                    <w:textAlignment w:val="auto"/>
                    <w:rPr>
                      <w:color w:val="auto"/>
                    </w:rPr>
                  </w:pPr>
                </w:p>
              </w:tc>
            </w:tr>
          </w:tbl>
          <w:p w14:paraId="7DE7E4FA">
            <w:pPr>
              <w:snapToGrid w:val="0"/>
              <w:ind w:firstLine="480"/>
              <w:rPr>
                <w:color w:val="auto"/>
                <w:kern w:val="0"/>
              </w:rPr>
            </w:pPr>
            <w:r>
              <w:rPr>
                <w:color w:val="auto"/>
                <w:kern w:val="0"/>
              </w:rPr>
              <w:fldChar w:fldCharType="begin"/>
            </w:r>
            <w:r>
              <w:rPr>
                <w:color w:val="auto"/>
                <w:kern w:val="0"/>
              </w:rPr>
              <w:instrText xml:space="preserve"> = 3 \* GB3 </w:instrText>
            </w:r>
            <w:r>
              <w:rPr>
                <w:color w:val="auto"/>
                <w:kern w:val="0"/>
              </w:rPr>
              <w:fldChar w:fldCharType="separate"/>
            </w:r>
            <w:r>
              <w:rPr>
                <w:rFonts w:hint="eastAsia" w:ascii="宋体" w:hAnsi="宋体" w:cs="宋体"/>
                <w:color w:val="auto"/>
                <w:kern w:val="0"/>
              </w:rPr>
              <w:t>③</w:t>
            </w:r>
            <w:r>
              <w:rPr>
                <w:color w:val="auto"/>
                <w:kern w:val="0"/>
              </w:rPr>
              <w:fldChar w:fldCharType="end"/>
            </w:r>
            <w:r>
              <w:rPr>
                <w:rFonts w:hint="eastAsia"/>
                <w:color w:val="auto"/>
                <w:kern w:val="0"/>
              </w:rPr>
              <w:t>食堂油烟</w:t>
            </w:r>
          </w:p>
          <w:p w14:paraId="7554A2DD">
            <w:pPr>
              <w:snapToGrid w:val="0"/>
              <w:ind w:firstLine="480"/>
              <w:rPr>
                <w:color w:val="auto"/>
                <w:kern w:val="0"/>
              </w:rPr>
            </w:pPr>
            <w:r>
              <w:rPr>
                <w:color w:val="auto"/>
                <w:kern w:val="0"/>
              </w:rPr>
              <w:t>运营期食堂油烟废气排放参照执行《饮食业油烟排放标准》（GB18483-2001）中相应标准。</w:t>
            </w:r>
            <w:r>
              <w:rPr>
                <w:color w:val="auto"/>
              </w:rPr>
              <w:t>标准限值见表</w:t>
            </w:r>
            <w:r>
              <w:rPr>
                <w:rFonts w:hint="eastAsia"/>
                <w:color w:val="auto"/>
                <w:lang w:val="en-US" w:eastAsia="zh-CN"/>
              </w:rPr>
              <w:t>3-6</w:t>
            </w:r>
            <w:r>
              <w:rPr>
                <w:color w:val="auto"/>
                <w:kern w:val="0"/>
              </w:rPr>
              <w:t>。</w:t>
            </w:r>
          </w:p>
          <w:p w14:paraId="2B08F188">
            <w:pPr>
              <w:pStyle w:val="29"/>
              <w:spacing w:before="24" w:after="24"/>
              <w:rPr>
                <w:color w:val="auto"/>
              </w:rPr>
            </w:pPr>
            <w:r>
              <w:rPr>
                <w:color w:val="auto"/>
              </w:rPr>
              <w:t>表</w:t>
            </w:r>
            <w:r>
              <w:rPr>
                <w:rFonts w:hint="eastAsia"/>
                <w:color w:val="auto"/>
                <w:lang w:val="en-US" w:eastAsia="zh-CN"/>
              </w:rPr>
              <w:t>3-6</w:t>
            </w:r>
            <w:r>
              <w:rPr>
                <w:color w:val="auto"/>
              </w:rPr>
              <w:t xml:space="preserve">   饮食业油烟排放标准</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39"/>
              <w:gridCol w:w="2716"/>
              <w:gridCol w:w="3033"/>
            </w:tblGrid>
            <w:tr w14:paraId="5DB3A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73" w:type="pct"/>
                  <w:noWrap w:val="0"/>
                  <w:vAlign w:val="center"/>
                </w:tcPr>
                <w:p w14:paraId="3DB70AD4">
                  <w:pPr>
                    <w:pStyle w:val="28"/>
                    <w:keepNext w:val="0"/>
                    <w:keepLines w:val="0"/>
                    <w:pageBreakBefore w:val="0"/>
                    <w:widowControl w:val="0"/>
                    <w:kinsoku/>
                    <w:wordWrap/>
                    <w:overflowPunct/>
                    <w:topLinePunct w:val="0"/>
                    <w:autoSpaceDE w:val="0"/>
                    <w:autoSpaceDN w:val="0"/>
                    <w:bidi w:val="0"/>
                    <w:adjustRightInd w:val="0"/>
                    <w:snapToGrid/>
                    <w:ind w:firstLine="0"/>
                    <w:textAlignment w:val="auto"/>
                    <w:rPr>
                      <w:b/>
                      <w:bCs/>
                      <w:color w:val="auto"/>
                    </w:rPr>
                  </w:pPr>
                  <w:r>
                    <w:rPr>
                      <w:b/>
                      <w:bCs/>
                      <w:color w:val="auto"/>
                    </w:rPr>
                    <w:t>规模</w:t>
                  </w:r>
                </w:p>
              </w:tc>
              <w:tc>
                <w:tcPr>
                  <w:tcW w:w="1619" w:type="pct"/>
                  <w:noWrap w:val="0"/>
                  <w:vAlign w:val="center"/>
                </w:tcPr>
                <w:p w14:paraId="5C6DDAB7">
                  <w:pPr>
                    <w:pStyle w:val="28"/>
                    <w:keepNext w:val="0"/>
                    <w:keepLines w:val="0"/>
                    <w:pageBreakBefore w:val="0"/>
                    <w:widowControl w:val="0"/>
                    <w:kinsoku/>
                    <w:wordWrap/>
                    <w:overflowPunct/>
                    <w:topLinePunct w:val="0"/>
                    <w:autoSpaceDE w:val="0"/>
                    <w:autoSpaceDN w:val="0"/>
                    <w:bidi w:val="0"/>
                    <w:adjustRightInd w:val="0"/>
                    <w:snapToGrid/>
                    <w:ind w:firstLine="0"/>
                    <w:textAlignment w:val="auto"/>
                    <w:rPr>
                      <w:b/>
                      <w:bCs/>
                      <w:color w:val="auto"/>
                    </w:rPr>
                  </w:pPr>
                  <w:r>
                    <w:rPr>
                      <w:b/>
                      <w:bCs/>
                      <w:color w:val="auto"/>
                    </w:rPr>
                    <w:t>最高允许排放浓度（mg/m³）</w:t>
                  </w:r>
                </w:p>
              </w:tc>
              <w:tc>
                <w:tcPr>
                  <w:tcW w:w="1808" w:type="pct"/>
                  <w:noWrap w:val="0"/>
                  <w:vAlign w:val="center"/>
                </w:tcPr>
                <w:p w14:paraId="5210B6B7">
                  <w:pPr>
                    <w:pStyle w:val="28"/>
                    <w:keepNext w:val="0"/>
                    <w:keepLines w:val="0"/>
                    <w:pageBreakBefore w:val="0"/>
                    <w:widowControl w:val="0"/>
                    <w:kinsoku/>
                    <w:wordWrap/>
                    <w:overflowPunct/>
                    <w:topLinePunct w:val="0"/>
                    <w:autoSpaceDE w:val="0"/>
                    <w:autoSpaceDN w:val="0"/>
                    <w:bidi w:val="0"/>
                    <w:adjustRightInd w:val="0"/>
                    <w:snapToGrid/>
                    <w:ind w:firstLine="0"/>
                    <w:textAlignment w:val="auto"/>
                    <w:rPr>
                      <w:b/>
                      <w:bCs/>
                      <w:color w:val="auto"/>
                    </w:rPr>
                  </w:pPr>
                  <w:r>
                    <w:rPr>
                      <w:b/>
                      <w:bCs/>
                      <w:color w:val="auto"/>
                    </w:rPr>
                    <w:t>净化设施最低去除效率（%）</w:t>
                  </w:r>
                </w:p>
              </w:tc>
            </w:tr>
            <w:tr w14:paraId="210B8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73" w:type="pct"/>
                  <w:noWrap w:val="0"/>
                  <w:vAlign w:val="center"/>
                </w:tcPr>
                <w:p w14:paraId="364DB0DB">
                  <w:pPr>
                    <w:pStyle w:val="28"/>
                    <w:keepNext w:val="0"/>
                    <w:keepLines w:val="0"/>
                    <w:pageBreakBefore w:val="0"/>
                    <w:widowControl w:val="0"/>
                    <w:kinsoku/>
                    <w:wordWrap/>
                    <w:overflowPunct/>
                    <w:topLinePunct w:val="0"/>
                    <w:autoSpaceDE w:val="0"/>
                    <w:autoSpaceDN w:val="0"/>
                    <w:bidi w:val="0"/>
                    <w:adjustRightInd w:val="0"/>
                    <w:snapToGrid/>
                    <w:ind w:firstLine="0"/>
                    <w:textAlignment w:val="auto"/>
                    <w:rPr>
                      <w:color w:val="auto"/>
                    </w:rPr>
                  </w:pPr>
                  <w:r>
                    <w:rPr>
                      <w:rFonts w:hint="eastAsia"/>
                      <w:color w:val="auto"/>
                    </w:rPr>
                    <w:t>中</w:t>
                  </w:r>
                  <w:r>
                    <w:rPr>
                      <w:color w:val="auto"/>
                    </w:rPr>
                    <w:t>型</w:t>
                  </w:r>
                </w:p>
              </w:tc>
              <w:tc>
                <w:tcPr>
                  <w:tcW w:w="1619" w:type="pct"/>
                  <w:noWrap w:val="0"/>
                  <w:vAlign w:val="center"/>
                </w:tcPr>
                <w:p w14:paraId="40391C2D">
                  <w:pPr>
                    <w:pStyle w:val="28"/>
                    <w:keepNext w:val="0"/>
                    <w:keepLines w:val="0"/>
                    <w:pageBreakBefore w:val="0"/>
                    <w:widowControl w:val="0"/>
                    <w:kinsoku/>
                    <w:wordWrap/>
                    <w:overflowPunct/>
                    <w:topLinePunct w:val="0"/>
                    <w:autoSpaceDE w:val="0"/>
                    <w:autoSpaceDN w:val="0"/>
                    <w:bidi w:val="0"/>
                    <w:adjustRightInd w:val="0"/>
                    <w:snapToGrid/>
                    <w:ind w:firstLine="0"/>
                    <w:textAlignment w:val="auto"/>
                    <w:rPr>
                      <w:color w:val="auto"/>
                    </w:rPr>
                  </w:pPr>
                  <w:r>
                    <w:rPr>
                      <w:color w:val="auto"/>
                    </w:rPr>
                    <w:t>2.0</w:t>
                  </w:r>
                </w:p>
              </w:tc>
              <w:tc>
                <w:tcPr>
                  <w:tcW w:w="1808" w:type="pct"/>
                  <w:noWrap w:val="0"/>
                  <w:vAlign w:val="center"/>
                </w:tcPr>
                <w:p w14:paraId="3D9FEA7D">
                  <w:pPr>
                    <w:pStyle w:val="28"/>
                    <w:keepNext w:val="0"/>
                    <w:keepLines w:val="0"/>
                    <w:pageBreakBefore w:val="0"/>
                    <w:widowControl w:val="0"/>
                    <w:kinsoku/>
                    <w:wordWrap/>
                    <w:overflowPunct/>
                    <w:topLinePunct w:val="0"/>
                    <w:autoSpaceDE w:val="0"/>
                    <w:autoSpaceDN w:val="0"/>
                    <w:bidi w:val="0"/>
                    <w:adjustRightInd w:val="0"/>
                    <w:snapToGrid/>
                    <w:ind w:firstLine="0"/>
                    <w:textAlignment w:val="auto"/>
                    <w:rPr>
                      <w:color w:val="auto"/>
                    </w:rPr>
                  </w:pPr>
                  <w:r>
                    <w:rPr>
                      <w:rFonts w:hint="eastAsia"/>
                      <w:color w:val="auto"/>
                    </w:rPr>
                    <w:t>75</w:t>
                  </w:r>
                </w:p>
              </w:tc>
            </w:tr>
          </w:tbl>
          <w:p w14:paraId="2A01CCFC">
            <w:pPr>
              <w:pStyle w:val="35"/>
              <w:spacing w:line="500" w:lineRule="exact"/>
              <w:ind w:firstLine="482"/>
              <w:rPr>
                <w:rFonts w:hint="eastAsia"/>
                <w:b/>
                <w:bCs/>
                <w:color w:val="auto"/>
                <w:lang w:val="en-US" w:eastAsia="zh-CN"/>
              </w:rPr>
            </w:pPr>
            <w:r>
              <w:rPr>
                <w:rFonts w:hint="eastAsia"/>
                <w:b/>
                <w:bCs/>
                <w:color w:val="auto"/>
              </w:rPr>
              <w:t>3.</w:t>
            </w:r>
            <w:r>
              <w:rPr>
                <w:rFonts w:hint="eastAsia"/>
                <w:b/>
                <w:bCs/>
                <w:color w:val="auto"/>
                <w:lang w:val="en-US" w:eastAsia="zh-CN"/>
              </w:rPr>
              <w:t>7</w:t>
            </w:r>
            <w:r>
              <w:rPr>
                <w:rFonts w:hint="eastAsia"/>
                <w:b/>
                <w:bCs/>
                <w:color w:val="auto"/>
              </w:rPr>
              <w:t>.</w:t>
            </w:r>
            <w:r>
              <w:rPr>
                <w:rFonts w:hint="eastAsia"/>
                <w:b/>
                <w:bCs/>
                <w:color w:val="auto"/>
                <w:lang w:val="en-US" w:eastAsia="zh-CN"/>
              </w:rPr>
              <w:t>2水污染物排放标准</w:t>
            </w:r>
          </w:p>
          <w:p w14:paraId="579347A5">
            <w:pPr>
              <w:pStyle w:val="35"/>
              <w:spacing w:line="500" w:lineRule="exact"/>
              <w:ind w:firstLine="482"/>
              <w:rPr>
                <w:rFonts w:hint="default" w:ascii="Times New Roman" w:hAnsi="Times New Roman" w:eastAsia="宋体" w:cs="Times New Roman"/>
                <w:color w:val="auto"/>
                <w:lang w:val="en-US" w:eastAsia="zh-CN"/>
              </w:rPr>
            </w:pPr>
            <w:r>
              <w:rPr>
                <w:rFonts w:hint="default" w:ascii="Times New Roman" w:hAnsi="Times New Roman" w:cs="Times New Roman"/>
                <w:color w:val="auto"/>
                <w:szCs w:val="21"/>
                <w:lang w:val="en-US" w:eastAsia="zh-CN" w:bidi="ar"/>
              </w:rPr>
              <w:t>本项目</w:t>
            </w:r>
            <w:r>
              <w:rPr>
                <w:rFonts w:hint="default" w:ascii="Times New Roman" w:hAnsi="Times New Roman" w:cs="Times New Roman"/>
                <w:color w:val="auto"/>
              </w:rPr>
              <w:t>生产废水</w:t>
            </w:r>
            <w:r>
              <w:rPr>
                <w:rFonts w:hint="default" w:ascii="Times New Roman" w:hAnsi="Times New Roman" w:cs="Times New Roman"/>
                <w:color w:val="auto"/>
                <w:lang w:val="en-US" w:eastAsia="zh-CN"/>
              </w:rPr>
              <w:t>主要为试验区废水、锅炉清净水、搅拌机清洗废水及罐车清洗废水</w:t>
            </w:r>
            <w:r>
              <w:rPr>
                <w:rFonts w:hint="default" w:ascii="Times New Roman" w:hAnsi="Times New Roman" w:cs="Times New Roman"/>
                <w:color w:val="auto"/>
              </w:rPr>
              <w:t>，</w:t>
            </w:r>
            <w:r>
              <w:rPr>
                <w:rFonts w:hint="default" w:ascii="Times New Roman" w:hAnsi="Times New Roman" w:cs="Times New Roman"/>
                <w:color w:val="auto"/>
                <w:lang w:val="en-US" w:eastAsia="zh-CN"/>
              </w:rPr>
              <w:t>其中搅拌机清洗废水及锅炉清净水排入四级沉淀池处理后回用于混凝土搅拌；试验区废水排入三级沉淀池处理后回用于混凝土搅拌；罐车清洗废水排入五级沉淀池处理后回用于混凝土搅拌，生产废水均用于混凝土搅拌，不外排。</w:t>
            </w:r>
            <w:r>
              <w:rPr>
                <w:rFonts w:hint="default" w:ascii="Times New Roman" w:hAnsi="Times New Roman" w:cs="Times New Roman"/>
                <w:color w:val="auto"/>
              </w:rPr>
              <w:t>食堂废水</w:t>
            </w:r>
            <w:r>
              <w:rPr>
                <w:rFonts w:hint="eastAsia" w:cs="Times New Roman"/>
                <w:color w:val="auto"/>
                <w:lang w:val="en-US" w:eastAsia="zh-CN"/>
              </w:rPr>
              <w:t>及</w:t>
            </w:r>
            <w:r>
              <w:rPr>
                <w:rFonts w:hint="default" w:ascii="Times New Roman" w:hAnsi="Times New Roman" w:cs="Times New Roman"/>
                <w:color w:val="auto"/>
              </w:rPr>
              <w:t>其他生活污水</w:t>
            </w:r>
            <w:r>
              <w:rPr>
                <w:rFonts w:hint="eastAsia" w:cs="Times New Roman"/>
                <w:color w:val="auto"/>
                <w:lang w:val="en-US" w:eastAsia="zh-CN"/>
              </w:rPr>
              <w:t>排入化粪池处理后委托</w:t>
            </w:r>
            <w:r>
              <w:rPr>
                <w:rFonts w:hint="eastAsia"/>
                <w:color w:val="auto"/>
                <w:szCs w:val="21"/>
                <w:lang w:val="en-US" w:eastAsia="zh-CN"/>
              </w:rPr>
              <w:t>昆明洁龙保洁服务有限公司</w:t>
            </w:r>
            <w:r>
              <w:rPr>
                <w:color w:val="auto"/>
                <w:szCs w:val="21"/>
              </w:rPr>
              <w:t>定期</w:t>
            </w:r>
            <w:r>
              <w:rPr>
                <w:rFonts w:hint="eastAsia"/>
                <w:color w:val="auto"/>
                <w:szCs w:val="21"/>
                <w:lang w:val="en-US" w:eastAsia="zh-CN"/>
              </w:rPr>
              <w:t>清掏，故不设排放标准。</w:t>
            </w:r>
          </w:p>
          <w:p w14:paraId="6DC32D33">
            <w:pPr>
              <w:pStyle w:val="35"/>
              <w:spacing w:line="500" w:lineRule="exact"/>
              <w:ind w:firstLine="482"/>
              <w:rPr>
                <w:b/>
                <w:bCs/>
                <w:color w:val="auto"/>
              </w:rPr>
            </w:pPr>
            <w:r>
              <w:rPr>
                <w:rFonts w:hint="eastAsia"/>
                <w:b/>
                <w:bCs/>
                <w:color w:val="auto"/>
              </w:rPr>
              <w:t>3.</w:t>
            </w:r>
            <w:r>
              <w:rPr>
                <w:rFonts w:hint="eastAsia"/>
                <w:b/>
                <w:bCs/>
                <w:color w:val="auto"/>
                <w:lang w:val="en-US" w:eastAsia="zh-CN"/>
              </w:rPr>
              <w:t>7</w:t>
            </w:r>
            <w:r>
              <w:rPr>
                <w:rFonts w:hint="eastAsia"/>
                <w:b/>
                <w:bCs/>
                <w:color w:val="auto"/>
              </w:rPr>
              <w:t>.</w:t>
            </w:r>
            <w:r>
              <w:rPr>
                <w:rFonts w:hint="eastAsia"/>
                <w:b/>
                <w:bCs/>
                <w:color w:val="auto"/>
                <w:lang w:val="en-US" w:eastAsia="zh-CN"/>
              </w:rPr>
              <w:t>3</w:t>
            </w:r>
            <w:r>
              <w:rPr>
                <w:b/>
                <w:bCs/>
                <w:color w:val="auto"/>
              </w:rPr>
              <w:t>噪声排放标准</w:t>
            </w:r>
          </w:p>
          <w:p w14:paraId="6ABBA3D6">
            <w:pPr>
              <w:tabs>
                <w:tab w:val="left" w:leader="middleDot" w:pos="8399"/>
              </w:tabs>
              <w:ind w:firstLine="482"/>
              <w:rPr>
                <w:b/>
                <w:color w:val="auto"/>
                <w:szCs w:val="22"/>
              </w:rPr>
            </w:pPr>
            <w:r>
              <w:rPr>
                <w:b/>
                <w:color w:val="auto"/>
                <w:szCs w:val="22"/>
              </w:rPr>
              <w:t>施工期：</w:t>
            </w:r>
          </w:p>
          <w:p w14:paraId="4B27A2B5">
            <w:pPr>
              <w:ind w:firstLine="470" w:firstLineChars="196"/>
              <w:rPr>
                <w:color w:val="auto"/>
                <w:szCs w:val="22"/>
              </w:rPr>
            </w:pPr>
            <w:r>
              <w:rPr>
                <w:color w:val="auto"/>
                <w:szCs w:val="22"/>
              </w:rPr>
              <w:t>项目施工期噪声执行《建筑施工场界环境噪声排放标准》</w:t>
            </w:r>
            <w:r>
              <w:rPr>
                <w:rFonts w:hint="eastAsia"/>
                <w:color w:val="auto"/>
                <w:szCs w:val="22"/>
              </w:rPr>
              <w:t>（</w:t>
            </w:r>
            <w:r>
              <w:rPr>
                <w:color w:val="auto"/>
                <w:szCs w:val="22"/>
              </w:rPr>
              <w:t>GB12523-2011</w:t>
            </w:r>
            <w:r>
              <w:rPr>
                <w:rFonts w:hint="eastAsia"/>
                <w:color w:val="auto"/>
                <w:szCs w:val="22"/>
              </w:rPr>
              <w:t>）</w:t>
            </w:r>
            <w:r>
              <w:rPr>
                <w:color w:val="auto"/>
                <w:szCs w:val="22"/>
              </w:rPr>
              <w:t>，标准值见表</w:t>
            </w:r>
            <w:r>
              <w:rPr>
                <w:rFonts w:hint="eastAsia"/>
                <w:color w:val="auto"/>
                <w:szCs w:val="22"/>
                <w:lang w:val="en-US" w:eastAsia="zh-CN"/>
              </w:rPr>
              <w:t>3-7</w:t>
            </w:r>
            <w:r>
              <w:rPr>
                <w:color w:val="auto"/>
                <w:szCs w:val="22"/>
              </w:rPr>
              <w:t>。</w:t>
            </w:r>
          </w:p>
          <w:p w14:paraId="1426D20F">
            <w:pPr>
              <w:pStyle w:val="29"/>
              <w:spacing w:before="24" w:after="24"/>
              <w:rPr>
                <w:color w:val="auto"/>
              </w:rPr>
            </w:pPr>
            <w:r>
              <w:rPr>
                <w:color w:val="auto"/>
              </w:rPr>
              <w:t>表</w:t>
            </w:r>
            <w:r>
              <w:rPr>
                <w:rFonts w:hint="eastAsia"/>
                <w:color w:val="auto"/>
                <w:lang w:val="en-US" w:eastAsia="zh-CN"/>
              </w:rPr>
              <w:t>3-7</w:t>
            </w:r>
            <w:r>
              <w:rPr>
                <w:rFonts w:hint="eastAsia"/>
                <w:color w:val="auto"/>
              </w:rPr>
              <w:t xml:space="preserve"> </w:t>
            </w:r>
            <w:r>
              <w:rPr>
                <w:color w:val="auto"/>
              </w:rPr>
              <w:t xml:space="preserve"> 建筑施工厂界环境噪声排放限值</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89"/>
              <w:gridCol w:w="4199"/>
            </w:tblGrid>
            <w:tr w14:paraId="17528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7" w:type="pct"/>
                  <w:noWrap w:val="0"/>
                  <w:vAlign w:val="top"/>
                </w:tcPr>
                <w:p w14:paraId="2E134D66">
                  <w:pPr>
                    <w:spacing w:line="240" w:lineRule="auto"/>
                    <w:ind w:firstLine="482"/>
                    <w:jc w:val="center"/>
                    <w:rPr>
                      <w:b/>
                      <w:bCs/>
                      <w:color w:val="auto"/>
                      <w:sz w:val="21"/>
                      <w:szCs w:val="21"/>
                    </w:rPr>
                  </w:pPr>
                  <w:r>
                    <w:rPr>
                      <w:b/>
                      <w:bCs/>
                      <w:color w:val="auto"/>
                      <w:sz w:val="21"/>
                      <w:szCs w:val="21"/>
                    </w:rPr>
                    <w:t>昼间</w:t>
                  </w:r>
                </w:p>
              </w:tc>
              <w:tc>
                <w:tcPr>
                  <w:tcW w:w="2503" w:type="pct"/>
                  <w:noWrap w:val="0"/>
                  <w:vAlign w:val="top"/>
                </w:tcPr>
                <w:p w14:paraId="5D82C933">
                  <w:pPr>
                    <w:spacing w:line="240" w:lineRule="auto"/>
                    <w:ind w:firstLine="482"/>
                    <w:jc w:val="center"/>
                    <w:rPr>
                      <w:b/>
                      <w:bCs/>
                      <w:color w:val="auto"/>
                      <w:sz w:val="21"/>
                      <w:szCs w:val="21"/>
                    </w:rPr>
                  </w:pPr>
                  <w:r>
                    <w:rPr>
                      <w:b/>
                      <w:bCs/>
                      <w:color w:val="auto"/>
                      <w:sz w:val="21"/>
                      <w:szCs w:val="21"/>
                    </w:rPr>
                    <w:t>夜间</w:t>
                  </w:r>
                </w:p>
              </w:tc>
            </w:tr>
            <w:tr w14:paraId="6FBDF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7" w:type="pct"/>
                  <w:noWrap w:val="0"/>
                  <w:vAlign w:val="top"/>
                </w:tcPr>
                <w:p w14:paraId="7A87979E">
                  <w:pPr>
                    <w:spacing w:line="240" w:lineRule="auto"/>
                    <w:ind w:firstLine="480"/>
                    <w:jc w:val="center"/>
                    <w:rPr>
                      <w:color w:val="auto"/>
                      <w:sz w:val="21"/>
                      <w:szCs w:val="21"/>
                    </w:rPr>
                  </w:pPr>
                  <w:r>
                    <w:rPr>
                      <w:color w:val="auto"/>
                      <w:sz w:val="21"/>
                      <w:szCs w:val="21"/>
                    </w:rPr>
                    <w:t>70dB</w:t>
                  </w:r>
                  <w:r>
                    <w:rPr>
                      <w:rFonts w:hint="eastAsia"/>
                      <w:color w:val="auto"/>
                      <w:sz w:val="21"/>
                      <w:szCs w:val="21"/>
                      <w:lang w:eastAsia="zh-CN"/>
                    </w:rPr>
                    <w:t>(</w:t>
                  </w:r>
                  <w:r>
                    <w:rPr>
                      <w:color w:val="auto"/>
                      <w:sz w:val="21"/>
                      <w:szCs w:val="21"/>
                    </w:rPr>
                    <w:t>A</w:t>
                  </w:r>
                  <w:r>
                    <w:rPr>
                      <w:rFonts w:hint="eastAsia"/>
                      <w:color w:val="auto"/>
                      <w:sz w:val="21"/>
                      <w:szCs w:val="21"/>
                      <w:lang w:eastAsia="zh-CN"/>
                    </w:rPr>
                    <w:t>)</w:t>
                  </w:r>
                </w:p>
              </w:tc>
              <w:tc>
                <w:tcPr>
                  <w:tcW w:w="2503" w:type="pct"/>
                  <w:noWrap w:val="0"/>
                  <w:vAlign w:val="top"/>
                </w:tcPr>
                <w:p w14:paraId="7486F4B8">
                  <w:pPr>
                    <w:spacing w:line="240" w:lineRule="auto"/>
                    <w:ind w:firstLine="480"/>
                    <w:jc w:val="center"/>
                    <w:rPr>
                      <w:color w:val="auto"/>
                      <w:sz w:val="21"/>
                      <w:szCs w:val="21"/>
                    </w:rPr>
                  </w:pPr>
                  <w:r>
                    <w:rPr>
                      <w:color w:val="auto"/>
                      <w:sz w:val="21"/>
                      <w:szCs w:val="21"/>
                    </w:rPr>
                    <w:t>55dB</w:t>
                  </w:r>
                  <w:r>
                    <w:rPr>
                      <w:rFonts w:hint="eastAsia"/>
                      <w:color w:val="auto"/>
                      <w:sz w:val="21"/>
                      <w:szCs w:val="21"/>
                      <w:lang w:eastAsia="zh-CN"/>
                    </w:rPr>
                    <w:t>(</w:t>
                  </w:r>
                  <w:r>
                    <w:rPr>
                      <w:color w:val="auto"/>
                      <w:sz w:val="21"/>
                      <w:szCs w:val="21"/>
                    </w:rPr>
                    <w:t>A</w:t>
                  </w:r>
                  <w:r>
                    <w:rPr>
                      <w:rFonts w:hint="eastAsia"/>
                      <w:color w:val="auto"/>
                      <w:sz w:val="21"/>
                      <w:szCs w:val="21"/>
                      <w:lang w:eastAsia="zh-CN"/>
                    </w:rPr>
                    <w:t>)</w:t>
                  </w:r>
                </w:p>
              </w:tc>
            </w:tr>
          </w:tbl>
          <w:p w14:paraId="03259EF6">
            <w:pPr>
              <w:tabs>
                <w:tab w:val="left" w:leader="middleDot" w:pos="8399"/>
              </w:tabs>
              <w:ind w:firstLine="482"/>
              <w:rPr>
                <w:b/>
                <w:color w:val="auto"/>
                <w:szCs w:val="22"/>
              </w:rPr>
            </w:pPr>
            <w:r>
              <w:rPr>
                <w:b/>
                <w:color w:val="auto"/>
                <w:szCs w:val="22"/>
              </w:rPr>
              <w:t>运营期：</w:t>
            </w:r>
          </w:p>
          <w:p w14:paraId="7404F42E">
            <w:pPr>
              <w:pStyle w:val="4"/>
              <w:ind w:firstLine="480"/>
              <w:jc w:val="both"/>
              <w:rPr>
                <w:color w:val="auto"/>
                <w:szCs w:val="22"/>
              </w:rPr>
            </w:pPr>
            <w:r>
              <w:rPr>
                <w:color w:val="auto"/>
                <w:szCs w:val="24"/>
              </w:rPr>
              <w:t>项目执行</w:t>
            </w:r>
            <w:r>
              <w:rPr>
                <w:color w:val="auto"/>
                <w:szCs w:val="22"/>
              </w:rPr>
              <w:t>《工业企业厂界环境噪声排放标准》</w:t>
            </w:r>
            <w:r>
              <w:rPr>
                <w:rFonts w:hint="eastAsia"/>
                <w:color w:val="auto"/>
                <w:szCs w:val="22"/>
              </w:rPr>
              <w:t>（</w:t>
            </w:r>
            <w:r>
              <w:rPr>
                <w:color w:val="auto"/>
                <w:szCs w:val="22"/>
              </w:rPr>
              <w:t>GB12348-2008</w:t>
            </w:r>
            <w:r>
              <w:rPr>
                <w:rFonts w:hint="eastAsia"/>
                <w:color w:val="auto"/>
                <w:szCs w:val="22"/>
              </w:rPr>
              <w:t>）</w:t>
            </w:r>
            <w:r>
              <w:rPr>
                <w:color w:val="auto"/>
                <w:szCs w:val="24"/>
              </w:rPr>
              <w:t>中的2类</w:t>
            </w:r>
            <w:r>
              <w:rPr>
                <w:rFonts w:hint="eastAsia"/>
                <w:color w:val="auto"/>
                <w:szCs w:val="24"/>
              </w:rPr>
              <w:t>、4类</w:t>
            </w:r>
            <w:r>
              <w:rPr>
                <w:color w:val="auto"/>
                <w:szCs w:val="24"/>
              </w:rPr>
              <w:t>标准</w:t>
            </w:r>
            <w:r>
              <w:rPr>
                <w:rFonts w:hint="eastAsia"/>
                <w:color w:val="auto"/>
                <w:szCs w:val="24"/>
              </w:rPr>
              <w:t>。</w:t>
            </w:r>
            <w:r>
              <w:rPr>
                <w:color w:val="auto"/>
                <w:szCs w:val="22"/>
              </w:rPr>
              <w:t>标准值见表</w:t>
            </w:r>
            <w:r>
              <w:rPr>
                <w:rFonts w:hint="eastAsia"/>
                <w:color w:val="auto"/>
                <w:szCs w:val="22"/>
              </w:rPr>
              <w:t>3-8</w:t>
            </w:r>
            <w:r>
              <w:rPr>
                <w:color w:val="auto"/>
                <w:szCs w:val="22"/>
              </w:rPr>
              <w:t>。</w:t>
            </w:r>
          </w:p>
          <w:p w14:paraId="6E2C30BC">
            <w:pPr>
              <w:pStyle w:val="4"/>
              <w:ind w:firstLine="480"/>
              <w:jc w:val="both"/>
              <w:rPr>
                <w:color w:val="auto"/>
                <w:szCs w:val="22"/>
              </w:rPr>
            </w:pPr>
          </w:p>
          <w:p w14:paraId="69780381">
            <w:pPr>
              <w:pStyle w:val="4"/>
              <w:ind w:firstLine="480"/>
              <w:jc w:val="both"/>
              <w:rPr>
                <w:color w:val="auto"/>
                <w:szCs w:val="22"/>
              </w:rPr>
            </w:pPr>
          </w:p>
          <w:p w14:paraId="6669BA4C">
            <w:pPr>
              <w:pStyle w:val="4"/>
              <w:ind w:firstLine="480"/>
              <w:jc w:val="both"/>
              <w:rPr>
                <w:color w:val="auto"/>
                <w:szCs w:val="22"/>
              </w:rPr>
            </w:pPr>
          </w:p>
          <w:p w14:paraId="7A5D3A2E">
            <w:pPr>
              <w:pStyle w:val="29"/>
              <w:spacing w:before="24" w:after="24"/>
              <w:rPr>
                <w:color w:val="auto"/>
              </w:rPr>
            </w:pPr>
            <w:r>
              <w:rPr>
                <w:color w:val="auto"/>
              </w:rPr>
              <w:t>表</w:t>
            </w:r>
            <w:r>
              <w:rPr>
                <w:rFonts w:hint="eastAsia"/>
                <w:color w:val="auto"/>
                <w:lang w:val="en-US" w:eastAsia="zh-CN"/>
              </w:rPr>
              <w:t>3-8</w:t>
            </w:r>
            <w:r>
              <w:rPr>
                <w:color w:val="auto"/>
              </w:rPr>
              <w:t xml:space="preserve">  《工业企业厂界环境噪声排放标准》</w:t>
            </w:r>
          </w:p>
          <w:tbl>
            <w:tblPr>
              <w:tblStyle w:val="20"/>
              <w:tblpPr w:leftFromText="180" w:rightFromText="180" w:vertAnchor="text" w:horzAnchor="margin" w:tblpXSpec="center" w:tblpY="1"/>
              <w:tblOverlap w:val="never"/>
              <w:tblW w:w="83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0"/>
              <w:gridCol w:w="2052"/>
              <w:gridCol w:w="2126"/>
              <w:gridCol w:w="2121"/>
            </w:tblGrid>
            <w:tr w14:paraId="34685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228" w:type="pct"/>
                  <w:noWrap w:val="0"/>
                  <w:vAlign w:val="center"/>
                </w:tcPr>
                <w:p w14:paraId="292813D6">
                  <w:pPr>
                    <w:pStyle w:val="28"/>
                    <w:rPr>
                      <w:b/>
                      <w:bCs/>
                      <w:color w:val="auto"/>
                    </w:rPr>
                  </w:pPr>
                  <w:r>
                    <w:rPr>
                      <w:rFonts w:hint="eastAsia"/>
                      <w:b/>
                      <w:bCs/>
                      <w:color w:val="auto"/>
                    </w:rPr>
                    <w:t>厂界</w:t>
                  </w:r>
                </w:p>
              </w:tc>
              <w:tc>
                <w:tcPr>
                  <w:tcW w:w="1229" w:type="pct"/>
                  <w:noWrap w:val="0"/>
                  <w:vAlign w:val="center"/>
                </w:tcPr>
                <w:p w14:paraId="29170BF0">
                  <w:pPr>
                    <w:pStyle w:val="28"/>
                    <w:rPr>
                      <w:b/>
                      <w:bCs/>
                      <w:color w:val="auto"/>
                    </w:rPr>
                  </w:pPr>
                  <w:r>
                    <w:rPr>
                      <w:b/>
                      <w:bCs/>
                      <w:color w:val="auto"/>
                    </w:rPr>
                    <w:t>类别</w:t>
                  </w:r>
                </w:p>
              </w:tc>
              <w:tc>
                <w:tcPr>
                  <w:tcW w:w="1273" w:type="pct"/>
                  <w:noWrap w:val="0"/>
                  <w:vAlign w:val="center"/>
                </w:tcPr>
                <w:p w14:paraId="117ED1A6">
                  <w:pPr>
                    <w:pStyle w:val="28"/>
                    <w:rPr>
                      <w:b/>
                      <w:bCs/>
                      <w:color w:val="auto"/>
                    </w:rPr>
                  </w:pPr>
                  <w:r>
                    <w:rPr>
                      <w:b/>
                      <w:bCs/>
                      <w:color w:val="auto"/>
                    </w:rPr>
                    <w:t>昼间</w:t>
                  </w:r>
                </w:p>
              </w:tc>
              <w:tc>
                <w:tcPr>
                  <w:tcW w:w="1270" w:type="pct"/>
                  <w:noWrap w:val="0"/>
                  <w:vAlign w:val="center"/>
                </w:tcPr>
                <w:p w14:paraId="1DD5A3C8">
                  <w:pPr>
                    <w:pStyle w:val="28"/>
                    <w:rPr>
                      <w:b/>
                      <w:bCs/>
                      <w:color w:val="auto"/>
                    </w:rPr>
                  </w:pPr>
                  <w:r>
                    <w:rPr>
                      <w:b/>
                      <w:bCs/>
                      <w:color w:val="auto"/>
                    </w:rPr>
                    <w:t>夜间</w:t>
                  </w:r>
                </w:p>
              </w:tc>
            </w:tr>
            <w:tr w14:paraId="0F8C0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8" w:type="pct"/>
                  <w:noWrap w:val="0"/>
                  <w:vAlign w:val="center"/>
                </w:tcPr>
                <w:p w14:paraId="05344E54">
                  <w:pPr>
                    <w:pStyle w:val="28"/>
                    <w:rPr>
                      <w:rFonts w:hint="eastAsia"/>
                      <w:color w:val="auto"/>
                    </w:rPr>
                  </w:pPr>
                  <w:bookmarkStart w:id="13" w:name="_Hlk114475137"/>
                  <w:r>
                    <w:rPr>
                      <w:rFonts w:hint="eastAsia"/>
                      <w:color w:val="auto"/>
                    </w:rPr>
                    <w:t>北侧厂界</w:t>
                  </w:r>
                  <w:bookmarkEnd w:id="13"/>
                </w:p>
              </w:tc>
              <w:tc>
                <w:tcPr>
                  <w:tcW w:w="1229" w:type="pct"/>
                  <w:noWrap w:val="0"/>
                  <w:vAlign w:val="center"/>
                </w:tcPr>
                <w:p w14:paraId="7630CF35">
                  <w:pPr>
                    <w:pStyle w:val="28"/>
                    <w:rPr>
                      <w:color w:val="auto"/>
                    </w:rPr>
                  </w:pPr>
                  <w:r>
                    <w:rPr>
                      <w:rFonts w:hint="eastAsia"/>
                      <w:color w:val="auto"/>
                    </w:rPr>
                    <w:t>4</w:t>
                  </w:r>
                  <w:r>
                    <w:rPr>
                      <w:color w:val="auto"/>
                    </w:rPr>
                    <w:t>类</w:t>
                  </w:r>
                </w:p>
              </w:tc>
              <w:tc>
                <w:tcPr>
                  <w:tcW w:w="1273" w:type="pct"/>
                  <w:noWrap w:val="0"/>
                  <w:vAlign w:val="center"/>
                </w:tcPr>
                <w:p w14:paraId="6EDDD0F1">
                  <w:pPr>
                    <w:pStyle w:val="28"/>
                    <w:rPr>
                      <w:color w:val="auto"/>
                    </w:rPr>
                  </w:pPr>
                  <w:r>
                    <w:rPr>
                      <w:rFonts w:hint="eastAsia"/>
                      <w:color w:val="auto"/>
                    </w:rPr>
                    <w:t>70</w:t>
                  </w:r>
                  <w:r>
                    <w:rPr>
                      <w:color w:val="auto"/>
                    </w:rPr>
                    <w:t>dB</w:t>
                  </w:r>
                  <w:r>
                    <w:rPr>
                      <w:rFonts w:hint="eastAsia"/>
                      <w:color w:val="auto"/>
                      <w:lang w:eastAsia="zh-CN"/>
                    </w:rPr>
                    <w:t>(</w:t>
                  </w:r>
                  <w:r>
                    <w:rPr>
                      <w:color w:val="auto"/>
                    </w:rPr>
                    <w:t>A</w:t>
                  </w:r>
                  <w:r>
                    <w:rPr>
                      <w:rFonts w:hint="eastAsia"/>
                      <w:color w:val="auto"/>
                      <w:lang w:eastAsia="zh-CN"/>
                    </w:rPr>
                    <w:t>)</w:t>
                  </w:r>
                </w:p>
              </w:tc>
              <w:tc>
                <w:tcPr>
                  <w:tcW w:w="1270" w:type="pct"/>
                  <w:noWrap w:val="0"/>
                  <w:vAlign w:val="center"/>
                </w:tcPr>
                <w:p w14:paraId="5E4C5DBF">
                  <w:pPr>
                    <w:pStyle w:val="28"/>
                    <w:rPr>
                      <w:color w:val="auto"/>
                    </w:rPr>
                  </w:pPr>
                  <w:r>
                    <w:rPr>
                      <w:rFonts w:hint="eastAsia"/>
                      <w:color w:val="auto"/>
                    </w:rPr>
                    <w:t>55</w:t>
                  </w:r>
                  <w:r>
                    <w:rPr>
                      <w:color w:val="auto"/>
                    </w:rPr>
                    <w:t>dB</w:t>
                  </w:r>
                  <w:r>
                    <w:rPr>
                      <w:rFonts w:hint="eastAsia"/>
                      <w:color w:val="auto"/>
                      <w:lang w:eastAsia="zh-CN"/>
                    </w:rPr>
                    <w:t>(</w:t>
                  </w:r>
                  <w:r>
                    <w:rPr>
                      <w:color w:val="auto"/>
                    </w:rPr>
                    <w:t>A</w:t>
                  </w:r>
                  <w:r>
                    <w:rPr>
                      <w:rFonts w:hint="eastAsia"/>
                      <w:color w:val="auto"/>
                      <w:lang w:eastAsia="zh-CN"/>
                    </w:rPr>
                    <w:t>)</w:t>
                  </w:r>
                </w:p>
              </w:tc>
            </w:tr>
            <w:tr w14:paraId="2A1DE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8" w:type="pct"/>
                  <w:noWrap w:val="0"/>
                  <w:vAlign w:val="center"/>
                </w:tcPr>
                <w:p w14:paraId="3056E34B">
                  <w:pPr>
                    <w:pStyle w:val="28"/>
                    <w:rPr>
                      <w:rFonts w:hint="eastAsia"/>
                      <w:color w:val="auto"/>
                    </w:rPr>
                  </w:pPr>
                  <w:r>
                    <w:rPr>
                      <w:rFonts w:hint="eastAsia"/>
                      <w:color w:val="auto"/>
                    </w:rPr>
                    <w:t>东侧、西侧和</w:t>
                  </w:r>
                </w:p>
                <w:p w14:paraId="67A8EDC8">
                  <w:pPr>
                    <w:pStyle w:val="28"/>
                    <w:rPr>
                      <w:rFonts w:hint="eastAsia"/>
                      <w:color w:val="auto"/>
                    </w:rPr>
                  </w:pPr>
                  <w:r>
                    <w:rPr>
                      <w:rFonts w:hint="eastAsia"/>
                      <w:color w:val="auto"/>
                    </w:rPr>
                    <w:t>南侧厂界</w:t>
                  </w:r>
                </w:p>
              </w:tc>
              <w:tc>
                <w:tcPr>
                  <w:tcW w:w="1229" w:type="pct"/>
                  <w:noWrap w:val="0"/>
                  <w:vAlign w:val="center"/>
                </w:tcPr>
                <w:p w14:paraId="3C885544">
                  <w:pPr>
                    <w:pStyle w:val="28"/>
                    <w:rPr>
                      <w:color w:val="auto"/>
                    </w:rPr>
                  </w:pPr>
                  <w:r>
                    <w:rPr>
                      <w:rFonts w:hint="eastAsia"/>
                      <w:color w:val="auto"/>
                    </w:rPr>
                    <w:t>2类</w:t>
                  </w:r>
                </w:p>
              </w:tc>
              <w:tc>
                <w:tcPr>
                  <w:tcW w:w="1273" w:type="pct"/>
                  <w:noWrap w:val="0"/>
                  <w:vAlign w:val="center"/>
                </w:tcPr>
                <w:p w14:paraId="47FBAA1C">
                  <w:pPr>
                    <w:pStyle w:val="28"/>
                    <w:rPr>
                      <w:color w:val="auto"/>
                    </w:rPr>
                  </w:pPr>
                  <w:r>
                    <w:rPr>
                      <w:color w:val="auto"/>
                    </w:rPr>
                    <w:t>60dB</w:t>
                  </w:r>
                  <w:r>
                    <w:rPr>
                      <w:rFonts w:hint="eastAsia"/>
                      <w:color w:val="auto"/>
                      <w:lang w:eastAsia="zh-CN"/>
                    </w:rPr>
                    <w:t>(</w:t>
                  </w:r>
                  <w:r>
                    <w:rPr>
                      <w:color w:val="auto"/>
                    </w:rPr>
                    <w:t>A</w:t>
                  </w:r>
                  <w:r>
                    <w:rPr>
                      <w:rFonts w:hint="eastAsia"/>
                      <w:color w:val="auto"/>
                      <w:lang w:eastAsia="zh-CN"/>
                    </w:rPr>
                    <w:t>)</w:t>
                  </w:r>
                </w:p>
              </w:tc>
              <w:tc>
                <w:tcPr>
                  <w:tcW w:w="1270" w:type="pct"/>
                  <w:noWrap w:val="0"/>
                  <w:vAlign w:val="center"/>
                </w:tcPr>
                <w:p w14:paraId="628FD8A9">
                  <w:pPr>
                    <w:pStyle w:val="28"/>
                    <w:rPr>
                      <w:color w:val="auto"/>
                    </w:rPr>
                  </w:pPr>
                  <w:r>
                    <w:rPr>
                      <w:color w:val="auto"/>
                    </w:rPr>
                    <w:t>50dB</w:t>
                  </w:r>
                  <w:r>
                    <w:rPr>
                      <w:rFonts w:hint="eastAsia"/>
                      <w:color w:val="auto"/>
                      <w:lang w:eastAsia="zh-CN"/>
                    </w:rPr>
                    <w:t>(</w:t>
                  </w:r>
                  <w:r>
                    <w:rPr>
                      <w:color w:val="auto"/>
                    </w:rPr>
                    <w:t>A</w:t>
                  </w:r>
                  <w:r>
                    <w:rPr>
                      <w:rFonts w:hint="eastAsia"/>
                      <w:color w:val="auto"/>
                      <w:lang w:eastAsia="zh-CN"/>
                    </w:rPr>
                    <w:t>)</w:t>
                  </w:r>
                </w:p>
              </w:tc>
            </w:tr>
          </w:tbl>
          <w:p w14:paraId="48AF2954">
            <w:pPr>
              <w:ind w:firstLine="472" w:firstLineChars="196"/>
              <w:rPr>
                <w:b/>
                <w:bCs/>
                <w:color w:val="auto"/>
                <w:szCs w:val="22"/>
              </w:rPr>
            </w:pPr>
            <w:r>
              <w:rPr>
                <w:b/>
                <w:bCs/>
                <w:color w:val="auto"/>
                <w:szCs w:val="22"/>
              </w:rPr>
              <w:t>3.</w:t>
            </w:r>
            <w:r>
              <w:rPr>
                <w:rFonts w:hint="eastAsia"/>
                <w:b/>
                <w:bCs/>
                <w:color w:val="auto"/>
                <w:szCs w:val="22"/>
                <w:lang w:val="en-US" w:eastAsia="zh-CN"/>
              </w:rPr>
              <w:t>7</w:t>
            </w:r>
            <w:r>
              <w:rPr>
                <w:b/>
                <w:bCs/>
                <w:color w:val="auto"/>
                <w:szCs w:val="22"/>
              </w:rPr>
              <w:t>.4固体废弃物</w:t>
            </w:r>
          </w:p>
          <w:p w14:paraId="462A7E70">
            <w:pPr>
              <w:autoSpaceDE w:val="0"/>
              <w:autoSpaceDN w:val="0"/>
              <w:ind w:firstLine="480"/>
              <w:outlineLvl w:val="2"/>
              <w:rPr>
                <w:color w:val="auto"/>
                <w:szCs w:val="22"/>
              </w:rPr>
            </w:pPr>
            <w:bookmarkStart w:id="14" w:name="_Hlk108102015"/>
            <w:r>
              <w:rPr>
                <w:color w:val="auto"/>
                <w:szCs w:val="22"/>
              </w:rPr>
              <w:t>一般固体废弃物执行《一般工业固体废物贮存和填埋污染控制标准》（GB18599-2020）。</w:t>
            </w:r>
          </w:p>
          <w:p w14:paraId="72414591">
            <w:pPr>
              <w:autoSpaceDE w:val="0"/>
              <w:autoSpaceDN w:val="0"/>
              <w:ind w:firstLine="480"/>
              <w:outlineLvl w:val="2"/>
              <w:rPr>
                <w:rFonts w:hint="eastAsia"/>
                <w:color w:val="auto"/>
                <w:szCs w:val="22"/>
              </w:rPr>
            </w:pPr>
            <w:r>
              <w:rPr>
                <w:color w:val="auto"/>
                <w:szCs w:val="22"/>
              </w:rPr>
              <w:t>危险废物执行《危险废物贮存污染控制标准》（GB18597-2023）中的相关要求。</w:t>
            </w:r>
            <w:bookmarkEnd w:id="14"/>
          </w:p>
        </w:tc>
      </w:tr>
      <w:tr w14:paraId="07303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center"/>
          </w:tcPr>
          <w:p w14:paraId="79BC9FCF">
            <w:pPr>
              <w:adjustRightInd w:val="0"/>
              <w:snapToGrid w:val="0"/>
              <w:ind w:firstLine="0" w:firstLineChars="0"/>
              <w:jc w:val="center"/>
              <w:rPr>
                <w:rFonts w:ascii="宋体" w:hAnsi="宋体" w:cs="宋体"/>
                <w:color w:val="auto"/>
                <w:kern w:val="0"/>
                <w:szCs w:val="21"/>
              </w:rPr>
            </w:pPr>
            <w:r>
              <w:rPr>
                <w:rFonts w:hint="eastAsia" w:ascii="宋体" w:hAnsi="宋体" w:cs="宋体"/>
                <w:color w:val="auto"/>
                <w:kern w:val="0"/>
                <w:szCs w:val="21"/>
              </w:rPr>
              <w:t>总量控制指标</w:t>
            </w:r>
          </w:p>
        </w:tc>
        <w:tc>
          <w:tcPr>
            <w:tcW w:w="8614" w:type="dxa"/>
            <w:noWrap w:val="0"/>
            <w:vAlign w:val="top"/>
          </w:tcPr>
          <w:p w14:paraId="284254BA">
            <w:pPr>
              <w:ind w:firstLine="482"/>
              <w:rPr>
                <w:b/>
                <w:bCs/>
                <w:color w:val="auto"/>
              </w:rPr>
            </w:pPr>
            <w:r>
              <w:rPr>
                <w:rFonts w:hint="eastAsia"/>
                <w:b/>
                <w:bCs/>
                <w:color w:val="auto"/>
              </w:rPr>
              <w:t>3.</w:t>
            </w:r>
            <w:r>
              <w:rPr>
                <w:rFonts w:hint="eastAsia"/>
                <w:b/>
                <w:bCs/>
                <w:color w:val="auto"/>
                <w:lang w:val="en-US" w:eastAsia="zh-CN"/>
              </w:rPr>
              <w:t>8</w:t>
            </w:r>
            <w:r>
              <w:rPr>
                <w:rFonts w:hint="eastAsia"/>
                <w:b/>
                <w:bCs/>
                <w:color w:val="auto"/>
              </w:rPr>
              <w:t>总量控制指标</w:t>
            </w:r>
          </w:p>
          <w:p w14:paraId="6F4B75BD">
            <w:pPr>
              <w:ind w:firstLine="480"/>
              <w:rPr>
                <w:color w:val="auto"/>
              </w:rPr>
            </w:pPr>
            <w:r>
              <w:rPr>
                <w:color w:val="auto"/>
              </w:rPr>
              <w:t>1、总量控制原则</w:t>
            </w:r>
          </w:p>
          <w:p w14:paraId="01F16FCC">
            <w:pPr>
              <w:spacing w:line="360" w:lineRule="auto"/>
              <w:ind w:firstLine="480" w:firstLineChars="200"/>
              <w:rPr>
                <w:rFonts w:hint="eastAsia"/>
                <w:color w:val="auto"/>
                <w:sz w:val="24"/>
                <w:highlight w:val="none"/>
              </w:rPr>
            </w:pPr>
            <w:r>
              <w:rPr>
                <w:rFonts w:hint="eastAsia"/>
                <w:color w:val="auto"/>
                <w:sz w:val="24"/>
                <w:highlight w:val="none"/>
              </w:rPr>
              <w:t>根据《</w:t>
            </w:r>
            <w:r>
              <w:rPr>
                <w:color w:val="auto"/>
                <w:sz w:val="24"/>
                <w:highlight w:val="none"/>
              </w:rPr>
              <w:t>云南省</w:t>
            </w:r>
            <w:r>
              <w:rPr>
                <w:rFonts w:hint="eastAsia"/>
                <w:color w:val="auto"/>
                <w:sz w:val="24"/>
                <w:highlight w:val="none"/>
              </w:rPr>
              <w:t>“</w:t>
            </w:r>
            <w:r>
              <w:rPr>
                <w:color w:val="auto"/>
                <w:sz w:val="24"/>
                <w:highlight w:val="none"/>
              </w:rPr>
              <w:t>十四五</w:t>
            </w:r>
            <w:r>
              <w:rPr>
                <w:rFonts w:hint="eastAsia"/>
                <w:color w:val="auto"/>
                <w:sz w:val="24"/>
                <w:highlight w:val="none"/>
              </w:rPr>
              <w:t>”</w:t>
            </w:r>
            <w:r>
              <w:rPr>
                <w:color w:val="auto"/>
                <w:sz w:val="24"/>
                <w:highlight w:val="none"/>
              </w:rPr>
              <w:t>生态环境保护规划</w:t>
            </w:r>
            <w:r>
              <w:rPr>
                <w:rFonts w:hint="eastAsia"/>
                <w:color w:val="auto"/>
                <w:sz w:val="24"/>
                <w:highlight w:val="none"/>
              </w:rPr>
              <w:t>》，云南省主要污染物重点工程减排指标为氮氧化物、挥发性有机物、化学需氧量和氨氮。根据本项目的排污特征，结合国家污染物排放总量控制原则，本项目建议执行的总量控制指标如下：</w:t>
            </w:r>
          </w:p>
          <w:p w14:paraId="6DAB8741">
            <w:pPr>
              <w:ind w:firstLine="480"/>
              <w:rPr>
                <w:color w:val="auto"/>
              </w:rPr>
            </w:pPr>
            <w:r>
              <w:rPr>
                <w:color w:val="auto"/>
              </w:rPr>
              <w:t>2、总量控制建议值</w:t>
            </w:r>
          </w:p>
          <w:p w14:paraId="4DDB2DDD">
            <w:pPr>
              <w:ind w:firstLine="480"/>
              <w:rPr>
                <w:color w:val="auto"/>
              </w:rPr>
            </w:pPr>
            <w:r>
              <w:rPr>
                <w:color w:val="auto"/>
              </w:rPr>
              <w:t>根据工程分析，本项目污染物排放总量为：</w:t>
            </w:r>
          </w:p>
          <w:p w14:paraId="47F93294">
            <w:pPr>
              <w:ind w:firstLine="480"/>
              <w:rPr>
                <w:color w:val="auto"/>
              </w:rPr>
            </w:pPr>
            <w:r>
              <w:rPr>
                <w:color w:val="auto"/>
              </w:rPr>
              <w:t>（1）大气污染物排放总量</w:t>
            </w:r>
          </w:p>
          <w:p w14:paraId="3837371E">
            <w:pPr>
              <w:ind w:firstLine="480"/>
              <w:rPr>
                <w:color w:val="auto"/>
              </w:rPr>
            </w:pPr>
            <w:r>
              <w:rPr>
                <w:color w:val="auto"/>
              </w:rPr>
              <w:t>项目运营期无组织排放大气污染源主要包括砂石料装卸扬尘、车辆运输扬尘、砂石料堆场扬尘、</w:t>
            </w:r>
            <w:r>
              <w:rPr>
                <w:rFonts w:hint="eastAsia"/>
                <w:color w:val="auto"/>
              </w:rPr>
              <w:t>粉</w:t>
            </w:r>
            <w:r>
              <w:rPr>
                <w:color w:val="auto"/>
              </w:rPr>
              <w:t>筒仓粉尘、水泥投料粉尘、</w:t>
            </w:r>
            <w:r>
              <w:rPr>
                <w:color w:val="auto"/>
                <w:spacing w:val="-2"/>
              </w:rPr>
              <w:t>焊接烟尘</w:t>
            </w:r>
            <w:r>
              <w:rPr>
                <w:color w:val="auto"/>
              </w:rPr>
              <w:t>；有组织排放大气污染源主要包括锅炉废气以及食堂油烟废气。</w:t>
            </w:r>
          </w:p>
          <w:p w14:paraId="407F9667">
            <w:pPr>
              <w:ind w:firstLine="480"/>
              <w:rPr>
                <w:color w:val="auto"/>
              </w:rPr>
            </w:pPr>
            <w:r>
              <w:rPr>
                <w:rFonts w:hint="eastAsia"/>
                <w:color w:val="auto"/>
              </w:rPr>
              <w:t>其中各个环节的排放量见表</w:t>
            </w:r>
            <w:r>
              <w:rPr>
                <w:rFonts w:hint="eastAsia"/>
                <w:color w:val="auto"/>
                <w:lang w:val="en-US" w:eastAsia="zh-CN"/>
              </w:rPr>
              <w:t>3-9</w:t>
            </w:r>
            <w:r>
              <w:rPr>
                <w:rFonts w:hint="eastAsia"/>
                <w:color w:val="auto"/>
              </w:rPr>
              <w:t>：</w:t>
            </w:r>
          </w:p>
          <w:p w14:paraId="0836A9AC">
            <w:pPr>
              <w:pStyle w:val="29"/>
              <w:spacing w:before="24" w:after="24"/>
              <w:rPr>
                <w:color w:val="auto"/>
              </w:rPr>
            </w:pPr>
            <w:r>
              <w:rPr>
                <w:color w:val="auto"/>
              </w:rPr>
              <w:t>表</w:t>
            </w:r>
            <w:r>
              <w:rPr>
                <w:rFonts w:hint="eastAsia"/>
                <w:color w:val="auto"/>
                <w:lang w:val="en-US" w:eastAsia="zh-CN"/>
              </w:rPr>
              <w:t>3-9</w:t>
            </w:r>
            <w:r>
              <w:rPr>
                <w:color w:val="auto"/>
              </w:rPr>
              <w:t xml:space="preserve">  废气</w:t>
            </w:r>
            <w:r>
              <w:rPr>
                <w:rFonts w:hint="eastAsia"/>
                <w:color w:val="auto"/>
              </w:rPr>
              <w:t>排放</w:t>
            </w:r>
            <w:r>
              <w:rPr>
                <w:color w:val="auto"/>
              </w:rPr>
              <w:t>情况一览表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9"/>
              <w:gridCol w:w="658"/>
              <w:gridCol w:w="1611"/>
              <w:gridCol w:w="2161"/>
              <w:gridCol w:w="710"/>
              <w:gridCol w:w="1129"/>
            </w:tblGrid>
            <w:tr w14:paraId="3FD19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5" w:type="pct"/>
                  <w:gridSpan w:val="3"/>
                  <w:noWrap w:val="0"/>
                  <w:vAlign w:val="center"/>
                </w:tcPr>
                <w:p w14:paraId="66BDAACB">
                  <w:pPr>
                    <w:spacing w:line="240" w:lineRule="auto"/>
                    <w:ind w:firstLine="0" w:firstLineChars="0"/>
                    <w:jc w:val="center"/>
                    <w:rPr>
                      <w:b/>
                      <w:bCs/>
                      <w:color w:val="auto"/>
                      <w:sz w:val="21"/>
                      <w:szCs w:val="21"/>
                    </w:rPr>
                  </w:pPr>
                  <w:r>
                    <w:rPr>
                      <w:rFonts w:hint="eastAsia"/>
                      <w:b/>
                      <w:bCs/>
                      <w:color w:val="auto"/>
                      <w:sz w:val="21"/>
                      <w:szCs w:val="21"/>
                    </w:rPr>
                    <w:t>有组织</w:t>
                  </w:r>
                  <w:r>
                    <w:rPr>
                      <w:b/>
                      <w:bCs/>
                      <w:color w:val="auto"/>
                      <w:sz w:val="21"/>
                      <w:szCs w:val="21"/>
                    </w:rPr>
                    <w:t>废气</w:t>
                  </w:r>
                  <w:r>
                    <w:rPr>
                      <w:rFonts w:hint="eastAsia"/>
                      <w:b/>
                      <w:bCs/>
                      <w:color w:val="auto"/>
                      <w:sz w:val="21"/>
                      <w:szCs w:val="21"/>
                    </w:rPr>
                    <w:t>排放</w:t>
                  </w:r>
                  <w:r>
                    <w:rPr>
                      <w:b/>
                      <w:bCs/>
                      <w:color w:val="auto"/>
                      <w:sz w:val="21"/>
                      <w:szCs w:val="21"/>
                    </w:rPr>
                    <w:t>情况</w:t>
                  </w:r>
                </w:p>
              </w:tc>
              <w:tc>
                <w:tcPr>
                  <w:tcW w:w="2384" w:type="pct"/>
                  <w:gridSpan w:val="3"/>
                  <w:noWrap w:val="0"/>
                  <w:vAlign w:val="center"/>
                </w:tcPr>
                <w:p w14:paraId="0AB129C5">
                  <w:pPr>
                    <w:spacing w:line="240" w:lineRule="auto"/>
                    <w:ind w:firstLine="0" w:firstLineChars="0"/>
                    <w:jc w:val="center"/>
                    <w:rPr>
                      <w:rFonts w:hint="eastAsia"/>
                      <w:b/>
                      <w:bCs/>
                      <w:color w:val="auto"/>
                      <w:sz w:val="21"/>
                      <w:szCs w:val="21"/>
                    </w:rPr>
                  </w:pPr>
                  <w:r>
                    <w:rPr>
                      <w:rFonts w:hint="eastAsia"/>
                      <w:b/>
                      <w:bCs/>
                      <w:color w:val="auto"/>
                      <w:sz w:val="21"/>
                      <w:szCs w:val="21"/>
                    </w:rPr>
                    <w:t>无组织</w:t>
                  </w:r>
                  <w:r>
                    <w:rPr>
                      <w:b/>
                      <w:bCs/>
                      <w:color w:val="auto"/>
                      <w:sz w:val="21"/>
                      <w:szCs w:val="21"/>
                    </w:rPr>
                    <w:t>废气</w:t>
                  </w:r>
                  <w:r>
                    <w:rPr>
                      <w:rFonts w:hint="eastAsia"/>
                      <w:b/>
                      <w:bCs/>
                      <w:color w:val="auto"/>
                      <w:sz w:val="21"/>
                      <w:szCs w:val="21"/>
                    </w:rPr>
                    <w:t>排放</w:t>
                  </w:r>
                  <w:r>
                    <w:rPr>
                      <w:b/>
                      <w:bCs/>
                      <w:color w:val="auto"/>
                      <w:sz w:val="21"/>
                      <w:szCs w:val="21"/>
                    </w:rPr>
                    <w:t>情况</w:t>
                  </w:r>
                </w:p>
              </w:tc>
            </w:tr>
            <w:tr w14:paraId="174CD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3" w:type="pct"/>
                  <w:vMerge w:val="restart"/>
                  <w:noWrap w:val="0"/>
                  <w:vAlign w:val="center"/>
                </w:tcPr>
                <w:p w14:paraId="33AC845C">
                  <w:pPr>
                    <w:spacing w:line="240" w:lineRule="auto"/>
                    <w:ind w:firstLine="0" w:firstLineChars="0"/>
                    <w:jc w:val="center"/>
                    <w:rPr>
                      <w:b/>
                      <w:bCs/>
                      <w:color w:val="auto"/>
                      <w:sz w:val="21"/>
                      <w:szCs w:val="21"/>
                    </w:rPr>
                  </w:pPr>
                  <w:r>
                    <w:rPr>
                      <w:b/>
                      <w:bCs/>
                      <w:color w:val="auto"/>
                      <w:sz w:val="21"/>
                      <w:szCs w:val="21"/>
                    </w:rPr>
                    <w:t>污染源</w:t>
                  </w:r>
                </w:p>
              </w:tc>
              <w:tc>
                <w:tcPr>
                  <w:tcW w:w="392" w:type="pct"/>
                  <w:vMerge w:val="restart"/>
                  <w:noWrap w:val="0"/>
                  <w:vAlign w:val="center"/>
                </w:tcPr>
                <w:p w14:paraId="160C6000">
                  <w:pPr>
                    <w:spacing w:line="240" w:lineRule="auto"/>
                    <w:ind w:firstLine="0" w:firstLineChars="0"/>
                    <w:jc w:val="center"/>
                    <w:rPr>
                      <w:b/>
                      <w:bCs/>
                      <w:color w:val="auto"/>
                      <w:sz w:val="21"/>
                      <w:szCs w:val="21"/>
                    </w:rPr>
                  </w:pPr>
                  <w:r>
                    <w:rPr>
                      <w:b/>
                      <w:bCs/>
                      <w:color w:val="auto"/>
                      <w:sz w:val="21"/>
                      <w:szCs w:val="21"/>
                    </w:rPr>
                    <w:t>污染物</w:t>
                  </w:r>
                </w:p>
              </w:tc>
              <w:tc>
                <w:tcPr>
                  <w:tcW w:w="960" w:type="pct"/>
                  <w:noWrap w:val="0"/>
                  <w:vAlign w:val="center"/>
                </w:tcPr>
                <w:p w14:paraId="66922821">
                  <w:pPr>
                    <w:spacing w:line="240" w:lineRule="auto"/>
                    <w:ind w:firstLine="0" w:firstLineChars="0"/>
                    <w:jc w:val="center"/>
                    <w:rPr>
                      <w:b/>
                      <w:bCs/>
                      <w:color w:val="auto"/>
                      <w:sz w:val="21"/>
                      <w:szCs w:val="21"/>
                    </w:rPr>
                  </w:pPr>
                  <w:r>
                    <w:rPr>
                      <w:b/>
                      <w:bCs/>
                      <w:color w:val="auto"/>
                      <w:sz w:val="21"/>
                      <w:szCs w:val="21"/>
                    </w:rPr>
                    <w:t>排放情况</w:t>
                  </w:r>
                </w:p>
              </w:tc>
              <w:tc>
                <w:tcPr>
                  <w:tcW w:w="1288" w:type="pct"/>
                  <w:vMerge w:val="restart"/>
                  <w:noWrap w:val="0"/>
                  <w:vAlign w:val="center"/>
                </w:tcPr>
                <w:p w14:paraId="76D9E2C3">
                  <w:pPr>
                    <w:spacing w:line="240" w:lineRule="auto"/>
                    <w:ind w:firstLine="0" w:firstLineChars="0"/>
                    <w:jc w:val="center"/>
                    <w:rPr>
                      <w:rFonts w:hint="eastAsia"/>
                      <w:b/>
                      <w:bCs/>
                      <w:color w:val="auto"/>
                      <w:sz w:val="21"/>
                      <w:szCs w:val="21"/>
                    </w:rPr>
                  </w:pPr>
                  <w:r>
                    <w:rPr>
                      <w:b/>
                      <w:bCs/>
                      <w:color w:val="auto"/>
                      <w:sz w:val="21"/>
                      <w:szCs w:val="21"/>
                    </w:rPr>
                    <w:t>污染源</w:t>
                  </w:r>
                </w:p>
              </w:tc>
              <w:tc>
                <w:tcPr>
                  <w:tcW w:w="423" w:type="pct"/>
                  <w:vMerge w:val="restart"/>
                  <w:noWrap w:val="0"/>
                  <w:vAlign w:val="center"/>
                </w:tcPr>
                <w:p w14:paraId="2B5A2360">
                  <w:pPr>
                    <w:spacing w:line="240" w:lineRule="auto"/>
                    <w:ind w:firstLine="0" w:firstLineChars="0"/>
                    <w:jc w:val="center"/>
                    <w:rPr>
                      <w:b/>
                      <w:bCs/>
                      <w:color w:val="auto"/>
                      <w:sz w:val="21"/>
                      <w:szCs w:val="21"/>
                    </w:rPr>
                  </w:pPr>
                  <w:r>
                    <w:rPr>
                      <w:b/>
                      <w:bCs/>
                      <w:color w:val="auto"/>
                      <w:sz w:val="21"/>
                      <w:szCs w:val="21"/>
                    </w:rPr>
                    <w:t>污染物</w:t>
                  </w:r>
                </w:p>
              </w:tc>
              <w:tc>
                <w:tcPr>
                  <w:tcW w:w="672" w:type="pct"/>
                  <w:noWrap w:val="0"/>
                  <w:vAlign w:val="center"/>
                </w:tcPr>
                <w:p w14:paraId="7F617CE9">
                  <w:pPr>
                    <w:spacing w:line="240" w:lineRule="auto"/>
                    <w:ind w:firstLine="0" w:firstLineChars="0"/>
                    <w:jc w:val="center"/>
                    <w:rPr>
                      <w:b/>
                      <w:bCs/>
                      <w:color w:val="auto"/>
                      <w:sz w:val="21"/>
                      <w:szCs w:val="21"/>
                    </w:rPr>
                  </w:pPr>
                  <w:r>
                    <w:rPr>
                      <w:b/>
                      <w:bCs/>
                      <w:color w:val="auto"/>
                      <w:sz w:val="21"/>
                      <w:szCs w:val="21"/>
                    </w:rPr>
                    <w:t>排放情况</w:t>
                  </w:r>
                </w:p>
              </w:tc>
            </w:tr>
            <w:tr w14:paraId="2A6FD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3" w:type="pct"/>
                  <w:vMerge w:val="continue"/>
                  <w:noWrap w:val="0"/>
                  <w:vAlign w:val="center"/>
                </w:tcPr>
                <w:p w14:paraId="1D343A32">
                  <w:pPr>
                    <w:spacing w:line="240" w:lineRule="auto"/>
                    <w:ind w:firstLine="0" w:firstLineChars="0"/>
                    <w:jc w:val="center"/>
                    <w:rPr>
                      <w:b/>
                      <w:bCs/>
                      <w:color w:val="auto"/>
                      <w:sz w:val="21"/>
                      <w:szCs w:val="21"/>
                    </w:rPr>
                  </w:pPr>
                </w:p>
              </w:tc>
              <w:tc>
                <w:tcPr>
                  <w:tcW w:w="392" w:type="pct"/>
                  <w:vMerge w:val="continue"/>
                  <w:noWrap w:val="0"/>
                  <w:vAlign w:val="center"/>
                </w:tcPr>
                <w:p w14:paraId="7668B54A">
                  <w:pPr>
                    <w:spacing w:line="240" w:lineRule="auto"/>
                    <w:ind w:firstLine="0" w:firstLineChars="0"/>
                    <w:jc w:val="center"/>
                    <w:rPr>
                      <w:b/>
                      <w:bCs/>
                      <w:color w:val="auto"/>
                      <w:sz w:val="21"/>
                      <w:szCs w:val="21"/>
                    </w:rPr>
                  </w:pPr>
                </w:p>
              </w:tc>
              <w:tc>
                <w:tcPr>
                  <w:tcW w:w="960" w:type="pct"/>
                  <w:noWrap w:val="0"/>
                  <w:vAlign w:val="center"/>
                </w:tcPr>
                <w:p w14:paraId="1A28C114">
                  <w:pPr>
                    <w:spacing w:line="240" w:lineRule="auto"/>
                    <w:ind w:firstLine="0" w:firstLineChars="0"/>
                    <w:jc w:val="center"/>
                    <w:rPr>
                      <w:b/>
                      <w:bCs/>
                      <w:color w:val="auto"/>
                      <w:sz w:val="21"/>
                      <w:szCs w:val="21"/>
                    </w:rPr>
                  </w:pPr>
                  <w:r>
                    <w:rPr>
                      <w:b/>
                      <w:bCs/>
                      <w:color w:val="auto"/>
                      <w:sz w:val="21"/>
                      <w:szCs w:val="21"/>
                    </w:rPr>
                    <w:t>排放量t/a</w:t>
                  </w:r>
                </w:p>
              </w:tc>
              <w:tc>
                <w:tcPr>
                  <w:tcW w:w="1288" w:type="pct"/>
                  <w:vMerge w:val="continue"/>
                  <w:noWrap w:val="0"/>
                  <w:vAlign w:val="center"/>
                </w:tcPr>
                <w:p w14:paraId="0BB95435">
                  <w:pPr>
                    <w:spacing w:line="240" w:lineRule="auto"/>
                    <w:ind w:firstLine="0" w:firstLineChars="0"/>
                    <w:jc w:val="center"/>
                    <w:rPr>
                      <w:b/>
                      <w:bCs/>
                      <w:color w:val="auto"/>
                      <w:sz w:val="21"/>
                      <w:szCs w:val="21"/>
                    </w:rPr>
                  </w:pPr>
                </w:p>
              </w:tc>
              <w:tc>
                <w:tcPr>
                  <w:tcW w:w="423" w:type="pct"/>
                  <w:vMerge w:val="continue"/>
                  <w:noWrap w:val="0"/>
                  <w:vAlign w:val="center"/>
                </w:tcPr>
                <w:p w14:paraId="67BECA87">
                  <w:pPr>
                    <w:spacing w:line="240" w:lineRule="auto"/>
                    <w:ind w:firstLine="0" w:firstLineChars="0"/>
                    <w:jc w:val="center"/>
                    <w:rPr>
                      <w:b/>
                      <w:bCs/>
                      <w:color w:val="auto"/>
                      <w:sz w:val="21"/>
                      <w:szCs w:val="21"/>
                    </w:rPr>
                  </w:pPr>
                </w:p>
              </w:tc>
              <w:tc>
                <w:tcPr>
                  <w:tcW w:w="672" w:type="pct"/>
                  <w:noWrap w:val="0"/>
                  <w:vAlign w:val="center"/>
                </w:tcPr>
                <w:p w14:paraId="277D4CDD">
                  <w:pPr>
                    <w:spacing w:line="240" w:lineRule="auto"/>
                    <w:ind w:firstLine="0" w:firstLineChars="0"/>
                    <w:jc w:val="center"/>
                    <w:rPr>
                      <w:b/>
                      <w:bCs/>
                      <w:color w:val="auto"/>
                      <w:sz w:val="21"/>
                      <w:szCs w:val="21"/>
                    </w:rPr>
                  </w:pPr>
                  <w:r>
                    <w:rPr>
                      <w:b/>
                      <w:bCs/>
                      <w:color w:val="auto"/>
                      <w:sz w:val="21"/>
                      <w:szCs w:val="21"/>
                    </w:rPr>
                    <w:t>排放量t/a</w:t>
                  </w:r>
                </w:p>
              </w:tc>
            </w:tr>
            <w:tr w14:paraId="76B24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3" w:type="pct"/>
                  <w:noWrap w:val="0"/>
                  <w:vAlign w:val="center"/>
                </w:tcPr>
                <w:p w14:paraId="6AAA0EFE">
                  <w:pPr>
                    <w:spacing w:line="240" w:lineRule="auto"/>
                    <w:ind w:firstLine="0" w:firstLineChars="0"/>
                    <w:jc w:val="center"/>
                    <w:rPr>
                      <w:color w:val="auto"/>
                      <w:sz w:val="21"/>
                      <w:szCs w:val="21"/>
                    </w:rPr>
                  </w:pPr>
                  <w:r>
                    <w:rPr>
                      <w:rFonts w:hint="eastAsia"/>
                      <w:color w:val="auto"/>
                      <w:sz w:val="21"/>
                      <w:szCs w:val="21"/>
                    </w:rPr>
                    <w:t>1#水泥筒仓粉尘</w:t>
                  </w:r>
                </w:p>
              </w:tc>
              <w:tc>
                <w:tcPr>
                  <w:tcW w:w="392" w:type="pct"/>
                  <w:noWrap w:val="0"/>
                  <w:vAlign w:val="center"/>
                </w:tcPr>
                <w:p w14:paraId="0B17583F">
                  <w:pPr>
                    <w:spacing w:line="240" w:lineRule="auto"/>
                    <w:ind w:firstLine="0" w:firstLineChars="0"/>
                    <w:jc w:val="center"/>
                    <w:rPr>
                      <w:color w:val="auto"/>
                      <w:sz w:val="21"/>
                      <w:szCs w:val="21"/>
                    </w:rPr>
                  </w:pPr>
                  <w:r>
                    <w:rPr>
                      <w:color w:val="auto"/>
                      <w:sz w:val="21"/>
                      <w:szCs w:val="21"/>
                    </w:rPr>
                    <w:t>PM</w:t>
                  </w:r>
                  <w:r>
                    <w:rPr>
                      <w:color w:val="auto"/>
                      <w:sz w:val="21"/>
                      <w:szCs w:val="21"/>
                      <w:vertAlign w:val="subscript"/>
                    </w:rPr>
                    <w:t>10</w:t>
                  </w:r>
                </w:p>
              </w:tc>
              <w:tc>
                <w:tcPr>
                  <w:tcW w:w="960" w:type="pct"/>
                  <w:noWrap w:val="0"/>
                  <w:vAlign w:val="center"/>
                </w:tcPr>
                <w:p w14:paraId="5CDF70C4">
                  <w:pPr>
                    <w:spacing w:line="240" w:lineRule="auto"/>
                    <w:ind w:firstLine="0" w:firstLineChars="0"/>
                    <w:jc w:val="center"/>
                    <w:rPr>
                      <w:color w:val="auto"/>
                      <w:sz w:val="21"/>
                      <w:szCs w:val="21"/>
                    </w:rPr>
                  </w:pPr>
                  <w:r>
                    <w:rPr>
                      <w:rFonts w:hint="eastAsia"/>
                      <w:color w:val="auto"/>
                      <w:sz w:val="21"/>
                      <w:szCs w:val="21"/>
                    </w:rPr>
                    <w:t>0.0012</w:t>
                  </w:r>
                </w:p>
              </w:tc>
              <w:tc>
                <w:tcPr>
                  <w:tcW w:w="1288" w:type="pct"/>
                  <w:noWrap w:val="0"/>
                  <w:vAlign w:val="center"/>
                </w:tcPr>
                <w:p w14:paraId="59EDBA03">
                  <w:pPr>
                    <w:spacing w:line="240" w:lineRule="auto"/>
                    <w:ind w:firstLine="0" w:firstLineChars="0"/>
                    <w:jc w:val="center"/>
                    <w:rPr>
                      <w:rFonts w:hint="eastAsia"/>
                      <w:color w:val="auto"/>
                      <w:sz w:val="21"/>
                      <w:szCs w:val="21"/>
                    </w:rPr>
                  </w:pPr>
                  <w:r>
                    <w:rPr>
                      <w:rFonts w:hint="eastAsia"/>
                      <w:color w:val="auto"/>
                      <w:sz w:val="21"/>
                      <w:szCs w:val="21"/>
                    </w:rPr>
                    <w:t>砂石料装卸粉尘</w:t>
                  </w:r>
                </w:p>
              </w:tc>
              <w:tc>
                <w:tcPr>
                  <w:tcW w:w="423" w:type="pct"/>
                  <w:noWrap w:val="0"/>
                  <w:vAlign w:val="center"/>
                </w:tcPr>
                <w:p w14:paraId="63C70B4E">
                  <w:pPr>
                    <w:spacing w:line="240" w:lineRule="auto"/>
                    <w:ind w:firstLine="0" w:firstLineChars="0"/>
                    <w:jc w:val="center"/>
                    <w:rPr>
                      <w:rFonts w:hint="eastAsia"/>
                      <w:color w:val="auto"/>
                      <w:sz w:val="21"/>
                      <w:szCs w:val="21"/>
                    </w:rPr>
                  </w:pPr>
                  <w:r>
                    <w:rPr>
                      <w:color w:val="auto"/>
                      <w:sz w:val="21"/>
                      <w:szCs w:val="21"/>
                    </w:rPr>
                    <w:t>TSP</w:t>
                  </w:r>
                </w:p>
              </w:tc>
              <w:tc>
                <w:tcPr>
                  <w:tcW w:w="672" w:type="pct"/>
                  <w:noWrap w:val="0"/>
                  <w:vAlign w:val="center"/>
                </w:tcPr>
                <w:p w14:paraId="3ABCC0FA">
                  <w:pPr>
                    <w:spacing w:line="240" w:lineRule="auto"/>
                    <w:ind w:firstLine="0" w:firstLineChars="0"/>
                    <w:jc w:val="center"/>
                    <w:rPr>
                      <w:rFonts w:hint="eastAsia"/>
                      <w:color w:val="auto"/>
                      <w:sz w:val="21"/>
                      <w:szCs w:val="21"/>
                    </w:rPr>
                  </w:pPr>
                  <w:r>
                    <w:rPr>
                      <w:rFonts w:hint="eastAsia"/>
                      <w:color w:val="auto"/>
                      <w:sz w:val="21"/>
                      <w:szCs w:val="21"/>
                    </w:rPr>
                    <w:t>0.0084</w:t>
                  </w:r>
                </w:p>
              </w:tc>
            </w:tr>
            <w:tr w14:paraId="64375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3" w:type="pct"/>
                  <w:noWrap w:val="0"/>
                  <w:vAlign w:val="center"/>
                </w:tcPr>
                <w:p w14:paraId="1D7BFC6C">
                  <w:pPr>
                    <w:spacing w:line="240" w:lineRule="auto"/>
                    <w:ind w:firstLine="0" w:firstLineChars="0"/>
                    <w:jc w:val="center"/>
                    <w:rPr>
                      <w:rFonts w:hint="eastAsia"/>
                      <w:color w:val="auto"/>
                      <w:sz w:val="21"/>
                      <w:szCs w:val="21"/>
                    </w:rPr>
                  </w:pPr>
                  <w:r>
                    <w:rPr>
                      <w:rFonts w:hint="eastAsia"/>
                      <w:color w:val="auto"/>
                      <w:sz w:val="21"/>
                      <w:szCs w:val="21"/>
                    </w:rPr>
                    <w:t>2#水泥筒仓粉尘</w:t>
                  </w:r>
                </w:p>
              </w:tc>
              <w:tc>
                <w:tcPr>
                  <w:tcW w:w="392" w:type="pct"/>
                  <w:noWrap w:val="0"/>
                  <w:vAlign w:val="center"/>
                </w:tcPr>
                <w:p w14:paraId="1084F439">
                  <w:pPr>
                    <w:spacing w:line="240" w:lineRule="auto"/>
                    <w:ind w:firstLine="0" w:firstLineChars="0"/>
                    <w:jc w:val="center"/>
                    <w:rPr>
                      <w:color w:val="auto"/>
                      <w:sz w:val="21"/>
                      <w:szCs w:val="21"/>
                    </w:rPr>
                  </w:pPr>
                  <w:r>
                    <w:rPr>
                      <w:color w:val="auto"/>
                      <w:sz w:val="21"/>
                      <w:szCs w:val="21"/>
                    </w:rPr>
                    <w:t>PM</w:t>
                  </w:r>
                  <w:r>
                    <w:rPr>
                      <w:color w:val="auto"/>
                      <w:sz w:val="21"/>
                      <w:szCs w:val="21"/>
                      <w:vertAlign w:val="subscript"/>
                    </w:rPr>
                    <w:t>10</w:t>
                  </w:r>
                </w:p>
              </w:tc>
              <w:tc>
                <w:tcPr>
                  <w:tcW w:w="960" w:type="pct"/>
                  <w:noWrap w:val="0"/>
                  <w:vAlign w:val="center"/>
                </w:tcPr>
                <w:p w14:paraId="18C49F72">
                  <w:pPr>
                    <w:spacing w:line="240" w:lineRule="auto"/>
                    <w:ind w:firstLine="0" w:firstLineChars="0"/>
                    <w:jc w:val="center"/>
                    <w:rPr>
                      <w:rFonts w:hint="eastAsia"/>
                      <w:color w:val="auto"/>
                      <w:sz w:val="21"/>
                      <w:szCs w:val="21"/>
                    </w:rPr>
                  </w:pPr>
                  <w:r>
                    <w:rPr>
                      <w:rFonts w:hint="eastAsia"/>
                      <w:color w:val="auto"/>
                      <w:sz w:val="21"/>
                      <w:szCs w:val="21"/>
                    </w:rPr>
                    <w:t>0.0012</w:t>
                  </w:r>
                </w:p>
              </w:tc>
              <w:tc>
                <w:tcPr>
                  <w:tcW w:w="1288" w:type="pct"/>
                  <w:noWrap w:val="0"/>
                  <w:vAlign w:val="center"/>
                </w:tcPr>
                <w:p w14:paraId="4C677EEC">
                  <w:pPr>
                    <w:spacing w:line="240" w:lineRule="auto"/>
                    <w:ind w:firstLine="0" w:firstLineChars="0"/>
                    <w:jc w:val="center"/>
                    <w:rPr>
                      <w:rFonts w:hint="eastAsia"/>
                      <w:color w:val="auto"/>
                      <w:sz w:val="21"/>
                      <w:szCs w:val="21"/>
                    </w:rPr>
                  </w:pPr>
                  <w:r>
                    <w:rPr>
                      <w:color w:val="auto"/>
                      <w:sz w:val="21"/>
                      <w:szCs w:val="21"/>
                    </w:rPr>
                    <w:t>运输</w:t>
                  </w:r>
                  <w:r>
                    <w:rPr>
                      <w:rFonts w:hint="eastAsia"/>
                      <w:color w:val="auto"/>
                      <w:sz w:val="21"/>
                      <w:szCs w:val="21"/>
                    </w:rPr>
                    <w:t>粉尘</w:t>
                  </w:r>
                </w:p>
              </w:tc>
              <w:tc>
                <w:tcPr>
                  <w:tcW w:w="423" w:type="pct"/>
                  <w:noWrap w:val="0"/>
                  <w:vAlign w:val="center"/>
                </w:tcPr>
                <w:p w14:paraId="5CAD7E35">
                  <w:pPr>
                    <w:spacing w:line="240" w:lineRule="auto"/>
                    <w:ind w:firstLine="0" w:firstLineChars="0"/>
                    <w:jc w:val="center"/>
                    <w:rPr>
                      <w:rFonts w:hint="eastAsia"/>
                      <w:color w:val="auto"/>
                      <w:sz w:val="21"/>
                      <w:szCs w:val="21"/>
                    </w:rPr>
                  </w:pPr>
                  <w:r>
                    <w:rPr>
                      <w:color w:val="auto"/>
                      <w:sz w:val="21"/>
                      <w:szCs w:val="21"/>
                    </w:rPr>
                    <w:t>TSP</w:t>
                  </w:r>
                </w:p>
              </w:tc>
              <w:tc>
                <w:tcPr>
                  <w:tcW w:w="672" w:type="pct"/>
                  <w:noWrap w:val="0"/>
                  <w:vAlign w:val="center"/>
                </w:tcPr>
                <w:p w14:paraId="038D0C1B">
                  <w:pPr>
                    <w:spacing w:line="240" w:lineRule="auto"/>
                    <w:ind w:firstLine="0" w:firstLineChars="0"/>
                    <w:jc w:val="center"/>
                    <w:rPr>
                      <w:rFonts w:hint="eastAsia"/>
                      <w:color w:val="auto"/>
                      <w:sz w:val="21"/>
                      <w:szCs w:val="21"/>
                    </w:rPr>
                  </w:pPr>
                  <w:r>
                    <w:rPr>
                      <w:rFonts w:hint="eastAsia"/>
                      <w:color w:val="auto"/>
                      <w:sz w:val="21"/>
                      <w:szCs w:val="21"/>
                    </w:rPr>
                    <w:t>0.19</w:t>
                  </w:r>
                </w:p>
              </w:tc>
            </w:tr>
            <w:tr w14:paraId="2A68F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3" w:type="pct"/>
                  <w:noWrap w:val="0"/>
                  <w:vAlign w:val="center"/>
                </w:tcPr>
                <w:p w14:paraId="2D400B7A">
                  <w:pPr>
                    <w:spacing w:line="240" w:lineRule="auto"/>
                    <w:ind w:firstLine="0" w:firstLineChars="0"/>
                    <w:jc w:val="center"/>
                    <w:rPr>
                      <w:rFonts w:hint="eastAsia"/>
                      <w:color w:val="auto"/>
                      <w:sz w:val="21"/>
                      <w:szCs w:val="21"/>
                    </w:rPr>
                  </w:pPr>
                  <w:r>
                    <w:rPr>
                      <w:rFonts w:hint="eastAsia"/>
                      <w:color w:val="auto"/>
                      <w:sz w:val="21"/>
                      <w:szCs w:val="21"/>
                    </w:rPr>
                    <w:t>3#水泥筒仓粉尘</w:t>
                  </w:r>
                </w:p>
              </w:tc>
              <w:tc>
                <w:tcPr>
                  <w:tcW w:w="392" w:type="pct"/>
                  <w:noWrap w:val="0"/>
                  <w:vAlign w:val="center"/>
                </w:tcPr>
                <w:p w14:paraId="26810C10">
                  <w:pPr>
                    <w:spacing w:line="240" w:lineRule="auto"/>
                    <w:ind w:firstLine="0" w:firstLineChars="0"/>
                    <w:jc w:val="center"/>
                    <w:rPr>
                      <w:color w:val="auto"/>
                      <w:sz w:val="21"/>
                      <w:szCs w:val="21"/>
                    </w:rPr>
                  </w:pPr>
                  <w:r>
                    <w:rPr>
                      <w:color w:val="auto"/>
                      <w:sz w:val="21"/>
                      <w:szCs w:val="21"/>
                    </w:rPr>
                    <w:t>PM</w:t>
                  </w:r>
                  <w:r>
                    <w:rPr>
                      <w:color w:val="auto"/>
                      <w:sz w:val="21"/>
                      <w:szCs w:val="21"/>
                      <w:vertAlign w:val="subscript"/>
                    </w:rPr>
                    <w:t>10</w:t>
                  </w:r>
                </w:p>
              </w:tc>
              <w:tc>
                <w:tcPr>
                  <w:tcW w:w="960" w:type="pct"/>
                  <w:noWrap w:val="0"/>
                  <w:vAlign w:val="center"/>
                </w:tcPr>
                <w:p w14:paraId="3D2907C7">
                  <w:pPr>
                    <w:spacing w:line="240" w:lineRule="auto"/>
                    <w:ind w:firstLine="0" w:firstLineChars="0"/>
                    <w:jc w:val="center"/>
                    <w:rPr>
                      <w:rFonts w:hint="eastAsia"/>
                      <w:color w:val="auto"/>
                      <w:sz w:val="21"/>
                      <w:szCs w:val="21"/>
                    </w:rPr>
                  </w:pPr>
                  <w:r>
                    <w:rPr>
                      <w:rFonts w:hint="eastAsia"/>
                      <w:color w:val="auto"/>
                      <w:sz w:val="21"/>
                      <w:szCs w:val="21"/>
                    </w:rPr>
                    <w:t>0.0012</w:t>
                  </w:r>
                </w:p>
              </w:tc>
              <w:tc>
                <w:tcPr>
                  <w:tcW w:w="1288" w:type="pct"/>
                  <w:noWrap w:val="0"/>
                  <w:vAlign w:val="center"/>
                </w:tcPr>
                <w:p w14:paraId="274411B6">
                  <w:pPr>
                    <w:spacing w:line="240" w:lineRule="auto"/>
                    <w:ind w:firstLine="0" w:firstLineChars="0"/>
                    <w:jc w:val="center"/>
                    <w:rPr>
                      <w:rFonts w:hint="eastAsia"/>
                      <w:color w:val="auto"/>
                      <w:sz w:val="21"/>
                      <w:szCs w:val="21"/>
                    </w:rPr>
                  </w:pPr>
                  <w:r>
                    <w:rPr>
                      <w:rFonts w:hint="eastAsia"/>
                      <w:color w:val="auto"/>
                      <w:sz w:val="21"/>
                      <w:szCs w:val="21"/>
                    </w:rPr>
                    <w:t>砂石料堆场扬尘</w:t>
                  </w:r>
                </w:p>
              </w:tc>
              <w:tc>
                <w:tcPr>
                  <w:tcW w:w="423" w:type="pct"/>
                  <w:noWrap w:val="0"/>
                  <w:vAlign w:val="center"/>
                </w:tcPr>
                <w:p w14:paraId="584DA712">
                  <w:pPr>
                    <w:spacing w:line="240" w:lineRule="auto"/>
                    <w:ind w:firstLine="0" w:firstLineChars="0"/>
                    <w:jc w:val="center"/>
                    <w:rPr>
                      <w:rFonts w:hint="eastAsia"/>
                      <w:color w:val="auto"/>
                      <w:sz w:val="21"/>
                      <w:szCs w:val="21"/>
                    </w:rPr>
                  </w:pPr>
                  <w:r>
                    <w:rPr>
                      <w:color w:val="auto"/>
                      <w:sz w:val="21"/>
                      <w:szCs w:val="21"/>
                    </w:rPr>
                    <w:t>TSP</w:t>
                  </w:r>
                </w:p>
              </w:tc>
              <w:tc>
                <w:tcPr>
                  <w:tcW w:w="672" w:type="pct"/>
                  <w:noWrap w:val="0"/>
                  <w:vAlign w:val="center"/>
                </w:tcPr>
                <w:p w14:paraId="509E48B0">
                  <w:pPr>
                    <w:spacing w:line="240" w:lineRule="auto"/>
                    <w:ind w:firstLine="0" w:firstLineChars="0"/>
                    <w:jc w:val="center"/>
                    <w:rPr>
                      <w:rFonts w:hint="eastAsia"/>
                      <w:color w:val="auto"/>
                      <w:sz w:val="21"/>
                      <w:szCs w:val="21"/>
                    </w:rPr>
                  </w:pPr>
                  <w:r>
                    <w:rPr>
                      <w:rFonts w:hint="eastAsia"/>
                      <w:color w:val="auto"/>
                      <w:sz w:val="21"/>
                      <w:szCs w:val="21"/>
                    </w:rPr>
                    <w:t>0.00011</w:t>
                  </w:r>
                </w:p>
              </w:tc>
            </w:tr>
            <w:tr w14:paraId="4777A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3" w:type="pct"/>
                  <w:noWrap w:val="0"/>
                  <w:vAlign w:val="center"/>
                </w:tcPr>
                <w:p w14:paraId="4C7FAFDA">
                  <w:pPr>
                    <w:spacing w:line="240" w:lineRule="auto"/>
                    <w:ind w:firstLine="0" w:firstLineChars="0"/>
                    <w:jc w:val="center"/>
                    <w:rPr>
                      <w:rFonts w:hint="eastAsia"/>
                      <w:color w:val="auto"/>
                      <w:sz w:val="21"/>
                      <w:szCs w:val="21"/>
                    </w:rPr>
                  </w:pPr>
                  <w:r>
                    <w:rPr>
                      <w:rFonts w:hint="eastAsia"/>
                      <w:color w:val="auto"/>
                      <w:sz w:val="21"/>
                      <w:szCs w:val="21"/>
                    </w:rPr>
                    <w:t>4#水泥筒仓粉尘</w:t>
                  </w:r>
                </w:p>
              </w:tc>
              <w:tc>
                <w:tcPr>
                  <w:tcW w:w="392" w:type="pct"/>
                  <w:noWrap w:val="0"/>
                  <w:vAlign w:val="center"/>
                </w:tcPr>
                <w:p w14:paraId="0EAAE3F5">
                  <w:pPr>
                    <w:spacing w:line="240" w:lineRule="auto"/>
                    <w:ind w:firstLine="0" w:firstLineChars="0"/>
                    <w:jc w:val="center"/>
                    <w:rPr>
                      <w:color w:val="auto"/>
                      <w:sz w:val="21"/>
                      <w:szCs w:val="21"/>
                    </w:rPr>
                  </w:pPr>
                  <w:r>
                    <w:rPr>
                      <w:color w:val="auto"/>
                      <w:sz w:val="21"/>
                      <w:szCs w:val="21"/>
                    </w:rPr>
                    <w:t>PM</w:t>
                  </w:r>
                  <w:r>
                    <w:rPr>
                      <w:color w:val="auto"/>
                      <w:sz w:val="21"/>
                      <w:szCs w:val="21"/>
                      <w:vertAlign w:val="subscript"/>
                    </w:rPr>
                    <w:t>10</w:t>
                  </w:r>
                </w:p>
              </w:tc>
              <w:tc>
                <w:tcPr>
                  <w:tcW w:w="960" w:type="pct"/>
                  <w:noWrap w:val="0"/>
                  <w:vAlign w:val="center"/>
                </w:tcPr>
                <w:p w14:paraId="0AF42329">
                  <w:pPr>
                    <w:spacing w:line="240" w:lineRule="auto"/>
                    <w:ind w:firstLine="0" w:firstLineChars="0"/>
                    <w:jc w:val="center"/>
                    <w:rPr>
                      <w:rFonts w:hint="eastAsia"/>
                      <w:color w:val="auto"/>
                      <w:sz w:val="21"/>
                      <w:szCs w:val="21"/>
                    </w:rPr>
                  </w:pPr>
                  <w:r>
                    <w:rPr>
                      <w:rFonts w:hint="eastAsia"/>
                      <w:color w:val="auto"/>
                      <w:sz w:val="21"/>
                      <w:szCs w:val="21"/>
                    </w:rPr>
                    <w:t>0.0012</w:t>
                  </w:r>
                </w:p>
              </w:tc>
              <w:tc>
                <w:tcPr>
                  <w:tcW w:w="1288" w:type="pct"/>
                  <w:noWrap w:val="0"/>
                  <w:vAlign w:val="center"/>
                </w:tcPr>
                <w:p w14:paraId="6CB45491">
                  <w:pPr>
                    <w:spacing w:line="240" w:lineRule="auto"/>
                    <w:ind w:firstLine="0" w:firstLineChars="0"/>
                    <w:jc w:val="center"/>
                    <w:rPr>
                      <w:rFonts w:hint="eastAsia"/>
                      <w:color w:val="auto"/>
                      <w:sz w:val="21"/>
                      <w:szCs w:val="21"/>
                    </w:rPr>
                  </w:pPr>
                  <w:r>
                    <w:rPr>
                      <w:rFonts w:hint="eastAsia"/>
                      <w:color w:val="auto"/>
                      <w:sz w:val="21"/>
                      <w:szCs w:val="21"/>
                    </w:rPr>
                    <w:t>投料工序无组织粉尘</w:t>
                  </w:r>
                </w:p>
              </w:tc>
              <w:tc>
                <w:tcPr>
                  <w:tcW w:w="423" w:type="pct"/>
                  <w:noWrap w:val="0"/>
                  <w:vAlign w:val="center"/>
                </w:tcPr>
                <w:p w14:paraId="0CD2FF07">
                  <w:pPr>
                    <w:spacing w:line="240" w:lineRule="auto"/>
                    <w:ind w:firstLine="0" w:firstLineChars="0"/>
                    <w:jc w:val="center"/>
                    <w:rPr>
                      <w:rFonts w:hint="eastAsia"/>
                      <w:color w:val="auto"/>
                      <w:sz w:val="21"/>
                      <w:szCs w:val="21"/>
                    </w:rPr>
                  </w:pPr>
                  <w:r>
                    <w:rPr>
                      <w:color w:val="auto"/>
                      <w:sz w:val="21"/>
                      <w:szCs w:val="21"/>
                    </w:rPr>
                    <w:t>TSP</w:t>
                  </w:r>
                </w:p>
              </w:tc>
              <w:tc>
                <w:tcPr>
                  <w:tcW w:w="672" w:type="pct"/>
                  <w:noWrap w:val="0"/>
                  <w:vAlign w:val="center"/>
                </w:tcPr>
                <w:p w14:paraId="20352407">
                  <w:pPr>
                    <w:spacing w:line="240" w:lineRule="auto"/>
                    <w:ind w:firstLine="0" w:firstLineChars="0"/>
                    <w:jc w:val="center"/>
                    <w:rPr>
                      <w:rFonts w:hint="eastAsia"/>
                      <w:color w:val="auto"/>
                      <w:sz w:val="21"/>
                      <w:szCs w:val="21"/>
                    </w:rPr>
                  </w:pPr>
                  <w:r>
                    <w:rPr>
                      <w:rFonts w:hint="eastAsia"/>
                      <w:color w:val="auto"/>
                      <w:sz w:val="21"/>
                      <w:szCs w:val="21"/>
                    </w:rPr>
                    <w:t>0.038</w:t>
                  </w:r>
                </w:p>
              </w:tc>
            </w:tr>
            <w:tr w14:paraId="4CB58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3" w:type="pct"/>
                  <w:noWrap w:val="0"/>
                  <w:vAlign w:val="center"/>
                </w:tcPr>
                <w:p w14:paraId="2EC9586D">
                  <w:pPr>
                    <w:spacing w:line="240" w:lineRule="auto"/>
                    <w:ind w:firstLine="0" w:firstLineChars="0"/>
                    <w:jc w:val="center"/>
                    <w:rPr>
                      <w:rFonts w:hint="eastAsia"/>
                      <w:color w:val="auto"/>
                      <w:sz w:val="21"/>
                      <w:szCs w:val="21"/>
                    </w:rPr>
                  </w:pPr>
                  <w:r>
                    <w:rPr>
                      <w:rFonts w:hint="eastAsia"/>
                      <w:color w:val="auto"/>
                      <w:sz w:val="21"/>
                      <w:szCs w:val="21"/>
                    </w:rPr>
                    <w:t>1#掺和料筒仓粉尘</w:t>
                  </w:r>
                </w:p>
              </w:tc>
              <w:tc>
                <w:tcPr>
                  <w:tcW w:w="392" w:type="pct"/>
                  <w:noWrap w:val="0"/>
                  <w:vAlign w:val="center"/>
                </w:tcPr>
                <w:p w14:paraId="0E3AFA1A">
                  <w:pPr>
                    <w:spacing w:line="240" w:lineRule="auto"/>
                    <w:ind w:firstLine="0" w:firstLineChars="0"/>
                    <w:jc w:val="center"/>
                    <w:rPr>
                      <w:color w:val="auto"/>
                      <w:sz w:val="21"/>
                      <w:szCs w:val="21"/>
                    </w:rPr>
                  </w:pPr>
                  <w:r>
                    <w:rPr>
                      <w:color w:val="auto"/>
                      <w:sz w:val="21"/>
                      <w:szCs w:val="21"/>
                    </w:rPr>
                    <w:t>PM</w:t>
                  </w:r>
                  <w:r>
                    <w:rPr>
                      <w:color w:val="auto"/>
                      <w:sz w:val="21"/>
                      <w:szCs w:val="21"/>
                      <w:vertAlign w:val="subscript"/>
                    </w:rPr>
                    <w:t>10</w:t>
                  </w:r>
                </w:p>
              </w:tc>
              <w:tc>
                <w:tcPr>
                  <w:tcW w:w="960" w:type="pct"/>
                  <w:noWrap w:val="0"/>
                  <w:vAlign w:val="center"/>
                </w:tcPr>
                <w:p w14:paraId="162B5227">
                  <w:pPr>
                    <w:spacing w:line="240" w:lineRule="auto"/>
                    <w:ind w:firstLine="0" w:firstLineChars="0"/>
                    <w:jc w:val="center"/>
                    <w:rPr>
                      <w:rFonts w:hint="eastAsia"/>
                      <w:color w:val="auto"/>
                      <w:sz w:val="21"/>
                      <w:szCs w:val="21"/>
                    </w:rPr>
                  </w:pPr>
                  <w:r>
                    <w:rPr>
                      <w:rFonts w:hint="eastAsia"/>
                      <w:color w:val="auto"/>
                      <w:sz w:val="21"/>
                      <w:szCs w:val="21"/>
                    </w:rPr>
                    <w:t>0.00029</w:t>
                  </w:r>
                </w:p>
              </w:tc>
              <w:tc>
                <w:tcPr>
                  <w:tcW w:w="1288" w:type="pct"/>
                  <w:noWrap w:val="0"/>
                  <w:vAlign w:val="center"/>
                </w:tcPr>
                <w:p w14:paraId="0D996E14">
                  <w:pPr>
                    <w:spacing w:line="240" w:lineRule="auto"/>
                    <w:ind w:firstLine="0" w:firstLineChars="0"/>
                    <w:jc w:val="center"/>
                    <w:rPr>
                      <w:rFonts w:hint="eastAsia"/>
                      <w:color w:val="auto"/>
                      <w:sz w:val="21"/>
                      <w:szCs w:val="21"/>
                    </w:rPr>
                  </w:pPr>
                  <w:r>
                    <w:rPr>
                      <w:rFonts w:hint="eastAsia"/>
                      <w:color w:val="auto"/>
                      <w:sz w:val="21"/>
                      <w:szCs w:val="21"/>
                    </w:rPr>
                    <w:t>钢筋焊接烟尘</w:t>
                  </w:r>
                </w:p>
              </w:tc>
              <w:tc>
                <w:tcPr>
                  <w:tcW w:w="423" w:type="pct"/>
                  <w:noWrap w:val="0"/>
                  <w:vAlign w:val="center"/>
                </w:tcPr>
                <w:p w14:paraId="1FC7A85F">
                  <w:pPr>
                    <w:spacing w:line="240" w:lineRule="auto"/>
                    <w:ind w:firstLine="0" w:firstLineChars="0"/>
                    <w:jc w:val="center"/>
                    <w:rPr>
                      <w:rFonts w:hint="eastAsia"/>
                      <w:color w:val="auto"/>
                      <w:sz w:val="21"/>
                      <w:szCs w:val="21"/>
                    </w:rPr>
                  </w:pPr>
                  <w:r>
                    <w:rPr>
                      <w:rFonts w:hint="eastAsia"/>
                      <w:color w:val="auto"/>
                      <w:sz w:val="21"/>
                      <w:szCs w:val="21"/>
                    </w:rPr>
                    <w:t>烟尘</w:t>
                  </w:r>
                </w:p>
              </w:tc>
              <w:tc>
                <w:tcPr>
                  <w:tcW w:w="672" w:type="pct"/>
                  <w:noWrap w:val="0"/>
                  <w:vAlign w:val="center"/>
                </w:tcPr>
                <w:p w14:paraId="3AE9854B">
                  <w:pPr>
                    <w:spacing w:line="240" w:lineRule="auto"/>
                    <w:ind w:firstLine="0" w:firstLineChars="0"/>
                    <w:jc w:val="center"/>
                    <w:rPr>
                      <w:rFonts w:hint="eastAsia"/>
                      <w:color w:val="auto"/>
                      <w:sz w:val="21"/>
                      <w:szCs w:val="21"/>
                    </w:rPr>
                  </w:pPr>
                  <w:r>
                    <w:rPr>
                      <w:rFonts w:hint="eastAsia"/>
                      <w:color w:val="auto"/>
                      <w:sz w:val="21"/>
                      <w:szCs w:val="21"/>
                    </w:rPr>
                    <w:t>0.08</w:t>
                  </w:r>
                </w:p>
              </w:tc>
            </w:tr>
            <w:tr w14:paraId="25386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3" w:type="pct"/>
                  <w:noWrap w:val="0"/>
                  <w:vAlign w:val="center"/>
                </w:tcPr>
                <w:p w14:paraId="67DC6B20">
                  <w:pPr>
                    <w:spacing w:line="240" w:lineRule="auto"/>
                    <w:ind w:firstLine="0" w:firstLineChars="0"/>
                    <w:jc w:val="center"/>
                    <w:rPr>
                      <w:rFonts w:hint="eastAsia"/>
                      <w:color w:val="auto"/>
                      <w:sz w:val="21"/>
                      <w:szCs w:val="21"/>
                    </w:rPr>
                  </w:pPr>
                  <w:r>
                    <w:rPr>
                      <w:rFonts w:hint="eastAsia"/>
                      <w:color w:val="auto"/>
                      <w:sz w:val="21"/>
                      <w:szCs w:val="21"/>
                    </w:rPr>
                    <w:t>2#掺和料筒仓粉尘</w:t>
                  </w:r>
                </w:p>
              </w:tc>
              <w:tc>
                <w:tcPr>
                  <w:tcW w:w="392" w:type="pct"/>
                  <w:noWrap w:val="0"/>
                  <w:vAlign w:val="center"/>
                </w:tcPr>
                <w:p w14:paraId="06B78198">
                  <w:pPr>
                    <w:spacing w:line="240" w:lineRule="auto"/>
                    <w:ind w:firstLine="0" w:firstLineChars="0"/>
                    <w:jc w:val="center"/>
                    <w:rPr>
                      <w:color w:val="auto"/>
                      <w:sz w:val="21"/>
                      <w:szCs w:val="21"/>
                    </w:rPr>
                  </w:pPr>
                  <w:r>
                    <w:rPr>
                      <w:color w:val="auto"/>
                      <w:sz w:val="21"/>
                      <w:szCs w:val="21"/>
                    </w:rPr>
                    <w:t>PM</w:t>
                  </w:r>
                  <w:r>
                    <w:rPr>
                      <w:color w:val="auto"/>
                      <w:sz w:val="21"/>
                      <w:szCs w:val="21"/>
                      <w:vertAlign w:val="subscript"/>
                    </w:rPr>
                    <w:t>10</w:t>
                  </w:r>
                </w:p>
              </w:tc>
              <w:tc>
                <w:tcPr>
                  <w:tcW w:w="960" w:type="pct"/>
                  <w:noWrap w:val="0"/>
                  <w:vAlign w:val="center"/>
                </w:tcPr>
                <w:p w14:paraId="53C4A7FF">
                  <w:pPr>
                    <w:spacing w:line="240" w:lineRule="auto"/>
                    <w:ind w:firstLine="0" w:firstLineChars="0"/>
                    <w:jc w:val="center"/>
                    <w:rPr>
                      <w:rFonts w:hint="eastAsia"/>
                      <w:color w:val="auto"/>
                      <w:sz w:val="21"/>
                      <w:szCs w:val="21"/>
                    </w:rPr>
                  </w:pPr>
                  <w:r>
                    <w:rPr>
                      <w:rFonts w:hint="eastAsia"/>
                      <w:color w:val="auto"/>
                      <w:sz w:val="21"/>
                      <w:szCs w:val="21"/>
                    </w:rPr>
                    <w:t>0.00029</w:t>
                  </w:r>
                </w:p>
              </w:tc>
              <w:tc>
                <w:tcPr>
                  <w:tcW w:w="1288" w:type="pct"/>
                  <w:noWrap w:val="0"/>
                  <w:vAlign w:val="center"/>
                </w:tcPr>
                <w:p w14:paraId="4238B3D4">
                  <w:pPr>
                    <w:spacing w:line="240" w:lineRule="auto"/>
                    <w:ind w:firstLine="0" w:firstLineChars="0"/>
                    <w:jc w:val="center"/>
                    <w:rPr>
                      <w:rFonts w:hint="eastAsia"/>
                      <w:color w:val="auto"/>
                      <w:sz w:val="21"/>
                      <w:szCs w:val="21"/>
                    </w:rPr>
                  </w:pPr>
                  <w:r>
                    <w:rPr>
                      <w:rFonts w:hint="eastAsia"/>
                      <w:color w:val="auto"/>
                      <w:sz w:val="21"/>
                      <w:szCs w:val="21"/>
                    </w:rPr>
                    <w:t>切割粉尘</w:t>
                  </w:r>
                </w:p>
              </w:tc>
              <w:tc>
                <w:tcPr>
                  <w:tcW w:w="423" w:type="pct"/>
                  <w:noWrap w:val="0"/>
                  <w:vAlign w:val="center"/>
                </w:tcPr>
                <w:p w14:paraId="57AE6A09">
                  <w:pPr>
                    <w:spacing w:line="240" w:lineRule="auto"/>
                    <w:ind w:firstLine="0" w:firstLineChars="0"/>
                    <w:jc w:val="center"/>
                    <w:rPr>
                      <w:rFonts w:hint="eastAsia"/>
                      <w:color w:val="auto"/>
                      <w:sz w:val="21"/>
                      <w:szCs w:val="21"/>
                    </w:rPr>
                  </w:pPr>
                  <w:r>
                    <w:rPr>
                      <w:rFonts w:hint="eastAsia"/>
                      <w:color w:val="auto"/>
                      <w:sz w:val="21"/>
                      <w:szCs w:val="21"/>
                    </w:rPr>
                    <w:t>烟尘</w:t>
                  </w:r>
                </w:p>
              </w:tc>
              <w:tc>
                <w:tcPr>
                  <w:tcW w:w="672" w:type="pct"/>
                  <w:noWrap w:val="0"/>
                  <w:vAlign w:val="center"/>
                </w:tcPr>
                <w:p w14:paraId="4B02C573">
                  <w:pPr>
                    <w:spacing w:line="240" w:lineRule="auto"/>
                    <w:ind w:firstLine="0" w:firstLineChars="0"/>
                    <w:jc w:val="center"/>
                    <w:rPr>
                      <w:rFonts w:hint="eastAsia"/>
                      <w:color w:val="auto"/>
                      <w:sz w:val="21"/>
                      <w:szCs w:val="21"/>
                    </w:rPr>
                  </w:pPr>
                  <w:r>
                    <w:rPr>
                      <w:rFonts w:hint="eastAsia"/>
                      <w:color w:val="auto"/>
                      <w:sz w:val="21"/>
                      <w:szCs w:val="21"/>
                    </w:rPr>
                    <w:t>少量</w:t>
                  </w:r>
                </w:p>
              </w:tc>
            </w:tr>
            <w:tr w14:paraId="59BF4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1263" w:type="pct"/>
                  <w:vMerge w:val="restart"/>
                  <w:noWrap w:val="0"/>
                  <w:vAlign w:val="center"/>
                </w:tcPr>
                <w:p w14:paraId="62D9EEBE">
                  <w:pPr>
                    <w:spacing w:line="240" w:lineRule="auto"/>
                    <w:ind w:firstLine="0" w:firstLineChars="0"/>
                    <w:jc w:val="center"/>
                    <w:rPr>
                      <w:rFonts w:hint="eastAsia" w:eastAsia="宋体"/>
                      <w:color w:val="auto"/>
                      <w:sz w:val="21"/>
                      <w:szCs w:val="21"/>
                      <w:lang w:eastAsia="zh-CN"/>
                    </w:rPr>
                  </w:pPr>
                  <w:r>
                    <w:rPr>
                      <w:rFonts w:hint="eastAsia"/>
                      <w:color w:val="auto"/>
                      <w:sz w:val="21"/>
                      <w:szCs w:val="21"/>
                    </w:rPr>
                    <w:t>锅炉废气</w:t>
                  </w:r>
                  <w:r>
                    <w:rPr>
                      <w:rFonts w:hint="eastAsia"/>
                      <w:color w:val="auto"/>
                      <w:sz w:val="21"/>
                      <w:szCs w:val="21"/>
                      <w:lang w:eastAsia="zh-CN"/>
                    </w:rPr>
                    <w:t>（</w:t>
                  </w:r>
                  <w:r>
                    <w:rPr>
                      <w:rFonts w:hint="eastAsia"/>
                      <w:color w:val="auto"/>
                      <w:sz w:val="21"/>
                      <w:szCs w:val="21"/>
                      <w:lang w:val="en-US" w:eastAsia="zh-CN"/>
                    </w:rPr>
                    <w:t>DA001</w:t>
                  </w:r>
                  <w:r>
                    <w:rPr>
                      <w:rFonts w:hint="eastAsia"/>
                      <w:color w:val="auto"/>
                      <w:sz w:val="21"/>
                      <w:szCs w:val="21"/>
                      <w:lang w:eastAsia="zh-CN"/>
                    </w:rPr>
                    <w:t>）</w:t>
                  </w:r>
                </w:p>
              </w:tc>
              <w:tc>
                <w:tcPr>
                  <w:tcW w:w="392" w:type="pct"/>
                  <w:noWrap w:val="0"/>
                  <w:vAlign w:val="center"/>
                </w:tcPr>
                <w:p w14:paraId="261E702D">
                  <w:pPr>
                    <w:spacing w:line="240" w:lineRule="auto"/>
                    <w:ind w:firstLine="0" w:firstLineChars="0"/>
                    <w:jc w:val="center"/>
                    <w:rPr>
                      <w:color w:val="auto"/>
                      <w:sz w:val="21"/>
                      <w:szCs w:val="21"/>
                    </w:rPr>
                  </w:pPr>
                  <w:r>
                    <w:rPr>
                      <w:rFonts w:hint="eastAsia"/>
                      <w:color w:val="auto"/>
                      <w:sz w:val="21"/>
                      <w:szCs w:val="21"/>
                    </w:rPr>
                    <w:t>S</w:t>
                  </w:r>
                  <w:r>
                    <w:rPr>
                      <w:color w:val="auto"/>
                      <w:sz w:val="21"/>
                      <w:szCs w:val="21"/>
                    </w:rPr>
                    <w:t>O</w:t>
                  </w:r>
                  <w:r>
                    <w:rPr>
                      <w:color w:val="auto"/>
                      <w:sz w:val="21"/>
                      <w:szCs w:val="21"/>
                      <w:vertAlign w:val="subscript"/>
                    </w:rPr>
                    <w:t>2</w:t>
                  </w:r>
                </w:p>
              </w:tc>
              <w:tc>
                <w:tcPr>
                  <w:tcW w:w="960" w:type="pct"/>
                  <w:noWrap w:val="0"/>
                  <w:vAlign w:val="center"/>
                </w:tcPr>
                <w:p w14:paraId="73A4946C">
                  <w:pPr>
                    <w:spacing w:line="240" w:lineRule="auto"/>
                    <w:ind w:firstLine="0" w:firstLineChars="0"/>
                    <w:jc w:val="center"/>
                    <w:rPr>
                      <w:rFonts w:hint="eastAsia"/>
                      <w:color w:val="auto"/>
                      <w:sz w:val="21"/>
                      <w:szCs w:val="21"/>
                    </w:rPr>
                  </w:pPr>
                  <w:r>
                    <w:rPr>
                      <w:rFonts w:hint="eastAsia"/>
                      <w:color w:val="auto"/>
                      <w:sz w:val="21"/>
                      <w:szCs w:val="21"/>
                    </w:rPr>
                    <w:t>0.34</w:t>
                  </w:r>
                </w:p>
              </w:tc>
              <w:tc>
                <w:tcPr>
                  <w:tcW w:w="1711" w:type="pct"/>
                  <w:gridSpan w:val="2"/>
                  <w:vMerge w:val="restart"/>
                  <w:noWrap w:val="0"/>
                  <w:vAlign w:val="center"/>
                </w:tcPr>
                <w:p w14:paraId="16BD6CD8">
                  <w:pPr>
                    <w:spacing w:line="240" w:lineRule="auto"/>
                    <w:ind w:firstLine="0" w:firstLineChars="0"/>
                    <w:jc w:val="center"/>
                    <w:rPr>
                      <w:rFonts w:hint="eastAsia"/>
                      <w:color w:val="auto"/>
                      <w:sz w:val="21"/>
                      <w:szCs w:val="21"/>
                    </w:rPr>
                  </w:pPr>
                  <w:r>
                    <w:rPr>
                      <w:color w:val="auto"/>
                      <w:sz w:val="21"/>
                      <w:szCs w:val="21"/>
                    </w:rPr>
                    <w:t>燃油废气</w:t>
                  </w:r>
                </w:p>
              </w:tc>
              <w:tc>
                <w:tcPr>
                  <w:tcW w:w="672" w:type="pct"/>
                  <w:vMerge w:val="restart"/>
                  <w:noWrap w:val="0"/>
                  <w:vAlign w:val="center"/>
                </w:tcPr>
                <w:p w14:paraId="6E4A50F6">
                  <w:pPr>
                    <w:spacing w:line="240" w:lineRule="auto"/>
                    <w:ind w:firstLine="0" w:firstLineChars="0"/>
                    <w:jc w:val="center"/>
                    <w:rPr>
                      <w:rFonts w:hint="eastAsia"/>
                      <w:color w:val="auto"/>
                      <w:sz w:val="21"/>
                      <w:szCs w:val="21"/>
                    </w:rPr>
                  </w:pPr>
                  <w:r>
                    <w:rPr>
                      <w:rFonts w:hint="eastAsia"/>
                      <w:color w:val="auto"/>
                      <w:sz w:val="21"/>
                      <w:szCs w:val="21"/>
                    </w:rPr>
                    <w:t>少量</w:t>
                  </w:r>
                </w:p>
              </w:tc>
            </w:tr>
            <w:tr w14:paraId="2A6AF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1263" w:type="pct"/>
                  <w:vMerge w:val="continue"/>
                  <w:noWrap w:val="0"/>
                  <w:vAlign w:val="center"/>
                </w:tcPr>
                <w:p w14:paraId="64A77EA2">
                  <w:pPr>
                    <w:spacing w:line="240" w:lineRule="auto"/>
                    <w:ind w:firstLine="0" w:firstLineChars="0"/>
                    <w:jc w:val="center"/>
                    <w:rPr>
                      <w:rFonts w:hint="eastAsia"/>
                      <w:color w:val="auto"/>
                      <w:sz w:val="21"/>
                      <w:szCs w:val="21"/>
                    </w:rPr>
                  </w:pPr>
                </w:p>
              </w:tc>
              <w:tc>
                <w:tcPr>
                  <w:tcW w:w="392" w:type="pct"/>
                  <w:noWrap w:val="0"/>
                  <w:vAlign w:val="center"/>
                </w:tcPr>
                <w:p w14:paraId="3FF50B1F">
                  <w:pPr>
                    <w:spacing w:line="240" w:lineRule="auto"/>
                    <w:ind w:firstLine="0" w:firstLineChars="0"/>
                    <w:jc w:val="center"/>
                    <w:rPr>
                      <w:color w:val="auto"/>
                      <w:sz w:val="21"/>
                      <w:szCs w:val="21"/>
                    </w:rPr>
                  </w:pPr>
                  <w:r>
                    <w:rPr>
                      <w:rFonts w:hint="eastAsia"/>
                      <w:color w:val="auto"/>
                      <w:sz w:val="21"/>
                      <w:szCs w:val="21"/>
                    </w:rPr>
                    <w:t>P</w:t>
                  </w:r>
                  <w:r>
                    <w:rPr>
                      <w:color w:val="auto"/>
                      <w:sz w:val="21"/>
                      <w:szCs w:val="21"/>
                    </w:rPr>
                    <w:t>M</w:t>
                  </w:r>
                  <w:r>
                    <w:rPr>
                      <w:color w:val="auto"/>
                      <w:sz w:val="21"/>
                      <w:szCs w:val="21"/>
                      <w:vertAlign w:val="subscript"/>
                    </w:rPr>
                    <w:t>10</w:t>
                  </w:r>
                </w:p>
              </w:tc>
              <w:tc>
                <w:tcPr>
                  <w:tcW w:w="960" w:type="pct"/>
                  <w:noWrap w:val="0"/>
                  <w:vAlign w:val="center"/>
                </w:tcPr>
                <w:p w14:paraId="7BF14F87">
                  <w:pPr>
                    <w:spacing w:line="240" w:lineRule="auto"/>
                    <w:ind w:firstLine="0" w:firstLineChars="0"/>
                    <w:jc w:val="center"/>
                    <w:rPr>
                      <w:rFonts w:hint="eastAsia"/>
                      <w:color w:val="auto"/>
                      <w:sz w:val="21"/>
                      <w:szCs w:val="21"/>
                    </w:rPr>
                  </w:pPr>
                  <w:r>
                    <w:rPr>
                      <w:rFonts w:hint="eastAsia"/>
                      <w:color w:val="auto"/>
                      <w:sz w:val="21"/>
                      <w:szCs w:val="21"/>
                    </w:rPr>
                    <w:t>0.1</w:t>
                  </w:r>
                </w:p>
              </w:tc>
              <w:tc>
                <w:tcPr>
                  <w:tcW w:w="1711" w:type="pct"/>
                  <w:gridSpan w:val="2"/>
                  <w:vMerge w:val="continue"/>
                  <w:noWrap w:val="0"/>
                  <w:vAlign w:val="center"/>
                </w:tcPr>
                <w:p w14:paraId="55D7BA83">
                  <w:pPr>
                    <w:spacing w:line="240" w:lineRule="auto"/>
                    <w:ind w:firstLine="0" w:firstLineChars="0"/>
                    <w:jc w:val="center"/>
                    <w:rPr>
                      <w:rFonts w:hint="eastAsia"/>
                      <w:color w:val="auto"/>
                      <w:sz w:val="21"/>
                      <w:szCs w:val="21"/>
                    </w:rPr>
                  </w:pPr>
                </w:p>
              </w:tc>
              <w:tc>
                <w:tcPr>
                  <w:tcW w:w="672" w:type="pct"/>
                  <w:vMerge w:val="continue"/>
                  <w:noWrap w:val="0"/>
                  <w:vAlign w:val="center"/>
                </w:tcPr>
                <w:p w14:paraId="4E4D335E">
                  <w:pPr>
                    <w:spacing w:line="240" w:lineRule="auto"/>
                    <w:ind w:firstLine="0" w:firstLineChars="0"/>
                    <w:jc w:val="center"/>
                    <w:rPr>
                      <w:rFonts w:hint="eastAsia"/>
                      <w:color w:val="auto"/>
                      <w:sz w:val="21"/>
                      <w:szCs w:val="21"/>
                    </w:rPr>
                  </w:pPr>
                </w:p>
              </w:tc>
            </w:tr>
            <w:tr w14:paraId="04A58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1263" w:type="pct"/>
                  <w:vMerge w:val="continue"/>
                  <w:noWrap w:val="0"/>
                  <w:vAlign w:val="center"/>
                </w:tcPr>
                <w:p w14:paraId="147CB2C7">
                  <w:pPr>
                    <w:spacing w:line="240" w:lineRule="auto"/>
                    <w:ind w:firstLine="0" w:firstLineChars="0"/>
                    <w:jc w:val="center"/>
                    <w:rPr>
                      <w:rFonts w:hint="eastAsia"/>
                      <w:color w:val="auto"/>
                      <w:sz w:val="21"/>
                      <w:szCs w:val="21"/>
                    </w:rPr>
                  </w:pPr>
                </w:p>
              </w:tc>
              <w:tc>
                <w:tcPr>
                  <w:tcW w:w="392" w:type="pct"/>
                  <w:noWrap w:val="0"/>
                  <w:vAlign w:val="center"/>
                </w:tcPr>
                <w:p w14:paraId="7786BF20">
                  <w:pPr>
                    <w:spacing w:line="240" w:lineRule="auto"/>
                    <w:ind w:firstLine="0" w:firstLineChars="0"/>
                    <w:jc w:val="center"/>
                    <w:rPr>
                      <w:color w:val="auto"/>
                      <w:sz w:val="21"/>
                      <w:szCs w:val="21"/>
                    </w:rPr>
                  </w:pPr>
                  <w:r>
                    <w:rPr>
                      <w:rFonts w:hint="eastAsia"/>
                      <w:color w:val="auto"/>
                      <w:sz w:val="21"/>
                      <w:szCs w:val="21"/>
                    </w:rPr>
                    <w:t>N</w:t>
                  </w:r>
                  <w:r>
                    <w:rPr>
                      <w:color w:val="auto"/>
                      <w:sz w:val="21"/>
                      <w:szCs w:val="21"/>
                    </w:rPr>
                    <w:t>O</w:t>
                  </w:r>
                  <w:r>
                    <w:rPr>
                      <w:color w:val="auto"/>
                      <w:sz w:val="21"/>
                      <w:szCs w:val="21"/>
                      <w:vertAlign w:val="subscript"/>
                    </w:rPr>
                    <w:t>X</w:t>
                  </w:r>
                </w:p>
              </w:tc>
              <w:tc>
                <w:tcPr>
                  <w:tcW w:w="960" w:type="pct"/>
                  <w:noWrap w:val="0"/>
                  <w:vAlign w:val="center"/>
                </w:tcPr>
                <w:p w14:paraId="4631BA60">
                  <w:pPr>
                    <w:spacing w:line="240" w:lineRule="auto"/>
                    <w:ind w:firstLine="0" w:firstLineChars="0"/>
                    <w:jc w:val="center"/>
                    <w:rPr>
                      <w:rFonts w:hint="eastAsia"/>
                      <w:color w:val="auto"/>
                      <w:sz w:val="21"/>
                      <w:szCs w:val="21"/>
                    </w:rPr>
                  </w:pPr>
                  <w:r>
                    <w:rPr>
                      <w:rFonts w:hint="eastAsia"/>
                      <w:color w:val="auto"/>
                      <w:sz w:val="21"/>
                      <w:szCs w:val="21"/>
                    </w:rPr>
                    <w:t>0.204</w:t>
                  </w:r>
                </w:p>
              </w:tc>
              <w:tc>
                <w:tcPr>
                  <w:tcW w:w="1711" w:type="pct"/>
                  <w:gridSpan w:val="2"/>
                  <w:vMerge w:val="continue"/>
                  <w:noWrap w:val="0"/>
                  <w:vAlign w:val="center"/>
                </w:tcPr>
                <w:p w14:paraId="0706A785">
                  <w:pPr>
                    <w:spacing w:line="240" w:lineRule="auto"/>
                    <w:ind w:firstLine="0" w:firstLineChars="0"/>
                    <w:jc w:val="center"/>
                    <w:rPr>
                      <w:rFonts w:hint="eastAsia"/>
                      <w:color w:val="auto"/>
                      <w:sz w:val="21"/>
                      <w:szCs w:val="21"/>
                    </w:rPr>
                  </w:pPr>
                </w:p>
              </w:tc>
              <w:tc>
                <w:tcPr>
                  <w:tcW w:w="672" w:type="pct"/>
                  <w:vMerge w:val="continue"/>
                  <w:noWrap w:val="0"/>
                  <w:vAlign w:val="center"/>
                </w:tcPr>
                <w:p w14:paraId="47521A25">
                  <w:pPr>
                    <w:spacing w:line="240" w:lineRule="auto"/>
                    <w:ind w:firstLine="0" w:firstLineChars="0"/>
                    <w:jc w:val="center"/>
                    <w:rPr>
                      <w:rFonts w:hint="eastAsia"/>
                      <w:color w:val="auto"/>
                      <w:sz w:val="21"/>
                      <w:szCs w:val="21"/>
                    </w:rPr>
                  </w:pPr>
                </w:p>
              </w:tc>
            </w:tr>
            <w:tr w14:paraId="6B758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3" w:type="pct"/>
                  <w:noWrap w:val="0"/>
                  <w:vAlign w:val="center"/>
                </w:tcPr>
                <w:p w14:paraId="62E78822">
                  <w:pPr>
                    <w:spacing w:line="240" w:lineRule="auto"/>
                    <w:ind w:firstLine="0" w:firstLineChars="0"/>
                    <w:jc w:val="center"/>
                    <w:rPr>
                      <w:rFonts w:hint="eastAsia"/>
                      <w:color w:val="auto"/>
                      <w:sz w:val="21"/>
                      <w:szCs w:val="21"/>
                    </w:rPr>
                  </w:pPr>
                  <w:r>
                    <w:rPr>
                      <w:rFonts w:hint="eastAsia"/>
                      <w:color w:val="auto"/>
                      <w:sz w:val="21"/>
                      <w:szCs w:val="21"/>
                    </w:rPr>
                    <w:t>食堂油烟</w:t>
                  </w:r>
                </w:p>
              </w:tc>
              <w:tc>
                <w:tcPr>
                  <w:tcW w:w="392" w:type="pct"/>
                  <w:noWrap w:val="0"/>
                  <w:vAlign w:val="center"/>
                </w:tcPr>
                <w:p w14:paraId="46EDEF68">
                  <w:pPr>
                    <w:spacing w:line="240" w:lineRule="auto"/>
                    <w:ind w:firstLine="0" w:firstLineChars="0"/>
                    <w:jc w:val="center"/>
                    <w:rPr>
                      <w:color w:val="auto"/>
                      <w:sz w:val="21"/>
                      <w:szCs w:val="21"/>
                    </w:rPr>
                  </w:pPr>
                  <w:r>
                    <w:rPr>
                      <w:rFonts w:hint="eastAsia"/>
                      <w:color w:val="auto"/>
                      <w:sz w:val="21"/>
                      <w:szCs w:val="21"/>
                    </w:rPr>
                    <w:t>油烟</w:t>
                  </w:r>
                </w:p>
              </w:tc>
              <w:tc>
                <w:tcPr>
                  <w:tcW w:w="960" w:type="pct"/>
                  <w:noWrap w:val="0"/>
                  <w:vAlign w:val="center"/>
                </w:tcPr>
                <w:p w14:paraId="4FF11E3A">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0.0031</w:t>
                  </w:r>
                </w:p>
              </w:tc>
              <w:tc>
                <w:tcPr>
                  <w:tcW w:w="1711" w:type="pct"/>
                  <w:gridSpan w:val="2"/>
                  <w:vMerge w:val="continue"/>
                  <w:noWrap w:val="0"/>
                  <w:vAlign w:val="center"/>
                </w:tcPr>
                <w:p w14:paraId="1E34A0E6">
                  <w:pPr>
                    <w:spacing w:line="240" w:lineRule="auto"/>
                    <w:ind w:firstLine="0" w:firstLineChars="0"/>
                    <w:jc w:val="center"/>
                    <w:rPr>
                      <w:rFonts w:hint="eastAsia"/>
                      <w:color w:val="auto"/>
                      <w:sz w:val="21"/>
                      <w:szCs w:val="21"/>
                    </w:rPr>
                  </w:pPr>
                </w:p>
              </w:tc>
              <w:tc>
                <w:tcPr>
                  <w:tcW w:w="672" w:type="pct"/>
                  <w:vMerge w:val="continue"/>
                  <w:noWrap w:val="0"/>
                  <w:vAlign w:val="center"/>
                </w:tcPr>
                <w:p w14:paraId="44043262">
                  <w:pPr>
                    <w:spacing w:line="240" w:lineRule="auto"/>
                    <w:ind w:firstLine="0" w:firstLineChars="0"/>
                    <w:jc w:val="center"/>
                    <w:rPr>
                      <w:rFonts w:hint="eastAsia"/>
                      <w:color w:val="auto"/>
                      <w:sz w:val="21"/>
                      <w:szCs w:val="21"/>
                    </w:rPr>
                  </w:pPr>
                </w:p>
              </w:tc>
            </w:tr>
          </w:tbl>
          <w:p w14:paraId="1253233B">
            <w:pPr>
              <w:ind w:firstLine="480"/>
              <w:rPr>
                <w:color w:val="auto"/>
              </w:rPr>
            </w:pPr>
            <w:r>
              <w:rPr>
                <w:color w:val="auto"/>
              </w:rPr>
              <w:t>因此，建议项目设大气污染物总量控制指标为：NOx：</w:t>
            </w:r>
            <w:r>
              <w:rPr>
                <w:rFonts w:hint="eastAsia"/>
                <w:color w:val="auto"/>
              </w:rPr>
              <w:t>0.204</w:t>
            </w:r>
            <w:r>
              <w:rPr>
                <w:color w:val="auto"/>
              </w:rPr>
              <w:t>t/a；</w:t>
            </w:r>
          </w:p>
          <w:p w14:paraId="6A5A1BE7">
            <w:pPr>
              <w:ind w:firstLine="480"/>
              <w:rPr>
                <w:color w:val="auto"/>
              </w:rPr>
            </w:pPr>
            <w:r>
              <w:rPr>
                <w:color w:val="auto"/>
              </w:rPr>
              <w:t>（2）水污染物排放总量</w:t>
            </w:r>
          </w:p>
          <w:p w14:paraId="4E2CD991">
            <w:pPr>
              <w:rPr>
                <w:color w:val="auto"/>
              </w:rPr>
            </w:pPr>
            <w:r>
              <w:rPr>
                <w:rFonts w:hint="default" w:ascii="Times New Roman" w:hAnsi="Times New Roman" w:cs="Times New Roman"/>
                <w:color w:val="auto"/>
                <w:szCs w:val="21"/>
                <w:lang w:val="en-US" w:eastAsia="zh-CN" w:bidi="ar"/>
              </w:rPr>
              <w:t>本项目</w:t>
            </w:r>
            <w:r>
              <w:rPr>
                <w:rFonts w:hint="default" w:ascii="Times New Roman" w:hAnsi="Times New Roman" w:cs="Times New Roman"/>
                <w:color w:val="auto"/>
              </w:rPr>
              <w:t>生产废水</w:t>
            </w:r>
            <w:r>
              <w:rPr>
                <w:rFonts w:hint="default" w:ascii="Times New Roman" w:hAnsi="Times New Roman" w:cs="Times New Roman"/>
                <w:color w:val="auto"/>
                <w:lang w:val="en-US" w:eastAsia="zh-CN"/>
              </w:rPr>
              <w:t>主要为试验区废水、锅炉清净水、搅拌机清洗废水及罐车清洗废水</w:t>
            </w:r>
            <w:r>
              <w:rPr>
                <w:rFonts w:hint="default" w:ascii="Times New Roman" w:hAnsi="Times New Roman" w:cs="Times New Roman"/>
                <w:color w:val="auto"/>
              </w:rPr>
              <w:t>，</w:t>
            </w:r>
            <w:r>
              <w:rPr>
                <w:rFonts w:hint="default" w:ascii="Times New Roman" w:hAnsi="Times New Roman" w:cs="Times New Roman"/>
                <w:color w:val="auto"/>
                <w:lang w:val="en-US" w:eastAsia="zh-CN"/>
              </w:rPr>
              <w:t>其中搅拌机清洗废水及锅炉清净水排入四级沉淀池处理后回用于混凝土搅拌；试验区废水排入三级沉淀池处理后回用于混凝土搅拌；罐车清洗废水排入五级沉淀池处理后回用于混凝土搅拌，生产废水均用于混凝土搅拌，不外排。</w:t>
            </w:r>
            <w:r>
              <w:rPr>
                <w:rFonts w:hint="eastAsia"/>
                <w:color w:val="auto"/>
              </w:rPr>
              <w:t>食堂废水和其他生活污水经</w:t>
            </w:r>
            <w:r>
              <w:rPr>
                <w:rFonts w:hint="eastAsia"/>
                <w:color w:val="auto"/>
                <w:lang w:val="en-US" w:eastAsia="zh-CN"/>
              </w:rPr>
              <w:t>油水分离器</w:t>
            </w:r>
            <w:r>
              <w:rPr>
                <w:rFonts w:hint="eastAsia"/>
                <w:color w:val="auto"/>
              </w:rPr>
              <w:t>、化粪池处理后委托</w:t>
            </w:r>
            <w:r>
              <w:rPr>
                <w:rFonts w:hint="eastAsia"/>
                <w:color w:val="auto"/>
                <w:szCs w:val="21"/>
                <w:lang w:val="en-US" w:eastAsia="zh-CN"/>
              </w:rPr>
              <w:t>昆明洁龙保洁服务有限公司</w:t>
            </w:r>
            <w:r>
              <w:rPr>
                <w:color w:val="auto"/>
                <w:szCs w:val="21"/>
              </w:rPr>
              <w:t>定期</w:t>
            </w:r>
            <w:r>
              <w:rPr>
                <w:rFonts w:hint="eastAsia"/>
                <w:color w:val="auto"/>
                <w:szCs w:val="21"/>
              </w:rPr>
              <w:t>清掏</w:t>
            </w:r>
            <w:r>
              <w:rPr>
                <w:rFonts w:hint="eastAsia"/>
                <w:color w:val="auto"/>
                <w:szCs w:val="21"/>
                <w:lang w:val="en-US" w:eastAsia="zh-CN"/>
              </w:rPr>
              <w:t>处置</w:t>
            </w:r>
            <w:r>
              <w:rPr>
                <w:rFonts w:hint="eastAsia"/>
                <w:color w:val="auto"/>
              </w:rPr>
              <w:t>。</w:t>
            </w:r>
            <w:r>
              <w:rPr>
                <w:color w:val="auto"/>
              </w:rPr>
              <w:t>故本项目的废水不</w:t>
            </w:r>
            <w:r>
              <w:rPr>
                <w:rFonts w:hint="eastAsia"/>
                <w:color w:val="auto"/>
              </w:rPr>
              <w:t>设</w:t>
            </w:r>
            <w:r>
              <w:rPr>
                <w:color w:val="auto"/>
              </w:rPr>
              <w:t>总量控制指标。</w:t>
            </w:r>
          </w:p>
          <w:p w14:paraId="4000FDDF">
            <w:pPr>
              <w:ind w:firstLine="480"/>
              <w:rPr>
                <w:rFonts w:hint="default" w:eastAsia="宋体"/>
                <w:color w:val="auto"/>
                <w:lang w:val="en-US" w:eastAsia="zh-CN"/>
              </w:rPr>
            </w:pPr>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lang w:val="en-US" w:eastAsia="zh-CN"/>
              </w:rPr>
              <w:t>固废排放总量</w:t>
            </w:r>
          </w:p>
          <w:p w14:paraId="552BE297">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jc w:val="both"/>
              <w:textAlignment w:val="auto"/>
              <w:rPr>
                <w:rFonts w:hint="default" w:eastAsia="宋体"/>
                <w:color w:val="auto"/>
                <w:sz w:val="24"/>
                <w:highlight w:val="none"/>
                <w:lang w:val="en-US" w:eastAsia="zh-CN"/>
              </w:rPr>
            </w:pPr>
            <w:r>
              <w:rPr>
                <w:color w:val="auto"/>
                <w:sz w:val="24"/>
                <w:highlight w:val="none"/>
              </w:rPr>
              <w:t>项目固体废物均得到合理处理，处置率100%</w:t>
            </w:r>
            <w:r>
              <w:rPr>
                <w:rFonts w:hint="eastAsia"/>
                <w:color w:val="auto"/>
                <w:sz w:val="24"/>
                <w:highlight w:val="none"/>
              </w:rPr>
              <w:t>，不设固废总量控制指标。</w:t>
            </w:r>
          </w:p>
          <w:p w14:paraId="14DD05B8">
            <w:pPr>
              <w:ind w:firstLine="480"/>
              <w:rPr>
                <w:color w:val="auto"/>
              </w:rPr>
            </w:pPr>
          </w:p>
          <w:p w14:paraId="23B021FA">
            <w:pPr>
              <w:ind w:firstLine="480"/>
              <w:rPr>
                <w:color w:val="auto"/>
              </w:rPr>
            </w:pPr>
          </w:p>
          <w:p w14:paraId="4DCD271A">
            <w:pPr>
              <w:ind w:firstLine="480"/>
              <w:rPr>
                <w:color w:val="auto"/>
              </w:rPr>
            </w:pPr>
          </w:p>
          <w:p w14:paraId="77F9331A">
            <w:pPr>
              <w:ind w:firstLine="480"/>
              <w:rPr>
                <w:color w:val="auto"/>
              </w:rPr>
            </w:pPr>
          </w:p>
          <w:p w14:paraId="458A5347">
            <w:pPr>
              <w:ind w:firstLine="480"/>
              <w:rPr>
                <w:color w:val="auto"/>
              </w:rPr>
            </w:pPr>
          </w:p>
          <w:p w14:paraId="71914038">
            <w:pPr>
              <w:ind w:firstLine="480"/>
              <w:rPr>
                <w:color w:val="auto"/>
              </w:rPr>
            </w:pPr>
          </w:p>
          <w:p w14:paraId="7C54AA04">
            <w:pPr>
              <w:ind w:firstLine="480"/>
              <w:rPr>
                <w:color w:val="auto"/>
              </w:rPr>
            </w:pPr>
          </w:p>
          <w:p w14:paraId="664DF46B">
            <w:pPr>
              <w:ind w:firstLine="480"/>
              <w:rPr>
                <w:color w:val="auto"/>
              </w:rPr>
            </w:pPr>
          </w:p>
          <w:p w14:paraId="4105A063">
            <w:pPr>
              <w:ind w:firstLine="480"/>
              <w:rPr>
                <w:color w:val="auto"/>
              </w:rPr>
            </w:pPr>
          </w:p>
          <w:p w14:paraId="65563145">
            <w:pPr>
              <w:ind w:firstLine="480"/>
              <w:rPr>
                <w:color w:val="auto"/>
              </w:rPr>
            </w:pPr>
          </w:p>
          <w:p w14:paraId="2419ABEB">
            <w:pPr>
              <w:ind w:firstLine="480"/>
              <w:rPr>
                <w:color w:val="auto"/>
              </w:rPr>
            </w:pPr>
          </w:p>
          <w:p w14:paraId="43BC2220">
            <w:pPr>
              <w:ind w:firstLine="480"/>
              <w:rPr>
                <w:color w:val="auto"/>
              </w:rPr>
            </w:pPr>
          </w:p>
          <w:p w14:paraId="115DF5C5">
            <w:pPr>
              <w:ind w:firstLine="480"/>
              <w:rPr>
                <w:color w:val="auto"/>
              </w:rPr>
            </w:pPr>
          </w:p>
          <w:p w14:paraId="47B3096C">
            <w:pPr>
              <w:ind w:firstLine="480"/>
              <w:rPr>
                <w:color w:val="auto"/>
              </w:rPr>
            </w:pPr>
          </w:p>
          <w:p w14:paraId="09BC5F02">
            <w:pPr>
              <w:ind w:firstLine="480"/>
              <w:rPr>
                <w:color w:val="auto"/>
              </w:rPr>
            </w:pPr>
          </w:p>
          <w:p w14:paraId="00717105">
            <w:pPr>
              <w:ind w:firstLine="480"/>
              <w:rPr>
                <w:color w:val="auto"/>
              </w:rPr>
            </w:pPr>
          </w:p>
          <w:p w14:paraId="29131157">
            <w:pPr>
              <w:ind w:firstLine="480"/>
              <w:rPr>
                <w:color w:val="auto"/>
              </w:rPr>
            </w:pPr>
          </w:p>
          <w:p w14:paraId="050B9841">
            <w:pPr>
              <w:ind w:firstLine="480"/>
              <w:rPr>
                <w:color w:val="auto"/>
              </w:rPr>
            </w:pPr>
          </w:p>
          <w:p w14:paraId="35E03C7F">
            <w:pPr>
              <w:ind w:firstLine="480"/>
              <w:rPr>
                <w:color w:val="auto"/>
              </w:rPr>
            </w:pPr>
          </w:p>
          <w:p w14:paraId="4E90EB06">
            <w:pPr>
              <w:ind w:firstLine="480"/>
              <w:rPr>
                <w:color w:val="auto"/>
              </w:rPr>
            </w:pPr>
          </w:p>
          <w:p w14:paraId="11857CBD">
            <w:pPr>
              <w:ind w:firstLine="480"/>
              <w:rPr>
                <w:rFonts w:hint="eastAsia"/>
                <w:color w:val="auto"/>
              </w:rPr>
            </w:pPr>
          </w:p>
        </w:tc>
      </w:tr>
    </w:tbl>
    <w:p w14:paraId="40C8F991">
      <w:pPr>
        <w:pStyle w:val="16"/>
        <w:ind w:firstLine="600"/>
        <w:outlineLvl w:val="0"/>
        <w:rPr>
          <w:rFonts w:ascii="黑体" w:hAnsi="黑体" w:eastAsia="黑体"/>
          <w:snapToGrid w:val="0"/>
          <w:color w:val="auto"/>
          <w:sz w:val="30"/>
          <w:szCs w:val="30"/>
        </w:rPr>
        <w:sectPr>
          <w:pgSz w:w="11907" w:h="16840"/>
          <w:pgMar w:top="1417" w:right="1417" w:bottom="1417" w:left="1417" w:header="851" w:footer="851" w:gutter="0"/>
          <w:pgNumType w:fmt="decimal"/>
          <w:cols w:space="720" w:num="1"/>
          <w:docGrid w:linePitch="312" w:charSpace="0"/>
        </w:sectPr>
      </w:pPr>
    </w:p>
    <w:p w14:paraId="0D9FA29E">
      <w:pPr>
        <w:pStyle w:val="16"/>
        <w:keepNext w:val="0"/>
        <w:keepLines w:val="0"/>
        <w:pageBreakBefore w:val="0"/>
        <w:widowControl/>
        <w:kinsoku/>
        <w:wordWrap/>
        <w:overflowPunct/>
        <w:topLinePunct w:val="0"/>
        <w:autoSpaceDE/>
        <w:autoSpaceDN/>
        <w:bidi w:val="0"/>
        <w:adjustRightInd/>
        <w:snapToGrid w:val="0"/>
        <w:spacing w:before="0" w:beforeAutospacing="0" w:after="0" w:afterAutospacing="0" w:line="240" w:lineRule="auto"/>
        <w:ind w:firstLine="0" w:firstLineChars="0"/>
        <w:jc w:val="center"/>
        <w:textAlignment w:val="auto"/>
        <w:outlineLvl w:val="0"/>
        <w:rPr>
          <w:rFonts w:hint="eastAsia" w:ascii="宋体" w:hAnsi="宋体" w:eastAsia="宋体" w:cs="宋体"/>
          <w:b/>
          <w:bCs/>
          <w:snapToGrid w:val="0"/>
          <w:color w:val="auto"/>
          <w:sz w:val="30"/>
          <w:szCs w:val="30"/>
        </w:rPr>
      </w:pPr>
      <w:bookmarkStart w:id="15" w:name="_Toc150763277"/>
      <w:r>
        <w:rPr>
          <w:rFonts w:hint="eastAsia" w:ascii="宋体" w:hAnsi="宋体" w:eastAsia="宋体" w:cs="宋体"/>
          <w:b/>
          <w:bCs/>
          <w:snapToGrid w:val="0"/>
          <w:color w:val="auto"/>
          <w:sz w:val="30"/>
          <w:szCs w:val="30"/>
        </w:rPr>
        <w:t>四、主要环境影响和保护措施</w:t>
      </w:r>
      <w:bookmarkEnd w:id="15"/>
    </w:p>
    <w:tbl>
      <w:tblPr>
        <w:tblStyle w:val="20"/>
        <w:tblW w:w="920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
        <w:gridCol w:w="286"/>
        <w:gridCol w:w="8901"/>
        <w:gridCol w:w="19"/>
      </w:tblGrid>
      <w:tr w14:paraId="705CFE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gridAfter w:val="1"/>
          <w:wBefore w:w="6" w:type="dxa"/>
          <w:wAfter w:w="21" w:type="dxa"/>
          <w:trHeight w:val="1266" w:hRule="atLeast"/>
          <w:jc w:val="center"/>
        </w:trPr>
        <w:tc>
          <w:tcPr>
            <w:tcW w:w="282" w:type="dxa"/>
            <w:noWrap w:val="0"/>
            <w:tcMar>
              <w:left w:w="28" w:type="dxa"/>
              <w:right w:w="28" w:type="dxa"/>
            </w:tcMar>
            <w:vAlign w:val="center"/>
          </w:tcPr>
          <w:p w14:paraId="55194C3C">
            <w:pPr>
              <w:pStyle w:val="16"/>
              <w:adjustRightInd w:val="0"/>
              <w:snapToGrid w:val="0"/>
              <w:spacing w:before="0" w:beforeAutospacing="0" w:after="0" w:afterAutospacing="0"/>
              <w:ind w:firstLine="0" w:firstLineChars="0"/>
              <w:jc w:val="center"/>
              <w:rPr>
                <w:rFonts w:hint="eastAsia" w:cs="宋体"/>
                <w:color w:val="auto"/>
                <w:kern w:val="2"/>
                <w:sz w:val="21"/>
                <w:szCs w:val="21"/>
              </w:rPr>
            </w:pPr>
            <w:r>
              <w:rPr>
                <w:rFonts w:hint="eastAsia" w:cs="宋体"/>
                <w:color w:val="auto"/>
                <w:kern w:val="2"/>
                <w:sz w:val="21"/>
                <w:szCs w:val="21"/>
              </w:rPr>
              <w:t>施工</w:t>
            </w:r>
          </w:p>
          <w:p w14:paraId="522583E4">
            <w:pPr>
              <w:pStyle w:val="16"/>
              <w:adjustRightInd w:val="0"/>
              <w:snapToGrid w:val="0"/>
              <w:spacing w:before="0" w:beforeAutospacing="0" w:after="0" w:afterAutospacing="0"/>
              <w:ind w:firstLine="0" w:firstLineChars="0"/>
              <w:jc w:val="center"/>
              <w:rPr>
                <w:rFonts w:hint="eastAsia" w:cs="宋体"/>
                <w:color w:val="auto"/>
                <w:kern w:val="2"/>
                <w:sz w:val="21"/>
                <w:szCs w:val="21"/>
              </w:rPr>
            </w:pPr>
            <w:r>
              <w:rPr>
                <w:rFonts w:hint="eastAsia" w:cs="宋体"/>
                <w:color w:val="auto"/>
                <w:kern w:val="2"/>
                <w:sz w:val="21"/>
                <w:szCs w:val="21"/>
              </w:rPr>
              <w:t>期环</w:t>
            </w:r>
          </w:p>
          <w:p w14:paraId="49B4B7D8">
            <w:pPr>
              <w:pStyle w:val="16"/>
              <w:adjustRightInd w:val="0"/>
              <w:snapToGrid w:val="0"/>
              <w:spacing w:before="0" w:beforeAutospacing="0" w:after="0" w:afterAutospacing="0"/>
              <w:ind w:firstLine="0" w:firstLineChars="0"/>
              <w:jc w:val="center"/>
              <w:rPr>
                <w:rFonts w:hint="eastAsia" w:cs="宋体"/>
                <w:color w:val="auto"/>
                <w:kern w:val="2"/>
                <w:sz w:val="21"/>
                <w:szCs w:val="21"/>
              </w:rPr>
            </w:pPr>
            <w:r>
              <w:rPr>
                <w:rFonts w:hint="eastAsia" w:cs="宋体"/>
                <w:color w:val="auto"/>
                <w:kern w:val="2"/>
                <w:sz w:val="21"/>
                <w:szCs w:val="21"/>
              </w:rPr>
              <w:t>境保</w:t>
            </w:r>
          </w:p>
          <w:p w14:paraId="356F9AC8">
            <w:pPr>
              <w:pStyle w:val="16"/>
              <w:adjustRightInd w:val="0"/>
              <w:snapToGrid w:val="0"/>
              <w:spacing w:before="0" w:beforeAutospacing="0" w:after="0" w:afterAutospacing="0"/>
              <w:ind w:firstLine="0" w:firstLineChars="0"/>
              <w:jc w:val="center"/>
              <w:rPr>
                <w:rFonts w:hint="eastAsia" w:cs="宋体"/>
                <w:bCs/>
                <w:color w:val="auto"/>
                <w:kern w:val="2"/>
                <w:sz w:val="21"/>
                <w:szCs w:val="21"/>
              </w:rPr>
            </w:pPr>
            <w:r>
              <w:rPr>
                <w:rFonts w:hint="eastAsia" w:cs="宋体"/>
                <w:color w:val="auto"/>
                <w:kern w:val="2"/>
                <w:sz w:val="21"/>
                <w:szCs w:val="21"/>
              </w:rPr>
              <w:t>护措施</w:t>
            </w:r>
          </w:p>
        </w:tc>
        <w:tc>
          <w:tcPr>
            <w:tcW w:w="8900" w:type="dxa"/>
            <w:noWrap w:val="0"/>
            <w:vAlign w:val="center"/>
          </w:tcPr>
          <w:p w14:paraId="514611C3">
            <w:pPr>
              <w:ind w:firstLine="0" w:firstLineChars="0"/>
              <w:rPr>
                <w:b/>
                <w:color w:val="auto"/>
              </w:rPr>
            </w:pPr>
            <w:r>
              <w:rPr>
                <w:b/>
                <w:color w:val="auto"/>
              </w:rPr>
              <w:t>4.1施工期环境保护措施</w:t>
            </w:r>
          </w:p>
          <w:p w14:paraId="07760218">
            <w:pPr>
              <w:ind w:firstLine="482"/>
              <w:rPr>
                <w:bCs/>
                <w:color w:val="auto"/>
                <w:kern w:val="0"/>
              </w:rPr>
            </w:pPr>
            <w:r>
              <w:rPr>
                <w:rFonts w:hint="eastAsia"/>
                <w:b/>
                <w:color w:val="auto"/>
              </w:rPr>
              <w:t>4.1.1</w:t>
            </w:r>
            <w:r>
              <w:rPr>
                <w:b/>
                <w:color w:val="auto"/>
              </w:rPr>
              <w:t>大气环境保护措施</w:t>
            </w:r>
          </w:p>
          <w:p w14:paraId="437E8ABF">
            <w:pPr>
              <w:ind w:firstLine="480"/>
              <w:rPr>
                <w:bCs/>
                <w:color w:val="auto"/>
              </w:rPr>
            </w:pPr>
            <w:r>
              <w:rPr>
                <w:rFonts w:hint="eastAsia"/>
                <w:color w:val="auto"/>
                <w:lang w:val="en-US" w:eastAsia="zh-CN"/>
              </w:rPr>
              <w:t>本项目主体工程等已经建设完成，</w:t>
            </w:r>
            <w:r>
              <w:rPr>
                <w:color w:val="auto"/>
              </w:rPr>
              <w:t>施工期环境空气影响主要来自</w:t>
            </w:r>
            <w:r>
              <w:rPr>
                <w:rFonts w:hint="eastAsia"/>
                <w:color w:val="auto"/>
                <w:lang w:val="en-US" w:eastAsia="zh-CN"/>
              </w:rPr>
              <w:t>环保设备安装</w:t>
            </w:r>
            <w:r>
              <w:rPr>
                <w:color w:val="auto"/>
              </w:rPr>
              <w:t>、运输等活动产生的粉尘，施工机械和运输工具产生的废气对大气环境的影响。施工期主要大气污染</w:t>
            </w:r>
            <w:r>
              <w:rPr>
                <w:rFonts w:hint="eastAsia"/>
                <w:color w:val="auto"/>
              </w:rPr>
              <w:t>物</w:t>
            </w:r>
            <w:r>
              <w:rPr>
                <w:color w:val="auto"/>
              </w:rPr>
              <w:t>为</w:t>
            </w:r>
            <w:r>
              <w:rPr>
                <w:rFonts w:hint="eastAsia"/>
                <w:color w:val="auto"/>
              </w:rPr>
              <w:t>：</w:t>
            </w:r>
            <w:r>
              <w:rPr>
                <w:color w:val="auto"/>
              </w:rPr>
              <w:t>TSP、PM</w:t>
            </w:r>
            <w:r>
              <w:rPr>
                <w:color w:val="auto"/>
                <w:vertAlign w:val="subscript"/>
              </w:rPr>
              <w:t>10</w:t>
            </w:r>
            <w:r>
              <w:rPr>
                <w:rFonts w:hint="eastAsia"/>
                <w:color w:val="auto"/>
              </w:rPr>
              <w:t>、</w:t>
            </w:r>
            <w:r>
              <w:rPr>
                <w:color w:val="auto"/>
              </w:rPr>
              <w:t>NO</w:t>
            </w:r>
            <w:r>
              <w:rPr>
                <w:color w:val="auto"/>
                <w:vertAlign w:val="subscript"/>
              </w:rPr>
              <w:t>x</w:t>
            </w:r>
            <w:r>
              <w:rPr>
                <w:color w:val="auto"/>
              </w:rPr>
              <w:t>、CO及CH</w:t>
            </w:r>
            <w:r>
              <w:rPr>
                <w:color w:val="auto"/>
                <w:vertAlign w:val="subscript"/>
              </w:rPr>
              <w:t>x</w:t>
            </w:r>
            <w:r>
              <w:rPr>
                <w:color w:val="auto"/>
              </w:rPr>
              <w:t>等</w:t>
            </w:r>
            <w:r>
              <w:rPr>
                <w:rFonts w:hint="eastAsia"/>
                <w:color w:val="auto"/>
              </w:rPr>
              <w:t>。</w:t>
            </w:r>
          </w:p>
          <w:p w14:paraId="4E4AD8A7">
            <w:pPr>
              <w:ind w:firstLine="480"/>
              <w:rPr>
                <w:bCs/>
                <w:color w:val="auto"/>
              </w:rPr>
            </w:pPr>
            <w:r>
              <w:rPr>
                <w:bCs/>
                <w:color w:val="auto"/>
              </w:rPr>
              <w:t>施工期大气环境保护措施如下：</w:t>
            </w:r>
          </w:p>
          <w:p w14:paraId="0A50D066">
            <w:pPr>
              <w:ind w:firstLine="480"/>
              <w:rPr>
                <w:rFonts w:ascii="宋体" w:hAnsi="宋体"/>
                <w:color w:val="auto"/>
              </w:rPr>
            </w:pPr>
            <w:r>
              <w:rPr>
                <w:rFonts w:ascii="宋体" w:hAnsi="宋体"/>
                <w:color w:val="auto"/>
              </w:rPr>
              <w:fldChar w:fldCharType="begin"/>
            </w:r>
            <w:r>
              <w:rPr>
                <w:rFonts w:ascii="宋体" w:hAnsi="宋体"/>
                <w:color w:val="auto"/>
              </w:rPr>
              <w:instrText xml:space="preserve"> </w:instrText>
            </w:r>
            <w:r>
              <w:rPr>
                <w:rFonts w:hint="eastAsia" w:ascii="宋体" w:hAnsi="宋体"/>
                <w:color w:val="auto"/>
              </w:rPr>
              <w:instrText xml:space="preserve">= 1 \* GB3</w:instrText>
            </w:r>
            <w:r>
              <w:rPr>
                <w:rFonts w:ascii="宋体" w:hAnsi="宋体"/>
                <w:color w:val="auto"/>
              </w:rPr>
              <w:instrText xml:space="preserve"> </w:instrText>
            </w:r>
            <w:r>
              <w:rPr>
                <w:rFonts w:ascii="宋体" w:hAnsi="宋体"/>
                <w:color w:val="auto"/>
              </w:rPr>
              <w:fldChar w:fldCharType="separate"/>
            </w:r>
            <w:r>
              <w:rPr>
                <w:rFonts w:hint="eastAsia" w:ascii="宋体" w:hAnsi="宋体"/>
                <w:color w:val="auto"/>
              </w:rPr>
              <w:t>①</w:t>
            </w:r>
            <w:r>
              <w:rPr>
                <w:rFonts w:ascii="宋体" w:hAnsi="宋体"/>
                <w:color w:val="auto"/>
              </w:rPr>
              <w:fldChar w:fldCharType="end"/>
            </w:r>
            <w:r>
              <w:rPr>
                <w:rFonts w:ascii="宋体" w:hAnsi="宋体"/>
                <w:color w:val="auto"/>
              </w:rPr>
              <w:t>加强施工现场运输车辆管理。建筑垃圾在运输出场时采</w:t>
            </w:r>
            <w:r>
              <w:rPr>
                <w:rFonts w:hint="eastAsia" w:ascii="宋体" w:hAnsi="宋体"/>
                <w:color w:val="auto"/>
              </w:rPr>
              <w:t>用</w:t>
            </w:r>
            <w:r>
              <w:rPr>
                <w:rFonts w:ascii="宋体" w:hAnsi="宋体"/>
                <w:color w:val="auto"/>
              </w:rPr>
              <w:t>封闭运输方式，在项目范围内运输的车辆进行车身整洁，装载车厢完好，装载货物堆码整齐，不</w:t>
            </w:r>
            <w:r>
              <w:rPr>
                <w:rFonts w:hint="eastAsia" w:ascii="宋体" w:hAnsi="宋体"/>
                <w:color w:val="auto"/>
              </w:rPr>
              <w:t>会</w:t>
            </w:r>
            <w:r>
              <w:rPr>
                <w:rFonts w:ascii="宋体" w:hAnsi="宋体"/>
                <w:color w:val="auto"/>
              </w:rPr>
              <w:t>污染道路。</w:t>
            </w:r>
          </w:p>
          <w:p w14:paraId="6C4CDDF7">
            <w:pPr>
              <w:ind w:firstLine="480"/>
              <w:rPr>
                <w:color w:val="auto"/>
              </w:rPr>
            </w:pPr>
            <w:r>
              <w:rPr>
                <w:rFonts w:hint="eastAsia" w:ascii="GWZT-EN" w:hAnsi="GWZT-EN" w:eastAsia="GWZT-EN" w:cs="GWZT-EN"/>
                <w:color w:val="auto"/>
              </w:rPr>
              <w:t>②</w:t>
            </w:r>
            <w:r>
              <w:rPr>
                <w:color w:val="auto"/>
              </w:rPr>
              <w:t>在施工场地上设置专人负责建筑垃圾、建筑材料的处置、清运和堆放，堆放场地避开</w:t>
            </w:r>
            <w:r>
              <w:rPr>
                <w:rFonts w:hint="eastAsia"/>
                <w:color w:val="auto"/>
              </w:rPr>
              <w:t>在</w:t>
            </w:r>
            <w:r>
              <w:rPr>
                <w:color w:val="auto"/>
              </w:rPr>
              <w:t>居民区的上风向，</w:t>
            </w:r>
            <w:r>
              <w:rPr>
                <w:rFonts w:hint="eastAsia"/>
                <w:color w:val="auto"/>
              </w:rPr>
              <w:t>大风</w:t>
            </w:r>
            <w:r>
              <w:rPr>
                <w:color w:val="auto"/>
              </w:rPr>
              <w:t>天气时加盖有</w:t>
            </w:r>
            <w:r>
              <w:rPr>
                <w:rFonts w:hint="eastAsia"/>
                <w:color w:val="auto"/>
                <w:lang w:eastAsia="zh-CN"/>
              </w:rPr>
              <w:t>篷布</w:t>
            </w:r>
            <w:r>
              <w:rPr>
                <w:color w:val="auto"/>
              </w:rPr>
              <w:t>或洒水。</w:t>
            </w:r>
          </w:p>
          <w:p w14:paraId="4F2DF6E1">
            <w:pPr>
              <w:ind w:firstLine="480"/>
              <w:rPr>
                <w:color w:val="auto"/>
              </w:rPr>
            </w:pPr>
            <w:r>
              <w:rPr>
                <w:rFonts w:hint="eastAsia" w:ascii="GWZT-EN" w:hAnsi="GWZT-EN" w:eastAsia="GWZT-EN" w:cs="GWZT-EN"/>
                <w:color w:val="auto"/>
              </w:rPr>
              <w:t>③</w:t>
            </w:r>
            <w:r>
              <w:rPr>
                <w:color w:val="auto"/>
              </w:rPr>
              <w:t>建筑垃圾及时处理、清运、减少占地，改善施工场地的环境。</w:t>
            </w:r>
          </w:p>
          <w:p w14:paraId="3568C151">
            <w:pPr>
              <w:ind w:firstLine="480"/>
              <w:rPr>
                <w:rFonts w:ascii="宋体" w:hAnsi="宋体"/>
                <w:color w:val="auto"/>
              </w:rPr>
            </w:pPr>
            <w:r>
              <w:rPr>
                <w:rFonts w:hint="eastAsia" w:ascii="宋体" w:hAnsi="宋体" w:eastAsia="宋体" w:cs="宋体"/>
                <w:color w:val="auto"/>
              </w:rPr>
              <w:t>④</w:t>
            </w:r>
            <w:r>
              <w:rPr>
                <w:color w:val="auto"/>
              </w:rPr>
              <w:t>运输车辆使用符合国家汽车尾气排放标准的，</w:t>
            </w:r>
            <w:r>
              <w:rPr>
                <w:rFonts w:hint="eastAsia"/>
                <w:color w:val="auto"/>
              </w:rPr>
              <w:t>未</w:t>
            </w:r>
            <w:r>
              <w:rPr>
                <w:color w:val="auto"/>
              </w:rPr>
              <w:t>超载超速。</w:t>
            </w:r>
          </w:p>
          <w:p w14:paraId="613A6DBB">
            <w:pPr>
              <w:ind w:firstLine="480"/>
              <w:rPr>
                <w:bCs/>
                <w:color w:val="auto"/>
              </w:rPr>
            </w:pPr>
            <w:r>
              <w:rPr>
                <w:color w:val="auto"/>
              </w:rPr>
              <w:t>采取上述措施后，项目施工期对周围环境空气及保护目标影响</w:t>
            </w:r>
            <w:r>
              <w:rPr>
                <w:rFonts w:hint="eastAsia"/>
                <w:color w:val="auto"/>
              </w:rPr>
              <w:t>较小</w:t>
            </w:r>
            <w:r>
              <w:rPr>
                <w:color w:val="auto"/>
              </w:rPr>
              <w:t>。</w:t>
            </w:r>
          </w:p>
          <w:p w14:paraId="018226EE">
            <w:pPr>
              <w:ind w:firstLine="482"/>
              <w:rPr>
                <w:b/>
                <w:color w:val="auto"/>
              </w:rPr>
            </w:pPr>
            <w:r>
              <w:rPr>
                <w:rFonts w:hint="eastAsia"/>
                <w:b/>
                <w:color w:val="auto"/>
              </w:rPr>
              <w:t>4.1.2</w:t>
            </w:r>
            <w:r>
              <w:rPr>
                <w:b/>
                <w:color w:val="auto"/>
              </w:rPr>
              <w:t>水环境保护措施</w:t>
            </w:r>
          </w:p>
          <w:p w14:paraId="0ECA1935">
            <w:pPr>
              <w:ind w:firstLine="480"/>
              <w:rPr>
                <w:color w:val="auto"/>
              </w:rPr>
            </w:pPr>
            <w:r>
              <w:rPr>
                <w:color w:val="auto"/>
              </w:rPr>
              <w:t>施工期废水主要为施工废水和施工人员生活污水。</w:t>
            </w:r>
          </w:p>
          <w:p w14:paraId="06577CC7">
            <w:pPr>
              <w:ind w:firstLine="480"/>
              <w:rPr>
                <w:color w:val="auto"/>
              </w:rPr>
            </w:pPr>
            <w:r>
              <w:rPr>
                <w:color w:val="auto"/>
              </w:rPr>
              <w:t>（1）施工废水</w:t>
            </w:r>
          </w:p>
          <w:p w14:paraId="1AE028B7">
            <w:pPr>
              <w:ind w:firstLine="480"/>
              <w:rPr>
                <w:rFonts w:hint="default"/>
                <w:color w:val="auto"/>
                <w:lang w:val="en-US" w:eastAsia="zh-CN"/>
              </w:rPr>
            </w:pPr>
            <w:r>
              <w:rPr>
                <w:rFonts w:hint="eastAsia"/>
                <w:color w:val="auto"/>
                <w:lang w:val="en-US" w:eastAsia="zh-CN"/>
              </w:rPr>
              <w:t>项目主体工程等已经建设完成，本次主要对环保措施进行安装，不产生施工废水。</w:t>
            </w:r>
          </w:p>
          <w:p w14:paraId="3B6CCC9C">
            <w:pPr>
              <w:ind w:firstLine="480"/>
              <w:rPr>
                <w:color w:val="auto"/>
              </w:rPr>
            </w:pPr>
            <w:r>
              <w:rPr>
                <w:color w:val="auto"/>
              </w:rPr>
              <w:t>（2）施工人员生活污水</w:t>
            </w:r>
          </w:p>
          <w:p w14:paraId="3F38D9F1">
            <w:pPr>
              <w:ind w:firstLine="480"/>
              <w:rPr>
                <w:color w:val="auto"/>
              </w:rPr>
            </w:pPr>
            <w:r>
              <w:rPr>
                <w:color w:val="auto"/>
              </w:rPr>
              <w:t>项目内施工人员生活污水</w:t>
            </w:r>
            <w:r>
              <w:rPr>
                <w:rFonts w:hint="eastAsia"/>
                <w:color w:val="auto"/>
              </w:rPr>
              <w:t>主要为洗手等清洗废水</w:t>
            </w:r>
            <w:r>
              <w:rPr>
                <w:color w:val="auto"/>
              </w:rPr>
              <w:t>。</w:t>
            </w:r>
          </w:p>
          <w:p w14:paraId="56E996BE">
            <w:pPr>
              <w:ind w:firstLine="480"/>
              <w:rPr>
                <w:bCs/>
                <w:color w:val="auto"/>
              </w:rPr>
            </w:pPr>
            <w:r>
              <w:rPr>
                <w:bCs/>
                <w:color w:val="auto"/>
              </w:rPr>
              <w:t>施工期水环境保护措施如下：</w:t>
            </w:r>
          </w:p>
          <w:p w14:paraId="481FEAB7">
            <w:pPr>
              <w:ind w:firstLine="480"/>
              <w:rPr>
                <w:color w:val="auto"/>
              </w:rPr>
            </w:pPr>
            <w:r>
              <w:rPr>
                <w:color w:val="auto"/>
              </w:rPr>
              <w:fldChar w:fldCharType="begin"/>
            </w:r>
            <w:r>
              <w:rPr>
                <w:color w:val="auto"/>
              </w:rPr>
              <w:instrText xml:space="preserve"> = 1 \* GB3 </w:instrText>
            </w:r>
            <w:r>
              <w:rPr>
                <w:color w:val="auto"/>
              </w:rPr>
              <w:fldChar w:fldCharType="separate"/>
            </w:r>
            <w:r>
              <w:rPr>
                <w:rFonts w:hint="eastAsia" w:ascii="宋体" w:hAnsi="宋体" w:cs="宋体"/>
                <w:color w:val="auto"/>
              </w:rPr>
              <w:t>①</w:t>
            </w:r>
            <w:r>
              <w:rPr>
                <w:color w:val="auto"/>
              </w:rPr>
              <w:fldChar w:fldCharType="end"/>
            </w:r>
            <w:r>
              <w:rPr>
                <w:color w:val="auto"/>
              </w:rPr>
              <w:t>洗手等清洗废水</w:t>
            </w:r>
            <w:r>
              <w:rPr>
                <w:rFonts w:hint="eastAsia"/>
                <w:color w:val="auto"/>
              </w:rPr>
              <w:t>经临时沉淀池预处理后，回用于项目内施工场地洒水降尘，不外排：</w:t>
            </w:r>
          </w:p>
          <w:p w14:paraId="78941560">
            <w:pPr>
              <w:ind w:firstLine="480"/>
              <w:rPr>
                <w:bCs/>
                <w:color w:val="auto"/>
              </w:rPr>
            </w:pPr>
            <w:r>
              <w:rPr>
                <w:color w:val="auto"/>
              </w:rPr>
              <w:t>施工期废水得到合理利用处置，对地表水环境影响较小。</w:t>
            </w:r>
          </w:p>
          <w:p w14:paraId="7A878370">
            <w:pPr>
              <w:ind w:firstLine="482"/>
              <w:rPr>
                <w:b/>
                <w:color w:val="auto"/>
              </w:rPr>
            </w:pPr>
            <w:r>
              <w:rPr>
                <w:rFonts w:hint="eastAsia"/>
                <w:b/>
                <w:color w:val="auto"/>
              </w:rPr>
              <w:t>4.1.3声环境保护措施</w:t>
            </w:r>
          </w:p>
          <w:p w14:paraId="40D8A412">
            <w:pPr>
              <w:ind w:firstLine="480"/>
              <w:rPr>
                <w:rFonts w:ascii="宋体" w:hAnsi="宋体" w:cs="宋体"/>
                <w:bCs/>
                <w:color w:val="auto"/>
              </w:rPr>
            </w:pPr>
            <w:r>
              <w:rPr>
                <w:rFonts w:hint="eastAsia" w:ascii="宋体" w:hAnsi="宋体" w:cs="宋体"/>
                <w:bCs/>
                <w:color w:val="auto"/>
              </w:rPr>
              <w:t>施工期声环境保护措施如下：</w:t>
            </w:r>
          </w:p>
          <w:p w14:paraId="36A48E4B">
            <w:pPr>
              <w:ind w:firstLine="480"/>
              <w:rPr>
                <w:bCs/>
                <w:color w:val="auto"/>
              </w:rPr>
            </w:pPr>
            <w:r>
              <w:rPr>
                <w:rFonts w:hint="eastAsia" w:ascii="宋体" w:hAnsi="宋体" w:cs="宋体"/>
                <w:color w:val="auto"/>
              </w:rPr>
              <w:t>①</w:t>
            </w:r>
            <w:r>
              <w:rPr>
                <w:color w:val="auto"/>
              </w:rPr>
              <w:t>选用符合国家有关标准的施工</w:t>
            </w:r>
            <w:r>
              <w:rPr>
                <w:rFonts w:hint="eastAsia"/>
                <w:color w:val="auto"/>
              </w:rPr>
              <w:t>工具</w:t>
            </w:r>
            <w:r>
              <w:rPr>
                <w:color w:val="auto"/>
              </w:rPr>
              <w:t>和车辆，采用低噪声的施工机械和工艺，振动较大的固定机械设备加装有减振机座。</w:t>
            </w:r>
            <w:r>
              <w:rPr>
                <w:bCs/>
                <w:color w:val="auto"/>
              </w:rPr>
              <w:t>对动力机械设备进行定期的维修、养护；避免设备常因松动部件的振动或消声器的损坏而增加其工作时的噪声级</w:t>
            </w:r>
            <w:r>
              <w:rPr>
                <w:rFonts w:hint="eastAsia"/>
                <w:bCs/>
                <w:color w:val="auto"/>
              </w:rPr>
              <w:t>。</w:t>
            </w:r>
          </w:p>
          <w:p w14:paraId="088571A2">
            <w:pPr>
              <w:ind w:firstLine="480"/>
              <w:rPr>
                <w:color w:val="auto"/>
              </w:rPr>
            </w:pPr>
            <w:r>
              <w:rPr>
                <w:rFonts w:hint="eastAsia" w:ascii="宋体" w:hAnsi="宋体" w:cs="宋体"/>
                <w:color w:val="auto"/>
              </w:rPr>
              <w:t>②</w:t>
            </w:r>
            <w:r>
              <w:rPr>
                <w:color w:val="auto"/>
              </w:rPr>
              <w:t>施工机械合理布置，高噪声设备</w:t>
            </w:r>
            <w:r>
              <w:rPr>
                <w:rFonts w:hint="eastAsia"/>
                <w:color w:val="auto"/>
              </w:rPr>
              <w:t>设置</w:t>
            </w:r>
            <w:r>
              <w:rPr>
                <w:color w:val="auto"/>
              </w:rPr>
              <w:t>在远离敏感点一侧；运输车辆经过敏感点</w:t>
            </w:r>
            <w:r>
              <w:rPr>
                <w:color w:val="auto"/>
                <w:kern w:val="0"/>
              </w:rPr>
              <w:t>路段</w:t>
            </w:r>
            <w:r>
              <w:rPr>
                <w:rFonts w:hint="eastAsia"/>
                <w:color w:val="auto"/>
                <w:kern w:val="0"/>
                <w:lang w:val="en-US" w:eastAsia="zh-CN"/>
              </w:rPr>
              <w:t>减速</w:t>
            </w:r>
            <w:r>
              <w:rPr>
                <w:color w:val="auto"/>
                <w:kern w:val="0"/>
              </w:rPr>
              <w:t>慢行，禁止鸣笛。</w:t>
            </w:r>
          </w:p>
          <w:p w14:paraId="3457E693">
            <w:pPr>
              <w:ind w:firstLine="480"/>
              <w:rPr>
                <w:color w:val="auto"/>
              </w:rPr>
            </w:pPr>
            <w:r>
              <w:rPr>
                <w:rFonts w:hint="eastAsia" w:ascii="宋体" w:hAnsi="宋体" w:cs="宋体"/>
                <w:color w:val="auto"/>
              </w:rPr>
              <w:t>③</w:t>
            </w:r>
            <w:r>
              <w:rPr>
                <w:color w:val="auto"/>
              </w:rPr>
              <w:t>施工期夜间停止施工。</w:t>
            </w:r>
          </w:p>
          <w:p w14:paraId="6A5A5E5A">
            <w:pPr>
              <w:ind w:firstLine="480"/>
              <w:rPr>
                <w:color w:val="auto"/>
              </w:rPr>
            </w:pPr>
            <w:r>
              <w:rPr>
                <w:rFonts w:hint="eastAsia" w:ascii="宋体" w:hAnsi="宋体" w:cs="宋体"/>
                <w:color w:val="auto"/>
              </w:rPr>
              <w:t>④</w:t>
            </w:r>
            <w:r>
              <w:rPr>
                <w:color w:val="auto"/>
              </w:rPr>
              <w:t>为减少施工期间的材料运输、敲击、人的喊叫等施工活动声源，施工单位文明施工、加强有效管理</w:t>
            </w:r>
            <w:r>
              <w:rPr>
                <w:rFonts w:hint="eastAsia"/>
                <w:color w:val="auto"/>
              </w:rPr>
              <w:t>来</w:t>
            </w:r>
            <w:r>
              <w:rPr>
                <w:color w:val="auto"/>
              </w:rPr>
              <w:t>缓解。</w:t>
            </w:r>
          </w:p>
          <w:p w14:paraId="4E7B7008">
            <w:pPr>
              <w:ind w:firstLine="480"/>
              <w:rPr>
                <w:bCs/>
                <w:color w:val="auto"/>
              </w:rPr>
            </w:pPr>
            <w:r>
              <w:rPr>
                <w:color w:val="auto"/>
              </w:rPr>
              <w:t>在采取上述措施后项目施工期产生的噪声对周围环境影响</w:t>
            </w:r>
            <w:r>
              <w:rPr>
                <w:rFonts w:hint="eastAsia"/>
                <w:color w:val="auto"/>
              </w:rPr>
              <w:t>较小</w:t>
            </w:r>
            <w:r>
              <w:rPr>
                <w:bCs/>
                <w:color w:val="auto"/>
                <w:kern w:val="0"/>
              </w:rPr>
              <w:t>。</w:t>
            </w:r>
          </w:p>
          <w:p w14:paraId="3E8F2C60">
            <w:pPr>
              <w:ind w:firstLine="482"/>
              <w:rPr>
                <w:b/>
                <w:color w:val="auto"/>
              </w:rPr>
            </w:pPr>
            <w:r>
              <w:rPr>
                <w:rFonts w:hint="eastAsia"/>
                <w:b/>
                <w:color w:val="auto"/>
              </w:rPr>
              <w:t>4.1.4</w:t>
            </w:r>
            <w:r>
              <w:rPr>
                <w:b/>
                <w:color w:val="auto"/>
              </w:rPr>
              <w:t>固体废物</w:t>
            </w:r>
            <w:r>
              <w:rPr>
                <w:rFonts w:hint="eastAsia"/>
                <w:b/>
                <w:color w:val="auto"/>
              </w:rPr>
              <w:t>污染</w:t>
            </w:r>
            <w:r>
              <w:rPr>
                <w:b/>
                <w:color w:val="auto"/>
              </w:rPr>
              <w:t>防治措施</w:t>
            </w:r>
          </w:p>
          <w:p w14:paraId="21BA9468">
            <w:pPr>
              <w:ind w:firstLine="480"/>
              <w:rPr>
                <w:rFonts w:hint="eastAsia" w:ascii="宋体" w:hAnsi="宋体" w:cs="宋体"/>
                <w:bCs/>
                <w:color w:val="auto"/>
              </w:rPr>
            </w:pPr>
            <w:r>
              <w:rPr>
                <w:rFonts w:hint="eastAsia" w:ascii="宋体" w:hAnsi="宋体" w:cs="宋体"/>
                <w:bCs/>
                <w:color w:val="auto"/>
              </w:rPr>
              <w:t>施工期固体废物污染防治措施如下：</w:t>
            </w:r>
          </w:p>
          <w:p w14:paraId="0DDC108F">
            <w:pPr>
              <w:ind w:firstLine="480"/>
              <w:rPr>
                <w:color w:val="auto"/>
              </w:rPr>
            </w:pPr>
            <w:r>
              <w:rPr>
                <w:color w:val="auto"/>
              </w:rPr>
              <w:fldChar w:fldCharType="begin"/>
            </w:r>
            <w:r>
              <w:rPr>
                <w:color w:val="auto"/>
              </w:rPr>
              <w:instrText xml:space="preserve"> </w:instrText>
            </w:r>
            <w:r>
              <w:rPr>
                <w:rFonts w:hint="eastAsia"/>
                <w:color w:val="auto"/>
              </w:rPr>
              <w:instrText xml:space="preserve">= 1 \* GB3</w:instrText>
            </w:r>
            <w:r>
              <w:rPr>
                <w:color w:val="auto"/>
              </w:rPr>
              <w:instrText xml:space="preserve"> </w:instrText>
            </w:r>
            <w:r>
              <w:rPr>
                <w:color w:val="auto"/>
              </w:rPr>
              <w:fldChar w:fldCharType="separate"/>
            </w:r>
            <w:r>
              <w:rPr>
                <w:rFonts w:hint="eastAsia"/>
                <w:color w:val="auto"/>
              </w:rPr>
              <w:t>①</w:t>
            </w:r>
            <w:r>
              <w:rPr>
                <w:color w:val="auto"/>
              </w:rPr>
              <w:fldChar w:fldCharType="end"/>
            </w:r>
            <w:r>
              <w:rPr>
                <w:color w:val="auto"/>
              </w:rPr>
              <w:t>施工人员生活垃圾集中收集后，</w:t>
            </w:r>
            <w:r>
              <w:rPr>
                <w:rFonts w:hint="eastAsia"/>
                <w:color w:val="auto"/>
                <w:lang w:val="en-US" w:eastAsia="zh-CN"/>
              </w:rPr>
              <w:t>收集于一般固废区，由</w:t>
            </w:r>
            <w:r>
              <w:rPr>
                <w:rFonts w:hint="eastAsia"/>
                <w:color w:val="auto"/>
                <w:szCs w:val="21"/>
                <w:lang w:val="en-US" w:eastAsia="zh-CN"/>
              </w:rPr>
              <w:t>昆明洁龙保洁服务有限公司</w:t>
            </w:r>
            <w:r>
              <w:rPr>
                <w:color w:val="auto"/>
                <w:szCs w:val="21"/>
              </w:rPr>
              <w:t>定期</w:t>
            </w:r>
            <w:r>
              <w:rPr>
                <w:rFonts w:hint="eastAsia"/>
                <w:color w:val="auto"/>
                <w:szCs w:val="21"/>
                <w:lang w:val="en-US" w:eastAsia="zh-CN"/>
              </w:rPr>
              <w:t>清运处置</w:t>
            </w:r>
            <w:r>
              <w:rPr>
                <w:rFonts w:hint="eastAsia"/>
                <w:color w:val="auto"/>
              </w:rPr>
              <w:t>。</w:t>
            </w:r>
          </w:p>
          <w:p w14:paraId="4E73E8F5">
            <w:pPr>
              <w:ind w:firstLine="480"/>
              <w:rPr>
                <w:color w:val="auto"/>
              </w:rPr>
            </w:pPr>
            <w:r>
              <w:rPr>
                <w:rFonts w:hint="eastAsia" w:ascii="宋体" w:hAnsi="宋体" w:cs="宋体"/>
                <w:color w:val="auto"/>
              </w:rPr>
              <w:t>②</w:t>
            </w:r>
            <w:r>
              <w:rPr>
                <w:color w:val="auto"/>
              </w:rPr>
              <w:t>施工期产生的</w:t>
            </w:r>
            <w:r>
              <w:rPr>
                <w:color w:val="auto"/>
                <w:kern w:val="0"/>
              </w:rPr>
              <w:t>建筑垃圾施工单位应按相关部门的规定要求加强管理，采取分拣、剔除等分类收集处理措施，能回收利用的部分尽量回收利用，不能回用的部分清运妥善处置</w:t>
            </w:r>
            <w:r>
              <w:rPr>
                <w:color w:val="auto"/>
              </w:rPr>
              <w:t>。</w:t>
            </w:r>
          </w:p>
          <w:p w14:paraId="4FBCE2E2">
            <w:pPr>
              <w:ind w:firstLine="480"/>
              <w:rPr>
                <w:bCs/>
                <w:color w:val="auto"/>
              </w:rPr>
            </w:pPr>
            <w:r>
              <w:rPr>
                <w:color w:val="auto"/>
              </w:rPr>
              <w:t>在采取上述措施后项目施工期产生的</w:t>
            </w:r>
            <w:r>
              <w:rPr>
                <w:rFonts w:hint="eastAsia"/>
                <w:color w:val="auto"/>
              </w:rPr>
              <w:t>固体废物</w:t>
            </w:r>
            <w:r>
              <w:rPr>
                <w:color w:val="auto"/>
              </w:rPr>
              <w:t>对周围环境影响</w:t>
            </w:r>
            <w:r>
              <w:rPr>
                <w:rFonts w:hint="eastAsia"/>
                <w:color w:val="auto"/>
              </w:rPr>
              <w:t>较小</w:t>
            </w:r>
            <w:r>
              <w:rPr>
                <w:bCs/>
                <w:color w:val="auto"/>
                <w:kern w:val="0"/>
              </w:rPr>
              <w:t>。</w:t>
            </w:r>
          </w:p>
          <w:p w14:paraId="6C93DF34">
            <w:pPr>
              <w:pStyle w:val="33"/>
              <w:spacing w:line="360" w:lineRule="auto"/>
              <w:ind w:firstLine="482"/>
              <w:rPr>
                <w:b/>
                <w:bCs/>
                <w:color w:val="auto"/>
                <w:szCs w:val="24"/>
              </w:rPr>
            </w:pPr>
            <w:r>
              <w:rPr>
                <w:rFonts w:hint="eastAsia"/>
                <w:b/>
                <w:bCs/>
                <w:color w:val="auto"/>
                <w:szCs w:val="24"/>
              </w:rPr>
              <w:t>4.1.5生态保护措施</w:t>
            </w:r>
          </w:p>
          <w:p w14:paraId="1A88611E">
            <w:pPr>
              <w:adjustRightInd w:val="0"/>
              <w:snapToGrid w:val="0"/>
              <w:ind w:firstLine="480"/>
              <w:rPr>
                <w:color w:val="auto"/>
              </w:rPr>
            </w:pPr>
            <w:r>
              <w:rPr>
                <w:rFonts w:hint="eastAsia"/>
                <w:color w:val="auto"/>
              </w:rPr>
              <w:t>严格按征地范围进行施工，严禁超计划征占地；</w:t>
            </w:r>
          </w:p>
          <w:p w14:paraId="1F54DC39">
            <w:pPr>
              <w:adjustRightInd w:val="0"/>
              <w:snapToGrid w:val="0"/>
              <w:ind w:firstLine="480"/>
              <w:rPr>
                <w:color w:val="auto"/>
              </w:rPr>
            </w:pPr>
            <w:r>
              <w:rPr>
                <w:rFonts w:hint="eastAsia"/>
                <w:color w:val="auto"/>
              </w:rPr>
              <w:t>加强施工单位和人员的环保宣传教育，严禁随意砍伐林木、猎捕野生动物；</w:t>
            </w:r>
          </w:p>
          <w:p w14:paraId="66FC2111">
            <w:pPr>
              <w:adjustRightInd w:val="0"/>
              <w:snapToGrid w:val="0"/>
              <w:ind w:firstLine="480"/>
              <w:rPr>
                <w:rFonts w:hint="eastAsia"/>
                <w:color w:val="auto"/>
              </w:rPr>
            </w:pPr>
            <w:r>
              <w:rPr>
                <w:rFonts w:hint="eastAsia"/>
                <w:color w:val="auto"/>
              </w:rPr>
              <w:t>项目区设置生态环境保护宣传警示牌。加强对项目区内的覆土绿化。</w:t>
            </w:r>
          </w:p>
          <w:p w14:paraId="546EBDA0">
            <w:pPr>
              <w:adjustRightInd w:val="0"/>
              <w:snapToGrid w:val="0"/>
              <w:ind w:firstLine="480"/>
              <w:rPr>
                <w:rFonts w:hint="eastAsia"/>
                <w:color w:val="auto"/>
              </w:rPr>
            </w:pPr>
          </w:p>
          <w:p w14:paraId="5BF4AAC2">
            <w:pPr>
              <w:adjustRightInd w:val="0"/>
              <w:snapToGrid w:val="0"/>
              <w:ind w:firstLine="480"/>
              <w:rPr>
                <w:rFonts w:hint="eastAsia"/>
                <w:color w:val="auto"/>
              </w:rPr>
            </w:pPr>
          </w:p>
          <w:p w14:paraId="47A1E28B">
            <w:pPr>
              <w:adjustRightInd w:val="0"/>
              <w:snapToGrid w:val="0"/>
              <w:ind w:firstLine="480"/>
              <w:rPr>
                <w:rFonts w:hint="eastAsia"/>
                <w:color w:val="auto"/>
              </w:rPr>
            </w:pPr>
          </w:p>
          <w:p w14:paraId="2206BF50">
            <w:pPr>
              <w:adjustRightInd w:val="0"/>
              <w:snapToGrid w:val="0"/>
              <w:ind w:firstLine="480"/>
              <w:rPr>
                <w:rFonts w:hint="eastAsia"/>
                <w:color w:val="auto"/>
              </w:rPr>
            </w:pPr>
          </w:p>
          <w:p w14:paraId="7C9C85CA">
            <w:pPr>
              <w:adjustRightInd w:val="0"/>
              <w:snapToGrid w:val="0"/>
              <w:ind w:firstLine="480"/>
              <w:rPr>
                <w:rFonts w:hint="eastAsia"/>
                <w:color w:val="auto"/>
              </w:rPr>
            </w:pPr>
          </w:p>
          <w:p w14:paraId="1A95BB3A">
            <w:pPr>
              <w:adjustRightInd w:val="0"/>
              <w:snapToGrid w:val="0"/>
              <w:ind w:firstLine="480"/>
              <w:rPr>
                <w:rFonts w:hint="eastAsia"/>
                <w:color w:val="auto"/>
              </w:rPr>
            </w:pPr>
          </w:p>
          <w:p w14:paraId="38AC8936">
            <w:pPr>
              <w:adjustRightInd w:val="0"/>
              <w:snapToGrid w:val="0"/>
              <w:ind w:firstLine="480"/>
              <w:rPr>
                <w:rFonts w:hint="eastAsia"/>
                <w:color w:val="auto"/>
              </w:rPr>
            </w:pPr>
          </w:p>
          <w:p w14:paraId="05AFD653">
            <w:pPr>
              <w:adjustRightInd w:val="0"/>
              <w:snapToGrid w:val="0"/>
              <w:ind w:firstLine="480"/>
              <w:rPr>
                <w:rFonts w:hint="eastAsia"/>
                <w:color w:val="auto"/>
              </w:rPr>
            </w:pPr>
          </w:p>
          <w:p w14:paraId="4C26D6D4">
            <w:pPr>
              <w:adjustRightInd w:val="0"/>
              <w:snapToGrid w:val="0"/>
              <w:ind w:firstLine="480"/>
              <w:rPr>
                <w:rFonts w:hint="eastAsia"/>
                <w:color w:val="auto"/>
              </w:rPr>
            </w:pPr>
          </w:p>
          <w:p w14:paraId="4E016045">
            <w:pPr>
              <w:adjustRightInd w:val="0"/>
              <w:snapToGrid w:val="0"/>
              <w:ind w:firstLine="480"/>
              <w:rPr>
                <w:rFonts w:hint="eastAsia"/>
                <w:color w:val="auto"/>
              </w:rPr>
            </w:pPr>
          </w:p>
          <w:p w14:paraId="2691C121">
            <w:pPr>
              <w:adjustRightInd w:val="0"/>
              <w:snapToGrid w:val="0"/>
              <w:ind w:firstLine="480"/>
              <w:rPr>
                <w:rFonts w:hint="eastAsia"/>
                <w:color w:val="auto"/>
              </w:rPr>
            </w:pPr>
          </w:p>
        </w:tc>
      </w:tr>
      <w:tr w14:paraId="5A6703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288" w:type="dxa"/>
            <w:gridSpan w:val="2"/>
            <w:noWrap w:val="0"/>
            <w:tcMar>
              <w:left w:w="28" w:type="dxa"/>
              <w:right w:w="28" w:type="dxa"/>
            </w:tcMar>
            <w:vAlign w:val="center"/>
          </w:tcPr>
          <w:p w14:paraId="5C102F77">
            <w:pPr>
              <w:adjustRightInd w:val="0"/>
              <w:snapToGrid w:val="0"/>
              <w:ind w:firstLine="0" w:firstLineChars="0"/>
              <w:jc w:val="center"/>
              <w:rPr>
                <w:rFonts w:hint="eastAsia" w:ascii="宋体" w:hAnsi="宋体" w:cs="宋体"/>
                <w:bCs/>
                <w:color w:val="auto"/>
                <w:szCs w:val="21"/>
              </w:rPr>
            </w:pPr>
            <w:r>
              <w:rPr>
                <w:rFonts w:hint="eastAsia" w:ascii="宋体" w:hAnsi="宋体" w:cs="宋体"/>
                <w:bCs/>
                <w:color w:val="auto"/>
                <w:szCs w:val="21"/>
              </w:rPr>
              <w:t>运营</w:t>
            </w:r>
          </w:p>
          <w:p w14:paraId="0F3BDB25">
            <w:pPr>
              <w:adjustRightInd w:val="0"/>
              <w:snapToGrid w:val="0"/>
              <w:ind w:firstLine="0" w:firstLineChars="0"/>
              <w:jc w:val="center"/>
              <w:rPr>
                <w:rFonts w:hint="eastAsia" w:ascii="宋体" w:hAnsi="宋体" w:cs="宋体"/>
                <w:bCs/>
                <w:color w:val="auto"/>
                <w:szCs w:val="21"/>
              </w:rPr>
            </w:pPr>
            <w:r>
              <w:rPr>
                <w:rFonts w:hint="eastAsia" w:ascii="宋体" w:hAnsi="宋体" w:cs="宋体"/>
                <w:bCs/>
                <w:color w:val="auto"/>
                <w:szCs w:val="21"/>
              </w:rPr>
              <w:t>期环</w:t>
            </w:r>
          </w:p>
          <w:p w14:paraId="0DCE364A">
            <w:pPr>
              <w:adjustRightInd w:val="0"/>
              <w:snapToGrid w:val="0"/>
              <w:ind w:firstLine="0" w:firstLineChars="0"/>
              <w:jc w:val="center"/>
              <w:rPr>
                <w:rFonts w:hint="eastAsia" w:ascii="宋体" w:hAnsi="宋体" w:cs="宋体"/>
                <w:bCs/>
                <w:color w:val="auto"/>
                <w:szCs w:val="21"/>
              </w:rPr>
            </w:pPr>
            <w:r>
              <w:rPr>
                <w:rFonts w:hint="eastAsia" w:ascii="宋体" w:hAnsi="宋体" w:cs="宋体"/>
                <w:bCs/>
                <w:color w:val="auto"/>
                <w:szCs w:val="21"/>
              </w:rPr>
              <w:t>境影</w:t>
            </w:r>
          </w:p>
          <w:p w14:paraId="453CAC24">
            <w:pPr>
              <w:adjustRightInd w:val="0"/>
              <w:snapToGrid w:val="0"/>
              <w:ind w:firstLine="0" w:firstLineChars="0"/>
              <w:jc w:val="center"/>
              <w:rPr>
                <w:rFonts w:hint="eastAsia" w:ascii="宋体" w:hAnsi="宋体" w:cs="宋体"/>
                <w:bCs/>
                <w:color w:val="auto"/>
                <w:szCs w:val="21"/>
              </w:rPr>
            </w:pPr>
            <w:r>
              <w:rPr>
                <w:rFonts w:hint="eastAsia" w:ascii="宋体" w:hAnsi="宋体" w:cs="宋体"/>
                <w:bCs/>
                <w:color w:val="auto"/>
                <w:szCs w:val="21"/>
              </w:rPr>
              <w:t>响和</w:t>
            </w:r>
          </w:p>
          <w:p w14:paraId="5881417B">
            <w:pPr>
              <w:adjustRightInd w:val="0"/>
              <w:snapToGrid w:val="0"/>
              <w:ind w:firstLine="0" w:firstLineChars="0"/>
              <w:jc w:val="center"/>
              <w:rPr>
                <w:rFonts w:hint="eastAsia" w:ascii="宋体" w:hAnsi="宋体" w:cs="宋体"/>
                <w:bCs/>
                <w:color w:val="auto"/>
                <w:szCs w:val="21"/>
              </w:rPr>
            </w:pPr>
            <w:r>
              <w:rPr>
                <w:rFonts w:hint="eastAsia" w:ascii="宋体" w:hAnsi="宋体" w:cs="宋体"/>
                <w:bCs/>
                <w:color w:val="auto"/>
                <w:szCs w:val="21"/>
              </w:rPr>
              <w:t>保护</w:t>
            </w:r>
          </w:p>
          <w:p w14:paraId="0A9AEED1">
            <w:pPr>
              <w:adjustRightInd w:val="0"/>
              <w:snapToGrid w:val="0"/>
              <w:ind w:firstLine="0" w:firstLineChars="0"/>
              <w:jc w:val="center"/>
              <w:rPr>
                <w:rFonts w:ascii="宋体" w:hAnsi="宋体" w:cs="宋体"/>
                <w:bCs/>
                <w:color w:val="auto"/>
                <w:szCs w:val="21"/>
              </w:rPr>
            </w:pPr>
            <w:r>
              <w:rPr>
                <w:rFonts w:hint="eastAsia" w:ascii="宋体" w:hAnsi="宋体" w:cs="宋体"/>
                <w:bCs/>
                <w:color w:val="auto"/>
                <w:szCs w:val="21"/>
              </w:rPr>
              <w:t>措施</w:t>
            </w:r>
          </w:p>
        </w:tc>
        <w:tc>
          <w:tcPr>
            <w:tcW w:w="8921" w:type="dxa"/>
            <w:gridSpan w:val="2"/>
            <w:noWrap w:val="0"/>
            <w:vAlign w:val="top"/>
          </w:tcPr>
          <w:p w14:paraId="68CB673B">
            <w:pPr>
              <w:adjustRightInd w:val="0"/>
              <w:snapToGrid w:val="0"/>
              <w:spacing w:line="500" w:lineRule="exact"/>
              <w:ind w:firstLine="0" w:firstLineChars="0"/>
              <w:rPr>
                <w:b/>
                <w:bCs/>
                <w:color w:val="auto"/>
              </w:rPr>
            </w:pPr>
            <w:r>
              <w:rPr>
                <w:rFonts w:hint="eastAsia"/>
                <w:b/>
                <w:bCs/>
                <w:color w:val="auto"/>
              </w:rPr>
              <w:t>4.2</w:t>
            </w:r>
            <w:r>
              <w:rPr>
                <w:b/>
                <w:bCs/>
                <w:color w:val="auto"/>
              </w:rPr>
              <w:t>大气环境影响和保护措施分析</w:t>
            </w:r>
          </w:p>
          <w:p w14:paraId="5DBC99CD">
            <w:pPr>
              <w:adjustRightInd w:val="0"/>
              <w:snapToGrid w:val="0"/>
              <w:spacing w:line="500" w:lineRule="exact"/>
              <w:ind w:firstLine="480"/>
              <w:rPr>
                <w:color w:val="auto"/>
              </w:rPr>
            </w:pPr>
            <w:r>
              <w:rPr>
                <w:rFonts w:hint="eastAsia"/>
                <w:color w:val="auto"/>
              </w:rPr>
              <w:t>本</w:t>
            </w:r>
            <w:r>
              <w:rPr>
                <w:color w:val="auto"/>
              </w:rPr>
              <w:t>项目产生的废气主要</w:t>
            </w:r>
            <w:r>
              <w:rPr>
                <w:rFonts w:hint="eastAsia"/>
                <w:color w:val="auto"/>
              </w:rPr>
              <w:t>分为有组织废气和无组织废气，其中有组织废气包括粉料</w:t>
            </w:r>
            <w:r>
              <w:rPr>
                <w:color w:val="auto"/>
              </w:rPr>
              <w:t>筒仓粉尘</w:t>
            </w:r>
            <w:r>
              <w:rPr>
                <w:rFonts w:hint="eastAsia"/>
                <w:color w:val="auto"/>
              </w:rPr>
              <w:t>、</w:t>
            </w:r>
            <w:r>
              <w:rPr>
                <w:rFonts w:hint="eastAsia"/>
                <w:bCs/>
                <w:color w:val="auto"/>
                <w:spacing w:val="-10"/>
              </w:rPr>
              <w:t>食堂油烟和锅炉废气；无组织粉尘有</w:t>
            </w:r>
            <w:r>
              <w:rPr>
                <w:color w:val="auto"/>
              </w:rPr>
              <w:t>砂石料装卸粉尘</w:t>
            </w:r>
            <w:r>
              <w:rPr>
                <w:rFonts w:hint="eastAsia"/>
                <w:color w:val="auto"/>
              </w:rPr>
              <w:t>、</w:t>
            </w:r>
            <w:r>
              <w:rPr>
                <w:color w:val="auto"/>
              </w:rPr>
              <w:t>运输扬尘</w:t>
            </w:r>
            <w:r>
              <w:rPr>
                <w:rFonts w:hint="eastAsia"/>
                <w:color w:val="auto"/>
              </w:rPr>
              <w:t>、</w:t>
            </w:r>
            <w:r>
              <w:rPr>
                <w:color w:val="auto"/>
              </w:rPr>
              <w:t>砂石料堆场扬尘</w:t>
            </w:r>
            <w:r>
              <w:rPr>
                <w:rFonts w:hint="eastAsia"/>
                <w:color w:val="auto"/>
              </w:rPr>
              <w:t>、投料工序无组织粉尘、</w:t>
            </w:r>
            <w:r>
              <w:rPr>
                <w:color w:val="auto"/>
              </w:rPr>
              <w:t>钢筋焊接烟尘及切割金属粉尘</w:t>
            </w:r>
            <w:r>
              <w:rPr>
                <w:rFonts w:hint="eastAsia"/>
                <w:color w:val="auto"/>
              </w:rPr>
              <w:t>和汽车尾气等。</w:t>
            </w:r>
          </w:p>
          <w:p w14:paraId="221DEA09">
            <w:pPr>
              <w:adjustRightInd w:val="0"/>
              <w:snapToGrid w:val="0"/>
              <w:spacing w:line="500" w:lineRule="exact"/>
              <w:ind w:firstLine="482"/>
              <w:rPr>
                <w:b/>
                <w:bCs/>
                <w:color w:val="auto"/>
              </w:rPr>
            </w:pPr>
            <w:r>
              <w:rPr>
                <w:rFonts w:hint="eastAsia"/>
                <w:b/>
                <w:bCs/>
                <w:color w:val="auto"/>
              </w:rPr>
              <w:t>4.2.1</w:t>
            </w:r>
            <w:r>
              <w:rPr>
                <w:b/>
                <w:bCs/>
                <w:color w:val="auto"/>
              </w:rPr>
              <w:t>污染物源强分析</w:t>
            </w:r>
          </w:p>
          <w:p w14:paraId="0CAFA008">
            <w:pPr>
              <w:ind w:firstLine="482"/>
              <w:rPr>
                <w:b/>
                <w:bCs/>
                <w:color w:val="auto"/>
              </w:rPr>
            </w:pPr>
            <w:r>
              <w:rPr>
                <w:rFonts w:hint="eastAsia"/>
                <w:b/>
                <w:bCs/>
                <w:color w:val="auto"/>
              </w:rPr>
              <w:t>1、有组织粉尘</w:t>
            </w:r>
          </w:p>
          <w:p w14:paraId="31C52B02">
            <w:pPr>
              <w:pStyle w:val="10"/>
              <w:spacing w:after="0" w:line="360" w:lineRule="auto"/>
              <w:ind w:left="0" w:leftChars="0" w:firstLine="454"/>
              <w:rPr>
                <w:color w:val="auto"/>
              </w:rPr>
            </w:pPr>
            <w:r>
              <w:rPr>
                <w:bCs/>
                <w:color w:val="auto"/>
                <w:w w:val="95"/>
              </w:rPr>
              <w:fldChar w:fldCharType="begin"/>
            </w:r>
            <w:r>
              <w:rPr>
                <w:bCs/>
                <w:color w:val="auto"/>
                <w:w w:val="95"/>
              </w:rPr>
              <w:instrText xml:space="preserve"> </w:instrText>
            </w:r>
            <w:r>
              <w:rPr>
                <w:rFonts w:hint="eastAsia"/>
                <w:bCs/>
                <w:color w:val="auto"/>
                <w:w w:val="95"/>
              </w:rPr>
              <w:instrText xml:space="preserve">= 1 \* GB3</w:instrText>
            </w:r>
            <w:r>
              <w:rPr>
                <w:bCs/>
                <w:color w:val="auto"/>
                <w:w w:val="95"/>
              </w:rPr>
              <w:instrText xml:space="preserve"> </w:instrText>
            </w:r>
            <w:r>
              <w:rPr>
                <w:bCs/>
                <w:color w:val="auto"/>
                <w:w w:val="95"/>
              </w:rPr>
              <w:fldChar w:fldCharType="separate"/>
            </w:r>
            <w:r>
              <w:rPr>
                <w:rFonts w:hint="eastAsia"/>
                <w:bCs/>
                <w:color w:val="auto"/>
                <w:w w:val="95"/>
              </w:rPr>
              <w:t>①</w:t>
            </w:r>
            <w:r>
              <w:rPr>
                <w:bCs/>
                <w:color w:val="auto"/>
                <w:w w:val="95"/>
              </w:rPr>
              <w:fldChar w:fldCharType="end"/>
            </w:r>
            <w:r>
              <w:rPr>
                <w:rFonts w:hint="eastAsia"/>
                <w:color w:val="auto"/>
              </w:rPr>
              <w:t>粉料</w:t>
            </w:r>
            <w:r>
              <w:rPr>
                <w:color w:val="auto"/>
              </w:rPr>
              <w:t>筒仓粉尘</w:t>
            </w:r>
          </w:p>
          <w:p w14:paraId="6081CD43">
            <w:pPr>
              <w:ind w:firstLine="480"/>
              <w:rPr>
                <w:color w:val="auto"/>
              </w:rPr>
            </w:pPr>
            <w:r>
              <w:rPr>
                <w:color w:val="auto"/>
              </w:rPr>
              <w:t>本项目每年上料</w:t>
            </w:r>
            <w:r>
              <w:rPr>
                <w:rFonts w:hint="eastAsia"/>
                <w:color w:val="auto"/>
              </w:rPr>
              <w:t>20000.525</w:t>
            </w:r>
            <w:r>
              <w:rPr>
                <w:color w:val="auto"/>
              </w:rPr>
              <w:t>t水泥</w:t>
            </w:r>
            <w:r>
              <w:rPr>
                <w:rFonts w:hint="eastAsia"/>
                <w:color w:val="auto"/>
              </w:rPr>
              <w:t>和2417.975t掺和料，每个水泥筒仓平均年上料5000.132t，每个掺和料筒仓平均年上料1208.99t</w:t>
            </w:r>
            <w:r>
              <w:rPr>
                <w:color w:val="auto"/>
              </w:rPr>
              <w:t>。粉料筒仓粉尘产生量参考《第二次全国污染源普查产排污系数手册》“3021水泥制品制造（含3022砼结构构件、3029其他水泥类似制品制造）行业”中“水泥、砂子、石子等物料输送储存”排污系数为0.12kg/t-产品。在水泥的罐装过程中，由于通过管道进入筒仓时进料口在筒仓下方，罐装车通过气力输送将水泥送至筒仓（气力输送所需的压缩空气由罐车自带的压缩机提供，筒仓气力输送风量为</w:t>
            </w:r>
            <w:r>
              <w:rPr>
                <w:rFonts w:hint="eastAsia"/>
                <w:color w:val="auto"/>
              </w:rPr>
              <w:t>2</w:t>
            </w:r>
            <w:r>
              <w:rPr>
                <w:color w:val="auto"/>
              </w:rPr>
              <w:t>000m</w:t>
            </w:r>
            <w:r>
              <w:rPr>
                <w:color w:val="auto"/>
                <w:vertAlign w:val="superscript"/>
              </w:rPr>
              <w:t>3</w:t>
            </w:r>
            <w:r>
              <w:rPr>
                <w:color w:val="auto"/>
              </w:rPr>
              <w:t>/h，单次卸料最短时间约45min），本项目水泥运输按单车</w:t>
            </w:r>
            <w:r>
              <w:rPr>
                <w:rFonts w:hint="eastAsia"/>
                <w:color w:val="auto"/>
              </w:rPr>
              <w:t>20</w:t>
            </w:r>
            <w:r>
              <w:rPr>
                <w:color w:val="auto"/>
              </w:rPr>
              <w:t>t计，筒仓顶部安装有仓顶除尘器，在往筒仓中输送水泥时筒仓内空气排放时均经过仓顶除尘器过滤后排放，据向设备供应单位了解，仓顶除尘器的除尘效率可在99.9%以上，本次评价除尘效率按99.8%考虑</w:t>
            </w:r>
            <w:r>
              <w:rPr>
                <w:rFonts w:hint="eastAsia"/>
                <w:color w:val="auto"/>
              </w:rPr>
              <w:t>。废气经筒仓自带仓顶除尘器除尘后由仓顶排口进行达标排放</w:t>
            </w:r>
            <w:r>
              <w:rPr>
                <w:color w:val="auto"/>
              </w:rPr>
              <w:t>。</w:t>
            </w:r>
          </w:p>
          <w:p w14:paraId="69A0618E">
            <w:pPr>
              <w:pStyle w:val="31"/>
              <w:ind w:firstLine="480"/>
              <w:rPr>
                <w:color w:val="auto"/>
              </w:rPr>
            </w:pPr>
            <w:r>
              <w:rPr>
                <w:rFonts w:hint="eastAsia"/>
                <w:color w:val="auto"/>
              </w:rPr>
              <w:t>因项目的筒仓容积、仓顶除尘设备、除尘效率均相同，故将本项目的水泥和掺和料平均分配至每个筒仓，项目共有4个水泥筒仓和2个掺和料筒仓。</w:t>
            </w:r>
          </w:p>
          <w:p w14:paraId="40C0CC7B">
            <w:pPr>
              <w:pStyle w:val="31"/>
              <w:ind w:firstLine="480"/>
              <w:rPr>
                <w:color w:val="auto"/>
              </w:rPr>
            </w:pPr>
            <w:r>
              <w:rPr>
                <w:rFonts w:hint="eastAsia"/>
                <w:color w:val="auto"/>
              </w:rPr>
              <w:t>故粉料</w:t>
            </w:r>
            <w:r>
              <w:rPr>
                <w:color w:val="auto"/>
              </w:rPr>
              <w:t>筒仓粉尘</w:t>
            </w:r>
            <w:r>
              <w:rPr>
                <w:rFonts w:hint="eastAsia"/>
                <w:color w:val="auto"/>
              </w:rPr>
              <w:t>产生量、排放量、产生浓度和排放浓度见下表：</w:t>
            </w:r>
          </w:p>
          <w:p w14:paraId="5A7E811A">
            <w:pPr>
              <w:spacing w:line="240" w:lineRule="auto"/>
              <w:ind w:firstLine="422"/>
              <w:jc w:val="center"/>
              <w:rPr>
                <w:b/>
                <w:color w:val="auto"/>
                <w:kern w:val="0"/>
                <w:sz w:val="21"/>
                <w:szCs w:val="21"/>
              </w:rPr>
            </w:pPr>
            <w:r>
              <w:rPr>
                <w:rFonts w:hint="eastAsia"/>
                <w:b/>
                <w:color w:val="auto"/>
                <w:kern w:val="0"/>
                <w:sz w:val="21"/>
                <w:szCs w:val="21"/>
              </w:rPr>
              <w:t>表</w:t>
            </w:r>
            <w:r>
              <w:rPr>
                <w:rFonts w:hint="eastAsia"/>
                <w:b/>
                <w:color w:val="auto"/>
                <w:kern w:val="0"/>
                <w:sz w:val="21"/>
                <w:szCs w:val="21"/>
                <w:lang w:val="en-US" w:eastAsia="zh-CN"/>
              </w:rPr>
              <w:t>4-1</w:t>
            </w:r>
            <w:r>
              <w:rPr>
                <w:b/>
                <w:color w:val="auto"/>
                <w:kern w:val="0"/>
                <w:sz w:val="21"/>
                <w:szCs w:val="21"/>
              </w:rPr>
              <w:t xml:space="preserve">  </w:t>
            </w:r>
            <w:r>
              <w:rPr>
                <w:rFonts w:hint="eastAsia"/>
                <w:b/>
                <w:color w:val="auto"/>
                <w:kern w:val="0"/>
                <w:sz w:val="21"/>
                <w:szCs w:val="21"/>
              </w:rPr>
              <w:t>项目区粉料筒仓粉尘</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9"/>
              <w:gridCol w:w="1017"/>
              <w:gridCol w:w="1027"/>
              <w:gridCol w:w="818"/>
              <w:gridCol w:w="804"/>
              <w:gridCol w:w="1347"/>
              <w:gridCol w:w="912"/>
              <w:gridCol w:w="912"/>
              <w:gridCol w:w="798"/>
            </w:tblGrid>
            <w:tr w14:paraId="63AA3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10" w:type="pct"/>
                  <w:noWrap w:val="0"/>
                  <w:vAlign w:val="center"/>
                </w:tcPr>
                <w:p w14:paraId="299511C5">
                  <w:pPr>
                    <w:pStyle w:val="36"/>
                    <w:rPr>
                      <w:rFonts w:hint="eastAsia"/>
                      <w:color w:val="auto"/>
                      <w:szCs w:val="21"/>
                    </w:rPr>
                  </w:pPr>
                  <w:r>
                    <w:rPr>
                      <w:rFonts w:hint="eastAsia"/>
                      <w:color w:val="auto"/>
                      <w:szCs w:val="21"/>
                      <w:lang w:eastAsia="zh-CN"/>
                    </w:rPr>
                    <w:t>拌和站</w:t>
                  </w:r>
                </w:p>
              </w:tc>
              <w:tc>
                <w:tcPr>
                  <w:tcW w:w="586" w:type="pct"/>
                  <w:noWrap w:val="0"/>
                  <w:vAlign w:val="center"/>
                </w:tcPr>
                <w:p w14:paraId="40BE4F5E">
                  <w:pPr>
                    <w:pStyle w:val="36"/>
                    <w:rPr>
                      <w:rFonts w:hint="eastAsia"/>
                      <w:color w:val="auto"/>
                      <w:szCs w:val="21"/>
                    </w:rPr>
                  </w:pPr>
                  <w:r>
                    <w:rPr>
                      <w:rFonts w:hint="eastAsia"/>
                      <w:color w:val="auto"/>
                      <w:szCs w:val="21"/>
                    </w:rPr>
                    <w:t>粉料</w:t>
                  </w:r>
                </w:p>
                <w:p w14:paraId="50512099">
                  <w:pPr>
                    <w:pStyle w:val="36"/>
                    <w:rPr>
                      <w:color w:val="auto"/>
                      <w:szCs w:val="21"/>
                    </w:rPr>
                  </w:pPr>
                  <w:r>
                    <w:rPr>
                      <w:rFonts w:hint="eastAsia"/>
                      <w:color w:val="auto"/>
                      <w:szCs w:val="21"/>
                    </w:rPr>
                    <w:t>总量</w:t>
                  </w:r>
                </w:p>
                <w:p w14:paraId="73B6354B">
                  <w:pPr>
                    <w:pStyle w:val="36"/>
                    <w:rPr>
                      <w:rFonts w:hint="eastAsia"/>
                      <w:color w:val="auto"/>
                      <w:szCs w:val="21"/>
                    </w:rPr>
                  </w:pPr>
                  <w:r>
                    <w:rPr>
                      <w:rFonts w:hint="eastAsia"/>
                      <w:color w:val="auto"/>
                      <w:szCs w:val="21"/>
                    </w:rPr>
                    <w:t>万t</w:t>
                  </w:r>
                </w:p>
              </w:tc>
              <w:tc>
                <w:tcPr>
                  <w:tcW w:w="592" w:type="pct"/>
                  <w:noWrap w:val="0"/>
                  <w:vAlign w:val="center"/>
                </w:tcPr>
                <w:p w14:paraId="722FC511">
                  <w:pPr>
                    <w:pStyle w:val="36"/>
                    <w:rPr>
                      <w:color w:val="auto"/>
                      <w:szCs w:val="21"/>
                    </w:rPr>
                  </w:pPr>
                  <w:r>
                    <w:rPr>
                      <w:rFonts w:hint="eastAsia"/>
                      <w:color w:val="auto"/>
                      <w:szCs w:val="21"/>
                    </w:rPr>
                    <w:t>粉尘产生量</w:t>
                  </w:r>
                </w:p>
                <w:p w14:paraId="2955D97F">
                  <w:pPr>
                    <w:pStyle w:val="36"/>
                    <w:rPr>
                      <w:rFonts w:hint="eastAsia"/>
                      <w:color w:val="auto"/>
                      <w:szCs w:val="21"/>
                    </w:rPr>
                  </w:pPr>
                  <w:r>
                    <w:rPr>
                      <w:rFonts w:hint="eastAsia"/>
                      <w:color w:val="auto"/>
                      <w:szCs w:val="21"/>
                    </w:rPr>
                    <w:t>t/a</w:t>
                  </w:r>
                </w:p>
              </w:tc>
              <w:tc>
                <w:tcPr>
                  <w:tcW w:w="471" w:type="pct"/>
                  <w:noWrap w:val="0"/>
                  <w:vAlign w:val="center"/>
                </w:tcPr>
                <w:p w14:paraId="7B774780">
                  <w:pPr>
                    <w:pStyle w:val="36"/>
                    <w:rPr>
                      <w:rFonts w:hint="eastAsia"/>
                      <w:color w:val="auto"/>
                      <w:szCs w:val="21"/>
                    </w:rPr>
                  </w:pPr>
                  <w:r>
                    <w:rPr>
                      <w:rFonts w:hint="eastAsia"/>
                      <w:color w:val="auto"/>
                      <w:szCs w:val="21"/>
                    </w:rPr>
                    <w:t>年运输车次</w:t>
                  </w:r>
                </w:p>
              </w:tc>
              <w:tc>
                <w:tcPr>
                  <w:tcW w:w="463" w:type="pct"/>
                  <w:noWrap w:val="0"/>
                  <w:vAlign w:val="center"/>
                </w:tcPr>
                <w:p w14:paraId="7265841C">
                  <w:pPr>
                    <w:pStyle w:val="36"/>
                    <w:rPr>
                      <w:rFonts w:hint="eastAsia"/>
                      <w:color w:val="auto"/>
                      <w:szCs w:val="21"/>
                    </w:rPr>
                  </w:pPr>
                  <w:r>
                    <w:rPr>
                      <w:rFonts w:hint="eastAsia"/>
                      <w:color w:val="auto"/>
                      <w:szCs w:val="21"/>
                    </w:rPr>
                    <w:t>总卸料时间</w:t>
                  </w:r>
                </w:p>
              </w:tc>
              <w:tc>
                <w:tcPr>
                  <w:tcW w:w="775" w:type="pct"/>
                  <w:noWrap w:val="0"/>
                  <w:vAlign w:val="center"/>
                </w:tcPr>
                <w:p w14:paraId="7CB0145D">
                  <w:pPr>
                    <w:pStyle w:val="36"/>
                    <w:rPr>
                      <w:rFonts w:hint="eastAsia"/>
                      <w:color w:val="auto"/>
                      <w:szCs w:val="21"/>
                    </w:rPr>
                  </w:pPr>
                  <w:r>
                    <w:rPr>
                      <w:rFonts w:hint="eastAsia"/>
                      <w:color w:val="auto"/>
                      <w:szCs w:val="21"/>
                    </w:rPr>
                    <w:t>粉尘产</w:t>
                  </w:r>
                </w:p>
                <w:p w14:paraId="1F7A9DFF">
                  <w:pPr>
                    <w:pStyle w:val="36"/>
                    <w:rPr>
                      <w:color w:val="auto"/>
                      <w:szCs w:val="21"/>
                    </w:rPr>
                  </w:pPr>
                  <w:r>
                    <w:rPr>
                      <w:rFonts w:hint="eastAsia"/>
                      <w:color w:val="auto"/>
                      <w:szCs w:val="21"/>
                    </w:rPr>
                    <w:t>生浓度</w:t>
                  </w:r>
                </w:p>
                <w:p w14:paraId="613D9E59">
                  <w:pPr>
                    <w:pStyle w:val="36"/>
                    <w:rPr>
                      <w:rFonts w:hint="eastAsia"/>
                      <w:color w:val="auto"/>
                      <w:szCs w:val="21"/>
                    </w:rPr>
                  </w:pPr>
                  <w:r>
                    <w:rPr>
                      <w:color w:val="auto"/>
                      <w:szCs w:val="21"/>
                    </w:rPr>
                    <w:t>mg/m</w:t>
                  </w:r>
                  <w:r>
                    <w:rPr>
                      <w:color w:val="auto"/>
                      <w:szCs w:val="21"/>
                      <w:vertAlign w:val="superscript"/>
                    </w:rPr>
                    <w:t>3</w:t>
                  </w:r>
                </w:p>
              </w:tc>
              <w:tc>
                <w:tcPr>
                  <w:tcW w:w="525" w:type="pct"/>
                  <w:noWrap w:val="0"/>
                  <w:vAlign w:val="center"/>
                </w:tcPr>
                <w:p w14:paraId="7104039A">
                  <w:pPr>
                    <w:pStyle w:val="36"/>
                    <w:rPr>
                      <w:color w:val="auto"/>
                      <w:szCs w:val="21"/>
                    </w:rPr>
                  </w:pPr>
                  <w:r>
                    <w:rPr>
                      <w:rFonts w:hint="eastAsia"/>
                      <w:color w:val="auto"/>
                      <w:szCs w:val="21"/>
                    </w:rPr>
                    <w:t>粉尘排放量</w:t>
                  </w:r>
                </w:p>
                <w:p w14:paraId="7401759A">
                  <w:pPr>
                    <w:pStyle w:val="36"/>
                    <w:rPr>
                      <w:rFonts w:hint="eastAsia"/>
                      <w:color w:val="auto"/>
                      <w:szCs w:val="21"/>
                    </w:rPr>
                  </w:pPr>
                  <w:r>
                    <w:rPr>
                      <w:rFonts w:hint="eastAsia"/>
                      <w:color w:val="auto"/>
                      <w:szCs w:val="21"/>
                    </w:rPr>
                    <w:t>t/a</w:t>
                  </w:r>
                </w:p>
              </w:tc>
              <w:tc>
                <w:tcPr>
                  <w:tcW w:w="525" w:type="pct"/>
                  <w:noWrap w:val="0"/>
                  <w:vAlign w:val="top"/>
                </w:tcPr>
                <w:p w14:paraId="59385517">
                  <w:pPr>
                    <w:pStyle w:val="36"/>
                    <w:rPr>
                      <w:color w:val="auto"/>
                      <w:szCs w:val="21"/>
                    </w:rPr>
                  </w:pPr>
                  <w:r>
                    <w:rPr>
                      <w:rFonts w:hint="eastAsia"/>
                      <w:color w:val="auto"/>
                      <w:szCs w:val="21"/>
                    </w:rPr>
                    <w:t>粉尘排放速率</w:t>
                  </w:r>
                </w:p>
                <w:p w14:paraId="58BBEB43">
                  <w:pPr>
                    <w:pStyle w:val="36"/>
                    <w:rPr>
                      <w:rFonts w:hint="eastAsia"/>
                      <w:color w:val="auto"/>
                      <w:szCs w:val="21"/>
                    </w:rPr>
                  </w:pPr>
                  <w:r>
                    <w:rPr>
                      <w:color w:val="auto"/>
                      <w:szCs w:val="21"/>
                    </w:rPr>
                    <w:t>kg/h</w:t>
                  </w:r>
                </w:p>
              </w:tc>
              <w:tc>
                <w:tcPr>
                  <w:tcW w:w="453" w:type="pct"/>
                  <w:noWrap w:val="0"/>
                  <w:vAlign w:val="top"/>
                </w:tcPr>
                <w:p w14:paraId="4848508F">
                  <w:pPr>
                    <w:pStyle w:val="36"/>
                    <w:rPr>
                      <w:color w:val="auto"/>
                      <w:szCs w:val="21"/>
                    </w:rPr>
                  </w:pPr>
                  <w:r>
                    <w:rPr>
                      <w:rFonts w:hint="eastAsia"/>
                      <w:color w:val="auto"/>
                      <w:szCs w:val="21"/>
                    </w:rPr>
                    <w:t>排放浓度</w:t>
                  </w:r>
                </w:p>
                <w:p w14:paraId="2B27C493">
                  <w:pPr>
                    <w:pStyle w:val="36"/>
                    <w:rPr>
                      <w:rFonts w:hint="eastAsia"/>
                      <w:color w:val="auto"/>
                      <w:szCs w:val="21"/>
                    </w:rPr>
                  </w:pPr>
                  <w:r>
                    <w:rPr>
                      <w:color w:val="auto"/>
                      <w:szCs w:val="21"/>
                    </w:rPr>
                    <w:t>mg/m</w:t>
                  </w:r>
                  <w:r>
                    <w:rPr>
                      <w:color w:val="auto"/>
                      <w:szCs w:val="21"/>
                      <w:vertAlign w:val="superscript"/>
                    </w:rPr>
                    <w:t>3</w:t>
                  </w:r>
                </w:p>
              </w:tc>
            </w:tr>
            <w:tr w14:paraId="21F30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0" w:type="pct"/>
                  <w:noWrap w:val="0"/>
                  <w:vAlign w:val="center"/>
                </w:tcPr>
                <w:p w14:paraId="57C36455">
                  <w:pPr>
                    <w:pStyle w:val="36"/>
                    <w:rPr>
                      <w:rFonts w:hint="eastAsia"/>
                      <w:color w:val="auto"/>
                      <w:szCs w:val="21"/>
                    </w:rPr>
                  </w:pPr>
                  <w:r>
                    <w:rPr>
                      <w:rFonts w:hint="eastAsia"/>
                      <w:color w:val="auto"/>
                      <w:szCs w:val="21"/>
                    </w:rPr>
                    <w:t>1#水泥筒仓（排放口）</w:t>
                  </w:r>
                </w:p>
              </w:tc>
              <w:tc>
                <w:tcPr>
                  <w:tcW w:w="586" w:type="pct"/>
                  <w:noWrap w:val="0"/>
                  <w:vAlign w:val="center"/>
                </w:tcPr>
                <w:p w14:paraId="1578E876">
                  <w:pPr>
                    <w:pStyle w:val="36"/>
                    <w:rPr>
                      <w:rFonts w:hint="eastAsia"/>
                      <w:b w:val="0"/>
                      <w:bCs/>
                      <w:color w:val="auto"/>
                      <w:szCs w:val="21"/>
                    </w:rPr>
                  </w:pPr>
                  <w:r>
                    <w:rPr>
                      <w:b w:val="0"/>
                      <w:bCs/>
                      <w:color w:val="auto"/>
                      <w:szCs w:val="21"/>
                    </w:rPr>
                    <w:t>5000.132</w:t>
                  </w:r>
                </w:p>
              </w:tc>
              <w:tc>
                <w:tcPr>
                  <w:tcW w:w="592" w:type="pct"/>
                  <w:noWrap w:val="0"/>
                  <w:vAlign w:val="center"/>
                </w:tcPr>
                <w:p w14:paraId="21120FAD">
                  <w:pPr>
                    <w:pStyle w:val="36"/>
                    <w:rPr>
                      <w:rFonts w:hint="eastAsia"/>
                      <w:b w:val="0"/>
                      <w:bCs/>
                      <w:color w:val="auto"/>
                      <w:szCs w:val="21"/>
                    </w:rPr>
                  </w:pPr>
                  <w:r>
                    <w:rPr>
                      <w:b w:val="0"/>
                      <w:bCs/>
                      <w:color w:val="auto"/>
                      <w:szCs w:val="21"/>
                    </w:rPr>
                    <w:t>0.6</w:t>
                  </w:r>
                </w:p>
              </w:tc>
              <w:tc>
                <w:tcPr>
                  <w:tcW w:w="471" w:type="pct"/>
                  <w:noWrap w:val="0"/>
                  <w:vAlign w:val="center"/>
                </w:tcPr>
                <w:p w14:paraId="2242BD60">
                  <w:pPr>
                    <w:pStyle w:val="36"/>
                    <w:rPr>
                      <w:rFonts w:hint="eastAsia"/>
                      <w:b w:val="0"/>
                      <w:bCs/>
                      <w:color w:val="auto"/>
                      <w:szCs w:val="21"/>
                    </w:rPr>
                  </w:pPr>
                  <w:r>
                    <w:rPr>
                      <w:b w:val="0"/>
                      <w:bCs/>
                      <w:color w:val="auto"/>
                      <w:szCs w:val="21"/>
                    </w:rPr>
                    <w:t>251</w:t>
                  </w:r>
                </w:p>
              </w:tc>
              <w:tc>
                <w:tcPr>
                  <w:tcW w:w="463" w:type="pct"/>
                  <w:noWrap w:val="0"/>
                  <w:vAlign w:val="center"/>
                </w:tcPr>
                <w:p w14:paraId="6810390A">
                  <w:pPr>
                    <w:pStyle w:val="36"/>
                    <w:rPr>
                      <w:rFonts w:hint="eastAsia"/>
                      <w:b w:val="0"/>
                      <w:bCs/>
                      <w:color w:val="auto"/>
                      <w:szCs w:val="21"/>
                    </w:rPr>
                  </w:pPr>
                  <w:r>
                    <w:rPr>
                      <w:b w:val="0"/>
                      <w:bCs/>
                      <w:color w:val="auto"/>
                      <w:szCs w:val="21"/>
                    </w:rPr>
                    <w:t>188.25</w:t>
                  </w:r>
                </w:p>
              </w:tc>
              <w:tc>
                <w:tcPr>
                  <w:tcW w:w="775" w:type="pct"/>
                  <w:noWrap w:val="0"/>
                  <w:vAlign w:val="center"/>
                </w:tcPr>
                <w:p w14:paraId="00221115">
                  <w:pPr>
                    <w:pStyle w:val="36"/>
                    <w:rPr>
                      <w:rFonts w:hint="eastAsia"/>
                      <w:b w:val="0"/>
                      <w:bCs/>
                      <w:color w:val="auto"/>
                      <w:szCs w:val="21"/>
                    </w:rPr>
                  </w:pPr>
                  <w:r>
                    <w:rPr>
                      <w:b w:val="0"/>
                      <w:bCs/>
                      <w:color w:val="auto"/>
                      <w:szCs w:val="21"/>
                    </w:rPr>
                    <w:t>1593.6</w:t>
                  </w:r>
                </w:p>
              </w:tc>
              <w:tc>
                <w:tcPr>
                  <w:tcW w:w="525" w:type="pct"/>
                  <w:noWrap w:val="0"/>
                  <w:vAlign w:val="center"/>
                </w:tcPr>
                <w:p w14:paraId="03A26D72">
                  <w:pPr>
                    <w:pStyle w:val="36"/>
                    <w:rPr>
                      <w:rFonts w:hint="eastAsia"/>
                      <w:b w:val="0"/>
                      <w:bCs/>
                      <w:color w:val="auto"/>
                      <w:szCs w:val="21"/>
                    </w:rPr>
                  </w:pPr>
                  <w:r>
                    <w:rPr>
                      <w:b w:val="0"/>
                      <w:bCs/>
                      <w:color w:val="auto"/>
                      <w:szCs w:val="21"/>
                    </w:rPr>
                    <w:t>0.0012</w:t>
                  </w:r>
                </w:p>
              </w:tc>
              <w:tc>
                <w:tcPr>
                  <w:tcW w:w="525" w:type="pct"/>
                  <w:noWrap w:val="0"/>
                  <w:vAlign w:val="center"/>
                </w:tcPr>
                <w:p w14:paraId="32FF91EC">
                  <w:pPr>
                    <w:pStyle w:val="36"/>
                    <w:rPr>
                      <w:rFonts w:hint="eastAsia"/>
                      <w:b w:val="0"/>
                      <w:bCs/>
                      <w:color w:val="auto"/>
                      <w:szCs w:val="21"/>
                    </w:rPr>
                  </w:pPr>
                  <w:r>
                    <w:rPr>
                      <w:b w:val="0"/>
                      <w:bCs/>
                      <w:color w:val="auto"/>
                      <w:szCs w:val="21"/>
                    </w:rPr>
                    <w:t>0.0064</w:t>
                  </w:r>
                </w:p>
              </w:tc>
              <w:tc>
                <w:tcPr>
                  <w:tcW w:w="453" w:type="pct"/>
                  <w:noWrap w:val="0"/>
                  <w:vAlign w:val="center"/>
                </w:tcPr>
                <w:p w14:paraId="2FCCA033">
                  <w:pPr>
                    <w:pStyle w:val="36"/>
                    <w:rPr>
                      <w:rFonts w:hint="eastAsia"/>
                      <w:b w:val="0"/>
                      <w:bCs/>
                      <w:color w:val="auto"/>
                      <w:szCs w:val="21"/>
                    </w:rPr>
                  </w:pPr>
                  <w:r>
                    <w:rPr>
                      <w:b w:val="0"/>
                      <w:bCs/>
                      <w:color w:val="auto"/>
                      <w:szCs w:val="21"/>
                    </w:rPr>
                    <w:t>3.19</w:t>
                  </w:r>
                </w:p>
              </w:tc>
            </w:tr>
            <w:tr w14:paraId="43579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0" w:type="pct"/>
                  <w:noWrap w:val="0"/>
                  <w:vAlign w:val="center"/>
                </w:tcPr>
                <w:p w14:paraId="732DEB13">
                  <w:pPr>
                    <w:pStyle w:val="36"/>
                    <w:rPr>
                      <w:rFonts w:hint="eastAsia"/>
                      <w:color w:val="auto"/>
                      <w:szCs w:val="21"/>
                    </w:rPr>
                  </w:pPr>
                  <w:r>
                    <w:rPr>
                      <w:rFonts w:hint="eastAsia"/>
                      <w:color w:val="auto"/>
                      <w:szCs w:val="21"/>
                    </w:rPr>
                    <w:t>2#水泥筒仓（排放口）</w:t>
                  </w:r>
                </w:p>
              </w:tc>
              <w:tc>
                <w:tcPr>
                  <w:tcW w:w="586" w:type="pct"/>
                  <w:noWrap w:val="0"/>
                  <w:vAlign w:val="center"/>
                </w:tcPr>
                <w:p w14:paraId="47C9DAB2">
                  <w:pPr>
                    <w:pStyle w:val="36"/>
                    <w:rPr>
                      <w:rFonts w:hint="eastAsia"/>
                      <w:b w:val="0"/>
                      <w:bCs/>
                      <w:color w:val="auto"/>
                      <w:szCs w:val="21"/>
                    </w:rPr>
                  </w:pPr>
                  <w:r>
                    <w:rPr>
                      <w:b w:val="0"/>
                      <w:bCs/>
                      <w:color w:val="auto"/>
                      <w:szCs w:val="21"/>
                    </w:rPr>
                    <w:t>5000.132</w:t>
                  </w:r>
                </w:p>
              </w:tc>
              <w:tc>
                <w:tcPr>
                  <w:tcW w:w="592" w:type="pct"/>
                  <w:noWrap w:val="0"/>
                  <w:vAlign w:val="center"/>
                </w:tcPr>
                <w:p w14:paraId="57514F10">
                  <w:pPr>
                    <w:pStyle w:val="36"/>
                    <w:rPr>
                      <w:rFonts w:hint="eastAsia"/>
                      <w:b w:val="0"/>
                      <w:bCs/>
                      <w:color w:val="auto"/>
                      <w:szCs w:val="21"/>
                    </w:rPr>
                  </w:pPr>
                  <w:r>
                    <w:rPr>
                      <w:b w:val="0"/>
                      <w:bCs/>
                      <w:color w:val="auto"/>
                      <w:szCs w:val="21"/>
                    </w:rPr>
                    <w:t>0.6</w:t>
                  </w:r>
                </w:p>
              </w:tc>
              <w:tc>
                <w:tcPr>
                  <w:tcW w:w="471" w:type="pct"/>
                  <w:noWrap w:val="0"/>
                  <w:vAlign w:val="center"/>
                </w:tcPr>
                <w:p w14:paraId="3C1EFBE8">
                  <w:pPr>
                    <w:pStyle w:val="36"/>
                    <w:rPr>
                      <w:rFonts w:hint="eastAsia"/>
                      <w:b w:val="0"/>
                      <w:bCs/>
                      <w:color w:val="auto"/>
                      <w:szCs w:val="21"/>
                    </w:rPr>
                  </w:pPr>
                  <w:r>
                    <w:rPr>
                      <w:b w:val="0"/>
                      <w:bCs/>
                      <w:color w:val="auto"/>
                      <w:szCs w:val="21"/>
                    </w:rPr>
                    <w:t>251</w:t>
                  </w:r>
                </w:p>
              </w:tc>
              <w:tc>
                <w:tcPr>
                  <w:tcW w:w="463" w:type="pct"/>
                  <w:noWrap w:val="0"/>
                  <w:vAlign w:val="center"/>
                </w:tcPr>
                <w:p w14:paraId="65EDAFD6">
                  <w:pPr>
                    <w:pStyle w:val="36"/>
                    <w:rPr>
                      <w:rFonts w:hint="eastAsia"/>
                      <w:b w:val="0"/>
                      <w:bCs/>
                      <w:color w:val="auto"/>
                      <w:szCs w:val="21"/>
                    </w:rPr>
                  </w:pPr>
                  <w:r>
                    <w:rPr>
                      <w:b w:val="0"/>
                      <w:bCs/>
                      <w:color w:val="auto"/>
                      <w:szCs w:val="21"/>
                    </w:rPr>
                    <w:t>188.25</w:t>
                  </w:r>
                </w:p>
              </w:tc>
              <w:tc>
                <w:tcPr>
                  <w:tcW w:w="775" w:type="pct"/>
                  <w:noWrap w:val="0"/>
                  <w:vAlign w:val="center"/>
                </w:tcPr>
                <w:p w14:paraId="7C586B7D">
                  <w:pPr>
                    <w:pStyle w:val="36"/>
                    <w:rPr>
                      <w:rFonts w:hint="eastAsia"/>
                      <w:b w:val="0"/>
                      <w:bCs/>
                      <w:color w:val="auto"/>
                      <w:szCs w:val="21"/>
                    </w:rPr>
                  </w:pPr>
                  <w:r>
                    <w:rPr>
                      <w:b w:val="0"/>
                      <w:bCs/>
                      <w:color w:val="auto"/>
                      <w:szCs w:val="21"/>
                    </w:rPr>
                    <w:t>1593.6</w:t>
                  </w:r>
                </w:p>
              </w:tc>
              <w:tc>
                <w:tcPr>
                  <w:tcW w:w="525" w:type="pct"/>
                  <w:noWrap w:val="0"/>
                  <w:vAlign w:val="center"/>
                </w:tcPr>
                <w:p w14:paraId="307DAA4C">
                  <w:pPr>
                    <w:pStyle w:val="36"/>
                    <w:rPr>
                      <w:rFonts w:hint="eastAsia"/>
                      <w:b w:val="0"/>
                      <w:bCs/>
                      <w:color w:val="auto"/>
                      <w:szCs w:val="21"/>
                    </w:rPr>
                  </w:pPr>
                  <w:r>
                    <w:rPr>
                      <w:b w:val="0"/>
                      <w:bCs/>
                      <w:color w:val="auto"/>
                      <w:szCs w:val="21"/>
                    </w:rPr>
                    <w:t>0.0012</w:t>
                  </w:r>
                </w:p>
              </w:tc>
              <w:tc>
                <w:tcPr>
                  <w:tcW w:w="525" w:type="pct"/>
                  <w:noWrap w:val="0"/>
                  <w:vAlign w:val="center"/>
                </w:tcPr>
                <w:p w14:paraId="49ACAAA8">
                  <w:pPr>
                    <w:pStyle w:val="36"/>
                    <w:rPr>
                      <w:rFonts w:hint="eastAsia"/>
                      <w:b w:val="0"/>
                      <w:bCs/>
                      <w:color w:val="auto"/>
                      <w:szCs w:val="21"/>
                    </w:rPr>
                  </w:pPr>
                  <w:r>
                    <w:rPr>
                      <w:b w:val="0"/>
                      <w:bCs/>
                      <w:color w:val="auto"/>
                      <w:szCs w:val="21"/>
                    </w:rPr>
                    <w:t>0.0064</w:t>
                  </w:r>
                </w:p>
              </w:tc>
              <w:tc>
                <w:tcPr>
                  <w:tcW w:w="453" w:type="pct"/>
                  <w:noWrap w:val="0"/>
                  <w:vAlign w:val="center"/>
                </w:tcPr>
                <w:p w14:paraId="2E2B7B8F">
                  <w:pPr>
                    <w:pStyle w:val="36"/>
                    <w:rPr>
                      <w:rFonts w:hint="eastAsia"/>
                      <w:b w:val="0"/>
                      <w:bCs/>
                      <w:color w:val="auto"/>
                      <w:szCs w:val="21"/>
                    </w:rPr>
                  </w:pPr>
                  <w:r>
                    <w:rPr>
                      <w:b w:val="0"/>
                      <w:bCs/>
                      <w:color w:val="auto"/>
                      <w:szCs w:val="21"/>
                    </w:rPr>
                    <w:t>3.19</w:t>
                  </w:r>
                </w:p>
              </w:tc>
            </w:tr>
            <w:tr w14:paraId="3E056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0" w:type="pct"/>
                  <w:noWrap w:val="0"/>
                  <w:vAlign w:val="center"/>
                </w:tcPr>
                <w:p w14:paraId="6209C823">
                  <w:pPr>
                    <w:pStyle w:val="36"/>
                    <w:rPr>
                      <w:rFonts w:hint="eastAsia"/>
                      <w:color w:val="auto"/>
                      <w:szCs w:val="21"/>
                    </w:rPr>
                  </w:pPr>
                  <w:r>
                    <w:rPr>
                      <w:rFonts w:hint="eastAsia"/>
                      <w:color w:val="auto"/>
                      <w:szCs w:val="21"/>
                    </w:rPr>
                    <w:t>3#水泥筒仓（排放口）</w:t>
                  </w:r>
                </w:p>
              </w:tc>
              <w:tc>
                <w:tcPr>
                  <w:tcW w:w="586" w:type="pct"/>
                  <w:noWrap w:val="0"/>
                  <w:vAlign w:val="center"/>
                </w:tcPr>
                <w:p w14:paraId="23E89583">
                  <w:pPr>
                    <w:pStyle w:val="36"/>
                    <w:rPr>
                      <w:rFonts w:hint="eastAsia"/>
                      <w:b w:val="0"/>
                      <w:bCs/>
                      <w:color w:val="auto"/>
                      <w:szCs w:val="21"/>
                    </w:rPr>
                  </w:pPr>
                  <w:r>
                    <w:rPr>
                      <w:b w:val="0"/>
                      <w:bCs/>
                      <w:color w:val="auto"/>
                      <w:szCs w:val="21"/>
                    </w:rPr>
                    <w:t>5000.132</w:t>
                  </w:r>
                </w:p>
              </w:tc>
              <w:tc>
                <w:tcPr>
                  <w:tcW w:w="592" w:type="pct"/>
                  <w:noWrap w:val="0"/>
                  <w:vAlign w:val="center"/>
                </w:tcPr>
                <w:p w14:paraId="13D2CC78">
                  <w:pPr>
                    <w:pStyle w:val="36"/>
                    <w:rPr>
                      <w:rFonts w:hint="eastAsia"/>
                      <w:b w:val="0"/>
                      <w:bCs/>
                      <w:color w:val="auto"/>
                      <w:szCs w:val="21"/>
                    </w:rPr>
                  </w:pPr>
                  <w:r>
                    <w:rPr>
                      <w:b w:val="0"/>
                      <w:bCs/>
                      <w:color w:val="auto"/>
                      <w:szCs w:val="21"/>
                    </w:rPr>
                    <w:t>0.6</w:t>
                  </w:r>
                </w:p>
              </w:tc>
              <w:tc>
                <w:tcPr>
                  <w:tcW w:w="471" w:type="pct"/>
                  <w:noWrap w:val="0"/>
                  <w:vAlign w:val="center"/>
                </w:tcPr>
                <w:p w14:paraId="543C8DB4">
                  <w:pPr>
                    <w:pStyle w:val="36"/>
                    <w:rPr>
                      <w:rFonts w:hint="eastAsia"/>
                      <w:b w:val="0"/>
                      <w:bCs/>
                      <w:color w:val="auto"/>
                      <w:szCs w:val="21"/>
                    </w:rPr>
                  </w:pPr>
                  <w:r>
                    <w:rPr>
                      <w:b w:val="0"/>
                      <w:bCs/>
                      <w:color w:val="auto"/>
                      <w:szCs w:val="21"/>
                    </w:rPr>
                    <w:t>251</w:t>
                  </w:r>
                </w:p>
              </w:tc>
              <w:tc>
                <w:tcPr>
                  <w:tcW w:w="463" w:type="pct"/>
                  <w:noWrap w:val="0"/>
                  <w:vAlign w:val="center"/>
                </w:tcPr>
                <w:p w14:paraId="5BDEC64E">
                  <w:pPr>
                    <w:pStyle w:val="36"/>
                    <w:rPr>
                      <w:rFonts w:hint="eastAsia"/>
                      <w:b w:val="0"/>
                      <w:bCs/>
                      <w:color w:val="auto"/>
                      <w:szCs w:val="21"/>
                    </w:rPr>
                  </w:pPr>
                  <w:r>
                    <w:rPr>
                      <w:b w:val="0"/>
                      <w:bCs/>
                      <w:color w:val="auto"/>
                      <w:szCs w:val="21"/>
                    </w:rPr>
                    <w:t>188.25</w:t>
                  </w:r>
                </w:p>
              </w:tc>
              <w:tc>
                <w:tcPr>
                  <w:tcW w:w="775" w:type="pct"/>
                  <w:noWrap w:val="0"/>
                  <w:vAlign w:val="center"/>
                </w:tcPr>
                <w:p w14:paraId="68A89B5F">
                  <w:pPr>
                    <w:pStyle w:val="36"/>
                    <w:rPr>
                      <w:rFonts w:hint="eastAsia"/>
                      <w:b w:val="0"/>
                      <w:bCs/>
                      <w:color w:val="auto"/>
                      <w:szCs w:val="21"/>
                    </w:rPr>
                  </w:pPr>
                  <w:r>
                    <w:rPr>
                      <w:b w:val="0"/>
                      <w:bCs/>
                      <w:color w:val="auto"/>
                      <w:szCs w:val="21"/>
                    </w:rPr>
                    <w:t>1593.6</w:t>
                  </w:r>
                </w:p>
              </w:tc>
              <w:tc>
                <w:tcPr>
                  <w:tcW w:w="525" w:type="pct"/>
                  <w:noWrap w:val="0"/>
                  <w:vAlign w:val="center"/>
                </w:tcPr>
                <w:p w14:paraId="1F7D094F">
                  <w:pPr>
                    <w:pStyle w:val="36"/>
                    <w:rPr>
                      <w:rFonts w:hint="eastAsia"/>
                      <w:b w:val="0"/>
                      <w:bCs/>
                      <w:color w:val="auto"/>
                      <w:szCs w:val="21"/>
                    </w:rPr>
                  </w:pPr>
                  <w:r>
                    <w:rPr>
                      <w:b w:val="0"/>
                      <w:bCs/>
                      <w:color w:val="auto"/>
                      <w:szCs w:val="21"/>
                    </w:rPr>
                    <w:t>0.0012</w:t>
                  </w:r>
                </w:p>
              </w:tc>
              <w:tc>
                <w:tcPr>
                  <w:tcW w:w="525" w:type="pct"/>
                  <w:noWrap w:val="0"/>
                  <w:vAlign w:val="center"/>
                </w:tcPr>
                <w:p w14:paraId="4D2EFAFE">
                  <w:pPr>
                    <w:pStyle w:val="36"/>
                    <w:rPr>
                      <w:rFonts w:hint="eastAsia"/>
                      <w:b w:val="0"/>
                      <w:bCs/>
                      <w:color w:val="auto"/>
                      <w:szCs w:val="21"/>
                    </w:rPr>
                  </w:pPr>
                  <w:r>
                    <w:rPr>
                      <w:b w:val="0"/>
                      <w:bCs/>
                      <w:color w:val="auto"/>
                      <w:szCs w:val="21"/>
                    </w:rPr>
                    <w:t>0.0064</w:t>
                  </w:r>
                </w:p>
              </w:tc>
              <w:tc>
                <w:tcPr>
                  <w:tcW w:w="453" w:type="pct"/>
                  <w:noWrap w:val="0"/>
                  <w:vAlign w:val="center"/>
                </w:tcPr>
                <w:p w14:paraId="3F2FFEE6">
                  <w:pPr>
                    <w:pStyle w:val="36"/>
                    <w:rPr>
                      <w:rFonts w:hint="eastAsia"/>
                      <w:b w:val="0"/>
                      <w:bCs/>
                      <w:color w:val="auto"/>
                      <w:szCs w:val="21"/>
                    </w:rPr>
                  </w:pPr>
                  <w:r>
                    <w:rPr>
                      <w:b w:val="0"/>
                      <w:bCs/>
                      <w:color w:val="auto"/>
                      <w:szCs w:val="21"/>
                    </w:rPr>
                    <w:t>3.19</w:t>
                  </w:r>
                </w:p>
              </w:tc>
            </w:tr>
            <w:tr w14:paraId="71C8F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0" w:type="pct"/>
                  <w:noWrap w:val="0"/>
                  <w:vAlign w:val="center"/>
                </w:tcPr>
                <w:p w14:paraId="15632530">
                  <w:pPr>
                    <w:pStyle w:val="36"/>
                    <w:rPr>
                      <w:rFonts w:hint="eastAsia"/>
                      <w:color w:val="auto"/>
                      <w:szCs w:val="21"/>
                    </w:rPr>
                  </w:pPr>
                  <w:r>
                    <w:rPr>
                      <w:rFonts w:hint="eastAsia"/>
                      <w:color w:val="auto"/>
                      <w:szCs w:val="21"/>
                    </w:rPr>
                    <w:t>4#水泥筒仓（排放口）</w:t>
                  </w:r>
                </w:p>
              </w:tc>
              <w:tc>
                <w:tcPr>
                  <w:tcW w:w="586" w:type="pct"/>
                  <w:noWrap w:val="0"/>
                  <w:vAlign w:val="center"/>
                </w:tcPr>
                <w:p w14:paraId="1A1624B3">
                  <w:pPr>
                    <w:pStyle w:val="36"/>
                    <w:rPr>
                      <w:rFonts w:hint="eastAsia"/>
                      <w:b w:val="0"/>
                      <w:bCs/>
                      <w:color w:val="auto"/>
                      <w:szCs w:val="21"/>
                    </w:rPr>
                  </w:pPr>
                  <w:r>
                    <w:rPr>
                      <w:b w:val="0"/>
                      <w:bCs/>
                      <w:color w:val="auto"/>
                      <w:szCs w:val="21"/>
                    </w:rPr>
                    <w:t>5000.132</w:t>
                  </w:r>
                </w:p>
              </w:tc>
              <w:tc>
                <w:tcPr>
                  <w:tcW w:w="592" w:type="pct"/>
                  <w:noWrap w:val="0"/>
                  <w:vAlign w:val="center"/>
                </w:tcPr>
                <w:p w14:paraId="6E0D96E5">
                  <w:pPr>
                    <w:pStyle w:val="36"/>
                    <w:rPr>
                      <w:rFonts w:hint="eastAsia"/>
                      <w:b w:val="0"/>
                      <w:bCs/>
                      <w:color w:val="auto"/>
                      <w:szCs w:val="21"/>
                    </w:rPr>
                  </w:pPr>
                  <w:r>
                    <w:rPr>
                      <w:b w:val="0"/>
                      <w:bCs/>
                      <w:color w:val="auto"/>
                      <w:szCs w:val="21"/>
                    </w:rPr>
                    <w:t>0.6</w:t>
                  </w:r>
                </w:p>
              </w:tc>
              <w:tc>
                <w:tcPr>
                  <w:tcW w:w="471" w:type="pct"/>
                  <w:noWrap w:val="0"/>
                  <w:vAlign w:val="center"/>
                </w:tcPr>
                <w:p w14:paraId="0FC1F7FB">
                  <w:pPr>
                    <w:pStyle w:val="36"/>
                    <w:rPr>
                      <w:b w:val="0"/>
                      <w:bCs/>
                      <w:color w:val="auto"/>
                      <w:szCs w:val="21"/>
                    </w:rPr>
                  </w:pPr>
                  <w:r>
                    <w:rPr>
                      <w:b w:val="0"/>
                      <w:bCs/>
                      <w:color w:val="auto"/>
                      <w:szCs w:val="21"/>
                    </w:rPr>
                    <w:t>251</w:t>
                  </w:r>
                </w:p>
              </w:tc>
              <w:tc>
                <w:tcPr>
                  <w:tcW w:w="463" w:type="pct"/>
                  <w:noWrap w:val="0"/>
                  <w:vAlign w:val="center"/>
                </w:tcPr>
                <w:p w14:paraId="399D4F41">
                  <w:pPr>
                    <w:pStyle w:val="36"/>
                    <w:rPr>
                      <w:rFonts w:hint="eastAsia"/>
                      <w:b w:val="0"/>
                      <w:bCs/>
                      <w:color w:val="auto"/>
                      <w:szCs w:val="21"/>
                    </w:rPr>
                  </w:pPr>
                  <w:r>
                    <w:rPr>
                      <w:b w:val="0"/>
                      <w:bCs/>
                      <w:color w:val="auto"/>
                      <w:szCs w:val="21"/>
                    </w:rPr>
                    <w:t>188.25</w:t>
                  </w:r>
                </w:p>
              </w:tc>
              <w:tc>
                <w:tcPr>
                  <w:tcW w:w="775" w:type="pct"/>
                  <w:noWrap w:val="0"/>
                  <w:vAlign w:val="center"/>
                </w:tcPr>
                <w:p w14:paraId="49772770">
                  <w:pPr>
                    <w:pStyle w:val="36"/>
                    <w:rPr>
                      <w:rFonts w:hint="eastAsia"/>
                      <w:b w:val="0"/>
                      <w:bCs/>
                      <w:color w:val="auto"/>
                      <w:szCs w:val="21"/>
                    </w:rPr>
                  </w:pPr>
                  <w:r>
                    <w:rPr>
                      <w:b w:val="0"/>
                      <w:bCs/>
                      <w:color w:val="auto"/>
                      <w:szCs w:val="21"/>
                    </w:rPr>
                    <w:t>1593.6</w:t>
                  </w:r>
                </w:p>
              </w:tc>
              <w:tc>
                <w:tcPr>
                  <w:tcW w:w="525" w:type="pct"/>
                  <w:noWrap w:val="0"/>
                  <w:vAlign w:val="center"/>
                </w:tcPr>
                <w:p w14:paraId="51E17A16">
                  <w:pPr>
                    <w:pStyle w:val="36"/>
                    <w:rPr>
                      <w:rFonts w:hint="eastAsia"/>
                      <w:b w:val="0"/>
                      <w:bCs/>
                      <w:color w:val="auto"/>
                      <w:szCs w:val="21"/>
                    </w:rPr>
                  </w:pPr>
                  <w:r>
                    <w:rPr>
                      <w:b w:val="0"/>
                      <w:bCs/>
                      <w:color w:val="auto"/>
                      <w:szCs w:val="21"/>
                    </w:rPr>
                    <w:t>0.0012</w:t>
                  </w:r>
                </w:p>
              </w:tc>
              <w:tc>
                <w:tcPr>
                  <w:tcW w:w="525" w:type="pct"/>
                  <w:noWrap w:val="0"/>
                  <w:vAlign w:val="center"/>
                </w:tcPr>
                <w:p w14:paraId="7F4A95BD">
                  <w:pPr>
                    <w:pStyle w:val="36"/>
                    <w:rPr>
                      <w:rFonts w:hint="eastAsia"/>
                      <w:b w:val="0"/>
                      <w:bCs/>
                      <w:color w:val="auto"/>
                      <w:szCs w:val="21"/>
                    </w:rPr>
                  </w:pPr>
                  <w:r>
                    <w:rPr>
                      <w:b w:val="0"/>
                      <w:bCs/>
                      <w:color w:val="auto"/>
                      <w:szCs w:val="21"/>
                    </w:rPr>
                    <w:t>0.0064</w:t>
                  </w:r>
                </w:p>
              </w:tc>
              <w:tc>
                <w:tcPr>
                  <w:tcW w:w="453" w:type="pct"/>
                  <w:noWrap w:val="0"/>
                  <w:vAlign w:val="center"/>
                </w:tcPr>
                <w:p w14:paraId="747B121F">
                  <w:pPr>
                    <w:pStyle w:val="36"/>
                    <w:rPr>
                      <w:b w:val="0"/>
                      <w:bCs/>
                      <w:color w:val="auto"/>
                      <w:szCs w:val="21"/>
                    </w:rPr>
                  </w:pPr>
                  <w:r>
                    <w:rPr>
                      <w:b w:val="0"/>
                      <w:bCs/>
                      <w:color w:val="auto"/>
                      <w:szCs w:val="21"/>
                    </w:rPr>
                    <w:t>3.19</w:t>
                  </w:r>
                </w:p>
              </w:tc>
            </w:tr>
            <w:tr w14:paraId="0C07D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0" w:type="pct"/>
                  <w:noWrap w:val="0"/>
                  <w:vAlign w:val="center"/>
                </w:tcPr>
                <w:p w14:paraId="19479A0A">
                  <w:pPr>
                    <w:pStyle w:val="36"/>
                    <w:rPr>
                      <w:rFonts w:hint="eastAsia"/>
                      <w:color w:val="auto"/>
                      <w:szCs w:val="21"/>
                    </w:rPr>
                  </w:pPr>
                  <w:r>
                    <w:rPr>
                      <w:rFonts w:hint="eastAsia"/>
                      <w:color w:val="auto"/>
                      <w:szCs w:val="21"/>
                    </w:rPr>
                    <w:t>1#掺和料筒仓（排放口）</w:t>
                  </w:r>
                </w:p>
              </w:tc>
              <w:tc>
                <w:tcPr>
                  <w:tcW w:w="586" w:type="pct"/>
                  <w:noWrap w:val="0"/>
                  <w:vAlign w:val="center"/>
                </w:tcPr>
                <w:p w14:paraId="4DAF463D">
                  <w:pPr>
                    <w:pStyle w:val="36"/>
                    <w:rPr>
                      <w:rFonts w:hint="eastAsia"/>
                      <w:b w:val="0"/>
                      <w:bCs/>
                      <w:color w:val="auto"/>
                      <w:szCs w:val="21"/>
                    </w:rPr>
                  </w:pPr>
                  <w:r>
                    <w:rPr>
                      <w:rFonts w:hint="eastAsia"/>
                      <w:b w:val="0"/>
                      <w:bCs/>
                      <w:color w:val="auto"/>
                      <w:szCs w:val="21"/>
                    </w:rPr>
                    <w:t>1208.99</w:t>
                  </w:r>
                </w:p>
              </w:tc>
              <w:tc>
                <w:tcPr>
                  <w:tcW w:w="592" w:type="pct"/>
                  <w:noWrap w:val="0"/>
                  <w:vAlign w:val="center"/>
                </w:tcPr>
                <w:p w14:paraId="6360EAFE">
                  <w:pPr>
                    <w:pStyle w:val="36"/>
                    <w:rPr>
                      <w:rFonts w:hint="eastAsia"/>
                      <w:b w:val="0"/>
                      <w:bCs/>
                      <w:color w:val="auto"/>
                      <w:szCs w:val="21"/>
                    </w:rPr>
                  </w:pPr>
                  <w:r>
                    <w:rPr>
                      <w:rFonts w:hint="eastAsia"/>
                      <w:b w:val="0"/>
                      <w:bCs/>
                      <w:color w:val="auto"/>
                      <w:szCs w:val="21"/>
                    </w:rPr>
                    <w:t>0.145</w:t>
                  </w:r>
                </w:p>
              </w:tc>
              <w:tc>
                <w:tcPr>
                  <w:tcW w:w="471" w:type="pct"/>
                  <w:noWrap w:val="0"/>
                  <w:vAlign w:val="center"/>
                </w:tcPr>
                <w:p w14:paraId="0C328D02">
                  <w:pPr>
                    <w:pStyle w:val="36"/>
                    <w:rPr>
                      <w:b w:val="0"/>
                      <w:bCs/>
                      <w:color w:val="auto"/>
                      <w:szCs w:val="21"/>
                    </w:rPr>
                  </w:pPr>
                  <w:r>
                    <w:rPr>
                      <w:rFonts w:hint="eastAsia"/>
                      <w:b w:val="0"/>
                      <w:bCs/>
                      <w:color w:val="auto"/>
                      <w:szCs w:val="21"/>
                    </w:rPr>
                    <w:t>61</w:t>
                  </w:r>
                </w:p>
              </w:tc>
              <w:tc>
                <w:tcPr>
                  <w:tcW w:w="463" w:type="pct"/>
                  <w:noWrap w:val="0"/>
                  <w:vAlign w:val="center"/>
                </w:tcPr>
                <w:p w14:paraId="18C92C8C">
                  <w:pPr>
                    <w:pStyle w:val="36"/>
                    <w:rPr>
                      <w:rFonts w:hint="eastAsia"/>
                      <w:b w:val="0"/>
                      <w:bCs/>
                      <w:color w:val="auto"/>
                      <w:szCs w:val="21"/>
                    </w:rPr>
                  </w:pPr>
                  <w:r>
                    <w:rPr>
                      <w:rFonts w:hint="eastAsia"/>
                      <w:b w:val="0"/>
                      <w:bCs/>
                      <w:color w:val="auto"/>
                      <w:szCs w:val="21"/>
                    </w:rPr>
                    <w:t>45.75</w:t>
                  </w:r>
                </w:p>
              </w:tc>
              <w:tc>
                <w:tcPr>
                  <w:tcW w:w="775" w:type="pct"/>
                  <w:noWrap w:val="0"/>
                  <w:vAlign w:val="center"/>
                </w:tcPr>
                <w:p w14:paraId="05411556">
                  <w:pPr>
                    <w:pStyle w:val="36"/>
                    <w:rPr>
                      <w:rFonts w:hint="eastAsia"/>
                      <w:b w:val="0"/>
                      <w:bCs/>
                      <w:color w:val="auto"/>
                      <w:szCs w:val="21"/>
                    </w:rPr>
                  </w:pPr>
                  <w:r>
                    <w:rPr>
                      <w:rFonts w:hint="eastAsia"/>
                      <w:b w:val="0"/>
                      <w:bCs/>
                      <w:color w:val="auto"/>
                      <w:szCs w:val="21"/>
                    </w:rPr>
                    <w:t>1585</w:t>
                  </w:r>
                </w:p>
              </w:tc>
              <w:tc>
                <w:tcPr>
                  <w:tcW w:w="525" w:type="pct"/>
                  <w:noWrap w:val="0"/>
                  <w:vAlign w:val="center"/>
                </w:tcPr>
                <w:p w14:paraId="4A7E315B">
                  <w:pPr>
                    <w:pStyle w:val="36"/>
                    <w:rPr>
                      <w:rFonts w:hint="eastAsia"/>
                      <w:b w:val="0"/>
                      <w:bCs/>
                      <w:color w:val="auto"/>
                      <w:szCs w:val="21"/>
                    </w:rPr>
                  </w:pPr>
                  <w:r>
                    <w:rPr>
                      <w:rFonts w:hint="eastAsia"/>
                      <w:b w:val="0"/>
                      <w:bCs/>
                      <w:color w:val="auto"/>
                      <w:szCs w:val="21"/>
                    </w:rPr>
                    <w:t>0.00029</w:t>
                  </w:r>
                </w:p>
              </w:tc>
              <w:tc>
                <w:tcPr>
                  <w:tcW w:w="525" w:type="pct"/>
                  <w:noWrap w:val="0"/>
                  <w:vAlign w:val="center"/>
                </w:tcPr>
                <w:p w14:paraId="3F5F0ED3">
                  <w:pPr>
                    <w:pStyle w:val="36"/>
                    <w:rPr>
                      <w:rFonts w:hint="eastAsia"/>
                      <w:b w:val="0"/>
                      <w:bCs/>
                      <w:color w:val="auto"/>
                      <w:szCs w:val="21"/>
                    </w:rPr>
                  </w:pPr>
                  <w:r>
                    <w:rPr>
                      <w:rFonts w:hint="eastAsia"/>
                      <w:b w:val="0"/>
                      <w:bCs/>
                      <w:color w:val="auto"/>
                      <w:szCs w:val="21"/>
                    </w:rPr>
                    <w:t>0.00634</w:t>
                  </w:r>
                </w:p>
              </w:tc>
              <w:tc>
                <w:tcPr>
                  <w:tcW w:w="453" w:type="pct"/>
                  <w:noWrap w:val="0"/>
                  <w:vAlign w:val="center"/>
                </w:tcPr>
                <w:p w14:paraId="4DFBA957">
                  <w:pPr>
                    <w:pStyle w:val="36"/>
                    <w:rPr>
                      <w:b w:val="0"/>
                      <w:bCs/>
                      <w:color w:val="auto"/>
                      <w:szCs w:val="21"/>
                    </w:rPr>
                  </w:pPr>
                  <w:r>
                    <w:rPr>
                      <w:rFonts w:hint="eastAsia"/>
                      <w:b w:val="0"/>
                      <w:bCs/>
                      <w:color w:val="auto"/>
                      <w:szCs w:val="21"/>
                    </w:rPr>
                    <w:t>3.17</w:t>
                  </w:r>
                </w:p>
              </w:tc>
            </w:tr>
            <w:tr w14:paraId="61F9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0" w:type="pct"/>
                  <w:noWrap w:val="0"/>
                  <w:vAlign w:val="center"/>
                </w:tcPr>
                <w:p w14:paraId="4D53EE91">
                  <w:pPr>
                    <w:pStyle w:val="36"/>
                    <w:rPr>
                      <w:rFonts w:hint="eastAsia"/>
                      <w:color w:val="auto"/>
                      <w:szCs w:val="21"/>
                    </w:rPr>
                  </w:pPr>
                  <w:r>
                    <w:rPr>
                      <w:rFonts w:hint="eastAsia"/>
                      <w:color w:val="auto"/>
                      <w:szCs w:val="21"/>
                    </w:rPr>
                    <w:t>2#掺和料筒仓（排放口）</w:t>
                  </w:r>
                </w:p>
              </w:tc>
              <w:tc>
                <w:tcPr>
                  <w:tcW w:w="586" w:type="pct"/>
                  <w:noWrap w:val="0"/>
                  <w:vAlign w:val="center"/>
                </w:tcPr>
                <w:p w14:paraId="0E592A40">
                  <w:pPr>
                    <w:pStyle w:val="36"/>
                    <w:rPr>
                      <w:rFonts w:hint="eastAsia"/>
                      <w:b w:val="0"/>
                      <w:bCs/>
                      <w:color w:val="auto"/>
                      <w:szCs w:val="21"/>
                    </w:rPr>
                  </w:pPr>
                  <w:r>
                    <w:rPr>
                      <w:rFonts w:hint="eastAsia"/>
                      <w:b w:val="0"/>
                      <w:bCs/>
                      <w:color w:val="auto"/>
                      <w:szCs w:val="21"/>
                    </w:rPr>
                    <w:t>1208.99</w:t>
                  </w:r>
                </w:p>
              </w:tc>
              <w:tc>
                <w:tcPr>
                  <w:tcW w:w="592" w:type="pct"/>
                  <w:noWrap w:val="0"/>
                  <w:vAlign w:val="center"/>
                </w:tcPr>
                <w:p w14:paraId="7851A143">
                  <w:pPr>
                    <w:pStyle w:val="36"/>
                    <w:rPr>
                      <w:rFonts w:hint="eastAsia"/>
                      <w:b w:val="0"/>
                      <w:bCs/>
                      <w:color w:val="auto"/>
                      <w:szCs w:val="21"/>
                    </w:rPr>
                  </w:pPr>
                  <w:r>
                    <w:rPr>
                      <w:rFonts w:hint="eastAsia"/>
                      <w:b w:val="0"/>
                      <w:bCs/>
                      <w:color w:val="auto"/>
                      <w:szCs w:val="21"/>
                    </w:rPr>
                    <w:t>0.145</w:t>
                  </w:r>
                </w:p>
              </w:tc>
              <w:tc>
                <w:tcPr>
                  <w:tcW w:w="471" w:type="pct"/>
                  <w:noWrap w:val="0"/>
                  <w:vAlign w:val="center"/>
                </w:tcPr>
                <w:p w14:paraId="580D36BC">
                  <w:pPr>
                    <w:pStyle w:val="36"/>
                    <w:rPr>
                      <w:b w:val="0"/>
                      <w:bCs/>
                      <w:color w:val="auto"/>
                      <w:szCs w:val="21"/>
                    </w:rPr>
                  </w:pPr>
                  <w:r>
                    <w:rPr>
                      <w:rFonts w:hint="eastAsia"/>
                      <w:b w:val="0"/>
                      <w:bCs/>
                      <w:color w:val="auto"/>
                      <w:szCs w:val="21"/>
                    </w:rPr>
                    <w:t>61</w:t>
                  </w:r>
                </w:p>
              </w:tc>
              <w:tc>
                <w:tcPr>
                  <w:tcW w:w="463" w:type="pct"/>
                  <w:noWrap w:val="0"/>
                  <w:vAlign w:val="center"/>
                </w:tcPr>
                <w:p w14:paraId="089E17F3">
                  <w:pPr>
                    <w:pStyle w:val="36"/>
                    <w:rPr>
                      <w:rFonts w:hint="eastAsia"/>
                      <w:b w:val="0"/>
                      <w:bCs/>
                      <w:color w:val="auto"/>
                      <w:szCs w:val="21"/>
                    </w:rPr>
                  </w:pPr>
                  <w:r>
                    <w:rPr>
                      <w:rFonts w:hint="eastAsia"/>
                      <w:b w:val="0"/>
                      <w:bCs/>
                      <w:color w:val="auto"/>
                      <w:szCs w:val="21"/>
                    </w:rPr>
                    <w:t>45.75</w:t>
                  </w:r>
                </w:p>
              </w:tc>
              <w:tc>
                <w:tcPr>
                  <w:tcW w:w="775" w:type="pct"/>
                  <w:noWrap w:val="0"/>
                  <w:vAlign w:val="center"/>
                </w:tcPr>
                <w:p w14:paraId="07A93E54">
                  <w:pPr>
                    <w:pStyle w:val="36"/>
                    <w:rPr>
                      <w:rFonts w:hint="eastAsia"/>
                      <w:b w:val="0"/>
                      <w:bCs/>
                      <w:color w:val="auto"/>
                      <w:szCs w:val="21"/>
                    </w:rPr>
                  </w:pPr>
                  <w:r>
                    <w:rPr>
                      <w:rFonts w:hint="eastAsia"/>
                      <w:b w:val="0"/>
                      <w:bCs/>
                      <w:color w:val="auto"/>
                      <w:szCs w:val="21"/>
                    </w:rPr>
                    <w:t>1585</w:t>
                  </w:r>
                </w:p>
              </w:tc>
              <w:tc>
                <w:tcPr>
                  <w:tcW w:w="525" w:type="pct"/>
                  <w:noWrap w:val="0"/>
                  <w:vAlign w:val="center"/>
                </w:tcPr>
                <w:p w14:paraId="43B0ADB8">
                  <w:pPr>
                    <w:pStyle w:val="36"/>
                    <w:rPr>
                      <w:rFonts w:hint="eastAsia"/>
                      <w:b w:val="0"/>
                      <w:bCs/>
                      <w:color w:val="auto"/>
                      <w:szCs w:val="21"/>
                    </w:rPr>
                  </w:pPr>
                  <w:r>
                    <w:rPr>
                      <w:rFonts w:hint="eastAsia"/>
                      <w:b w:val="0"/>
                      <w:bCs/>
                      <w:color w:val="auto"/>
                      <w:szCs w:val="21"/>
                    </w:rPr>
                    <w:t>0.00029</w:t>
                  </w:r>
                </w:p>
              </w:tc>
              <w:tc>
                <w:tcPr>
                  <w:tcW w:w="525" w:type="pct"/>
                  <w:noWrap w:val="0"/>
                  <w:vAlign w:val="center"/>
                </w:tcPr>
                <w:p w14:paraId="29A48706">
                  <w:pPr>
                    <w:pStyle w:val="36"/>
                    <w:rPr>
                      <w:rFonts w:hint="eastAsia"/>
                      <w:b w:val="0"/>
                      <w:bCs/>
                      <w:color w:val="auto"/>
                      <w:szCs w:val="21"/>
                    </w:rPr>
                  </w:pPr>
                  <w:r>
                    <w:rPr>
                      <w:rFonts w:hint="eastAsia"/>
                      <w:b w:val="0"/>
                      <w:bCs/>
                      <w:color w:val="auto"/>
                      <w:szCs w:val="21"/>
                    </w:rPr>
                    <w:t>0.00634</w:t>
                  </w:r>
                </w:p>
              </w:tc>
              <w:tc>
                <w:tcPr>
                  <w:tcW w:w="453" w:type="pct"/>
                  <w:noWrap w:val="0"/>
                  <w:vAlign w:val="center"/>
                </w:tcPr>
                <w:p w14:paraId="63CF8E57">
                  <w:pPr>
                    <w:pStyle w:val="36"/>
                    <w:rPr>
                      <w:b w:val="0"/>
                      <w:bCs/>
                      <w:color w:val="auto"/>
                      <w:szCs w:val="21"/>
                    </w:rPr>
                  </w:pPr>
                  <w:r>
                    <w:rPr>
                      <w:rFonts w:hint="eastAsia"/>
                      <w:b w:val="0"/>
                      <w:bCs/>
                      <w:color w:val="auto"/>
                      <w:szCs w:val="21"/>
                    </w:rPr>
                    <w:t>3.17</w:t>
                  </w:r>
                </w:p>
              </w:tc>
            </w:tr>
          </w:tbl>
          <w:p w14:paraId="63CBFA0E">
            <w:pPr>
              <w:ind w:firstLine="480"/>
              <w:rPr>
                <w:color w:val="auto"/>
                <w:kern w:val="0"/>
              </w:rPr>
            </w:pPr>
            <w:r>
              <w:rPr>
                <w:rFonts w:hint="eastAsia"/>
                <w:color w:val="auto"/>
                <w:kern w:val="0"/>
              </w:rPr>
              <w:t>经计算，本项目筒仓颗粒物排放浓度均能满足《水泥工业大气污染物排放标准》（GB4915-2013）表1现有与新建企业大气污染物排放限值中的“水泥仓及其他通风生产设备颗粒物排放浓度：20mg/m</w:t>
            </w:r>
            <w:r>
              <w:rPr>
                <w:rFonts w:hint="eastAsia"/>
                <w:color w:val="auto"/>
                <w:kern w:val="0"/>
                <w:vertAlign w:val="superscript"/>
              </w:rPr>
              <w:t>3</w:t>
            </w:r>
            <w:r>
              <w:rPr>
                <w:rFonts w:hint="eastAsia"/>
                <w:color w:val="auto"/>
                <w:kern w:val="0"/>
              </w:rPr>
              <w:t>。”</w:t>
            </w:r>
          </w:p>
          <w:p w14:paraId="403C843D">
            <w:pPr>
              <w:pStyle w:val="10"/>
              <w:spacing w:after="0" w:line="360" w:lineRule="auto"/>
              <w:ind w:left="0" w:leftChars="0" w:firstLine="480"/>
              <w:rPr>
                <w:color w:val="auto"/>
              </w:rPr>
            </w:pPr>
            <w:r>
              <w:rPr>
                <w:rFonts w:hint="eastAsia" w:ascii="GWZT-EN" w:hAnsi="GWZT-EN" w:eastAsia="GWZT-EN" w:cs="GWZT-EN"/>
                <w:color w:val="auto"/>
              </w:rPr>
              <w:t>②</w:t>
            </w:r>
            <w:r>
              <w:rPr>
                <w:color w:val="auto"/>
              </w:rPr>
              <w:t>锅炉废气</w:t>
            </w:r>
          </w:p>
          <w:p w14:paraId="45964EE7">
            <w:pPr>
              <w:pStyle w:val="10"/>
              <w:spacing w:after="0" w:line="360" w:lineRule="auto"/>
              <w:ind w:left="0" w:leftChars="0" w:firstLine="480"/>
              <w:rPr>
                <w:color w:val="auto"/>
              </w:rPr>
            </w:pPr>
            <w:r>
              <w:rPr>
                <w:color w:val="auto"/>
              </w:rPr>
              <w:t>项目设一台</w:t>
            </w:r>
            <w:r>
              <w:rPr>
                <w:rFonts w:hint="eastAsia"/>
                <w:color w:val="auto"/>
                <w:lang w:val="en-US" w:eastAsia="zh-CN"/>
              </w:rPr>
              <w:t>3.0</w:t>
            </w:r>
            <w:r>
              <w:rPr>
                <w:color w:val="auto"/>
              </w:rPr>
              <w:t>t/h燃生物质燃料的蒸汽锅炉提供高温蒸汽，用于产品的蒸汽养护工序。项目锅炉烟气中主要污染因子为SO</w:t>
            </w:r>
            <w:r>
              <w:rPr>
                <w:color w:val="auto"/>
                <w:vertAlign w:val="subscript"/>
              </w:rPr>
              <w:t>2</w:t>
            </w:r>
            <w:r>
              <w:rPr>
                <w:color w:val="auto"/>
              </w:rPr>
              <w:t>、颗粒物、NO</w:t>
            </w:r>
            <w:r>
              <w:rPr>
                <w:color w:val="auto"/>
                <w:vertAlign w:val="subscript"/>
              </w:rPr>
              <w:t>X</w:t>
            </w:r>
            <w:r>
              <w:rPr>
                <w:color w:val="auto"/>
              </w:rPr>
              <w:t>。</w:t>
            </w:r>
          </w:p>
          <w:p w14:paraId="07E1800B">
            <w:pPr>
              <w:pStyle w:val="10"/>
              <w:spacing w:after="0" w:line="360" w:lineRule="auto"/>
              <w:ind w:left="0" w:leftChars="0" w:firstLine="480"/>
              <w:rPr>
                <w:color w:val="auto"/>
              </w:rPr>
            </w:pPr>
            <w:r>
              <w:rPr>
                <w:color w:val="auto"/>
              </w:rPr>
              <w:t>1）污染物产生量核算</w:t>
            </w:r>
          </w:p>
          <w:p w14:paraId="39CC0C28">
            <w:pPr>
              <w:pStyle w:val="10"/>
              <w:spacing w:after="0" w:line="360" w:lineRule="auto"/>
              <w:ind w:left="0" w:leftChars="0" w:firstLine="480"/>
              <w:rPr>
                <w:color w:val="auto"/>
              </w:rPr>
            </w:pPr>
            <w:r>
              <w:rPr>
                <w:color w:val="auto"/>
              </w:rPr>
              <w:t>本评价参照《工业源产排污核算方法和系数手册》（2021年版）中的“4430工业锅炉（热力生产和供应行业）产排污系数表－燃生物质锅炉”，对项目锅炉烟气废气量、SO</w:t>
            </w:r>
            <w:r>
              <w:rPr>
                <w:color w:val="auto"/>
                <w:vertAlign w:val="subscript"/>
              </w:rPr>
              <w:t>2</w:t>
            </w:r>
            <w:r>
              <w:rPr>
                <w:color w:val="auto"/>
              </w:rPr>
              <w:t>、颗粒物、NO</w:t>
            </w:r>
            <w:r>
              <w:rPr>
                <w:color w:val="auto"/>
                <w:vertAlign w:val="subscript"/>
              </w:rPr>
              <w:t>X</w:t>
            </w:r>
            <w:r>
              <w:rPr>
                <w:color w:val="auto"/>
              </w:rPr>
              <w:t>的产生量进行计算，详见下表：</w:t>
            </w:r>
          </w:p>
          <w:p w14:paraId="0A937B54">
            <w:pPr>
              <w:pStyle w:val="29"/>
              <w:spacing w:before="24" w:after="24"/>
              <w:rPr>
                <w:color w:val="auto"/>
              </w:rPr>
            </w:pPr>
            <w:r>
              <w:rPr>
                <w:color w:val="auto"/>
              </w:rPr>
              <w:t>表</w:t>
            </w:r>
            <w:r>
              <w:rPr>
                <w:rFonts w:hint="eastAsia"/>
                <w:color w:val="auto"/>
                <w:lang w:val="en-US" w:eastAsia="zh-CN"/>
              </w:rPr>
              <w:t>4-2</w:t>
            </w:r>
            <w:r>
              <w:rPr>
                <w:color w:val="auto"/>
              </w:rPr>
              <w:t xml:space="preserve">  4430工业锅炉（热力生产和供应行业）产排污系数表－燃生物质锅炉</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02"/>
              <w:gridCol w:w="1674"/>
              <w:gridCol w:w="1149"/>
              <w:gridCol w:w="1361"/>
              <w:gridCol w:w="2065"/>
              <w:gridCol w:w="1143"/>
            </w:tblGrid>
            <w:tr w14:paraId="47A29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49" w:type="pct"/>
                  <w:noWrap w:val="0"/>
                  <w:vAlign w:val="center"/>
                </w:tcPr>
                <w:p w14:paraId="2FF6D175">
                  <w:pPr>
                    <w:pStyle w:val="28"/>
                    <w:rPr>
                      <w:b/>
                      <w:bCs/>
                      <w:color w:val="auto"/>
                    </w:rPr>
                  </w:pPr>
                  <w:r>
                    <w:rPr>
                      <w:b/>
                      <w:bCs/>
                      <w:color w:val="auto"/>
                    </w:rPr>
                    <w:t>产品名称</w:t>
                  </w:r>
                </w:p>
              </w:tc>
              <w:tc>
                <w:tcPr>
                  <w:tcW w:w="963" w:type="pct"/>
                  <w:noWrap w:val="0"/>
                  <w:vAlign w:val="center"/>
                </w:tcPr>
                <w:p w14:paraId="055AE148">
                  <w:pPr>
                    <w:pStyle w:val="28"/>
                    <w:rPr>
                      <w:b/>
                      <w:bCs/>
                      <w:color w:val="auto"/>
                    </w:rPr>
                  </w:pPr>
                  <w:r>
                    <w:rPr>
                      <w:b/>
                      <w:bCs/>
                      <w:color w:val="auto"/>
                    </w:rPr>
                    <w:t>原料名称</w:t>
                  </w:r>
                </w:p>
              </w:tc>
              <w:tc>
                <w:tcPr>
                  <w:tcW w:w="661" w:type="pct"/>
                  <w:noWrap w:val="0"/>
                  <w:vAlign w:val="center"/>
                </w:tcPr>
                <w:p w14:paraId="3B7CCF53">
                  <w:pPr>
                    <w:pStyle w:val="28"/>
                    <w:rPr>
                      <w:b/>
                      <w:bCs/>
                      <w:color w:val="auto"/>
                    </w:rPr>
                  </w:pPr>
                  <w:r>
                    <w:rPr>
                      <w:b/>
                      <w:bCs/>
                      <w:color w:val="auto"/>
                    </w:rPr>
                    <w:t>工艺名称</w:t>
                  </w:r>
                </w:p>
              </w:tc>
              <w:tc>
                <w:tcPr>
                  <w:tcW w:w="783" w:type="pct"/>
                  <w:noWrap w:val="0"/>
                  <w:vAlign w:val="center"/>
                </w:tcPr>
                <w:p w14:paraId="5DC39CF9">
                  <w:pPr>
                    <w:pStyle w:val="28"/>
                    <w:rPr>
                      <w:b/>
                      <w:bCs/>
                      <w:color w:val="auto"/>
                    </w:rPr>
                  </w:pPr>
                  <w:r>
                    <w:rPr>
                      <w:b/>
                      <w:bCs/>
                      <w:color w:val="auto"/>
                    </w:rPr>
                    <w:t>污染物指标</w:t>
                  </w:r>
                </w:p>
              </w:tc>
              <w:tc>
                <w:tcPr>
                  <w:tcW w:w="1187" w:type="pct"/>
                  <w:noWrap w:val="0"/>
                  <w:vAlign w:val="center"/>
                </w:tcPr>
                <w:p w14:paraId="706CAE13">
                  <w:pPr>
                    <w:pStyle w:val="28"/>
                    <w:rPr>
                      <w:b/>
                      <w:bCs/>
                      <w:color w:val="auto"/>
                    </w:rPr>
                  </w:pPr>
                  <w:r>
                    <w:rPr>
                      <w:b/>
                      <w:bCs/>
                      <w:color w:val="auto"/>
                    </w:rPr>
                    <w:t>单位</w:t>
                  </w:r>
                </w:p>
              </w:tc>
              <w:tc>
                <w:tcPr>
                  <w:tcW w:w="657" w:type="pct"/>
                  <w:noWrap w:val="0"/>
                  <w:vAlign w:val="center"/>
                </w:tcPr>
                <w:p w14:paraId="0739685B">
                  <w:pPr>
                    <w:pStyle w:val="28"/>
                    <w:rPr>
                      <w:b/>
                      <w:bCs/>
                      <w:color w:val="auto"/>
                    </w:rPr>
                  </w:pPr>
                  <w:r>
                    <w:rPr>
                      <w:b/>
                      <w:bCs/>
                      <w:color w:val="auto"/>
                    </w:rPr>
                    <w:t>产生系数</w:t>
                  </w:r>
                </w:p>
              </w:tc>
            </w:tr>
            <w:tr w14:paraId="19CB6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6" w:hRule="atLeast"/>
              </w:trPr>
              <w:tc>
                <w:tcPr>
                  <w:tcW w:w="749" w:type="pct"/>
                  <w:vMerge w:val="restart"/>
                  <w:noWrap w:val="0"/>
                  <w:vAlign w:val="center"/>
                </w:tcPr>
                <w:p w14:paraId="218F4A61">
                  <w:pPr>
                    <w:pStyle w:val="28"/>
                    <w:rPr>
                      <w:color w:val="auto"/>
                    </w:rPr>
                  </w:pPr>
                  <w:r>
                    <w:rPr>
                      <w:color w:val="auto"/>
                    </w:rPr>
                    <w:t>蒸汽/热水/</w:t>
                  </w:r>
                </w:p>
                <w:p w14:paraId="795DF28D">
                  <w:pPr>
                    <w:pStyle w:val="28"/>
                    <w:rPr>
                      <w:color w:val="auto"/>
                    </w:rPr>
                  </w:pPr>
                  <w:r>
                    <w:rPr>
                      <w:color w:val="auto"/>
                    </w:rPr>
                    <w:t>其他</w:t>
                  </w:r>
                </w:p>
              </w:tc>
              <w:tc>
                <w:tcPr>
                  <w:tcW w:w="963" w:type="pct"/>
                  <w:vMerge w:val="restart"/>
                  <w:noWrap w:val="0"/>
                  <w:vAlign w:val="center"/>
                </w:tcPr>
                <w:p w14:paraId="1943E263">
                  <w:pPr>
                    <w:pStyle w:val="28"/>
                    <w:rPr>
                      <w:color w:val="auto"/>
                    </w:rPr>
                  </w:pPr>
                  <w:r>
                    <w:rPr>
                      <w:color w:val="auto"/>
                    </w:rPr>
                    <w:t>生物质燃料</w:t>
                  </w:r>
                </w:p>
              </w:tc>
              <w:tc>
                <w:tcPr>
                  <w:tcW w:w="661" w:type="pct"/>
                  <w:vMerge w:val="restart"/>
                  <w:noWrap w:val="0"/>
                  <w:vAlign w:val="center"/>
                </w:tcPr>
                <w:p w14:paraId="46306375">
                  <w:pPr>
                    <w:pStyle w:val="28"/>
                    <w:rPr>
                      <w:color w:val="auto"/>
                    </w:rPr>
                  </w:pPr>
                  <w:r>
                    <w:rPr>
                      <w:color w:val="auto"/>
                    </w:rPr>
                    <w:t>层燃炉</w:t>
                  </w:r>
                </w:p>
              </w:tc>
              <w:tc>
                <w:tcPr>
                  <w:tcW w:w="783" w:type="pct"/>
                  <w:noWrap w:val="0"/>
                  <w:vAlign w:val="center"/>
                </w:tcPr>
                <w:p w14:paraId="257C55C5">
                  <w:pPr>
                    <w:pStyle w:val="28"/>
                    <w:rPr>
                      <w:color w:val="auto"/>
                    </w:rPr>
                  </w:pPr>
                  <w:r>
                    <w:rPr>
                      <w:color w:val="auto"/>
                    </w:rPr>
                    <w:t>工业废气量</w:t>
                  </w:r>
                </w:p>
              </w:tc>
              <w:tc>
                <w:tcPr>
                  <w:tcW w:w="1187" w:type="pct"/>
                  <w:noWrap w:val="0"/>
                  <w:vAlign w:val="center"/>
                </w:tcPr>
                <w:p w14:paraId="310826C1">
                  <w:pPr>
                    <w:pStyle w:val="28"/>
                    <w:rPr>
                      <w:color w:val="auto"/>
                    </w:rPr>
                  </w:pPr>
                  <w:r>
                    <w:rPr>
                      <w:color w:val="auto"/>
                    </w:rPr>
                    <w:t>标立方米/吨－原料</w:t>
                  </w:r>
                </w:p>
              </w:tc>
              <w:tc>
                <w:tcPr>
                  <w:tcW w:w="657" w:type="pct"/>
                  <w:noWrap w:val="0"/>
                  <w:vAlign w:val="center"/>
                </w:tcPr>
                <w:p w14:paraId="61E11005">
                  <w:pPr>
                    <w:pStyle w:val="28"/>
                    <w:rPr>
                      <w:color w:val="auto"/>
                    </w:rPr>
                  </w:pPr>
                  <w:r>
                    <w:rPr>
                      <w:color w:val="auto"/>
                    </w:rPr>
                    <w:t>6240</w:t>
                  </w:r>
                </w:p>
              </w:tc>
            </w:tr>
            <w:tr w14:paraId="7D567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49" w:type="pct"/>
                  <w:vMerge w:val="continue"/>
                  <w:noWrap w:val="0"/>
                  <w:vAlign w:val="center"/>
                </w:tcPr>
                <w:p w14:paraId="51AFEA45">
                  <w:pPr>
                    <w:pStyle w:val="28"/>
                    <w:rPr>
                      <w:color w:val="auto"/>
                    </w:rPr>
                  </w:pPr>
                </w:p>
              </w:tc>
              <w:tc>
                <w:tcPr>
                  <w:tcW w:w="963" w:type="pct"/>
                  <w:vMerge w:val="continue"/>
                  <w:noWrap w:val="0"/>
                  <w:vAlign w:val="center"/>
                </w:tcPr>
                <w:p w14:paraId="1DC847EE">
                  <w:pPr>
                    <w:pStyle w:val="28"/>
                    <w:rPr>
                      <w:color w:val="auto"/>
                    </w:rPr>
                  </w:pPr>
                </w:p>
              </w:tc>
              <w:tc>
                <w:tcPr>
                  <w:tcW w:w="661" w:type="pct"/>
                  <w:vMerge w:val="continue"/>
                  <w:noWrap w:val="0"/>
                  <w:vAlign w:val="center"/>
                </w:tcPr>
                <w:p w14:paraId="6A06B882">
                  <w:pPr>
                    <w:pStyle w:val="28"/>
                    <w:rPr>
                      <w:color w:val="auto"/>
                    </w:rPr>
                  </w:pPr>
                </w:p>
              </w:tc>
              <w:tc>
                <w:tcPr>
                  <w:tcW w:w="783" w:type="pct"/>
                  <w:noWrap w:val="0"/>
                  <w:vAlign w:val="center"/>
                </w:tcPr>
                <w:p w14:paraId="5DA53029">
                  <w:pPr>
                    <w:pStyle w:val="28"/>
                    <w:rPr>
                      <w:color w:val="auto"/>
                    </w:rPr>
                  </w:pPr>
                  <w:r>
                    <w:rPr>
                      <w:color w:val="auto"/>
                    </w:rPr>
                    <w:t>SO</w:t>
                  </w:r>
                  <w:r>
                    <w:rPr>
                      <w:color w:val="auto"/>
                      <w:vertAlign w:val="subscript"/>
                    </w:rPr>
                    <w:t>2</w:t>
                  </w:r>
                </w:p>
              </w:tc>
              <w:tc>
                <w:tcPr>
                  <w:tcW w:w="1187" w:type="pct"/>
                  <w:noWrap w:val="0"/>
                  <w:vAlign w:val="center"/>
                </w:tcPr>
                <w:p w14:paraId="32332D06">
                  <w:pPr>
                    <w:pStyle w:val="28"/>
                    <w:rPr>
                      <w:color w:val="auto"/>
                    </w:rPr>
                  </w:pPr>
                  <w:r>
                    <w:rPr>
                      <w:color w:val="auto"/>
                    </w:rPr>
                    <w:t>千克/吨－原料</w:t>
                  </w:r>
                </w:p>
              </w:tc>
              <w:tc>
                <w:tcPr>
                  <w:tcW w:w="657" w:type="pct"/>
                  <w:noWrap w:val="0"/>
                  <w:vAlign w:val="center"/>
                </w:tcPr>
                <w:p w14:paraId="72DA9828">
                  <w:pPr>
                    <w:pStyle w:val="28"/>
                    <w:rPr>
                      <w:color w:val="auto"/>
                    </w:rPr>
                  </w:pPr>
                  <w:r>
                    <w:rPr>
                      <w:color w:val="auto"/>
                    </w:rPr>
                    <w:t>17S</w:t>
                  </w:r>
                  <w:r>
                    <w:rPr>
                      <w:rFonts w:hint="eastAsia" w:ascii="宋体" w:hAnsi="宋体" w:cs="宋体"/>
                      <w:color w:val="auto"/>
                    </w:rPr>
                    <w:t>①</w:t>
                  </w:r>
                </w:p>
              </w:tc>
            </w:tr>
            <w:tr w14:paraId="465DF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6" w:hRule="atLeast"/>
              </w:trPr>
              <w:tc>
                <w:tcPr>
                  <w:tcW w:w="749" w:type="pct"/>
                  <w:vMerge w:val="continue"/>
                  <w:noWrap w:val="0"/>
                  <w:vAlign w:val="center"/>
                </w:tcPr>
                <w:p w14:paraId="16A372A5">
                  <w:pPr>
                    <w:pStyle w:val="28"/>
                    <w:rPr>
                      <w:color w:val="auto"/>
                    </w:rPr>
                  </w:pPr>
                </w:p>
              </w:tc>
              <w:tc>
                <w:tcPr>
                  <w:tcW w:w="963" w:type="pct"/>
                  <w:vMerge w:val="continue"/>
                  <w:noWrap w:val="0"/>
                  <w:vAlign w:val="center"/>
                </w:tcPr>
                <w:p w14:paraId="27E478F2">
                  <w:pPr>
                    <w:pStyle w:val="28"/>
                    <w:rPr>
                      <w:color w:val="auto"/>
                    </w:rPr>
                  </w:pPr>
                </w:p>
              </w:tc>
              <w:tc>
                <w:tcPr>
                  <w:tcW w:w="661" w:type="pct"/>
                  <w:vMerge w:val="continue"/>
                  <w:noWrap w:val="0"/>
                  <w:vAlign w:val="center"/>
                </w:tcPr>
                <w:p w14:paraId="40578461">
                  <w:pPr>
                    <w:pStyle w:val="28"/>
                    <w:rPr>
                      <w:color w:val="auto"/>
                    </w:rPr>
                  </w:pPr>
                </w:p>
              </w:tc>
              <w:tc>
                <w:tcPr>
                  <w:tcW w:w="783" w:type="pct"/>
                  <w:noWrap w:val="0"/>
                  <w:vAlign w:val="center"/>
                </w:tcPr>
                <w:p w14:paraId="60BB4DC4">
                  <w:pPr>
                    <w:pStyle w:val="28"/>
                    <w:rPr>
                      <w:color w:val="auto"/>
                    </w:rPr>
                  </w:pPr>
                  <w:r>
                    <w:rPr>
                      <w:color w:val="auto"/>
                    </w:rPr>
                    <w:t>颗粒物</w:t>
                  </w:r>
                </w:p>
              </w:tc>
              <w:tc>
                <w:tcPr>
                  <w:tcW w:w="1187" w:type="pct"/>
                  <w:noWrap w:val="0"/>
                  <w:vAlign w:val="center"/>
                </w:tcPr>
                <w:p w14:paraId="59DC6C3F">
                  <w:pPr>
                    <w:pStyle w:val="28"/>
                    <w:rPr>
                      <w:color w:val="auto"/>
                    </w:rPr>
                  </w:pPr>
                  <w:r>
                    <w:rPr>
                      <w:color w:val="auto"/>
                    </w:rPr>
                    <w:t>千克/吨－原料</w:t>
                  </w:r>
                </w:p>
              </w:tc>
              <w:tc>
                <w:tcPr>
                  <w:tcW w:w="657" w:type="pct"/>
                  <w:noWrap w:val="0"/>
                  <w:vAlign w:val="center"/>
                </w:tcPr>
                <w:p w14:paraId="7BFB2728">
                  <w:pPr>
                    <w:pStyle w:val="28"/>
                    <w:rPr>
                      <w:color w:val="auto"/>
                    </w:rPr>
                  </w:pPr>
                  <w:r>
                    <w:rPr>
                      <w:color w:val="auto"/>
                    </w:rPr>
                    <w:t>0.5</w:t>
                  </w:r>
                </w:p>
              </w:tc>
            </w:tr>
            <w:tr w14:paraId="4E004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749" w:type="pct"/>
                  <w:vMerge w:val="continue"/>
                  <w:noWrap w:val="0"/>
                  <w:vAlign w:val="center"/>
                </w:tcPr>
                <w:p w14:paraId="0AAEC225">
                  <w:pPr>
                    <w:pStyle w:val="28"/>
                    <w:rPr>
                      <w:color w:val="auto"/>
                    </w:rPr>
                  </w:pPr>
                </w:p>
              </w:tc>
              <w:tc>
                <w:tcPr>
                  <w:tcW w:w="963" w:type="pct"/>
                  <w:vMerge w:val="continue"/>
                  <w:noWrap w:val="0"/>
                  <w:vAlign w:val="center"/>
                </w:tcPr>
                <w:p w14:paraId="0FD9A3CD">
                  <w:pPr>
                    <w:pStyle w:val="28"/>
                    <w:rPr>
                      <w:color w:val="auto"/>
                    </w:rPr>
                  </w:pPr>
                </w:p>
              </w:tc>
              <w:tc>
                <w:tcPr>
                  <w:tcW w:w="661" w:type="pct"/>
                  <w:vMerge w:val="continue"/>
                  <w:noWrap w:val="0"/>
                  <w:vAlign w:val="center"/>
                </w:tcPr>
                <w:p w14:paraId="3180A1AB">
                  <w:pPr>
                    <w:pStyle w:val="28"/>
                    <w:rPr>
                      <w:color w:val="auto"/>
                    </w:rPr>
                  </w:pPr>
                </w:p>
              </w:tc>
              <w:tc>
                <w:tcPr>
                  <w:tcW w:w="783" w:type="pct"/>
                  <w:noWrap w:val="0"/>
                  <w:vAlign w:val="center"/>
                </w:tcPr>
                <w:p w14:paraId="2648E3BC">
                  <w:pPr>
                    <w:pStyle w:val="28"/>
                    <w:rPr>
                      <w:color w:val="auto"/>
                    </w:rPr>
                  </w:pPr>
                  <w:r>
                    <w:rPr>
                      <w:color w:val="auto"/>
                    </w:rPr>
                    <w:t>NO</w:t>
                  </w:r>
                  <w:r>
                    <w:rPr>
                      <w:color w:val="auto"/>
                      <w:vertAlign w:val="subscript"/>
                    </w:rPr>
                    <w:t>X</w:t>
                  </w:r>
                </w:p>
              </w:tc>
              <w:tc>
                <w:tcPr>
                  <w:tcW w:w="1187" w:type="pct"/>
                  <w:noWrap w:val="0"/>
                  <w:vAlign w:val="center"/>
                </w:tcPr>
                <w:p w14:paraId="4C15DF1C">
                  <w:pPr>
                    <w:pStyle w:val="28"/>
                    <w:rPr>
                      <w:color w:val="auto"/>
                    </w:rPr>
                  </w:pPr>
                  <w:r>
                    <w:rPr>
                      <w:color w:val="auto"/>
                    </w:rPr>
                    <w:t>千克/吨－原料</w:t>
                  </w:r>
                </w:p>
              </w:tc>
              <w:tc>
                <w:tcPr>
                  <w:tcW w:w="657" w:type="pct"/>
                  <w:noWrap w:val="0"/>
                  <w:vAlign w:val="center"/>
                </w:tcPr>
                <w:p w14:paraId="27407D08">
                  <w:pPr>
                    <w:pStyle w:val="28"/>
                    <w:rPr>
                      <w:color w:val="auto"/>
                    </w:rPr>
                  </w:pPr>
                  <w:r>
                    <w:rPr>
                      <w:color w:val="auto"/>
                    </w:rPr>
                    <w:t>1.02</w:t>
                  </w:r>
                </w:p>
              </w:tc>
            </w:tr>
            <w:tr w14:paraId="7CCB3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000" w:type="pct"/>
                  <w:gridSpan w:val="6"/>
                  <w:noWrap w:val="0"/>
                  <w:vAlign w:val="center"/>
                </w:tcPr>
                <w:p w14:paraId="6195A497">
                  <w:pPr>
                    <w:pStyle w:val="28"/>
                    <w:rPr>
                      <w:color w:val="auto"/>
                      <w:szCs w:val="21"/>
                    </w:rPr>
                  </w:pPr>
                  <w:r>
                    <w:rPr>
                      <w:color w:val="auto"/>
                      <w:szCs w:val="21"/>
                    </w:rPr>
                    <w:t>注：</w:t>
                  </w:r>
                  <w:r>
                    <w:rPr>
                      <w:rFonts w:hint="eastAsia" w:ascii="宋体" w:hAnsi="宋体" w:cs="宋体"/>
                      <w:color w:val="auto"/>
                      <w:szCs w:val="21"/>
                    </w:rPr>
                    <w:t>①</w:t>
                  </w:r>
                  <w:r>
                    <w:rPr>
                      <w:color w:val="auto"/>
                      <w:szCs w:val="21"/>
                    </w:rPr>
                    <w:t>：产排污系数表中二氧化硫的产排污系数是以含硫量（S%）的形式表示的，其中含硫量（S%）是指生物质收到基硫分含量，以质量百分数的形式表示。</w:t>
                  </w:r>
                </w:p>
              </w:tc>
            </w:tr>
          </w:tbl>
          <w:p w14:paraId="3C2ACB97">
            <w:pPr>
              <w:ind w:firstLine="480"/>
              <w:rPr>
                <w:color w:val="auto"/>
              </w:rPr>
            </w:pPr>
            <w:r>
              <w:rPr>
                <w:rFonts w:hint="eastAsia"/>
                <w:color w:val="auto"/>
              </w:rPr>
              <w:t>项目生物质</w:t>
            </w:r>
            <w:r>
              <w:rPr>
                <w:color w:val="auto"/>
              </w:rPr>
              <w:t>燃料用量为</w:t>
            </w:r>
            <w:r>
              <w:rPr>
                <w:rFonts w:hint="eastAsia"/>
                <w:color w:val="auto"/>
              </w:rPr>
              <w:t>10000</w:t>
            </w:r>
            <w:r>
              <w:rPr>
                <w:color w:val="auto"/>
              </w:rPr>
              <w:t>t/a，则预计运营期锅炉废气产生量为</w:t>
            </w:r>
            <w:r>
              <w:rPr>
                <w:rFonts w:hint="eastAsia"/>
                <w:color w:val="auto"/>
              </w:rPr>
              <w:t>6.24</w:t>
            </w:r>
            <w:r>
              <w:rPr>
                <w:color w:val="auto"/>
              </w:rPr>
              <w:t>×10</w:t>
            </w:r>
            <w:r>
              <w:rPr>
                <w:rFonts w:hint="eastAsia"/>
                <w:color w:val="auto"/>
                <w:vertAlign w:val="superscript"/>
              </w:rPr>
              <w:t>7</w:t>
            </w:r>
            <w:r>
              <w:rPr>
                <w:color w:val="auto"/>
              </w:rPr>
              <w:t>m</w:t>
            </w:r>
            <w:r>
              <w:rPr>
                <w:color w:val="auto"/>
                <w:vertAlign w:val="superscript"/>
              </w:rPr>
              <w:t>3</w:t>
            </w:r>
            <w:r>
              <w:rPr>
                <w:color w:val="auto"/>
              </w:rPr>
              <w:t>/a。</w:t>
            </w:r>
          </w:p>
          <w:p w14:paraId="50D1472E">
            <w:pPr>
              <w:ind w:firstLine="480"/>
              <w:rPr>
                <w:color w:val="auto"/>
              </w:rPr>
            </w:pPr>
            <w:r>
              <w:rPr>
                <w:color w:val="auto"/>
              </w:rPr>
              <w:t>本项目选用的生物质燃料中含硫量（S%）为0.</w:t>
            </w:r>
            <w:r>
              <w:rPr>
                <w:rFonts w:hint="eastAsia"/>
                <w:color w:val="auto"/>
              </w:rPr>
              <w:t>1</w:t>
            </w:r>
            <w:r>
              <w:rPr>
                <w:color w:val="auto"/>
              </w:rPr>
              <w:t>%，则S=0.</w:t>
            </w:r>
            <w:r>
              <w:rPr>
                <w:rFonts w:hint="eastAsia"/>
                <w:color w:val="auto"/>
              </w:rPr>
              <w:t>1</w:t>
            </w:r>
            <w:r>
              <w:rPr>
                <w:color w:val="auto"/>
              </w:rPr>
              <w:t>，SO</w:t>
            </w:r>
            <w:r>
              <w:rPr>
                <w:color w:val="auto"/>
                <w:vertAlign w:val="subscript"/>
              </w:rPr>
              <w:t>2</w:t>
            </w:r>
            <w:r>
              <w:rPr>
                <w:color w:val="auto"/>
              </w:rPr>
              <w:t>的产生系数为1.7kg/t－原料，则预计项目运营期锅炉废气中的SO</w:t>
            </w:r>
            <w:r>
              <w:rPr>
                <w:color w:val="auto"/>
                <w:vertAlign w:val="subscript"/>
              </w:rPr>
              <w:t>2</w:t>
            </w:r>
            <w:r>
              <w:rPr>
                <w:color w:val="auto"/>
              </w:rPr>
              <w:t>产生量为</w:t>
            </w:r>
            <w:r>
              <w:rPr>
                <w:rFonts w:hint="eastAsia"/>
                <w:color w:val="auto"/>
              </w:rPr>
              <w:t>17</w:t>
            </w:r>
            <w:r>
              <w:rPr>
                <w:color w:val="auto"/>
              </w:rPr>
              <w:t>t/a，产生浓度为</w:t>
            </w:r>
            <w:r>
              <w:rPr>
                <w:rFonts w:hint="eastAsia"/>
                <w:color w:val="auto"/>
              </w:rPr>
              <w:t>299.54</w:t>
            </w:r>
            <w:r>
              <w:rPr>
                <w:color w:val="auto"/>
              </w:rPr>
              <w:t>mg/m</w:t>
            </w:r>
            <w:r>
              <w:rPr>
                <w:color w:val="auto"/>
                <w:vertAlign w:val="superscript"/>
              </w:rPr>
              <w:t>3</w:t>
            </w:r>
            <w:r>
              <w:rPr>
                <w:color w:val="auto"/>
              </w:rPr>
              <w:t>，产生速率为</w:t>
            </w:r>
            <w:r>
              <w:rPr>
                <w:rFonts w:hint="eastAsia"/>
                <w:color w:val="auto"/>
              </w:rPr>
              <w:t>2.36</w:t>
            </w:r>
            <w:r>
              <w:rPr>
                <w:color w:val="auto"/>
              </w:rPr>
              <w:t>kg/h。</w:t>
            </w:r>
          </w:p>
          <w:p w14:paraId="1277C8A4">
            <w:pPr>
              <w:ind w:firstLine="480"/>
              <w:rPr>
                <w:color w:val="auto"/>
              </w:rPr>
            </w:pPr>
            <w:r>
              <w:rPr>
                <w:color w:val="auto"/>
              </w:rPr>
              <w:t>项目锅炉废气颗粒物的产生系数按0.5kg/t－燃料计，则预计项目运营期锅炉废气中的颗粒物产生量为</w:t>
            </w:r>
            <w:r>
              <w:rPr>
                <w:rFonts w:hint="eastAsia"/>
                <w:color w:val="auto"/>
              </w:rPr>
              <w:t>5.0</w:t>
            </w:r>
            <w:r>
              <w:rPr>
                <w:color w:val="auto"/>
              </w:rPr>
              <w:t>t/a，产生浓度为87.57mg/m</w:t>
            </w:r>
            <w:r>
              <w:rPr>
                <w:color w:val="auto"/>
                <w:vertAlign w:val="superscript"/>
              </w:rPr>
              <w:t>3</w:t>
            </w:r>
            <w:r>
              <w:rPr>
                <w:color w:val="auto"/>
              </w:rPr>
              <w:t>，产生速率为</w:t>
            </w:r>
            <w:r>
              <w:rPr>
                <w:rFonts w:hint="eastAsia"/>
                <w:color w:val="auto"/>
              </w:rPr>
              <w:t>0.69</w:t>
            </w:r>
            <w:r>
              <w:rPr>
                <w:color w:val="auto"/>
              </w:rPr>
              <w:t>kg/h。</w:t>
            </w:r>
          </w:p>
          <w:p w14:paraId="16F91F38">
            <w:pPr>
              <w:ind w:firstLine="480"/>
              <w:rPr>
                <w:color w:val="auto"/>
              </w:rPr>
            </w:pPr>
            <w:r>
              <w:rPr>
                <w:color w:val="auto"/>
              </w:rPr>
              <w:t>项目锅炉废气NO</w:t>
            </w:r>
            <w:r>
              <w:rPr>
                <w:color w:val="auto"/>
                <w:vertAlign w:val="subscript"/>
              </w:rPr>
              <w:t>X</w:t>
            </w:r>
            <w:r>
              <w:rPr>
                <w:color w:val="auto"/>
              </w:rPr>
              <w:t>的产生系数按1.02kg/t－燃料计，则预计项目运营期锅炉废气中的NO</w:t>
            </w:r>
            <w:r>
              <w:rPr>
                <w:color w:val="auto"/>
                <w:vertAlign w:val="subscript"/>
              </w:rPr>
              <w:t>X</w:t>
            </w:r>
            <w:r>
              <w:rPr>
                <w:color w:val="auto"/>
              </w:rPr>
              <w:t>产生量为</w:t>
            </w:r>
            <w:r>
              <w:rPr>
                <w:rFonts w:hint="eastAsia"/>
                <w:color w:val="auto"/>
              </w:rPr>
              <w:t>10.2</w:t>
            </w:r>
            <w:r>
              <w:rPr>
                <w:color w:val="auto"/>
              </w:rPr>
              <w:t>t/a，产生浓度为180.23mg/m</w:t>
            </w:r>
            <w:r>
              <w:rPr>
                <w:color w:val="auto"/>
                <w:vertAlign w:val="superscript"/>
              </w:rPr>
              <w:t>3</w:t>
            </w:r>
            <w:r>
              <w:rPr>
                <w:color w:val="auto"/>
              </w:rPr>
              <w:t>，产生速率为</w:t>
            </w:r>
            <w:r>
              <w:rPr>
                <w:rFonts w:hint="eastAsia"/>
                <w:color w:val="auto"/>
              </w:rPr>
              <w:t>1.42</w:t>
            </w:r>
            <w:r>
              <w:rPr>
                <w:color w:val="auto"/>
              </w:rPr>
              <w:t>kg/h。</w:t>
            </w:r>
          </w:p>
          <w:p w14:paraId="14B0517D">
            <w:pPr>
              <w:pStyle w:val="10"/>
              <w:spacing w:after="0" w:line="360" w:lineRule="auto"/>
              <w:ind w:left="0" w:leftChars="0" w:firstLine="480"/>
              <w:rPr>
                <w:color w:val="auto"/>
              </w:rPr>
            </w:pPr>
            <w:r>
              <w:rPr>
                <w:color w:val="auto"/>
              </w:rPr>
              <w:t>2）污染物排放量核算</w:t>
            </w:r>
          </w:p>
          <w:p w14:paraId="269A7F1D">
            <w:pPr>
              <w:pStyle w:val="10"/>
              <w:spacing w:after="0" w:line="360" w:lineRule="auto"/>
              <w:ind w:left="0" w:leftChars="0" w:firstLine="480"/>
              <w:rPr>
                <w:color w:val="auto"/>
              </w:rPr>
            </w:pPr>
            <w:r>
              <w:rPr>
                <w:color w:val="auto"/>
              </w:rPr>
              <w:t>项目拟设1套锅炉废气处理系统，处理工艺为“布袋除尘+</w:t>
            </w:r>
            <w:r>
              <w:rPr>
                <w:rFonts w:hint="eastAsia"/>
                <w:color w:val="auto"/>
                <w:lang w:val="en-US" w:eastAsia="zh-CN"/>
              </w:rPr>
              <w:t>30m</w:t>
            </w:r>
            <w:r>
              <w:rPr>
                <w:color w:val="auto"/>
              </w:rPr>
              <w:t>排气筒（自编号DA00</w:t>
            </w:r>
            <w:r>
              <w:rPr>
                <w:rFonts w:hint="eastAsia"/>
                <w:color w:val="auto"/>
                <w:lang w:val="en-US" w:eastAsia="zh-CN"/>
              </w:rPr>
              <w:t>1</w:t>
            </w:r>
            <w:r>
              <w:rPr>
                <w:color w:val="auto"/>
              </w:rPr>
              <w:t>）”处理锅炉废气。</w:t>
            </w:r>
          </w:p>
          <w:p w14:paraId="0DB7C172">
            <w:pPr>
              <w:pStyle w:val="10"/>
              <w:spacing w:after="0" w:line="360" w:lineRule="auto"/>
              <w:ind w:left="0" w:leftChars="0" w:firstLine="480"/>
              <w:rPr>
                <w:color w:val="auto"/>
              </w:rPr>
            </w:pPr>
            <w:r>
              <w:rPr>
                <w:color w:val="auto"/>
              </w:rPr>
              <w:t>根据分析，项目拟采用布袋除尘对生物质锅炉废气进行处理。报告参照《排放源统计调查产排污核算方法和系数手册》（生态环境部公告2021年第24号）中“4430工业锅炉（热力供应）行业系数手册”关于末端治理技术，其布袋除尘去除效率为98%，则报告采取用布袋除尘去除效率为98%进行分析，则生物质锅炉燃烧废气排放情况见表</w:t>
            </w:r>
            <w:r>
              <w:rPr>
                <w:rFonts w:hint="eastAsia"/>
                <w:color w:val="auto"/>
                <w:lang w:val="en-US" w:eastAsia="zh-CN"/>
              </w:rPr>
              <w:t>4-3</w:t>
            </w:r>
            <w:r>
              <w:rPr>
                <w:color w:val="auto"/>
              </w:rPr>
              <w:t>所示。则预计项目运营期锅炉废气中各污染物的产排情况如下表所示：</w:t>
            </w:r>
          </w:p>
          <w:p w14:paraId="29E6C858">
            <w:pPr>
              <w:pStyle w:val="29"/>
              <w:spacing w:before="24" w:after="24"/>
              <w:rPr>
                <w:color w:val="auto"/>
              </w:rPr>
            </w:pPr>
            <w:r>
              <w:rPr>
                <w:color w:val="auto"/>
              </w:rPr>
              <w:t>表</w:t>
            </w:r>
            <w:r>
              <w:rPr>
                <w:rFonts w:hint="eastAsia"/>
                <w:color w:val="auto"/>
                <w:lang w:val="en-US" w:eastAsia="zh-CN"/>
              </w:rPr>
              <w:t>4-3</w:t>
            </w:r>
            <w:r>
              <w:rPr>
                <w:color w:val="auto"/>
              </w:rPr>
              <w:t xml:space="preserve">  项目锅炉废气各污染物的产排情况一览表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4"/>
              <w:gridCol w:w="1410"/>
              <w:gridCol w:w="1182"/>
              <w:gridCol w:w="1005"/>
              <w:gridCol w:w="825"/>
              <w:gridCol w:w="1511"/>
              <w:gridCol w:w="1182"/>
              <w:gridCol w:w="1005"/>
            </w:tblGrid>
            <w:tr w14:paraId="0EC82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3" w:type="pct"/>
                  <w:noWrap w:val="0"/>
                  <w:vAlign w:val="center"/>
                </w:tcPr>
                <w:p w14:paraId="27DF5479">
                  <w:pPr>
                    <w:pStyle w:val="28"/>
                    <w:rPr>
                      <w:b/>
                      <w:bCs/>
                      <w:color w:val="auto"/>
                    </w:rPr>
                  </w:pPr>
                  <w:r>
                    <w:rPr>
                      <w:b/>
                      <w:bCs/>
                      <w:color w:val="auto"/>
                    </w:rPr>
                    <w:t>污染物指标</w:t>
                  </w:r>
                </w:p>
              </w:tc>
              <w:tc>
                <w:tcPr>
                  <w:tcW w:w="593" w:type="pct"/>
                  <w:noWrap w:val="0"/>
                  <w:vAlign w:val="center"/>
                </w:tcPr>
                <w:p w14:paraId="5F56FF6C">
                  <w:pPr>
                    <w:pStyle w:val="28"/>
                    <w:rPr>
                      <w:b/>
                      <w:bCs/>
                      <w:color w:val="auto"/>
                    </w:rPr>
                  </w:pPr>
                  <w:r>
                    <w:rPr>
                      <w:b/>
                      <w:bCs/>
                      <w:color w:val="auto"/>
                    </w:rPr>
                    <w:t>产生量（t/a）</w:t>
                  </w:r>
                </w:p>
              </w:tc>
              <w:tc>
                <w:tcPr>
                  <w:tcW w:w="712" w:type="pct"/>
                  <w:noWrap w:val="0"/>
                  <w:vAlign w:val="center"/>
                </w:tcPr>
                <w:p w14:paraId="645CA174">
                  <w:pPr>
                    <w:pStyle w:val="28"/>
                    <w:rPr>
                      <w:b/>
                      <w:bCs/>
                      <w:color w:val="auto"/>
                    </w:rPr>
                  </w:pPr>
                  <w:r>
                    <w:rPr>
                      <w:b/>
                      <w:bCs/>
                      <w:color w:val="auto"/>
                    </w:rPr>
                    <w:t>产生浓度（mg/m</w:t>
                  </w:r>
                  <w:r>
                    <w:rPr>
                      <w:b/>
                      <w:bCs/>
                      <w:color w:val="auto"/>
                      <w:vertAlign w:val="superscript"/>
                    </w:rPr>
                    <w:t>3</w:t>
                  </w:r>
                  <w:r>
                    <w:rPr>
                      <w:b/>
                      <w:bCs/>
                      <w:color w:val="auto"/>
                    </w:rPr>
                    <w:t>）</w:t>
                  </w:r>
                </w:p>
              </w:tc>
              <w:tc>
                <w:tcPr>
                  <w:tcW w:w="604" w:type="pct"/>
                  <w:noWrap w:val="0"/>
                  <w:vAlign w:val="center"/>
                </w:tcPr>
                <w:p w14:paraId="72007E7A">
                  <w:pPr>
                    <w:pStyle w:val="28"/>
                    <w:rPr>
                      <w:b/>
                      <w:bCs/>
                      <w:color w:val="auto"/>
                    </w:rPr>
                  </w:pPr>
                  <w:r>
                    <w:rPr>
                      <w:b/>
                      <w:bCs/>
                      <w:color w:val="auto"/>
                    </w:rPr>
                    <w:t>产生速率（kg/h）</w:t>
                  </w:r>
                </w:p>
              </w:tc>
              <w:tc>
                <w:tcPr>
                  <w:tcW w:w="586" w:type="pct"/>
                  <w:noWrap w:val="0"/>
                  <w:vAlign w:val="center"/>
                </w:tcPr>
                <w:p w14:paraId="5B65E032">
                  <w:pPr>
                    <w:pStyle w:val="28"/>
                    <w:rPr>
                      <w:b/>
                      <w:bCs/>
                      <w:color w:val="auto"/>
                    </w:rPr>
                  </w:pPr>
                  <w:r>
                    <w:rPr>
                      <w:rFonts w:hint="eastAsia"/>
                      <w:b/>
                      <w:bCs/>
                      <w:color w:val="auto"/>
                    </w:rPr>
                    <w:t>去除效率（%）</w:t>
                  </w:r>
                </w:p>
              </w:tc>
              <w:tc>
                <w:tcPr>
                  <w:tcW w:w="595" w:type="pct"/>
                  <w:noWrap w:val="0"/>
                  <w:vAlign w:val="center"/>
                </w:tcPr>
                <w:p w14:paraId="4B6713D4">
                  <w:pPr>
                    <w:pStyle w:val="28"/>
                    <w:rPr>
                      <w:b/>
                      <w:bCs/>
                      <w:color w:val="auto"/>
                    </w:rPr>
                  </w:pPr>
                  <w:r>
                    <w:rPr>
                      <w:b/>
                      <w:bCs/>
                      <w:color w:val="auto"/>
                    </w:rPr>
                    <w:t>排放量（t/a）</w:t>
                  </w:r>
                </w:p>
              </w:tc>
              <w:tc>
                <w:tcPr>
                  <w:tcW w:w="712" w:type="pct"/>
                  <w:noWrap w:val="0"/>
                  <w:vAlign w:val="center"/>
                </w:tcPr>
                <w:p w14:paraId="67004216">
                  <w:pPr>
                    <w:pStyle w:val="28"/>
                    <w:rPr>
                      <w:b/>
                      <w:bCs/>
                      <w:color w:val="auto"/>
                    </w:rPr>
                  </w:pPr>
                  <w:r>
                    <w:rPr>
                      <w:b/>
                      <w:bCs/>
                      <w:color w:val="auto"/>
                    </w:rPr>
                    <w:t>排放浓度（mg/m</w:t>
                  </w:r>
                  <w:r>
                    <w:rPr>
                      <w:b/>
                      <w:bCs/>
                      <w:color w:val="auto"/>
                      <w:vertAlign w:val="superscript"/>
                    </w:rPr>
                    <w:t>3</w:t>
                  </w:r>
                  <w:r>
                    <w:rPr>
                      <w:b/>
                      <w:bCs/>
                      <w:color w:val="auto"/>
                    </w:rPr>
                    <w:t>）</w:t>
                  </w:r>
                </w:p>
              </w:tc>
              <w:tc>
                <w:tcPr>
                  <w:tcW w:w="604" w:type="pct"/>
                  <w:noWrap w:val="0"/>
                  <w:vAlign w:val="center"/>
                </w:tcPr>
                <w:p w14:paraId="4DC1B1FF">
                  <w:pPr>
                    <w:pStyle w:val="28"/>
                    <w:rPr>
                      <w:b/>
                      <w:bCs/>
                      <w:color w:val="auto"/>
                    </w:rPr>
                  </w:pPr>
                  <w:r>
                    <w:rPr>
                      <w:b/>
                      <w:bCs/>
                      <w:color w:val="auto"/>
                    </w:rPr>
                    <w:t>排放速率（kg/h）</w:t>
                  </w:r>
                </w:p>
              </w:tc>
            </w:tr>
            <w:tr w14:paraId="500C1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noWrap w:val="0"/>
                  <w:vAlign w:val="center"/>
                </w:tcPr>
                <w:p w14:paraId="5237B4C1">
                  <w:pPr>
                    <w:pStyle w:val="28"/>
                    <w:jc w:val="center"/>
                    <w:rPr>
                      <w:color w:val="auto"/>
                    </w:rPr>
                  </w:pPr>
                  <w:r>
                    <w:rPr>
                      <w:color w:val="auto"/>
                    </w:rPr>
                    <w:t>烟气量</w:t>
                  </w:r>
                </w:p>
              </w:tc>
              <w:tc>
                <w:tcPr>
                  <w:tcW w:w="593" w:type="pct"/>
                  <w:noWrap w:val="0"/>
                  <w:vAlign w:val="center"/>
                </w:tcPr>
                <w:p w14:paraId="2DA23842">
                  <w:pPr>
                    <w:pStyle w:val="28"/>
                    <w:rPr>
                      <w:color w:val="auto"/>
                    </w:rPr>
                  </w:pPr>
                  <w:r>
                    <w:rPr>
                      <w:rFonts w:hint="eastAsia"/>
                      <w:color w:val="auto"/>
                    </w:rPr>
                    <w:t>6.24×</w:t>
                  </w:r>
                  <w:r>
                    <w:rPr>
                      <w:color w:val="auto"/>
                    </w:rPr>
                    <w:t>10</w:t>
                  </w:r>
                  <w:r>
                    <w:rPr>
                      <w:rFonts w:hint="eastAsia"/>
                      <w:color w:val="auto"/>
                      <w:vertAlign w:val="superscript"/>
                    </w:rPr>
                    <w:t>7</w:t>
                  </w:r>
                  <w:r>
                    <w:rPr>
                      <w:color w:val="auto"/>
                    </w:rPr>
                    <w:t>m</w:t>
                  </w:r>
                  <w:r>
                    <w:rPr>
                      <w:color w:val="auto"/>
                      <w:vertAlign w:val="superscript"/>
                    </w:rPr>
                    <w:t>3</w:t>
                  </w:r>
                  <w:r>
                    <w:rPr>
                      <w:color w:val="auto"/>
                    </w:rPr>
                    <w:t>/a</w:t>
                  </w:r>
                </w:p>
              </w:tc>
              <w:tc>
                <w:tcPr>
                  <w:tcW w:w="712" w:type="pct"/>
                  <w:noWrap w:val="0"/>
                  <w:vAlign w:val="center"/>
                </w:tcPr>
                <w:p w14:paraId="7ED20873">
                  <w:pPr>
                    <w:pStyle w:val="28"/>
                    <w:rPr>
                      <w:color w:val="auto"/>
                    </w:rPr>
                  </w:pPr>
                  <w:r>
                    <w:rPr>
                      <w:color w:val="auto"/>
                    </w:rPr>
                    <w:t>/</w:t>
                  </w:r>
                </w:p>
              </w:tc>
              <w:tc>
                <w:tcPr>
                  <w:tcW w:w="604" w:type="pct"/>
                  <w:noWrap w:val="0"/>
                  <w:vAlign w:val="center"/>
                </w:tcPr>
                <w:p w14:paraId="4F429858">
                  <w:pPr>
                    <w:pStyle w:val="28"/>
                    <w:rPr>
                      <w:color w:val="auto"/>
                    </w:rPr>
                  </w:pPr>
                  <w:r>
                    <w:rPr>
                      <w:color w:val="auto"/>
                    </w:rPr>
                    <w:t>/</w:t>
                  </w:r>
                </w:p>
              </w:tc>
              <w:tc>
                <w:tcPr>
                  <w:tcW w:w="586" w:type="pct"/>
                  <w:noWrap w:val="0"/>
                  <w:vAlign w:val="center"/>
                </w:tcPr>
                <w:p w14:paraId="5FDB1FB7">
                  <w:pPr>
                    <w:pStyle w:val="28"/>
                    <w:rPr>
                      <w:color w:val="auto"/>
                    </w:rPr>
                  </w:pPr>
                  <w:r>
                    <w:rPr>
                      <w:rFonts w:hint="eastAsia"/>
                      <w:color w:val="auto"/>
                    </w:rPr>
                    <w:t>98</w:t>
                  </w:r>
                </w:p>
              </w:tc>
              <w:tc>
                <w:tcPr>
                  <w:tcW w:w="595" w:type="pct"/>
                  <w:noWrap w:val="0"/>
                  <w:vAlign w:val="center"/>
                </w:tcPr>
                <w:p w14:paraId="422E452D">
                  <w:pPr>
                    <w:pStyle w:val="28"/>
                    <w:rPr>
                      <w:color w:val="auto"/>
                    </w:rPr>
                  </w:pPr>
                  <w:r>
                    <w:rPr>
                      <w:color w:val="auto"/>
                    </w:rPr>
                    <w:t>1.248</w:t>
                  </w:r>
                  <w:r>
                    <w:rPr>
                      <w:rFonts w:hint="eastAsia"/>
                      <w:color w:val="auto"/>
                    </w:rPr>
                    <w:t>×</w:t>
                  </w:r>
                  <w:r>
                    <w:rPr>
                      <w:color w:val="auto"/>
                    </w:rPr>
                    <w:t>10</w:t>
                  </w:r>
                  <w:r>
                    <w:rPr>
                      <w:rFonts w:hint="eastAsia"/>
                      <w:color w:val="auto"/>
                      <w:vertAlign w:val="superscript"/>
                    </w:rPr>
                    <w:t>6</w:t>
                  </w:r>
                  <w:r>
                    <w:rPr>
                      <w:color w:val="auto"/>
                    </w:rPr>
                    <w:t>m</w:t>
                  </w:r>
                  <w:r>
                    <w:rPr>
                      <w:color w:val="auto"/>
                      <w:vertAlign w:val="superscript"/>
                    </w:rPr>
                    <w:t>3</w:t>
                  </w:r>
                  <w:r>
                    <w:rPr>
                      <w:color w:val="auto"/>
                    </w:rPr>
                    <w:t>/a</w:t>
                  </w:r>
                </w:p>
              </w:tc>
              <w:tc>
                <w:tcPr>
                  <w:tcW w:w="712" w:type="pct"/>
                  <w:noWrap w:val="0"/>
                  <w:vAlign w:val="center"/>
                </w:tcPr>
                <w:p w14:paraId="1F095653">
                  <w:pPr>
                    <w:pStyle w:val="28"/>
                    <w:rPr>
                      <w:color w:val="auto"/>
                    </w:rPr>
                  </w:pPr>
                  <w:r>
                    <w:rPr>
                      <w:color w:val="auto"/>
                    </w:rPr>
                    <w:t>/</w:t>
                  </w:r>
                </w:p>
              </w:tc>
              <w:tc>
                <w:tcPr>
                  <w:tcW w:w="604" w:type="pct"/>
                  <w:noWrap w:val="0"/>
                  <w:vAlign w:val="center"/>
                </w:tcPr>
                <w:p w14:paraId="3EBB505B">
                  <w:pPr>
                    <w:pStyle w:val="28"/>
                    <w:rPr>
                      <w:color w:val="auto"/>
                    </w:rPr>
                  </w:pPr>
                  <w:r>
                    <w:rPr>
                      <w:color w:val="auto"/>
                    </w:rPr>
                    <w:t>/</w:t>
                  </w:r>
                </w:p>
              </w:tc>
            </w:tr>
            <w:tr w14:paraId="2F6EE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noWrap w:val="0"/>
                  <w:vAlign w:val="top"/>
                </w:tcPr>
                <w:p w14:paraId="37E5B449">
                  <w:pPr>
                    <w:pStyle w:val="28"/>
                    <w:rPr>
                      <w:color w:val="auto"/>
                    </w:rPr>
                  </w:pPr>
                  <w:r>
                    <w:rPr>
                      <w:color w:val="auto"/>
                    </w:rPr>
                    <w:t>SO</w:t>
                  </w:r>
                  <w:r>
                    <w:rPr>
                      <w:color w:val="auto"/>
                      <w:vertAlign w:val="subscript"/>
                    </w:rPr>
                    <w:t>2</w:t>
                  </w:r>
                </w:p>
              </w:tc>
              <w:tc>
                <w:tcPr>
                  <w:tcW w:w="593" w:type="pct"/>
                  <w:noWrap w:val="0"/>
                  <w:vAlign w:val="center"/>
                </w:tcPr>
                <w:p w14:paraId="0141B133">
                  <w:pPr>
                    <w:pStyle w:val="28"/>
                    <w:rPr>
                      <w:color w:val="auto"/>
                    </w:rPr>
                  </w:pPr>
                  <w:r>
                    <w:rPr>
                      <w:rFonts w:hint="eastAsia"/>
                      <w:color w:val="auto"/>
                    </w:rPr>
                    <w:t>17</w:t>
                  </w:r>
                  <w:r>
                    <w:rPr>
                      <w:color w:val="auto"/>
                    </w:rPr>
                    <w:t>.0</w:t>
                  </w:r>
                </w:p>
              </w:tc>
              <w:tc>
                <w:tcPr>
                  <w:tcW w:w="712" w:type="pct"/>
                  <w:noWrap w:val="0"/>
                  <w:vAlign w:val="center"/>
                </w:tcPr>
                <w:p w14:paraId="62020069">
                  <w:pPr>
                    <w:pStyle w:val="28"/>
                    <w:rPr>
                      <w:color w:val="auto"/>
                    </w:rPr>
                  </w:pPr>
                  <w:r>
                    <w:rPr>
                      <w:rFonts w:hint="eastAsia"/>
                      <w:color w:val="auto"/>
                    </w:rPr>
                    <w:t>299.</w:t>
                  </w:r>
                  <w:r>
                    <w:rPr>
                      <w:color w:val="auto"/>
                    </w:rPr>
                    <w:t>0</w:t>
                  </w:r>
                  <w:r>
                    <w:rPr>
                      <w:rFonts w:hint="eastAsia"/>
                      <w:color w:val="auto"/>
                    </w:rPr>
                    <w:t>4</w:t>
                  </w:r>
                </w:p>
              </w:tc>
              <w:tc>
                <w:tcPr>
                  <w:tcW w:w="604" w:type="pct"/>
                  <w:noWrap w:val="0"/>
                  <w:vAlign w:val="center"/>
                </w:tcPr>
                <w:p w14:paraId="2427A7DB">
                  <w:pPr>
                    <w:pStyle w:val="28"/>
                    <w:rPr>
                      <w:color w:val="auto"/>
                    </w:rPr>
                  </w:pPr>
                  <w:r>
                    <w:rPr>
                      <w:rFonts w:hint="eastAsia"/>
                      <w:color w:val="auto"/>
                    </w:rPr>
                    <w:t>2.36</w:t>
                  </w:r>
                </w:p>
              </w:tc>
              <w:tc>
                <w:tcPr>
                  <w:tcW w:w="586" w:type="pct"/>
                  <w:noWrap w:val="0"/>
                  <w:vAlign w:val="center"/>
                </w:tcPr>
                <w:p w14:paraId="56D6B244">
                  <w:pPr>
                    <w:pStyle w:val="28"/>
                    <w:rPr>
                      <w:rFonts w:eastAsia="等线"/>
                      <w:color w:val="auto"/>
                      <w:szCs w:val="21"/>
                    </w:rPr>
                  </w:pPr>
                  <w:r>
                    <w:rPr>
                      <w:rFonts w:hint="eastAsia"/>
                      <w:color w:val="auto"/>
                    </w:rPr>
                    <w:t>98</w:t>
                  </w:r>
                </w:p>
              </w:tc>
              <w:tc>
                <w:tcPr>
                  <w:tcW w:w="595" w:type="pct"/>
                  <w:noWrap w:val="0"/>
                  <w:vAlign w:val="center"/>
                </w:tcPr>
                <w:p w14:paraId="1F6F3234">
                  <w:pPr>
                    <w:pStyle w:val="28"/>
                    <w:rPr>
                      <w:color w:val="auto"/>
                    </w:rPr>
                  </w:pPr>
                  <w:r>
                    <w:rPr>
                      <w:rFonts w:eastAsia="等线"/>
                      <w:color w:val="auto"/>
                      <w:szCs w:val="21"/>
                    </w:rPr>
                    <w:t>0.34</w:t>
                  </w:r>
                </w:p>
              </w:tc>
              <w:tc>
                <w:tcPr>
                  <w:tcW w:w="712" w:type="pct"/>
                  <w:noWrap w:val="0"/>
                  <w:vAlign w:val="center"/>
                </w:tcPr>
                <w:p w14:paraId="62760CAB">
                  <w:pPr>
                    <w:pStyle w:val="28"/>
                    <w:rPr>
                      <w:color w:val="auto"/>
                    </w:rPr>
                  </w:pPr>
                  <w:r>
                    <w:rPr>
                      <w:rFonts w:eastAsia="等线"/>
                      <w:color w:val="auto"/>
                      <w:szCs w:val="21"/>
                    </w:rPr>
                    <w:t>5.98</w:t>
                  </w:r>
                </w:p>
              </w:tc>
              <w:tc>
                <w:tcPr>
                  <w:tcW w:w="604" w:type="pct"/>
                  <w:noWrap w:val="0"/>
                  <w:vAlign w:val="center"/>
                </w:tcPr>
                <w:p w14:paraId="598B3498">
                  <w:pPr>
                    <w:pStyle w:val="28"/>
                    <w:rPr>
                      <w:color w:val="auto"/>
                    </w:rPr>
                  </w:pPr>
                  <w:r>
                    <w:rPr>
                      <w:rFonts w:eastAsia="等线"/>
                      <w:color w:val="auto"/>
                      <w:szCs w:val="21"/>
                    </w:rPr>
                    <w:t>0.0472</w:t>
                  </w:r>
                </w:p>
              </w:tc>
            </w:tr>
            <w:tr w14:paraId="7FF05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noWrap w:val="0"/>
                  <w:vAlign w:val="top"/>
                </w:tcPr>
                <w:p w14:paraId="7585234E">
                  <w:pPr>
                    <w:pStyle w:val="28"/>
                    <w:rPr>
                      <w:color w:val="auto"/>
                    </w:rPr>
                  </w:pPr>
                  <w:r>
                    <w:rPr>
                      <w:color w:val="auto"/>
                    </w:rPr>
                    <w:t>颗粒物</w:t>
                  </w:r>
                </w:p>
              </w:tc>
              <w:tc>
                <w:tcPr>
                  <w:tcW w:w="593" w:type="pct"/>
                  <w:noWrap w:val="0"/>
                  <w:vAlign w:val="center"/>
                </w:tcPr>
                <w:p w14:paraId="1F1DE4A4">
                  <w:pPr>
                    <w:pStyle w:val="28"/>
                    <w:rPr>
                      <w:color w:val="auto"/>
                    </w:rPr>
                  </w:pPr>
                  <w:r>
                    <w:rPr>
                      <w:rFonts w:hint="eastAsia"/>
                      <w:color w:val="auto"/>
                    </w:rPr>
                    <w:t>5.0</w:t>
                  </w:r>
                </w:p>
              </w:tc>
              <w:tc>
                <w:tcPr>
                  <w:tcW w:w="712" w:type="pct"/>
                  <w:noWrap w:val="0"/>
                  <w:vAlign w:val="center"/>
                </w:tcPr>
                <w:p w14:paraId="17D92876">
                  <w:pPr>
                    <w:pStyle w:val="28"/>
                    <w:rPr>
                      <w:color w:val="auto"/>
                    </w:rPr>
                  </w:pPr>
                  <w:r>
                    <w:rPr>
                      <w:color w:val="auto"/>
                    </w:rPr>
                    <w:t>87.57</w:t>
                  </w:r>
                </w:p>
              </w:tc>
              <w:tc>
                <w:tcPr>
                  <w:tcW w:w="604" w:type="pct"/>
                  <w:noWrap w:val="0"/>
                  <w:vAlign w:val="center"/>
                </w:tcPr>
                <w:p w14:paraId="0F54D145">
                  <w:pPr>
                    <w:pStyle w:val="28"/>
                    <w:rPr>
                      <w:color w:val="auto"/>
                    </w:rPr>
                  </w:pPr>
                  <w:r>
                    <w:rPr>
                      <w:rFonts w:hint="eastAsia"/>
                      <w:color w:val="auto"/>
                    </w:rPr>
                    <w:t>0.69</w:t>
                  </w:r>
                </w:p>
              </w:tc>
              <w:tc>
                <w:tcPr>
                  <w:tcW w:w="586" w:type="pct"/>
                  <w:noWrap w:val="0"/>
                  <w:vAlign w:val="center"/>
                </w:tcPr>
                <w:p w14:paraId="6707CB63">
                  <w:pPr>
                    <w:pStyle w:val="28"/>
                    <w:rPr>
                      <w:rFonts w:eastAsia="等线"/>
                      <w:color w:val="auto"/>
                      <w:szCs w:val="21"/>
                    </w:rPr>
                  </w:pPr>
                  <w:r>
                    <w:rPr>
                      <w:rFonts w:hint="eastAsia"/>
                      <w:color w:val="auto"/>
                    </w:rPr>
                    <w:t>98</w:t>
                  </w:r>
                </w:p>
              </w:tc>
              <w:tc>
                <w:tcPr>
                  <w:tcW w:w="595" w:type="pct"/>
                  <w:noWrap w:val="0"/>
                  <w:vAlign w:val="center"/>
                </w:tcPr>
                <w:p w14:paraId="22D4D0AC">
                  <w:pPr>
                    <w:pStyle w:val="28"/>
                    <w:rPr>
                      <w:color w:val="auto"/>
                    </w:rPr>
                  </w:pPr>
                  <w:r>
                    <w:rPr>
                      <w:rFonts w:eastAsia="等线"/>
                      <w:color w:val="auto"/>
                      <w:szCs w:val="21"/>
                    </w:rPr>
                    <w:t>0.1</w:t>
                  </w:r>
                </w:p>
              </w:tc>
              <w:tc>
                <w:tcPr>
                  <w:tcW w:w="712" w:type="pct"/>
                  <w:noWrap w:val="0"/>
                  <w:vAlign w:val="center"/>
                </w:tcPr>
                <w:p w14:paraId="6271E01C">
                  <w:pPr>
                    <w:pStyle w:val="28"/>
                    <w:rPr>
                      <w:color w:val="auto"/>
                    </w:rPr>
                  </w:pPr>
                  <w:r>
                    <w:rPr>
                      <w:rFonts w:eastAsia="等线"/>
                      <w:color w:val="auto"/>
                      <w:szCs w:val="21"/>
                    </w:rPr>
                    <w:t>1.75</w:t>
                  </w:r>
                </w:p>
              </w:tc>
              <w:tc>
                <w:tcPr>
                  <w:tcW w:w="604" w:type="pct"/>
                  <w:noWrap w:val="0"/>
                  <w:vAlign w:val="center"/>
                </w:tcPr>
                <w:p w14:paraId="006E8EA4">
                  <w:pPr>
                    <w:pStyle w:val="28"/>
                    <w:rPr>
                      <w:color w:val="auto"/>
                    </w:rPr>
                  </w:pPr>
                  <w:r>
                    <w:rPr>
                      <w:rFonts w:eastAsia="等线"/>
                      <w:color w:val="auto"/>
                      <w:szCs w:val="21"/>
                    </w:rPr>
                    <w:t>0.0138</w:t>
                  </w:r>
                </w:p>
              </w:tc>
            </w:tr>
            <w:tr w14:paraId="61143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3" w:type="pct"/>
                  <w:noWrap w:val="0"/>
                  <w:vAlign w:val="top"/>
                </w:tcPr>
                <w:p w14:paraId="1BA13E30">
                  <w:pPr>
                    <w:pStyle w:val="28"/>
                    <w:rPr>
                      <w:color w:val="auto"/>
                    </w:rPr>
                  </w:pPr>
                  <w:r>
                    <w:rPr>
                      <w:color w:val="auto"/>
                    </w:rPr>
                    <w:t>NO</w:t>
                  </w:r>
                  <w:r>
                    <w:rPr>
                      <w:color w:val="auto"/>
                      <w:vertAlign w:val="subscript"/>
                    </w:rPr>
                    <w:t>x</w:t>
                  </w:r>
                </w:p>
              </w:tc>
              <w:tc>
                <w:tcPr>
                  <w:tcW w:w="593" w:type="pct"/>
                  <w:noWrap w:val="0"/>
                  <w:vAlign w:val="center"/>
                </w:tcPr>
                <w:p w14:paraId="369177F4">
                  <w:pPr>
                    <w:pStyle w:val="28"/>
                    <w:rPr>
                      <w:color w:val="auto"/>
                    </w:rPr>
                  </w:pPr>
                  <w:r>
                    <w:rPr>
                      <w:rFonts w:hint="eastAsia"/>
                      <w:color w:val="auto"/>
                    </w:rPr>
                    <w:t>10.2</w:t>
                  </w:r>
                </w:p>
              </w:tc>
              <w:tc>
                <w:tcPr>
                  <w:tcW w:w="712" w:type="pct"/>
                  <w:noWrap w:val="0"/>
                  <w:vAlign w:val="center"/>
                </w:tcPr>
                <w:p w14:paraId="781076BE">
                  <w:pPr>
                    <w:pStyle w:val="28"/>
                    <w:rPr>
                      <w:color w:val="auto"/>
                    </w:rPr>
                  </w:pPr>
                  <w:r>
                    <w:rPr>
                      <w:color w:val="auto"/>
                    </w:rPr>
                    <w:t>180.23</w:t>
                  </w:r>
                </w:p>
              </w:tc>
              <w:tc>
                <w:tcPr>
                  <w:tcW w:w="604" w:type="pct"/>
                  <w:noWrap w:val="0"/>
                  <w:vAlign w:val="center"/>
                </w:tcPr>
                <w:p w14:paraId="347424D9">
                  <w:pPr>
                    <w:pStyle w:val="28"/>
                    <w:rPr>
                      <w:color w:val="auto"/>
                    </w:rPr>
                  </w:pPr>
                  <w:r>
                    <w:rPr>
                      <w:rFonts w:hint="eastAsia"/>
                      <w:color w:val="auto"/>
                    </w:rPr>
                    <w:t>1.42</w:t>
                  </w:r>
                </w:p>
              </w:tc>
              <w:tc>
                <w:tcPr>
                  <w:tcW w:w="586" w:type="pct"/>
                  <w:noWrap w:val="0"/>
                  <w:vAlign w:val="center"/>
                </w:tcPr>
                <w:p w14:paraId="3E216091">
                  <w:pPr>
                    <w:pStyle w:val="28"/>
                    <w:rPr>
                      <w:rFonts w:eastAsia="等线"/>
                      <w:color w:val="auto"/>
                      <w:szCs w:val="21"/>
                    </w:rPr>
                  </w:pPr>
                  <w:r>
                    <w:rPr>
                      <w:rFonts w:hint="eastAsia"/>
                      <w:color w:val="auto"/>
                    </w:rPr>
                    <w:t>98</w:t>
                  </w:r>
                </w:p>
              </w:tc>
              <w:tc>
                <w:tcPr>
                  <w:tcW w:w="595" w:type="pct"/>
                  <w:noWrap w:val="0"/>
                  <w:vAlign w:val="center"/>
                </w:tcPr>
                <w:p w14:paraId="5BD113DA">
                  <w:pPr>
                    <w:pStyle w:val="28"/>
                    <w:rPr>
                      <w:color w:val="auto"/>
                    </w:rPr>
                  </w:pPr>
                  <w:r>
                    <w:rPr>
                      <w:rFonts w:eastAsia="等线"/>
                      <w:color w:val="auto"/>
                      <w:szCs w:val="21"/>
                    </w:rPr>
                    <w:t>0.204</w:t>
                  </w:r>
                </w:p>
              </w:tc>
              <w:tc>
                <w:tcPr>
                  <w:tcW w:w="712" w:type="pct"/>
                  <w:noWrap w:val="0"/>
                  <w:vAlign w:val="center"/>
                </w:tcPr>
                <w:p w14:paraId="01402074">
                  <w:pPr>
                    <w:pStyle w:val="28"/>
                    <w:rPr>
                      <w:color w:val="auto"/>
                    </w:rPr>
                  </w:pPr>
                  <w:r>
                    <w:rPr>
                      <w:rFonts w:eastAsia="等线"/>
                      <w:color w:val="auto"/>
                      <w:szCs w:val="21"/>
                    </w:rPr>
                    <w:t>3.60</w:t>
                  </w:r>
                </w:p>
              </w:tc>
              <w:tc>
                <w:tcPr>
                  <w:tcW w:w="604" w:type="pct"/>
                  <w:noWrap w:val="0"/>
                  <w:vAlign w:val="center"/>
                </w:tcPr>
                <w:p w14:paraId="507981BE">
                  <w:pPr>
                    <w:pStyle w:val="28"/>
                    <w:rPr>
                      <w:color w:val="auto"/>
                    </w:rPr>
                  </w:pPr>
                  <w:r>
                    <w:rPr>
                      <w:rFonts w:eastAsia="等线"/>
                      <w:color w:val="auto"/>
                      <w:szCs w:val="21"/>
                    </w:rPr>
                    <w:t>0.0284</w:t>
                  </w:r>
                </w:p>
              </w:tc>
            </w:tr>
          </w:tbl>
          <w:p w14:paraId="4D15312B">
            <w:pPr>
              <w:ind w:firstLine="480"/>
              <w:rPr>
                <w:rFonts w:hint="eastAsia"/>
                <w:bCs/>
                <w:color w:val="auto"/>
                <w:kern w:val="0"/>
              </w:rPr>
            </w:pPr>
            <w:r>
              <w:rPr>
                <w:rFonts w:hint="eastAsia"/>
                <w:color w:val="auto"/>
              </w:rPr>
              <w:t>本项目锅炉废气的排放浓度满足</w:t>
            </w:r>
            <w:r>
              <w:rPr>
                <w:color w:val="auto"/>
              </w:rPr>
              <w:t>《锅炉大气污染物排放标准》（GB13271-2014）中</w:t>
            </w:r>
            <w:r>
              <w:rPr>
                <w:rFonts w:hint="eastAsia"/>
                <w:color w:val="auto"/>
                <w:lang w:eastAsia="zh-CN"/>
              </w:rPr>
              <w:t>“</w:t>
            </w:r>
            <w:r>
              <w:rPr>
                <w:color w:val="auto"/>
              </w:rPr>
              <w:t>表2新建锅炉大气污染物排放浓度限值</w:t>
            </w:r>
            <w:r>
              <w:rPr>
                <w:rFonts w:hint="eastAsia"/>
                <w:color w:val="auto"/>
              </w:rPr>
              <w:t>S</w:t>
            </w:r>
            <w:r>
              <w:rPr>
                <w:color w:val="auto"/>
              </w:rPr>
              <w:t>O</w:t>
            </w:r>
            <w:r>
              <w:rPr>
                <w:color w:val="auto"/>
                <w:vertAlign w:val="subscript"/>
              </w:rPr>
              <w:t>2</w:t>
            </w:r>
            <w:r>
              <w:rPr>
                <w:rFonts w:hint="eastAsia"/>
                <w:color w:val="auto"/>
                <w:vertAlign w:val="baseline"/>
                <w:lang w:eastAsia="zh-CN"/>
              </w:rPr>
              <w:t>：</w:t>
            </w:r>
            <w:r>
              <w:rPr>
                <w:color w:val="auto"/>
              </w:rPr>
              <w:t>300</w:t>
            </w:r>
            <w:r>
              <w:rPr>
                <w:rFonts w:hint="eastAsia"/>
                <w:color w:val="auto"/>
              </w:rPr>
              <w:t>m</w:t>
            </w:r>
            <w:r>
              <w:rPr>
                <w:color w:val="auto"/>
              </w:rPr>
              <w:t>g/m</w:t>
            </w:r>
            <w:r>
              <w:rPr>
                <w:color w:val="auto"/>
                <w:vertAlign w:val="superscript"/>
              </w:rPr>
              <w:t>3</w:t>
            </w:r>
            <w:r>
              <w:rPr>
                <w:rFonts w:hint="eastAsia"/>
                <w:color w:val="auto"/>
              </w:rPr>
              <w:t>，颗粒物</w:t>
            </w:r>
            <w:r>
              <w:rPr>
                <w:rFonts w:hint="eastAsia"/>
                <w:color w:val="auto"/>
                <w:lang w:eastAsia="zh-CN"/>
              </w:rPr>
              <w:t>：</w:t>
            </w:r>
            <w:r>
              <w:rPr>
                <w:rFonts w:hint="eastAsia"/>
                <w:color w:val="auto"/>
              </w:rPr>
              <w:t>50m</w:t>
            </w:r>
            <w:r>
              <w:rPr>
                <w:color w:val="auto"/>
              </w:rPr>
              <w:t>g/m</w:t>
            </w:r>
            <w:r>
              <w:rPr>
                <w:color w:val="auto"/>
                <w:vertAlign w:val="superscript"/>
              </w:rPr>
              <w:t>3</w:t>
            </w:r>
            <w:r>
              <w:rPr>
                <w:color w:val="auto"/>
              </w:rPr>
              <w:t>，</w:t>
            </w:r>
            <w:r>
              <w:rPr>
                <w:rFonts w:hint="eastAsia"/>
                <w:color w:val="auto"/>
              </w:rPr>
              <w:t>N</w:t>
            </w:r>
            <w:r>
              <w:rPr>
                <w:color w:val="auto"/>
              </w:rPr>
              <w:t>O</w:t>
            </w:r>
            <w:r>
              <w:rPr>
                <w:color w:val="auto"/>
                <w:vertAlign w:val="subscript"/>
              </w:rPr>
              <w:t>X</w:t>
            </w:r>
            <w:r>
              <w:rPr>
                <w:rFonts w:hint="eastAsia"/>
                <w:color w:val="auto"/>
                <w:lang w:eastAsia="zh-CN"/>
              </w:rPr>
              <w:t>：</w:t>
            </w:r>
            <w:r>
              <w:rPr>
                <w:color w:val="auto"/>
              </w:rPr>
              <w:t>300</w:t>
            </w:r>
            <w:r>
              <w:rPr>
                <w:rFonts w:hint="eastAsia"/>
                <w:color w:val="auto"/>
              </w:rPr>
              <w:t>m</w:t>
            </w:r>
            <w:r>
              <w:rPr>
                <w:color w:val="auto"/>
              </w:rPr>
              <w:t>g/m</w:t>
            </w:r>
            <w:r>
              <w:rPr>
                <w:color w:val="auto"/>
                <w:vertAlign w:val="superscript"/>
              </w:rPr>
              <w:t>3</w:t>
            </w:r>
            <w:r>
              <w:rPr>
                <w:rFonts w:hint="eastAsia"/>
                <w:color w:val="auto"/>
                <w:lang w:eastAsia="zh-CN"/>
              </w:rPr>
              <w:t>”</w:t>
            </w:r>
            <w:r>
              <w:rPr>
                <w:color w:val="auto"/>
              </w:rPr>
              <w:t>的要求</w:t>
            </w:r>
            <w:r>
              <w:rPr>
                <w:rFonts w:hint="eastAsia"/>
                <w:color w:val="auto"/>
                <w:kern w:val="0"/>
              </w:rPr>
              <w:t>。</w:t>
            </w:r>
          </w:p>
          <w:p w14:paraId="44D25CD5">
            <w:pPr>
              <w:ind w:firstLine="480"/>
              <w:rPr>
                <w:bCs/>
                <w:color w:val="auto"/>
                <w:kern w:val="0"/>
              </w:rPr>
            </w:pPr>
            <w:r>
              <w:rPr>
                <w:rFonts w:hint="eastAsia" w:ascii="GWZT-EN" w:hAnsi="GWZT-EN" w:eastAsia="GWZT-EN" w:cs="GWZT-EN"/>
                <w:bCs/>
                <w:color w:val="auto"/>
                <w:kern w:val="0"/>
              </w:rPr>
              <w:t>③</w:t>
            </w:r>
            <w:r>
              <w:rPr>
                <w:bCs/>
                <w:color w:val="auto"/>
                <w:kern w:val="0"/>
              </w:rPr>
              <w:t>食堂油烟</w:t>
            </w:r>
          </w:p>
          <w:p w14:paraId="4E4511CE">
            <w:pPr>
              <w:ind w:firstLine="480"/>
              <w:rPr>
                <w:color w:val="auto"/>
              </w:rPr>
            </w:pPr>
            <w:r>
              <w:rPr>
                <w:color w:val="auto"/>
              </w:rPr>
              <w:t>项目办公生活区的食堂每天为</w:t>
            </w:r>
            <w:r>
              <w:rPr>
                <w:rFonts w:hint="eastAsia"/>
                <w:color w:val="auto"/>
                <w:lang w:val="en-US" w:eastAsia="zh-CN"/>
              </w:rPr>
              <w:t>50</w:t>
            </w:r>
            <w:r>
              <w:rPr>
                <w:color w:val="auto"/>
              </w:rPr>
              <w:t>名员工提供三餐，食堂使用电能等清洁能源，炊事过程会产生油烟（食堂使用时间为4h/d）。按平衡膳食推荐的以每人每天食用30g食用油计，则食用油用量为</w:t>
            </w:r>
            <w:r>
              <w:rPr>
                <w:rFonts w:hint="eastAsia"/>
                <w:color w:val="auto"/>
                <w:lang w:val="en-US" w:eastAsia="zh-CN"/>
              </w:rPr>
              <w:t>1.5</w:t>
            </w:r>
            <w:r>
              <w:rPr>
                <w:color w:val="auto"/>
              </w:rPr>
              <w:t>kg/d（</w:t>
            </w:r>
            <w:r>
              <w:rPr>
                <w:rFonts w:hint="eastAsia"/>
                <w:color w:val="auto"/>
                <w:lang w:val="en-US" w:eastAsia="zh-CN"/>
              </w:rPr>
              <w:t>375</w:t>
            </w:r>
            <w:r>
              <w:rPr>
                <w:color w:val="auto"/>
              </w:rPr>
              <w:t>g/h），</w:t>
            </w:r>
            <w:r>
              <w:rPr>
                <w:rFonts w:hint="eastAsia"/>
                <w:color w:val="auto"/>
                <w:lang w:val="en-US" w:eastAsia="zh-CN"/>
              </w:rPr>
              <w:t>450</w:t>
            </w:r>
            <w:r>
              <w:rPr>
                <w:color w:val="auto"/>
              </w:rPr>
              <w:t>kg/a。根据类比调查，不同的烹饪情况，油烟废气中烟气浓度及挥发量均有所不同，油烟的平均挥发量约为总耗油量的2.83%，经过估算，项目食堂油烟产生量为</w:t>
            </w:r>
            <w:r>
              <w:rPr>
                <w:rFonts w:hint="eastAsia"/>
                <w:color w:val="auto"/>
                <w:lang w:val="en-US" w:eastAsia="zh-CN"/>
              </w:rPr>
              <w:t>12.375</w:t>
            </w:r>
            <w:r>
              <w:rPr>
                <w:color w:val="auto"/>
              </w:rPr>
              <w:t>kg/a、</w:t>
            </w:r>
            <w:r>
              <w:rPr>
                <w:rFonts w:hint="eastAsia"/>
                <w:color w:val="auto"/>
                <w:lang w:val="en-US" w:eastAsia="zh-CN"/>
              </w:rPr>
              <w:t>10.31</w:t>
            </w:r>
            <w:r>
              <w:rPr>
                <w:color w:val="auto"/>
              </w:rPr>
              <w:t>g/h，拟在食堂安装一套油烟净化装置，风量为</w:t>
            </w:r>
            <w:r>
              <w:rPr>
                <w:rFonts w:hint="eastAsia"/>
                <w:color w:val="auto"/>
              </w:rPr>
              <w:t>3</w:t>
            </w:r>
            <w:r>
              <w:rPr>
                <w:color w:val="auto"/>
              </w:rPr>
              <w:t>000m</w:t>
            </w:r>
            <w:r>
              <w:rPr>
                <w:color w:val="auto"/>
                <w:vertAlign w:val="superscript"/>
              </w:rPr>
              <w:t>3</w:t>
            </w:r>
            <w:r>
              <w:rPr>
                <w:color w:val="auto"/>
              </w:rPr>
              <w:t>/h，净化效率约</w:t>
            </w:r>
            <w:r>
              <w:rPr>
                <w:rFonts w:hint="eastAsia"/>
                <w:color w:val="auto"/>
              </w:rPr>
              <w:t>75</w:t>
            </w:r>
            <w:r>
              <w:rPr>
                <w:color w:val="auto"/>
              </w:rPr>
              <w:t>%，项目油烟最终排放量为</w:t>
            </w:r>
            <w:r>
              <w:rPr>
                <w:rFonts w:hint="eastAsia"/>
                <w:color w:val="auto"/>
                <w:lang w:val="en-US" w:eastAsia="zh-CN"/>
              </w:rPr>
              <w:t>3.1</w:t>
            </w:r>
            <w:r>
              <w:rPr>
                <w:color w:val="auto"/>
              </w:rPr>
              <w:t>kg/a、</w:t>
            </w:r>
            <w:r>
              <w:rPr>
                <w:rFonts w:hint="eastAsia"/>
                <w:color w:val="auto"/>
                <w:lang w:val="en-US" w:eastAsia="zh-CN"/>
              </w:rPr>
              <w:t>2.58</w:t>
            </w:r>
            <w:r>
              <w:rPr>
                <w:color w:val="auto"/>
              </w:rPr>
              <w:t>g/h，净化前产生浓度为</w:t>
            </w:r>
            <w:r>
              <w:rPr>
                <w:rFonts w:hint="eastAsia"/>
                <w:color w:val="auto"/>
                <w:lang w:val="en-US" w:eastAsia="zh-CN"/>
              </w:rPr>
              <w:t>3.45</w:t>
            </w:r>
            <w:r>
              <w:rPr>
                <w:color w:val="auto"/>
              </w:rPr>
              <w:t>mg/m</w:t>
            </w:r>
            <w:r>
              <w:rPr>
                <w:color w:val="auto"/>
                <w:vertAlign w:val="superscript"/>
              </w:rPr>
              <w:t>3</w:t>
            </w:r>
            <w:r>
              <w:rPr>
                <w:color w:val="auto"/>
              </w:rPr>
              <w:t>，净化后排放浓度为</w:t>
            </w:r>
            <w:r>
              <w:rPr>
                <w:rFonts w:hint="eastAsia"/>
                <w:color w:val="auto"/>
                <w:lang w:val="en-US" w:eastAsia="zh-CN"/>
              </w:rPr>
              <w:t>0.86</w:t>
            </w:r>
            <w:r>
              <w:rPr>
                <w:color w:val="auto"/>
              </w:rPr>
              <w:t>mg/m</w:t>
            </w:r>
            <w:r>
              <w:rPr>
                <w:color w:val="auto"/>
                <w:vertAlign w:val="superscript"/>
              </w:rPr>
              <w:t>3</w:t>
            </w:r>
            <w:r>
              <w:rPr>
                <w:rFonts w:hint="eastAsia"/>
                <w:color w:val="auto"/>
              </w:rPr>
              <w:t>，</w:t>
            </w:r>
            <w:r>
              <w:rPr>
                <w:color w:val="auto"/>
              </w:rPr>
              <w:t>油烟排放达到《饮食业油烟排放标准</w:t>
            </w:r>
            <w:r>
              <w:rPr>
                <w:rFonts w:hint="eastAsia"/>
                <w:color w:val="auto"/>
                <w:lang w:eastAsia="zh-CN"/>
              </w:rPr>
              <w:t>（</w:t>
            </w:r>
            <w:r>
              <w:rPr>
                <w:color w:val="auto"/>
              </w:rPr>
              <w:t>试行</w:t>
            </w:r>
            <w:r>
              <w:rPr>
                <w:rFonts w:hint="eastAsia"/>
                <w:color w:val="auto"/>
                <w:lang w:eastAsia="zh-CN"/>
              </w:rPr>
              <w:t>）</w:t>
            </w:r>
            <w:r>
              <w:rPr>
                <w:color w:val="auto"/>
              </w:rPr>
              <w:t>》</w:t>
            </w:r>
            <w:r>
              <w:rPr>
                <w:rFonts w:hint="eastAsia"/>
                <w:color w:val="auto"/>
                <w:lang w:eastAsia="zh-CN"/>
              </w:rPr>
              <w:t>（</w:t>
            </w:r>
            <w:r>
              <w:rPr>
                <w:color w:val="auto"/>
              </w:rPr>
              <w:t>GB18483-2001</w:t>
            </w:r>
            <w:r>
              <w:rPr>
                <w:rFonts w:hint="eastAsia"/>
                <w:color w:val="auto"/>
                <w:lang w:eastAsia="zh-CN"/>
              </w:rPr>
              <w:t>）</w:t>
            </w:r>
            <w:r>
              <w:rPr>
                <w:color w:val="auto"/>
              </w:rPr>
              <w:t>中最高允许排放浓度2.0mg/m</w:t>
            </w:r>
            <w:r>
              <w:rPr>
                <w:color w:val="auto"/>
                <w:vertAlign w:val="superscript"/>
              </w:rPr>
              <w:t>3</w:t>
            </w:r>
            <w:r>
              <w:rPr>
                <w:color w:val="auto"/>
              </w:rPr>
              <w:t>的要求。</w:t>
            </w:r>
          </w:p>
          <w:p w14:paraId="27D93B7D">
            <w:pPr>
              <w:pStyle w:val="10"/>
              <w:spacing w:after="0" w:line="360" w:lineRule="auto"/>
              <w:ind w:left="0" w:leftChars="0" w:firstLine="482"/>
              <w:rPr>
                <w:b/>
                <w:bCs/>
                <w:color w:val="auto"/>
              </w:rPr>
            </w:pPr>
            <w:r>
              <w:rPr>
                <w:rFonts w:hint="eastAsia"/>
                <w:b/>
                <w:bCs/>
                <w:color w:val="auto"/>
              </w:rPr>
              <w:t>2、无组织粉尘</w:t>
            </w:r>
          </w:p>
          <w:p w14:paraId="2F761DDE">
            <w:pPr>
              <w:ind w:firstLine="480"/>
              <w:rPr>
                <w:color w:val="auto"/>
              </w:rPr>
            </w:pPr>
            <w:r>
              <w:rPr>
                <w:color w:val="auto"/>
              </w:rPr>
              <w:fldChar w:fldCharType="begin"/>
            </w:r>
            <w:r>
              <w:rPr>
                <w:color w:val="auto"/>
              </w:rPr>
              <w:instrText xml:space="preserve"> </w:instrText>
            </w:r>
            <w:r>
              <w:rPr>
                <w:rFonts w:hint="eastAsia"/>
                <w:color w:val="auto"/>
              </w:rPr>
              <w:instrText xml:space="preserve">= 1 \* GB3</w:instrText>
            </w:r>
            <w:r>
              <w:rPr>
                <w:color w:val="auto"/>
              </w:rPr>
              <w:instrText xml:space="preserve"> </w:instrText>
            </w:r>
            <w:r>
              <w:rPr>
                <w:color w:val="auto"/>
              </w:rPr>
              <w:fldChar w:fldCharType="separate"/>
            </w:r>
            <w:r>
              <w:rPr>
                <w:rFonts w:hint="eastAsia"/>
                <w:color w:val="auto"/>
              </w:rPr>
              <w:t>①</w:t>
            </w:r>
            <w:r>
              <w:rPr>
                <w:color w:val="auto"/>
              </w:rPr>
              <w:fldChar w:fldCharType="end"/>
            </w:r>
            <w:r>
              <w:rPr>
                <w:color w:val="auto"/>
              </w:rPr>
              <w:t>砂石料装卸粉尘</w:t>
            </w:r>
          </w:p>
          <w:p w14:paraId="196FC36D">
            <w:pPr>
              <w:ind w:firstLine="480"/>
              <w:rPr>
                <w:color w:val="auto"/>
              </w:rPr>
            </w:pPr>
            <w:r>
              <w:rPr>
                <w:color w:val="auto"/>
              </w:rPr>
              <w:t>项目砂石料装卸扬尘主要为水泥、沙子</w:t>
            </w:r>
            <w:r>
              <w:rPr>
                <w:rFonts w:hint="eastAsia"/>
                <w:color w:val="auto"/>
              </w:rPr>
              <w:t>、碎石</w:t>
            </w:r>
            <w:r>
              <w:rPr>
                <w:color w:val="auto"/>
              </w:rPr>
              <w:t>等原料在装卸过程中产生的。根据山西环科研究所、武汉水运工程学院提出的经验公式，计算自卸汽车卸料起尘量。</w:t>
            </w:r>
          </w:p>
          <w:p w14:paraId="7E95A8D3">
            <w:pPr>
              <w:pStyle w:val="37"/>
              <w:ind w:firstLine="0" w:firstLineChars="0"/>
              <w:jc w:val="center"/>
              <w:rPr>
                <w:color w:val="auto"/>
                <w:sz w:val="24"/>
              </w:rPr>
            </w:pPr>
            <w:r>
              <w:rPr>
                <w:color w:val="auto"/>
                <w:spacing w:val="-2"/>
                <w:sz w:val="24"/>
              </w:rPr>
              <w:t>Q=e</w:t>
            </w:r>
            <w:r>
              <w:rPr>
                <w:color w:val="auto"/>
                <w:spacing w:val="-2"/>
                <w:sz w:val="24"/>
                <w:vertAlign w:val="superscript"/>
              </w:rPr>
              <w:t>0.61u</w:t>
            </w:r>
            <w:r>
              <w:rPr>
                <w:color w:val="auto"/>
                <w:spacing w:val="-2"/>
                <w:sz w:val="24"/>
              </w:rPr>
              <w:t>M/13.5</w:t>
            </w:r>
          </w:p>
          <w:p w14:paraId="49214CF3">
            <w:pPr>
              <w:ind w:firstLine="480"/>
              <w:rPr>
                <w:color w:val="auto"/>
              </w:rPr>
            </w:pPr>
            <w:r>
              <w:rPr>
                <w:color w:val="auto"/>
              </w:rPr>
              <w:t>式中：Q——自卸汽车卸料起尘量，g/次；</w:t>
            </w:r>
          </w:p>
          <w:p w14:paraId="2D85E909">
            <w:pPr>
              <w:ind w:firstLine="480"/>
              <w:rPr>
                <w:color w:val="auto"/>
              </w:rPr>
            </w:pPr>
            <w:r>
              <w:rPr>
                <w:color w:val="auto"/>
              </w:rPr>
              <w:t>u——平均风速，m/s，此处按1.</w:t>
            </w:r>
            <w:r>
              <w:rPr>
                <w:rFonts w:hint="eastAsia"/>
                <w:color w:val="auto"/>
              </w:rPr>
              <w:t>7</w:t>
            </w:r>
            <w:r>
              <w:rPr>
                <w:color w:val="auto"/>
              </w:rPr>
              <w:t>m/s计；</w:t>
            </w:r>
          </w:p>
          <w:p w14:paraId="555AC142">
            <w:pPr>
              <w:ind w:firstLine="480"/>
              <w:rPr>
                <w:color w:val="auto"/>
              </w:rPr>
            </w:pPr>
            <w:r>
              <w:rPr>
                <w:color w:val="auto"/>
              </w:rPr>
              <w:t>M——汽车卸料量，t，此处按</w:t>
            </w:r>
            <w:r>
              <w:rPr>
                <w:rFonts w:hint="eastAsia"/>
                <w:color w:val="auto"/>
              </w:rPr>
              <w:t>20</w:t>
            </w:r>
            <w:r>
              <w:rPr>
                <w:color w:val="auto"/>
              </w:rPr>
              <w:t>t/次计；</w:t>
            </w:r>
          </w:p>
          <w:p w14:paraId="0C2E69B0">
            <w:pPr>
              <w:ind w:firstLine="480"/>
              <w:rPr>
                <w:color w:val="auto"/>
              </w:rPr>
            </w:pPr>
            <w:r>
              <w:rPr>
                <w:color w:val="auto"/>
              </w:rPr>
              <w:t>根据上式，项目铲车装卸起尘系数Q粉尘为</w:t>
            </w:r>
            <w:r>
              <w:rPr>
                <w:rFonts w:hint="eastAsia"/>
                <w:color w:val="auto"/>
              </w:rPr>
              <w:t>4.18</w:t>
            </w:r>
            <w:r>
              <w:rPr>
                <w:color w:val="auto"/>
              </w:rPr>
              <w:t>g/次。项目水泥年总耗量为</w:t>
            </w:r>
            <w:r>
              <w:rPr>
                <w:rFonts w:hint="eastAsia"/>
                <w:color w:val="auto"/>
              </w:rPr>
              <w:t>20000.525</w:t>
            </w:r>
            <w:r>
              <w:rPr>
                <w:color w:val="auto"/>
              </w:rPr>
              <w:t>吨；砂石料年总耗量为</w:t>
            </w:r>
            <w:r>
              <w:rPr>
                <w:rFonts w:hint="eastAsia"/>
                <w:color w:val="auto"/>
              </w:rPr>
              <w:t>80226.825</w:t>
            </w:r>
            <w:r>
              <w:rPr>
                <w:color w:val="auto"/>
              </w:rPr>
              <w:t>吨。则项目水泥、砂石料等原料的总运输量合计</w:t>
            </w:r>
            <w:r>
              <w:rPr>
                <w:rFonts w:hint="eastAsia"/>
                <w:color w:val="auto"/>
              </w:rPr>
              <w:t>100227.35</w:t>
            </w:r>
            <w:r>
              <w:rPr>
                <w:color w:val="auto"/>
              </w:rPr>
              <w:t>t/a，用</w:t>
            </w:r>
            <w:r>
              <w:rPr>
                <w:rFonts w:hint="eastAsia"/>
                <w:color w:val="auto"/>
              </w:rPr>
              <w:t>20</w:t>
            </w:r>
            <w:r>
              <w:rPr>
                <w:color w:val="auto"/>
              </w:rPr>
              <w:t>t汽车运输，需运输</w:t>
            </w:r>
            <w:r>
              <w:rPr>
                <w:rFonts w:hint="eastAsia"/>
                <w:color w:val="auto"/>
              </w:rPr>
              <w:t>5012</w:t>
            </w:r>
            <w:r>
              <w:rPr>
                <w:color w:val="auto"/>
              </w:rPr>
              <w:t>次，则预计项目运营期砂石料装卸扬尘产生量为</w:t>
            </w:r>
            <w:r>
              <w:rPr>
                <w:rFonts w:hint="eastAsia"/>
                <w:color w:val="auto"/>
              </w:rPr>
              <w:t>0.021</w:t>
            </w:r>
            <w:r>
              <w:rPr>
                <w:color w:val="auto"/>
              </w:rPr>
              <w:t>t/a。</w:t>
            </w:r>
          </w:p>
          <w:p w14:paraId="22B47E9F">
            <w:pPr>
              <w:ind w:firstLine="480"/>
              <w:rPr>
                <w:color w:val="auto"/>
              </w:rPr>
            </w:pPr>
            <w:r>
              <w:rPr>
                <w:color w:val="auto"/>
              </w:rPr>
              <w:t>项目拟采取水雾喷淋、</w:t>
            </w:r>
            <w:r>
              <w:rPr>
                <w:rFonts w:hint="eastAsia"/>
                <w:color w:val="auto"/>
              </w:rPr>
              <w:t>三面围挡+顶棚和</w:t>
            </w:r>
            <w:r>
              <w:rPr>
                <w:color w:val="auto"/>
              </w:rPr>
              <w:t>降低物料装卸过程高度差等降尘防治措施，类比同类型项目，降尘率按60%计，则预计项目运营期砂石料装卸扬尘无组织排放量为</w:t>
            </w:r>
            <w:r>
              <w:rPr>
                <w:rFonts w:hint="eastAsia"/>
                <w:color w:val="auto"/>
              </w:rPr>
              <w:t>0.0084</w:t>
            </w:r>
            <w:r>
              <w:rPr>
                <w:color w:val="auto"/>
              </w:rPr>
              <w:t>t/a，根据建设单位提供，砂石料装卸一次需用时0.5h，年装卸时长为</w:t>
            </w:r>
            <w:r>
              <w:rPr>
                <w:rFonts w:hint="eastAsia"/>
                <w:color w:val="auto"/>
              </w:rPr>
              <w:t>2506</w:t>
            </w:r>
            <w:r>
              <w:rPr>
                <w:color w:val="auto"/>
              </w:rPr>
              <w:t>h，则砂石料装卸扬尘无组织排放量为</w:t>
            </w:r>
            <w:r>
              <w:rPr>
                <w:rFonts w:hint="eastAsia"/>
                <w:color w:val="auto"/>
              </w:rPr>
              <w:t>0.0033</w:t>
            </w:r>
            <w:r>
              <w:rPr>
                <w:color w:val="auto"/>
              </w:rPr>
              <w:t>kg/h。</w:t>
            </w:r>
          </w:p>
          <w:p w14:paraId="7D27B28C">
            <w:pPr>
              <w:ind w:firstLine="480"/>
              <w:rPr>
                <w:color w:val="auto"/>
              </w:rPr>
            </w:pPr>
            <w:r>
              <w:rPr>
                <w:color w:val="auto"/>
              </w:rPr>
              <w:fldChar w:fldCharType="begin"/>
            </w:r>
            <w:r>
              <w:rPr>
                <w:color w:val="auto"/>
              </w:rPr>
              <w:instrText xml:space="preserve"> = 2 \* GB3 </w:instrText>
            </w:r>
            <w:r>
              <w:rPr>
                <w:color w:val="auto"/>
              </w:rPr>
              <w:fldChar w:fldCharType="separate"/>
            </w:r>
            <w:r>
              <w:rPr>
                <w:rFonts w:hint="eastAsia" w:ascii="宋体" w:hAnsi="宋体" w:cs="宋体"/>
                <w:color w:val="auto"/>
              </w:rPr>
              <w:t>②</w:t>
            </w:r>
            <w:r>
              <w:rPr>
                <w:color w:val="auto"/>
              </w:rPr>
              <w:fldChar w:fldCharType="end"/>
            </w:r>
            <w:r>
              <w:rPr>
                <w:color w:val="auto"/>
              </w:rPr>
              <w:t>运输扬尘</w:t>
            </w:r>
          </w:p>
          <w:p w14:paraId="40536BFE">
            <w:pPr>
              <w:ind w:firstLine="480"/>
              <w:rPr>
                <w:color w:val="auto"/>
              </w:rPr>
            </w:pPr>
            <w:r>
              <w:rPr>
                <w:color w:val="auto"/>
              </w:rPr>
              <w:t>砂石料在场内运输会产生运输扬尘，计算公式如下：</w:t>
            </w:r>
          </w:p>
          <w:p w14:paraId="187DDF2B">
            <w:pPr>
              <w:ind w:firstLine="480"/>
              <w:jc w:val="center"/>
              <w:rPr>
                <w:color w:val="auto"/>
              </w:rPr>
            </w:pPr>
            <w:r>
              <w:rPr>
                <w:color w:val="auto"/>
              </w:rPr>
              <w:object>
                <v:shape id="_x0000_i1025" o:spt="75" type="#_x0000_t75" style="height:54pt;width:223.5pt;" o:ole="t" filled="f" o:preferrelative="t" stroked="f" coordsize="21600,21600">
                  <v:path/>
                  <v:fill on="f" focussize="0,0"/>
                  <v:stroke on="f"/>
                  <v:imagedata r:id="rId21" o:title=""/>
                  <o:lock v:ext="edit" aspectratio="t"/>
                  <w10:wrap type="none"/>
                  <w10:anchorlock/>
                </v:shape>
                <o:OLEObject Type="Embed" ProgID="Equation.3" ShapeID="_x0000_i1025" DrawAspect="Content" ObjectID="_1468075725" r:id="rId20">
                  <o:LockedField>false</o:LockedField>
                </o:OLEObject>
              </w:object>
            </w:r>
            <w:r>
              <w:rPr>
                <w:color w:val="auto"/>
              </w:rPr>
              <w:t>（计算公式3）</w:t>
            </w:r>
          </w:p>
          <w:p w14:paraId="28E3AFB2">
            <w:pPr>
              <w:ind w:firstLine="480"/>
              <w:rPr>
                <w:color w:val="auto"/>
              </w:rPr>
            </w:pPr>
            <w:r>
              <w:rPr>
                <w:color w:val="auto"/>
              </w:rPr>
              <w:t>式中：Q</w:t>
            </w:r>
            <w:r>
              <w:rPr>
                <w:color w:val="auto"/>
                <w:vertAlign w:val="subscript"/>
              </w:rPr>
              <w:t>P</w:t>
            </w:r>
            <w:r>
              <w:rPr>
                <w:color w:val="auto"/>
              </w:rPr>
              <w:t>——道路扬尘量（kg/km·辆）；</w:t>
            </w:r>
          </w:p>
          <w:p w14:paraId="73C53EA2">
            <w:pPr>
              <w:ind w:firstLine="480"/>
              <w:rPr>
                <w:color w:val="auto"/>
              </w:rPr>
            </w:pPr>
            <w:r>
              <w:rPr>
                <w:color w:val="auto"/>
              </w:rPr>
              <w:t xml:space="preserve">      Q</w:t>
            </w:r>
            <w:r>
              <w:rPr>
                <w:color w:val="auto"/>
                <w:vertAlign w:val="subscript"/>
              </w:rPr>
              <w:t>P</w:t>
            </w:r>
            <w:r>
              <w:rPr>
                <w:color w:val="auto"/>
                <w:vertAlign w:val="superscript"/>
              </w:rPr>
              <w:t>1</w:t>
            </w:r>
            <w:r>
              <w:rPr>
                <w:color w:val="auto"/>
              </w:rPr>
              <w:t>——总扬尘量（kg/a）；</w:t>
            </w:r>
          </w:p>
          <w:p w14:paraId="3CA9E17E">
            <w:pPr>
              <w:ind w:firstLine="480"/>
              <w:rPr>
                <w:color w:val="auto"/>
              </w:rPr>
            </w:pPr>
            <w:r>
              <w:rPr>
                <w:color w:val="auto"/>
              </w:rPr>
              <w:t xml:space="preserve">      V——车辆速度（5km/h）；</w:t>
            </w:r>
          </w:p>
          <w:p w14:paraId="6B65ED23">
            <w:pPr>
              <w:ind w:firstLine="480"/>
              <w:rPr>
                <w:color w:val="auto"/>
              </w:rPr>
            </w:pPr>
            <w:r>
              <w:rPr>
                <w:color w:val="auto"/>
              </w:rPr>
              <w:t xml:space="preserve">      M——车辆载重（t/辆）；</w:t>
            </w:r>
          </w:p>
          <w:p w14:paraId="781917A2">
            <w:pPr>
              <w:ind w:firstLine="480"/>
              <w:rPr>
                <w:color w:val="auto"/>
              </w:rPr>
            </w:pPr>
            <w:r>
              <w:rPr>
                <w:color w:val="auto"/>
              </w:rPr>
              <w:t xml:space="preserve">      P——道路灰尘覆盖量（kg/m</w:t>
            </w:r>
            <w:r>
              <w:rPr>
                <w:color w:val="auto"/>
                <w:vertAlign w:val="superscript"/>
              </w:rPr>
              <w:t>2</w:t>
            </w:r>
            <w:r>
              <w:rPr>
                <w:color w:val="auto"/>
              </w:rPr>
              <w:t>），项目场内运输道路为水泥硬化路面，故道路灰尘覆盖量P取0.5kg/m</w:t>
            </w:r>
            <w:r>
              <w:rPr>
                <w:color w:val="auto"/>
                <w:vertAlign w:val="superscript"/>
              </w:rPr>
              <w:t>2</w:t>
            </w:r>
            <w:r>
              <w:rPr>
                <w:color w:val="auto"/>
              </w:rPr>
              <w:t>；</w:t>
            </w:r>
          </w:p>
          <w:p w14:paraId="7C536F0B">
            <w:pPr>
              <w:ind w:firstLine="480"/>
              <w:rPr>
                <w:color w:val="auto"/>
              </w:rPr>
            </w:pPr>
            <w:r>
              <w:rPr>
                <w:color w:val="auto"/>
              </w:rPr>
              <w:t xml:space="preserve">      L——运输距离（0.1km）；</w:t>
            </w:r>
          </w:p>
          <w:p w14:paraId="1F331F35">
            <w:pPr>
              <w:ind w:firstLine="480"/>
              <w:rPr>
                <w:color w:val="auto"/>
              </w:rPr>
            </w:pPr>
            <w:r>
              <w:rPr>
                <w:color w:val="auto"/>
              </w:rPr>
              <w:t xml:space="preserve">      Q——运输量（t/a）。</w:t>
            </w:r>
          </w:p>
          <w:p w14:paraId="0D577A74">
            <w:pPr>
              <w:ind w:firstLine="480"/>
              <w:rPr>
                <w:color w:val="auto"/>
              </w:rPr>
            </w:pPr>
            <w:r>
              <w:rPr>
                <w:color w:val="auto"/>
              </w:rPr>
              <w:t>项目建设后场内年运输</w:t>
            </w:r>
            <w:r>
              <w:rPr>
                <w:rFonts w:hint="eastAsia"/>
                <w:color w:val="auto"/>
              </w:rPr>
              <w:t>材</w:t>
            </w:r>
            <w:r>
              <w:rPr>
                <w:color w:val="auto"/>
              </w:rPr>
              <w:t>料量按</w:t>
            </w:r>
            <w:r>
              <w:rPr>
                <w:rFonts w:hint="eastAsia"/>
                <w:color w:val="auto"/>
              </w:rPr>
              <w:t>102924.05</w:t>
            </w:r>
            <w:r>
              <w:rPr>
                <w:color w:val="auto"/>
              </w:rPr>
              <w:t>吨计，年生产</w:t>
            </w:r>
            <w:r>
              <w:rPr>
                <w:rFonts w:hint="eastAsia"/>
                <w:color w:val="auto"/>
              </w:rPr>
              <w:t>300</w:t>
            </w:r>
            <w:r>
              <w:rPr>
                <w:color w:val="auto"/>
              </w:rPr>
              <w:t>天，平均每天运输量为</w:t>
            </w:r>
            <w:r>
              <w:rPr>
                <w:rFonts w:hint="eastAsia"/>
                <w:color w:val="auto"/>
              </w:rPr>
              <w:t>343.08</w:t>
            </w:r>
            <w:r>
              <w:rPr>
                <w:color w:val="auto"/>
              </w:rPr>
              <w:t>t，从堆场至大门往返公路里程平均按</w:t>
            </w:r>
            <w:r>
              <w:rPr>
                <w:rFonts w:hint="eastAsia"/>
                <w:color w:val="auto"/>
              </w:rPr>
              <w:t>3</w:t>
            </w:r>
            <w:r>
              <w:rPr>
                <w:color w:val="auto"/>
              </w:rPr>
              <w:t>00m，采用</w:t>
            </w:r>
            <w:r>
              <w:rPr>
                <w:rFonts w:hint="eastAsia"/>
                <w:color w:val="auto"/>
              </w:rPr>
              <w:t>20</w:t>
            </w:r>
            <w:r>
              <w:rPr>
                <w:color w:val="auto"/>
              </w:rPr>
              <w:t>t的汽车运输，运输车辆时速约5.0km/h，经计算得道路扬尘量Q</w:t>
            </w:r>
            <w:r>
              <w:rPr>
                <w:color w:val="auto"/>
                <w:vertAlign w:val="subscript"/>
              </w:rPr>
              <w:t>P</w:t>
            </w:r>
            <w:r>
              <w:rPr>
                <w:color w:val="auto"/>
              </w:rPr>
              <w:t>为</w:t>
            </w:r>
            <w:r>
              <w:rPr>
                <w:rFonts w:hint="eastAsia"/>
                <w:color w:val="auto"/>
              </w:rPr>
              <w:t>0.308</w:t>
            </w:r>
            <w:r>
              <w:rPr>
                <w:color w:val="auto"/>
              </w:rPr>
              <w:t>kg/km·辆。项目区内运输途中起尘量Q</w:t>
            </w:r>
            <w:r>
              <w:rPr>
                <w:color w:val="auto"/>
                <w:vertAlign w:val="subscript"/>
              </w:rPr>
              <w:t>p</w:t>
            </w:r>
            <w:r>
              <w:rPr>
                <w:color w:val="auto"/>
                <w:vertAlign w:val="superscript"/>
              </w:rPr>
              <w:t>1</w:t>
            </w:r>
            <w:r>
              <w:rPr>
                <w:color w:val="auto"/>
              </w:rPr>
              <w:t>约为0.</w:t>
            </w:r>
            <w:r>
              <w:rPr>
                <w:rFonts w:hint="eastAsia"/>
                <w:color w:val="auto"/>
              </w:rPr>
              <w:t>475</w:t>
            </w:r>
            <w:r>
              <w:rPr>
                <w:color w:val="auto"/>
              </w:rPr>
              <w:t>t/a</w:t>
            </w:r>
            <w:r>
              <w:rPr>
                <w:rFonts w:hint="eastAsia"/>
                <w:color w:val="auto"/>
              </w:rPr>
              <w:t>，1.11kg/h</w:t>
            </w:r>
            <w:r>
              <w:rPr>
                <w:color w:val="auto"/>
              </w:rPr>
              <w:t>（按一辆车进出厂区一次5min计，一年进出</w:t>
            </w:r>
            <w:r>
              <w:rPr>
                <w:rFonts w:hint="eastAsia"/>
                <w:color w:val="auto"/>
              </w:rPr>
              <w:t>5147</w:t>
            </w:r>
            <w:r>
              <w:rPr>
                <w:color w:val="auto"/>
              </w:rPr>
              <w:t>次，则年进出时间为</w:t>
            </w:r>
            <w:r>
              <w:rPr>
                <w:rFonts w:hint="eastAsia"/>
                <w:color w:val="auto"/>
              </w:rPr>
              <w:t>25731</w:t>
            </w:r>
            <w:r>
              <w:rPr>
                <w:color w:val="auto"/>
              </w:rPr>
              <w:t>min，</w:t>
            </w:r>
            <w:r>
              <w:rPr>
                <w:rFonts w:hint="eastAsia"/>
                <w:color w:val="auto"/>
              </w:rPr>
              <w:t>428.85</w:t>
            </w:r>
            <w:r>
              <w:rPr>
                <w:color w:val="auto"/>
              </w:rPr>
              <w:t>h）。</w:t>
            </w:r>
            <w:r>
              <w:rPr>
                <w:rFonts w:hint="eastAsia"/>
                <w:color w:val="auto"/>
                <w:lang w:val="en-US" w:eastAsia="zh-CN"/>
              </w:rPr>
              <w:t>项目已对厂区路面硬化处理</w:t>
            </w:r>
            <w:r>
              <w:rPr>
                <w:color w:val="auto"/>
              </w:rPr>
              <w:t>，运输车辆均减速慢行，按时清扫，按时洒水降尘，排放量可降低60%，则运输扬尘排放量为</w:t>
            </w:r>
            <w:r>
              <w:rPr>
                <w:rFonts w:hint="eastAsia"/>
                <w:color w:val="auto"/>
              </w:rPr>
              <w:t>0.19</w:t>
            </w:r>
            <w:r>
              <w:rPr>
                <w:color w:val="auto"/>
              </w:rPr>
              <w:t>t/a、</w:t>
            </w:r>
            <w:r>
              <w:rPr>
                <w:rFonts w:hint="eastAsia"/>
                <w:color w:val="auto"/>
              </w:rPr>
              <w:t>0.44</w:t>
            </w:r>
            <w:r>
              <w:rPr>
                <w:color w:val="auto"/>
              </w:rPr>
              <w:t>kg/h。</w:t>
            </w:r>
          </w:p>
          <w:p w14:paraId="60A8AF54">
            <w:pPr>
              <w:ind w:firstLine="480"/>
              <w:rPr>
                <w:color w:val="auto"/>
              </w:rPr>
            </w:pPr>
            <w:r>
              <w:rPr>
                <w:color w:val="auto"/>
              </w:rPr>
              <w:fldChar w:fldCharType="begin"/>
            </w:r>
            <w:r>
              <w:rPr>
                <w:color w:val="auto"/>
              </w:rPr>
              <w:instrText xml:space="preserve"> = 3 \* GB3 </w:instrText>
            </w:r>
            <w:r>
              <w:rPr>
                <w:color w:val="auto"/>
              </w:rPr>
              <w:fldChar w:fldCharType="separate"/>
            </w:r>
            <w:r>
              <w:rPr>
                <w:rFonts w:hint="eastAsia" w:ascii="宋体" w:hAnsi="宋体" w:cs="宋体"/>
                <w:color w:val="auto"/>
              </w:rPr>
              <w:t>③</w:t>
            </w:r>
            <w:r>
              <w:rPr>
                <w:color w:val="auto"/>
              </w:rPr>
              <w:fldChar w:fldCharType="end"/>
            </w:r>
            <w:r>
              <w:rPr>
                <w:color w:val="auto"/>
              </w:rPr>
              <w:t>砂石料堆场扬尘</w:t>
            </w:r>
          </w:p>
          <w:p w14:paraId="11747B12">
            <w:pPr>
              <w:ind w:firstLine="472"/>
              <w:rPr>
                <w:color w:val="auto"/>
              </w:rPr>
            </w:pPr>
            <w:r>
              <w:rPr>
                <w:color w:val="auto"/>
                <w:spacing w:val="-4"/>
              </w:rPr>
              <w:t>项目砂石料堆存区域的占地面积为</w:t>
            </w:r>
            <w:r>
              <w:rPr>
                <w:rFonts w:hint="eastAsia"/>
                <w:color w:val="auto"/>
                <w:spacing w:val="-4"/>
              </w:rPr>
              <w:t>600</w:t>
            </w:r>
            <w:r>
              <w:rPr>
                <w:color w:val="auto"/>
                <w:spacing w:val="-4"/>
              </w:rPr>
              <w:t>m</w:t>
            </w:r>
            <w:r>
              <w:rPr>
                <w:color w:val="auto"/>
                <w:spacing w:val="-4"/>
                <w:vertAlign w:val="superscript"/>
              </w:rPr>
              <w:t>2</w:t>
            </w:r>
            <w:r>
              <w:rPr>
                <w:color w:val="auto"/>
              </w:rPr>
              <w:t>，本次粉尘评价采用西安冶金建筑学院的</w:t>
            </w:r>
            <w:r>
              <w:rPr>
                <w:rFonts w:hint="eastAsia"/>
                <w:color w:val="auto"/>
                <w:lang w:eastAsia="zh-CN"/>
              </w:rPr>
              <w:t>粉尘</w:t>
            </w:r>
            <w:r>
              <w:rPr>
                <w:color w:val="auto"/>
              </w:rPr>
              <w:t>量推荐公式计算。计算公式如下：</w:t>
            </w:r>
          </w:p>
          <w:p w14:paraId="75506683">
            <w:pPr>
              <w:ind w:firstLine="480"/>
              <w:jc w:val="center"/>
              <w:rPr>
                <w:color w:val="auto"/>
              </w:rPr>
            </w:pPr>
            <w:r>
              <w:rPr>
                <w:color w:val="auto"/>
              </w:rPr>
              <w:t>Q=4.23×10</w:t>
            </w:r>
            <w:r>
              <w:rPr>
                <w:color w:val="auto"/>
                <w:vertAlign w:val="superscript"/>
              </w:rPr>
              <w:t>-4</w:t>
            </w:r>
            <w:r>
              <w:rPr>
                <w:color w:val="auto"/>
              </w:rPr>
              <w:t>·U</w:t>
            </w:r>
            <w:r>
              <w:rPr>
                <w:color w:val="auto"/>
                <w:vertAlign w:val="superscript"/>
              </w:rPr>
              <w:t>4.9</w:t>
            </w:r>
            <w:r>
              <w:rPr>
                <w:color w:val="auto"/>
              </w:rPr>
              <w:t>·Ap（计算公式2）</w:t>
            </w:r>
          </w:p>
          <w:p w14:paraId="5599A114">
            <w:pPr>
              <w:ind w:firstLine="480"/>
              <w:rPr>
                <w:color w:val="auto"/>
              </w:rPr>
            </w:pPr>
            <w:r>
              <w:rPr>
                <w:color w:val="auto"/>
              </w:rPr>
              <w:t>式中：Q—起尘量，mg/s；</w:t>
            </w:r>
          </w:p>
          <w:p w14:paraId="58FEAF84">
            <w:pPr>
              <w:ind w:firstLine="480"/>
              <w:rPr>
                <w:color w:val="auto"/>
              </w:rPr>
            </w:pPr>
            <w:r>
              <w:rPr>
                <w:color w:val="auto"/>
              </w:rPr>
              <w:t xml:space="preserve">      Ap—堆场面积，m</w:t>
            </w:r>
            <w:r>
              <w:rPr>
                <w:color w:val="auto"/>
                <w:vertAlign w:val="superscript"/>
              </w:rPr>
              <w:t>2</w:t>
            </w:r>
            <w:r>
              <w:rPr>
                <w:color w:val="auto"/>
              </w:rPr>
              <w:t>；</w:t>
            </w:r>
          </w:p>
          <w:p w14:paraId="024D7FEA">
            <w:pPr>
              <w:ind w:firstLine="480"/>
              <w:rPr>
                <w:color w:val="auto"/>
              </w:rPr>
            </w:pPr>
            <w:r>
              <w:rPr>
                <w:color w:val="auto"/>
              </w:rPr>
              <w:t xml:space="preserve">      U—平均风速，m/s，</w:t>
            </w:r>
            <w:r>
              <w:rPr>
                <w:rFonts w:hint="eastAsia"/>
                <w:color w:val="auto"/>
              </w:rPr>
              <w:t>本项目厂房封闭后，可将吹到防尘网下砂石的风速控制至</w:t>
            </w:r>
            <w:r>
              <w:rPr>
                <w:color w:val="auto"/>
              </w:rPr>
              <w:t>0.5m/s</w:t>
            </w:r>
            <w:r>
              <w:rPr>
                <w:rFonts w:hint="eastAsia"/>
                <w:color w:val="auto"/>
              </w:rPr>
              <w:t>以下</w:t>
            </w:r>
            <w:r>
              <w:rPr>
                <w:color w:val="auto"/>
              </w:rPr>
              <w:t>。</w:t>
            </w:r>
          </w:p>
          <w:p w14:paraId="5015F84E">
            <w:pPr>
              <w:pStyle w:val="4"/>
              <w:ind w:firstLine="480"/>
              <w:jc w:val="both"/>
              <w:rPr>
                <w:rFonts w:hint="eastAsia" w:eastAsia="宋体"/>
                <w:color w:val="auto"/>
                <w:lang w:val="en-US" w:eastAsia="zh-CN"/>
              </w:rPr>
            </w:pPr>
            <w:r>
              <w:rPr>
                <w:color w:val="auto"/>
              </w:rPr>
              <w:t>经计算可知起尘量为</w:t>
            </w:r>
            <w:r>
              <w:rPr>
                <w:rFonts w:hint="eastAsia"/>
                <w:color w:val="auto"/>
              </w:rPr>
              <w:t>0.0085</w:t>
            </w:r>
            <w:r>
              <w:rPr>
                <w:color w:val="auto"/>
              </w:rPr>
              <w:t>mg/s，则砂石料堆场扬尘产生量为</w:t>
            </w:r>
            <w:r>
              <w:rPr>
                <w:rFonts w:hint="eastAsia"/>
                <w:color w:val="auto"/>
              </w:rPr>
              <w:t>0.000031</w:t>
            </w:r>
            <w:r>
              <w:rPr>
                <w:color w:val="auto"/>
              </w:rPr>
              <w:t>kg/h，项目年工作时间</w:t>
            </w:r>
            <w:r>
              <w:rPr>
                <w:rFonts w:hint="eastAsia"/>
                <w:color w:val="auto"/>
              </w:rPr>
              <w:t>7200</w:t>
            </w:r>
            <w:r>
              <w:rPr>
                <w:color w:val="auto"/>
              </w:rPr>
              <w:t>h，因砂石料存在全年连续堆放，则堆放时间为8760h，砂石料扬尘量为</w:t>
            </w:r>
            <w:r>
              <w:rPr>
                <w:rFonts w:hint="eastAsia"/>
                <w:color w:val="auto"/>
              </w:rPr>
              <w:t>0.00027</w:t>
            </w:r>
            <w:r>
              <w:rPr>
                <w:color w:val="auto"/>
              </w:rPr>
              <w:t>t/a，</w:t>
            </w:r>
            <w:r>
              <w:rPr>
                <w:rFonts w:hint="eastAsia"/>
                <w:color w:val="auto"/>
              </w:rPr>
              <w:t>砂石料堆场</w:t>
            </w:r>
            <w:r>
              <w:rPr>
                <w:rFonts w:hint="eastAsia"/>
                <w:color w:val="auto"/>
                <w:lang w:val="en-US" w:eastAsia="zh-CN"/>
              </w:rPr>
              <w:t>位于厂房内</w:t>
            </w:r>
            <w:r>
              <w:rPr>
                <w:color w:val="auto"/>
              </w:rPr>
              <w:t>，对TSP的控制效率为</w:t>
            </w:r>
            <w:r>
              <w:rPr>
                <w:rFonts w:hint="eastAsia"/>
                <w:color w:val="auto"/>
                <w:lang w:val="en-US" w:eastAsia="zh-CN"/>
              </w:rPr>
              <w:t>95%”</w:t>
            </w:r>
            <w:r>
              <w:rPr>
                <w:color w:val="auto"/>
              </w:rPr>
              <w:t>，则砂石料储存粉尘的排放量为</w:t>
            </w:r>
            <w:r>
              <w:rPr>
                <w:rFonts w:hint="eastAsia"/>
                <w:color w:val="auto"/>
                <w:lang w:val="en-US" w:eastAsia="zh-CN"/>
              </w:rPr>
              <w:t>0.000014</w:t>
            </w:r>
            <w:r>
              <w:rPr>
                <w:color w:val="auto"/>
              </w:rPr>
              <w:t>t/a，</w:t>
            </w:r>
            <w:r>
              <w:rPr>
                <w:rFonts w:hint="eastAsia"/>
                <w:color w:val="auto"/>
                <w:lang w:val="en-US" w:eastAsia="zh-CN"/>
              </w:rPr>
              <w:t>0.000016</w:t>
            </w:r>
            <w:r>
              <w:rPr>
                <w:color w:val="auto"/>
              </w:rPr>
              <w:t>kg/h。项目砂石料堆场产生的粉尘呈无组织排放</w:t>
            </w:r>
            <w:r>
              <w:rPr>
                <w:rFonts w:hint="eastAsia"/>
                <w:color w:val="auto"/>
                <w:lang w:eastAsia="zh-CN"/>
              </w:rPr>
              <w:t>。</w:t>
            </w:r>
          </w:p>
          <w:p w14:paraId="59062A08">
            <w:pPr>
              <w:pStyle w:val="10"/>
              <w:spacing w:after="0" w:line="360" w:lineRule="auto"/>
              <w:ind w:left="0" w:leftChars="0" w:firstLine="480"/>
              <w:rPr>
                <w:color w:val="auto"/>
              </w:rPr>
            </w:pPr>
            <w:r>
              <w:rPr>
                <w:color w:val="auto"/>
              </w:rPr>
              <w:fldChar w:fldCharType="begin"/>
            </w:r>
            <w:r>
              <w:rPr>
                <w:color w:val="auto"/>
              </w:rPr>
              <w:instrText xml:space="preserve"> </w:instrText>
            </w:r>
            <w:r>
              <w:rPr>
                <w:rFonts w:hint="eastAsia"/>
                <w:color w:val="auto"/>
              </w:rPr>
              <w:instrText xml:space="preserve">= 4 \* GB3</w:instrText>
            </w:r>
            <w:r>
              <w:rPr>
                <w:color w:val="auto"/>
              </w:rPr>
              <w:instrText xml:space="preserve"> </w:instrText>
            </w:r>
            <w:r>
              <w:rPr>
                <w:color w:val="auto"/>
              </w:rPr>
              <w:fldChar w:fldCharType="separate"/>
            </w:r>
            <w:r>
              <w:rPr>
                <w:rFonts w:hint="eastAsia"/>
                <w:color w:val="auto"/>
              </w:rPr>
              <w:t>④</w:t>
            </w:r>
            <w:r>
              <w:rPr>
                <w:color w:val="auto"/>
              </w:rPr>
              <w:fldChar w:fldCharType="end"/>
            </w:r>
            <w:r>
              <w:rPr>
                <w:rFonts w:hint="eastAsia"/>
                <w:color w:val="auto"/>
              </w:rPr>
              <w:t>投料工序无组织粉尘</w:t>
            </w:r>
          </w:p>
          <w:p w14:paraId="0AB69B35">
            <w:pPr>
              <w:ind w:firstLine="480"/>
              <w:rPr>
                <w:color w:val="auto"/>
              </w:rPr>
            </w:pPr>
            <w:r>
              <w:rPr>
                <w:color w:val="auto"/>
              </w:rPr>
              <w:t>本项目</w:t>
            </w:r>
            <w:r>
              <w:rPr>
                <w:rFonts w:hint="eastAsia"/>
                <w:color w:val="auto"/>
              </w:rPr>
              <w:t>轨枕</w:t>
            </w:r>
            <w:r>
              <w:rPr>
                <w:color w:val="auto"/>
              </w:rPr>
              <w:t>生产线中</w:t>
            </w:r>
            <w:r>
              <w:rPr>
                <w:rFonts w:hint="eastAsia"/>
                <w:color w:val="auto"/>
              </w:rPr>
              <w:t>河砂</w:t>
            </w:r>
            <w:r>
              <w:rPr>
                <w:color w:val="auto"/>
              </w:rPr>
              <w:t>、</w:t>
            </w:r>
            <w:r>
              <w:rPr>
                <w:rFonts w:hint="eastAsia"/>
                <w:color w:val="auto"/>
              </w:rPr>
              <w:t>碎石</w:t>
            </w:r>
            <w:r>
              <w:rPr>
                <w:color w:val="auto"/>
              </w:rPr>
              <w:t>采用叉车投料，原料在落入配料机的过程中会逸散出部分粉尘废气，水泥经水泥筒仓采用绞龙运输，输送过程无废气产生，年投料时长约为</w:t>
            </w:r>
            <w:r>
              <w:rPr>
                <w:rFonts w:hint="eastAsia"/>
                <w:color w:val="auto"/>
              </w:rPr>
              <w:t>7200</w:t>
            </w:r>
            <w:r>
              <w:rPr>
                <w:color w:val="auto"/>
              </w:rPr>
              <w:t>h。</w:t>
            </w:r>
          </w:p>
          <w:p w14:paraId="50E6339F">
            <w:pPr>
              <w:adjustRightInd w:val="0"/>
              <w:snapToGrid w:val="0"/>
              <w:ind w:firstLine="480"/>
              <w:rPr>
                <w:b/>
                <w:bCs/>
                <w:color w:val="auto"/>
              </w:rPr>
            </w:pPr>
            <w:r>
              <w:rPr>
                <w:rFonts w:hint="eastAsia"/>
                <w:color w:val="auto"/>
              </w:rPr>
              <w:t>根据《逸散性工业粉尘控制技术》，投料工序粉尘产生系数按0.012kg/t－原料计</w:t>
            </w:r>
            <w:r>
              <w:rPr>
                <w:color w:val="auto"/>
              </w:rPr>
              <w:t>。根据建设单位提供的资料，本项目</w:t>
            </w:r>
            <w:r>
              <w:rPr>
                <w:rFonts w:hint="eastAsia"/>
                <w:color w:val="auto"/>
              </w:rPr>
              <w:t>河砂</w:t>
            </w:r>
            <w:r>
              <w:rPr>
                <w:color w:val="auto"/>
              </w:rPr>
              <w:t>、</w:t>
            </w:r>
            <w:r>
              <w:rPr>
                <w:rFonts w:hint="eastAsia"/>
                <w:color w:val="auto"/>
              </w:rPr>
              <w:t>碎石</w:t>
            </w:r>
            <w:r>
              <w:rPr>
                <w:color w:val="auto"/>
              </w:rPr>
              <w:t>年消耗量约为</w:t>
            </w:r>
            <w:r>
              <w:rPr>
                <w:rFonts w:hint="eastAsia"/>
                <w:color w:val="auto"/>
              </w:rPr>
              <w:t>80226.825</w:t>
            </w:r>
            <w:r>
              <w:rPr>
                <w:color w:val="auto"/>
              </w:rPr>
              <w:t>t/a，则投料粉尘产生量约为</w:t>
            </w:r>
            <w:r>
              <w:rPr>
                <w:rFonts w:hint="eastAsia"/>
                <w:color w:val="auto"/>
              </w:rPr>
              <w:t>0.963</w:t>
            </w:r>
            <w:r>
              <w:rPr>
                <w:color w:val="auto"/>
              </w:rPr>
              <w:t>t/a</w:t>
            </w:r>
            <w:r>
              <w:rPr>
                <w:rFonts w:hint="eastAsia"/>
                <w:color w:val="auto"/>
              </w:rPr>
              <w:t>，0134kg/h</w:t>
            </w:r>
            <w:r>
              <w:rPr>
                <w:color w:val="auto"/>
              </w:rPr>
              <w:t>。</w:t>
            </w:r>
            <w:r>
              <w:rPr>
                <w:rFonts w:hint="eastAsia"/>
                <w:color w:val="auto"/>
                <w:lang w:val="en-US" w:eastAsia="zh-CN"/>
              </w:rPr>
              <w:t>投料工序在封闭车间内进行，</w:t>
            </w:r>
            <w:r>
              <w:rPr>
                <w:rFonts w:hint="eastAsia"/>
                <w:color w:val="auto"/>
              </w:rPr>
              <w:t>投料</w:t>
            </w:r>
            <w:r>
              <w:rPr>
                <w:color w:val="auto"/>
              </w:rPr>
              <w:t>工序</w:t>
            </w:r>
            <w:r>
              <w:rPr>
                <w:rFonts w:hint="eastAsia"/>
                <w:color w:val="auto"/>
              </w:rPr>
              <w:t>上方</w:t>
            </w:r>
            <w:r>
              <w:rPr>
                <w:rFonts w:hint="eastAsia"/>
                <w:color w:val="auto"/>
                <w:lang w:val="en-US" w:eastAsia="zh-CN"/>
              </w:rPr>
              <w:t>设置喷淋系统</w:t>
            </w:r>
            <w:r>
              <w:rPr>
                <w:rFonts w:hint="eastAsia"/>
                <w:color w:val="auto"/>
              </w:rPr>
              <w:t>，</w:t>
            </w:r>
            <w:r>
              <w:rPr>
                <w:color w:val="auto"/>
              </w:rPr>
              <w:t>综合降尘效率可达</w:t>
            </w:r>
            <w:r>
              <w:rPr>
                <w:rFonts w:hint="eastAsia"/>
                <w:color w:val="auto"/>
              </w:rPr>
              <w:t>60</w:t>
            </w:r>
            <w:r>
              <w:rPr>
                <w:color w:val="auto"/>
              </w:rPr>
              <w:t>%，经计算，无组织</w:t>
            </w:r>
            <w:r>
              <w:rPr>
                <w:rFonts w:hint="eastAsia"/>
                <w:color w:val="auto"/>
              </w:rPr>
              <w:t>投料</w:t>
            </w:r>
            <w:r>
              <w:rPr>
                <w:color w:val="auto"/>
              </w:rPr>
              <w:t>粉尘排放量为</w:t>
            </w:r>
            <w:r>
              <w:rPr>
                <w:rFonts w:hint="eastAsia"/>
                <w:color w:val="auto"/>
              </w:rPr>
              <w:t>0.38</w:t>
            </w:r>
            <w:r>
              <w:rPr>
                <w:rFonts w:hint="eastAsia"/>
                <w:color w:val="auto"/>
                <w:lang w:val="en-US" w:eastAsia="zh-CN"/>
              </w:rPr>
              <w:t>5</w:t>
            </w:r>
            <w:r>
              <w:rPr>
                <w:color w:val="auto"/>
              </w:rPr>
              <w:t>t/a、</w:t>
            </w:r>
            <w:r>
              <w:rPr>
                <w:rFonts w:hint="eastAsia"/>
                <w:color w:val="auto"/>
              </w:rPr>
              <w:t>0.05</w:t>
            </w:r>
            <w:r>
              <w:rPr>
                <w:rFonts w:hint="eastAsia"/>
                <w:color w:val="auto"/>
                <w:lang w:val="en-US" w:eastAsia="zh-CN"/>
              </w:rPr>
              <w:t>3</w:t>
            </w:r>
            <w:r>
              <w:rPr>
                <w:color w:val="auto"/>
              </w:rPr>
              <w:t>kg/h</w:t>
            </w:r>
            <w:r>
              <w:rPr>
                <w:rFonts w:hint="eastAsia"/>
                <w:color w:val="auto"/>
              </w:rPr>
              <w:t>，</w:t>
            </w:r>
            <w:r>
              <w:rPr>
                <w:bCs/>
                <w:color w:val="auto"/>
                <w:spacing w:val="6"/>
                <w:lang w:bidi="ar"/>
              </w:rPr>
              <w:t>呈无组织排放</w:t>
            </w:r>
            <w:r>
              <w:rPr>
                <w:color w:val="auto"/>
              </w:rPr>
              <w:t>。</w:t>
            </w:r>
          </w:p>
          <w:p w14:paraId="37C7E894">
            <w:pPr>
              <w:pStyle w:val="10"/>
              <w:spacing w:after="0" w:line="360" w:lineRule="auto"/>
              <w:ind w:left="0" w:leftChars="0" w:firstLine="480"/>
              <w:rPr>
                <w:color w:val="auto"/>
              </w:rPr>
            </w:pPr>
            <w:r>
              <w:rPr>
                <w:rFonts w:hint="eastAsia" w:ascii="GWZT-EN" w:hAnsi="GWZT-EN" w:eastAsia="GWZT-EN" w:cs="GWZT-EN"/>
                <w:color w:val="auto"/>
              </w:rPr>
              <w:t>⑤</w:t>
            </w:r>
            <w:r>
              <w:rPr>
                <w:color w:val="auto"/>
              </w:rPr>
              <w:t>钢筋焊接烟尘及切割金属粉尘</w:t>
            </w:r>
          </w:p>
          <w:p w14:paraId="4D203116">
            <w:pPr>
              <w:pStyle w:val="10"/>
              <w:spacing w:after="0" w:line="360" w:lineRule="auto"/>
              <w:ind w:left="0" w:leftChars="0" w:firstLine="480"/>
              <w:rPr>
                <w:color w:val="auto"/>
              </w:rPr>
            </w:pPr>
            <w:r>
              <w:rPr>
                <w:color w:val="auto"/>
              </w:rPr>
              <w:t>1）焊接烟尘</w:t>
            </w:r>
          </w:p>
          <w:p w14:paraId="7FFFB0E0">
            <w:pPr>
              <w:pStyle w:val="10"/>
              <w:spacing w:after="0" w:line="360" w:lineRule="auto"/>
              <w:ind w:left="0" w:leftChars="0" w:firstLine="480"/>
              <w:rPr>
                <w:color w:val="auto"/>
              </w:rPr>
            </w:pPr>
            <w:r>
              <w:rPr>
                <w:color w:val="auto"/>
              </w:rPr>
              <w:t>项目拟在生产过程中使用电焊机对</w:t>
            </w:r>
            <w:r>
              <w:rPr>
                <w:rFonts w:hint="eastAsia"/>
                <w:color w:val="auto"/>
              </w:rPr>
              <w:t>箍筋</w:t>
            </w:r>
            <w:r>
              <w:rPr>
                <w:color w:val="auto"/>
              </w:rPr>
              <w:t>与钢筋骨架进行焊接，焊接过程中会产生焊接烟尘，其主要成分为Fe</w:t>
            </w:r>
            <w:r>
              <w:rPr>
                <w:color w:val="auto"/>
                <w:vertAlign w:val="subscript"/>
              </w:rPr>
              <w:t>2</w:t>
            </w:r>
            <w:r>
              <w:rPr>
                <w:color w:val="auto"/>
              </w:rPr>
              <w:t>O</w:t>
            </w:r>
            <w:r>
              <w:rPr>
                <w:color w:val="auto"/>
                <w:vertAlign w:val="subscript"/>
              </w:rPr>
              <w:t>3</w:t>
            </w:r>
            <w:r>
              <w:rPr>
                <w:color w:val="auto"/>
              </w:rPr>
              <w:t>等金属氧化物。本项目</w:t>
            </w:r>
            <w:r>
              <w:rPr>
                <w:rFonts w:hint="eastAsia"/>
                <w:color w:val="auto"/>
              </w:rPr>
              <w:t>箍筋</w:t>
            </w:r>
            <w:r>
              <w:rPr>
                <w:color w:val="auto"/>
              </w:rPr>
              <w:t>及钢筋骨架制作过程中焊接工序焊条使用量为</w:t>
            </w:r>
            <w:r>
              <w:rPr>
                <w:rFonts w:hint="eastAsia"/>
                <w:color w:val="auto"/>
              </w:rPr>
              <w:t>10</w:t>
            </w:r>
            <w:r>
              <w:rPr>
                <w:color w:val="auto"/>
              </w:rPr>
              <w:t>t/a，根据《焊接技术手册》，焊接烟尘产生量为8g/kg焊接材料，排放方式为无组织排放，则焊接烟尘产生量为0.0</w:t>
            </w:r>
            <w:r>
              <w:rPr>
                <w:rFonts w:hint="eastAsia"/>
                <w:color w:val="auto"/>
              </w:rPr>
              <w:t>8</w:t>
            </w:r>
            <w:r>
              <w:rPr>
                <w:color w:val="auto"/>
              </w:rPr>
              <w:t>t/a，</w:t>
            </w:r>
            <w:r>
              <w:rPr>
                <w:rFonts w:hint="eastAsia"/>
                <w:color w:val="auto"/>
              </w:rPr>
              <w:t>焊接工序</w:t>
            </w:r>
            <w:r>
              <w:rPr>
                <w:color w:val="auto"/>
              </w:rPr>
              <w:t>年工作</w:t>
            </w:r>
            <w:r>
              <w:rPr>
                <w:rFonts w:hint="eastAsia"/>
                <w:color w:val="auto"/>
              </w:rPr>
              <w:t>300</w:t>
            </w:r>
            <w:r>
              <w:rPr>
                <w:color w:val="auto"/>
              </w:rPr>
              <w:t>d，每天工作</w:t>
            </w:r>
            <w:r>
              <w:rPr>
                <w:rFonts w:hint="eastAsia"/>
                <w:color w:val="auto"/>
              </w:rPr>
              <w:t>24</w:t>
            </w:r>
            <w:r>
              <w:rPr>
                <w:color w:val="auto"/>
              </w:rPr>
              <w:t>h，年工作</w:t>
            </w:r>
            <w:r>
              <w:rPr>
                <w:rFonts w:hint="eastAsia"/>
                <w:color w:val="auto"/>
              </w:rPr>
              <w:t>7200</w:t>
            </w:r>
            <w:r>
              <w:rPr>
                <w:color w:val="auto"/>
              </w:rPr>
              <w:t>h，则烟尘产生速率为</w:t>
            </w:r>
            <w:r>
              <w:rPr>
                <w:rFonts w:hint="eastAsia"/>
                <w:color w:val="auto"/>
              </w:rPr>
              <w:t>0.01</w:t>
            </w:r>
            <w:r>
              <w:rPr>
                <w:color w:val="auto"/>
              </w:rPr>
              <w:t>kg/h，项目车间自然通风条件较好，通过加强车间通风等方式确保过滤后的焊接烟气无组织排放浓度符合</w:t>
            </w:r>
            <w:r>
              <w:rPr>
                <w:rFonts w:hint="eastAsia"/>
                <w:color w:val="auto"/>
              </w:rPr>
              <w:t>《水泥工业大气污染物排放标准》（GB4915-2013）</w:t>
            </w:r>
            <w:r>
              <w:rPr>
                <w:color w:val="auto"/>
              </w:rPr>
              <w:t>中无组织排放浓度限值。</w:t>
            </w:r>
          </w:p>
          <w:p w14:paraId="5F1D6636">
            <w:pPr>
              <w:pStyle w:val="10"/>
              <w:spacing w:after="0" w:line="360" w:lineRule="auto"/>
              <w:ind w:left="0" w:leftChars="0" w:firstLine="480"/>
              <w:rPr>
                <w:color w:val="auto"/>
              </w:rPr>
            </w:pPr>
            <w:r>
              <w:rPr>
                <w:color w:val="auto"/>
              </w:rPr>
              <w:t>2）金属切割粉尘</w:t>
            </w:r>
          </w:p>
          <w:p w14:paraId="59C7D87A">
            <w:pPr>
              <w:pStyle w:val="10"/>
              <w:spacing w:after="0" w:line="360" w:lineRule="auto"/>
              <w:ind w:left="0" w:leftChars="0" w:firstLine="480"/>
              <w:rPr>
                <w:color w:val="auto"/>
              </w:rPr>
            </w:pPr>
            <w:r>
              <w:rPr>
                <w:color w:val="auto"/>
              </w:rPr>
              <w:t>在钢筋切割过程中会产生细小的颗粒物，这些颗粒物的主要成分为金属。由于金属颗粒物质量较重，且有车间</w:t>
            </w:r>
            <w:r>
              <w:rPr>
                <w:rFonts w:hint="eastAsia"/>
                <w:color w:val="auto"/>
                <w:lang w:eastAsia="zh-CN"/>
              </w:rPr>
              <w:t>厂房</w:t>
            </w:r>
            <w:r>
              <w:rPr>
                <w:color w:val="auto"/>
              </w:rPr>
              <w:t>阻拦，颗粒物散落范围很小，多在5m以内，根据对</w:t>
            </w:r>
            <w:r>
              <w:rPr>
                <w:rFonts w:hint="eastAsia"/>
                <w:color w:val="auto"/>
              </w:rPr>
              <w:t>《水泥工业大气污染物排放标准》（GB4915-2013）</w:t>
            </w:r>
            <w:r>
              <w:rPr>
                <w:color w:val="auto"/>
              </w:rPr>
              <w:t>逸至车间外环境的金属颗粒物极少，复核调研和</w:t>
            </w:r>
            <w:r>
              <w:rPr>
                <w:rFonts w:hint="eastAsia"/>
                <w:color w:val="auto"/>
                <w:lang w:eastAsia="zh-CN"/>
              </w:rPr>
              <w:t>生态环境部</w:t>
            </w:r>
            <w:r>
              <w:rPr>
                <w:color w:val="auto"/>
              </w:rPr>
              <w:t>《大气污染物排放达标技术指南》课题调查资料表明，调研的国内6个机加工企业，各种机加工车床等加工设备周围5m处金属颗粒物浓度在0.3~0.95mg/m</w:t>
            </w:r>
            <w:r>
              <w:rPr>
                <w:color w:val="auto"/>
                <w:vertAlign w:val="superscript"/>
              </w:rPr>
              <w:t>3</w:t>
            </w:r>
            <w:r>
              <w:rPr>
                <w:color w:val="auto"/>
              </w:rPr>
              <w:t>，平均浓度为0.1mg/m</w:t>
            </w:r>
            <w:r>
              <w:rPr>
                <w:color w:val="auto"/>
                <w:vertAlign w:val="superscript"/>
              </w:rPr>
              <w:t>3</w:t>
            </w:r>
            <w:r>
              <w:rPr>
                <w:color w:val="auto"/>
              </w:rPr>
              <w:t>。</w:t>
            </w:r>
          </w:p>
          <w:p w14:paraId="56F8BDE2">
            <w:pPr>
              <w:ind w:firstLine="480"/>
              <w:rPr>
                <w:rFonts w:hint="eastAsia" w:ascii="宋体" w:hAnsi="宋体" w:eastAsia="宋体" w:cs="宋体"/>
                <w:color w:val="auto"/>
              </w:rPr>
            </w:pPr>
            <w:r>
              <w:rPr>
                <w:rFonts w:hint="eastAsia" w:ascii="宋体" w:hAnsi="宋体" w:eastAsia="宋体" w:cs="宋体"/>
                <w:color w:val="auto"/>
              </w:rPr>
              <w:t>⑥汽车尾气</w:t>
            </w:r>
          </w:p>
          <w:p w14:paraId="4932DC23">
            <w:pPr>
              <w:ind w:firstLine="480"/>
              <w:rPr>
                <w:color w:val="auto"/>
              </w:rPr>
            </w:pPr>
            <w:r>
              <w:rPr>
                <w:color w:val="auto"/>
              </w:rPr>
              <w:t>本项目车辆在煤炭运输过程中会产生汽车尾气。主要污染物为CO、NO</w:t>
            </w:r>
            <w:r>
              <w:rPr>
                <w:color w:val="auto"/>
                <w:vertAlign w:val="subscript"/>
              </w:rPr>
              <w:t>2</w:t>
            </w:r>
            <w:r>
              <w:rPr>
                <w:color w:val="auto"/>
              </w:rPr>
              <w:t>、非甲烷总烃等。汽车排放的废气污染物较少，且建设地点较开阔，呈间歇性无组织排放，在大气环境中自然稀释扩散。</w:t>
            </w:r>
          </w:p>
          <w:p w14:paraId="73598B5F">
            <w:pPr>
              <w:adjustRightInd w:val="0"/>
              <w:snapToGrid w:val="0"/>
              <w:ind w:firstLine="482"/>
              <w:rPr>
                <w:b/>
                <w:bCs/>
                <w:color w:val="auto"/>
              </w:rPr>
            </w:pPr>
            <w:r>
              <w:rPr>
                <w:rFonts w:hint="eastAsia"/>
                <w:b/>
                <w:bCs/>
                <w:color w:val="auto"/>
              </w:rPr>
              <w:t>3、</w:t>
            </w:r>
            <w:r>
              <w:rPr>
                <w:b/>
                <w:bCs/>
                <w:color w:val="auto"/>
              </w:rPr>
              <w:t>运营期大气污染物产排情况</w:t>
            </w:r>
          </w:p>
          <w:p w14:paraId="3060BB09">
            <w:pPr>
              <w:adjustRightInd w:val="0"/>
              <w:snapToGrid w:val="0"/>
              <w:spacing w:line="348" w:lineRule="auto"/>
              <w:ind w:firstLine="480"/>
              <w:rPr>
                <w:color w:val="auto"/>
              </w:rPr>
            </w:pPr>
            <w:r>
              <w:rPr>
                <w:color w:val="auto"/>
                <w:szCs w:val="20"/>
                <w:lang w:val="zh-CN"/>
              </w:rPr>
              <w:t>项目</w:t>
            </w:r>
            <w:r>
              <w:rPr>
                <w:color w:val="auto"/>
                <w:szCs w:val="20"/>
              </w:rPr>
              <w:t>运营期大气污染物</w:t>
            </w:r>
            <w:r>
              <w:rPr>
                <w:color w:val="auto"/>
                <w:szCs w:val="20"/>
                <w:lang w:val="zh-CN"/>
              </w:rPr>
              <w:t>产排情况见表</w:t>
            </w:r>
            <w:r>
              <w:rPr>
                <w:rFonts w:hint="eastAsia"/>
                <w:color w:val="auto"/>
                <w:szCs w:val="20"/>
                <w:lang w:val="en-US" w:eastAsia="zh-CN"/>
              </w:rPr>
              <w:t>4-4</w:t>
            </w:r>
            <w:r>
              <w:rPr>
                <w:color w:val="auto"/>
                <w:szCs w:val="20"/>
                <w:lang w:val="zh-CN"/>
              </w:rPr>
              <w:t>。</w:t>
            </w:r>
          </w:p>
          <w:p w14:paraId="1121AA59">
            <w:pPr>
              <w:pStyle w:val="29"/>
              <w:spacing w:before="24" w:after="24"/>
              <w:rPr>
                <w:color w:val="auto"/>
              </w:rPr>
            </w:pPr>
            <w:r>
              <w:rPr>
                <w:color w:val="auto"/>
              </w:rPr>
              <w:t>表</w:t>
            </w:r>
            <w:r>
              <w:rPr>
                <w:rFonts w:hint="eastAsia"/>
                <w:color w:val="auto"/>
                <w:lang w:val="en-US" w:eastAsia="zh-CN"/>
              </w:rPr>
              <w:t>4-4</w:t>
            </w:r>
            <w:r>
              <w:rPr>
                <w:color w:val="auto"/>
              </w:rPr>
              <w:t xml:space="preserve">  项目</w:t>
            </w:r>
            <w:r>
              <w:rPr>
                <w:rFonts w:hint="eastAsia"/>
                <w:color w:val="auto"/>
              </w:rPr>
              <w:t>有组织</w:t>
            </w:r>
            <w:r>
              <w:rPr>
                <w:color w:val="auto"/>
              </w:rPr>
              <w:t>废气产生及处置情况一览表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3"/>
              <w:gridCol w:w="670"/>
              <w:gridCol w:w="811"/>
              <w:gridCol w:w="971"/>
              <w:gridCol w:w="1066"/>
              <w:gridCol w:w="771"/>
              <w:gridCol w:w="652"/>
              <w:gridCol w:w="811"/>
              <w:gridCol w:w="913"/>
              <w:gridCol w:w="916"/>
            </w:tblGrid>
            <w:tr w14:paraId="5D6A2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pct"/>
                  <w:vMerge w:val="restart"/>
                  <w:noWrap w:val="0"/>
                  <w:vAlign w:val="center"/>
                </w:tcPr>
                <w:p w14:paraId="60EC2825">
                  <w:pPr>
                    <w:spacing w:line="240" w:lineRule="auto"/>
                    <w:ind w:firstLine="0" w:firstLineChars="0"/>
                    <w:jc w:val="center"/>
                    <w:rPr>
                      <w:b/>
                      <w:bCs/>
                      <w:color w:val="auto"/>
                      <w:sz w:val="21"/>
                      <w:szCs w:val="21"/>
                    </w:rPr>
                  </w:pPr>
                  <w:r>
                    <w:rPr>
                      <w:b/>
                      <w:bCs/>
                      <w:color w:val="auto"/>
                      <w:sz w:val="21"/>
                      <w:szCs w:val="21"/>
                    </w:rPr>
                    <w:t>污染源</w:t>
                  </w:r>
                </w:p>
              </w:tc>
              <w:tc>
                <w:tcPr>
                  <w:tcW w:w="385" w:type="pct"/>
                  <w:vMerge w:val="restart"/>
                  <w:noWrap w:val="0"/>
                  <w:vAlign w:val="center"/>
                </w:tcPr>
                <w:p w14:paraId="6B0F1E42">
                  <w:pPr>
                    <w:spacing w:line="240" w:lineRule="auto"/>
                    <w:ind w:firstLine="0" w:firstLineChars="0"/>
                    <w:jc w:val="center"/>
                    <w:rPr>
                      <w:b/>
                      <w:bCs/>
                      <w:color w:val="auto"/>
                      <w:sz w:val="21"/>
                      <w:szCs w:val="21"/>
                    </w:rPr>
                  </w:pPr>
                  <w:r>
                    <w:rPr>
                      <w:b/>
                      <w:bCs/>
                      <w:color w:val="auto"/>
                      <w:sz w:val="21"/>
                      <w:szCs w:val="21"/>
                    </w:rPr>
                    <w:t>污染物</w:t>
                  </w:r>
                </w:p>
              </w:tc>
              <w:tc>
                <w:tcPr>
                  <w:tcW w:w="1637" w:type="pct"/>
                  <w:gridSpan w:val="3"/>
                  <w:noWrap w:val="0"/>
                  <w:vAlign w:val="center"/>
                </w:tcPr>
                <w:p w14:paraId="4A66FF38">
                  <w:pPr>
                    <w:spacing w:line="240" w:lineRule="auto"/>
                    <w:ind w:firstLine="0" w:firstLineChars="0"/>
                    <w:jc w:val="center"/>
                    <w:rPr>
                      <w:b/>
                      <w:bCs/>
                      <w:color w:val="auto"/>
                      <w:sz w:val="21"/>
                      <w:szCs w:val="21"/>
                    </w:rPr>
                  </w:pPr>
                  <w:r>
                    <w:rPr>
                      <w:b/>
                      <w:bCs/>
                      <w:color w:val="auto"/>
                      <w:sz w:val="21"/>
                      <w:szCs w:val="21"/>
                    </w:rPr>
                    <w:t>产生情况</w:t>
                  </w:r>
                </w:p>
              </w:tc>
              <w:tc>
                <w:tcPr>
                  <w:tcW w:w="443" w:type="pct"/>
                  <w:vMerge w:val="restart"/>
                  <w:noWrap w:val="0"/>
                  <w:vAlign w:val="center"/>
                </w:tcPr>
                <w:p w14:paraId="1CFF4156">
                  <w:pPr>
                    <w:spacing w:line="240" w:lineRule="auto"/>
                    <w:ind w:firstLine="0" w:firstLineChars="0"/>
                    <w:jc w:val="center"/>
                    <w:rPr>
                      <w:b/>
                      <w:bCs/>
                      <w:color w:val="auto"/>
                      <w:sz w:val="21"/>
                      <w:szCs w:val="21"/>
                    </w:rPr>
                  </w:pPr>
                  <w:r>
                    <w:rPr>
                      <w:b/>
                      <w:bCs/>
                      <w:color w:val="auto"/>
                      <w:sz w:val="21"/>
                      <w:szCs w:val="21"/>
                    </w:rPr>
                    <w:t>除尘措施及效率</w:t>
                  </w:r>
                </w:p>
              </w:tc>
              <w:tc>
                <w:tcPr>
                  <w:tcW w:w="375" w:type="pct"/>
                  <w:vMerge w:val="restart"/>
                  <w:noWrap w:val="0"/>
                  <w:vAlign w:val="center"/>
                </w:tcPr>
                <w:p w14:paraId="7B7EDB78">
                  <w:pPr>
                    <w:spacing w:line="240" w:lineRule="auto"/>
                    <w:ind w:firstLine="0" w:firstLineChars="0"/>
                    <w:jc w:val="center"/>
                    <w:rPr>
                      <w:b/>
                      <w:bCs/>
                      <w:color w:val="auto"/>
                      <w:sz w:val="21"/>
                      <w:szCs w:val="21"/>
                    </w:rPr>
                  </w:pPr>
                  <w:r>
                    <w:rPr>
                      <w:rFonts w:hint="eastAsia"/>
                      <w:b/>
                      <w:bCs/>
                      <w:color w:val="auto"/>
                      <w:sz w:val="21"/>
                      <w:szCs w:val="21"/>
                    </w:rPr>
                    <w:t>是否为可行性技术</w:t>
                  </w:r>
                </w:p>
              </w:tc>
              <w:tc>
                <w:tcPr>
                  <w:tcW w:w="1517" w:type="pct"/>
                  <w:gridSpan w:val="3"/>
                  <w:noWrap w:val="0"/>
                  <w:vAlign w:val="center"/>
                </w:tcPr>
                <w:p w14:paraId="4D8EDEAA">
                  <w:pPr>
                    <w:spacing w:line="240" w:lineRule="auto"/>
                    <w:ind w:firstLine="0" w:firstLineChars="0"/>
                    <w:jc w:val="center"/>
                    <w:rPr>
                      <w:b/>
                      <w:bCs/>
                      <w:color w:val="auto"/>
                      <w:sz w:val="21"/>
                      <w:szCs w:val="21"/>
                    </w:rPr>
                  </w:pPr>
                  <w:r>
                    <w:rPr>
                      <w:b/>
                      <w:bCs/>
                      <w:color w:val="auto"/>
                      <w:sz w:val="21"/>
                      <w:szCs w:val="21"/>
                    </w:rPr>
                    <w:t>排放情况</w:t>
                  </w:r>
                </w:p>
              </w:tc>
            </w:tr>
            <w:tr w14:paraId="137C7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pct"/>
                  <w:vMerge w:val="continue"/>
                  <w:noWrap w:val="0"/>
                  <w:vAlign w:val="center"/>
                </w:tcPr>
                <w:p w14:paraId="69622A6D">
                  <w:pPr>
                    <w:spacing w:line="240" w:lineRule="auto"/>
                    <w:ind w:firstLine="0" w:firstLineChars="0"/>
                    <w:jc w:val="center"/>
                    <w:rPr>
                      <w:b/>
                      <w:bCs/>
                      <w:color w:val="auto"/>
                      <w:sz w:val="21"/>
                      <w:szCs w:val="21"/>
                    </w:rPr>
                  </w:pPr>
                </w:p>
              </w:tc>
              <w:tc>
                <w:tcPr>
                  <w:tcW w:w="385" w:type="pct"/>
                  <w:vMerge w:val="continue"/>
                  <w:noWrap w:val="0"/>
                  <w:vAlign w:val="center"/>
                </w:tcPr>
                <w:p w14:paraId="6E7C94C0">
                  <w:pPr>
                    <w:spacing w:line="240" w:lineRule="auto"/>
                    <w:ind w:firstLine="0" w:firstLineChars="0"/>
                    <w:jc w:val="center"/>
                    <w:rPr>
                      <w:b/>
                      <w:bCs/>
                      <w:color w:val="auto"/>
                      <w:sz w:val="21"/>
                      <w:szCs w:val="21"/>
                    </w:rPr>
                  </w:pPr>
                </w:p>
              </w:tc>
              <w:tc>
                <w:tcPr>
                  <w:tcW w:w="466" w:type="pct"/>
                  <w:noWrap w:val="0"/>
                  <w:vAlign w:val="center"/>
                </w:tcPr>
                <w:p w14:paraId="08EF13B5">
                  <w:pPr>
                    <w:spacing w:line="240" w:lineRule="auto"/>
                    <w:ind w:firstLine="0" w:firstLineChars="0"/>
                    <w:jc w:val="center"/>
                    <w:rPr>
                      <w:b/>
                      <w:bCs/>
                      <w:color w:val="auto"/>
                      <w:sz w:val="21"/>
                      <w:szCs w:val="21"/>
                    </w:rPr>
                  </w:pPr>
                  <w:r>
                    <w:rPr>
                      <w:b/>
                      <w:bCs/>
                      <w:color w:val="auto"/>
                      <w:sz w:val="21"/>
                      <w:szCs w:val="21"/>
                    </w:rPr>
                    <w:t>产生浓度mg/m</w:t>
                  </w:r>
                  <w:r>
                    <w:rPr>
                      <w:b/>
                      <w:bCs/>
                      <w:color w:val="auto"/>
                      <w:sz w:val="21"/>
                      <w:szCs w:val="21"/>
                      <w:vertAlign w:val="superscript"/>
                    </w:rPr>
                    <w:t>3</w:t>
                  </w:r>
                </w:p>
              </w:tc>
              <w:tc>
                <w:tcPr>
                  <w:tcW w:w="558" w:type="pct"/>
                  <w:noWrap w:val="0"/>
                  <w:vAlign w:val="center"/>
                </w:tcPr>
                <w:p w14:paraId="686FC1E5">
                  <w:pPr>
                    <w:spacing w:line="240" w:lineRule="auto"/>
                    <w:ind w:firstLine="0" w:firstLineChars="0"/>
                    <w:jc w:val="center"/>
                    <w:rPr>
                      <w:b/>
                      <w:bCs/>
                      <w:color w:val="auto"/>
                      <w:sz w:val="21"/>
                      <w:szCs w:val="21"/>
                    </w:rPr>
                  </w:pPr>
                  <w:r>
                    <w:rPr>
                      <w:b/>
                      <w:bCs/>
                      <w:color w:val="auto"/>
                      <w:sz w:val="21"/>
                      <w:szCs w:val="21"/>
                    </w:rPr>
                    <w:t>产生速率kg/h</w:t>
                  </w:r>
                </w:p>
              </w:tc>
              <w:tc>
                <w:tcPr>
                  <w:tcW w:w="612" w:type="pct"/>
                  <w:noWrap w:val="0"/>
                  <w:vAlign w:val="center"/>
                </w:tcPr>
                <w:p w14:paraId="0041ABB4">
                  <w:pPr>
                    <w:spacing w:line="240" w:lineRule="auto"/>
                    <w:ind w:firstLine="0" w:firstLineChars="0"/>
                    <w:jc w:val="center"/>
                    <w:rPr>
                      <w:b/>
                      <w:bCs/>
                      <w:color w:val="auto"/>
                      <w:sz w:val="21"/>
                      <w:szCs w:val="21"/>
                    </w:rPr>
                  </w:pPr>
                  <w:r>
                    <w:rPr>
                      <w:b/>
                      <w:bCs/>
                      <w:color w:val="auto"/>
                      <w:sz w:val="21"/>
                      <w:szCs w:val="21"/>
                    </w:rPr>
                    <w:t>产生量t/a</w:t>
                  </w:r>
                </w:p>
              </w:tc>
              <w:tc>
                <w:tcPr>
                  <w:tcW w:w="443" w:type="pct"/>
                  <w:vMerge w:val="continue"/>
                  <w:noWrap w:val="0"/>
                  <w:vAlign w:val="center"/>
                </w:tcPr>
                <w:p w14:paraId="30473342">
                  <w:pPr>
                    <w:spacing w:line="240" w:lineRule="auto"/>
                    <w:ind w:firstLine="0" w:firstLineChars="0"/>
                    <w:jc w:val="center"/>
                    <w:rPr>
                      <w:b/>
                      <w:bCs/>
                      <w:color w:val="auto"/>
                      <w:sz w:val="21"/>
                      <w:szCs w:val="21"/>
                    </w:rPr>
                  </w:pPr>
                </w:p>
              </w:tc>
              <w:tc>
                <w:tcPr>
                  <w:tcW w:w="375" w:type="pct"/>
                  <w:vMerge w:val="continue"/>
                  <w:noWrap w:val="0"/>
                  <w:vAlign w:val="center"/>
                </w:tcPr>
                <w:p w14:paraId="6F8E60B9">
                  <w:pPr>
                    <w:spacing w:line="240" w:lineRule="auto"/>
                    <w:ind w:firstLine="0" w:firstLineChars="0"/>
                    <w:jc w:val="center"/>
                    <w:rPr>
                      <w:b/>
                      <w:bCs/>
                      <w:color w:val="auto"/>
                      <w:sz w:val="21"/>
                      <w:szCs w:val="21"/>
                    </w:rPr>
                  </w:pPr>
                </w:p>
              </w:tc>
              <w:tc>
                <w:tcPr>
                  <w:tcW w:w="466" w:type="pct"/>
                  <w:noWrap w:val="0"/>
                  <w:vAlign w:val="center"/>
                </w:tcPr>
                <w:p w14:paraId="1351A11F">
                  <w:pPr>
                    <w:spacing w:line="240" w:lineRule="auto"/>
                    <w:ind w:firstLine="0" w:firstLineChars="0"/>
                    <w:jc w:val="center"/>
                    <w:rPr>
                      <w:b/>
                      <w:bCs/>
                      <w:color w:val="auto"/>
                      <w:sz w:val="21"/>
                      <w:szCs w:val="21"/>
                    </w:rPr>
                  </w:pPr>
                  <w:r>
                    <w:rPr>
                      <w:b/>
                      <w:bCs/>
                      <w:color w:val="auto"/>
                      <w:sz w:val="21"/>
                      <w:szCs w:val="21"/>
                    </w:rPr>
                    <w:t>排放浓度mg/m</w:t>
                  </w:r>
                  <w:r>
                    <w:rPr>
                      <w:b/>
                      <w:bCs/>
                      <w:color w:val="auto"/>
                      <w:sz w:val="21"/>
                      <w:szCs w:val="21"/>
                      <w:vertAlign w:val="superscript"/>
                    </w:rPr>
                    <w:t>3</w:t>
                  </w:r>
                </w:p>
              </w:tc>
              <w:tc>
                <w:tcPr>
                  <w:tcW w:w="525" w:type="pct"/>
                  <w:noWrap w:val="0"/>
                  <w:vAlign w:val="center"/>
                </w:tcPr>
                <w:p w14:paraId="0DB92662">
                  <w:pPr>
                    <w:spacing w:line="240" w:lineRule="auto"/>
                    <w:ind w:firstLine="0" w:firstLineChars="0"/>
                    <w:jc w:val="center"/>
                    <w:rPr>
                      <w:b/>
                      <w:bCs/>
                      <w:color w:val="auto"/>
                      <w:sz w:val="21"/>
                      <w:szCs w:val="21"/>
                    </w:rPr>
                  </w:pPr>
                  <w:r>
                    <w:rPr>
                      <w:b/>
                      <w:bCs/>
                      <w:color w:val="auto"/>
                      <w:sz w:val="21"/>
                      <w:szCs w:val="21"/>
                    </w:rPr>
                    <w:t>排放速率kg/h</w:t>
                  </w:r>
                </w:p>
              </w:tc>
              <w:tc>
                <w:tcPr>
                  <w:tcW w:w="525" w:type="pct"/>
                  <w:noWrap w:val="0"/>
                  <w:vAlign w:val="center"/>
                </w:tcPr>
                <w:p w14:paraId="31271947">
                  <w:pPr>
                    <w:spacing w:line="240" w:lineRule="auto"/>
                    <w:ind w:firstLine="0" w:firstLineChars="0"/>
                    <w:jc w:val="center"/>
                    <w:rPr>
                      <w:b/>
                      <w:bCs/>
                      <w:color w:val="auto"/>
                      <w:sz w:val="21"/>
                      <w:szCs w:val="21"/>
                    </w:rPr>
                  </w:pPr>
                  <w:r>
                    <w:rPr>
                      <w:b/>
                      <w:bCs/>
                      <w:color w:val="auto"/>
                      <w:sz w:val="21"/>
                      <w:szCs w:val="21"/>
                    </w:rPr>
                    <w:t>排放量t/a</w:t>
                  </w:r>
                </w:p>
              </w:tc>
            </w:tr>
            <w:tr w14:paraId="26EE1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pct"/>
                  <w:noWrap w:val="0"/>
                  <w:vAlign w:val="center"/>
                </w:tcPr>
                <w:p w14:paraId="5D4D4F60">
                  <w:pPr>
                    <w:spacing w:line="240" w:lineRule="auto"/>
                    <w:ind w:firstLine="0" w:firstLineChars="0"/>
                    <w:jc w:val="center"/>
                    <w:rPr>
                      <w:color w:val="auto"/>
                      <w:sz w:val="21"/>
                      <w:szCs w:val="21"/>
                    </w:rPr>
                  </w:pPr>
                  <w:r>
                    <w:rPr>
                      <w:rFonts w:hint="eastAsia"/>
                      <w:color w:val="auto"/>
                      <w:sz w:val="21"/>
                      <w:szCs w:val="21"/>
                    </w:rPr>
                    <w:t>1#水泥筒仓粉尘</w:t>
                  </w:r>
                </w:p>
              </w:tc>
              <w:tc>
                <w:tcPr>
                  <w:tcW w:w="385" w:type="pct"/>
                  <w:noWrap w:val="0"/>
                  <w:vAlign w:val="center"/>
                </w:tcPr>
                <w:p w14:paraId="37E9A8F3">
                  <w:pPr>
                    <w:spacing w:line="240" w:lineRule="auto"/>
                    <w:ind w:firstLine="0" w:firstLineChars="0"/>
                    <w:jc w:val="center"/>
                    <w:rPr>
                      <w:color w:val="auto"/>
                      <w:sz w:val="21"/>
                      <w:szCs w:val="21"/>
                    </w:rPr>
                  </w:pPr>
                  <w:r>
                    <w:rPr>
                      <w:color w:val="auto"/>
                      <w:sz w:val="21"/>
                      <w:szCs w:val="21"/>
                    </w:rPr>
                    <w:t>PM</w:t>
                  </w:r>
                  <w:r>
                    <w:rPr>
                      <w:color w:val="auto"/>
                      <w:sz w:val="21"/>
                      <w:szCs w:val="21"/>
                      <w:vertAlign w:val="subscript"/>
                    </w:rPr>
                    <w:t>10</w:t>
                  </w:r>
                </w:p>
              </w:tc>
              <w:tc>
                <w:tcPr>
                  <w:tcW w:w="466" w:type="pct"/>
                  <w:noWrap w:val="0"/>
                  <w:vAlign w:val="center"/>
                </w:tcPr>
                <w:p w14:paraId="57A38167">
                  <w:pPr>
                    <w:spacing w:line="240" w:lineRule="auto"/>
                    <w:ind w:firstLine="0" w:firstLineChars="0"/>
                    <w:jc w:val="center"/>
                    <w:rPr>
                      <w:color w:val="auto"/>
                      <w:sz w:val="21"/>
                      <w:szCs w:val="21"/>
                    </w:rPr>
                  </w:pPr>
                  <w:r>
                    <w:rPr>
                      <w:rFonts w:hint="eastAsia"/>
                      <w:color w:val="auto"/>
                      <w:sz w:val="21"/>
                      <w:szCs w:val="21"/>
                    </w:rPr>
                    <w:t>1593.6</w:t>
                  </w:r>
                </w:p>
              </w:tc>
              <w:tc>
                <w:tcPr>
                  <w:tcW w:w="558" w:type="pct"/>
                  <w:noWrap w:val="0"/>
                  <w:vAlign w:val="center"/>
                </w:tcPr>
                <w:p w14:paraId="34058BD3">
                  <w:pPr>
                    <w:spacing w:line="240" w:lineRule="auto"/>
                    <w:ind w:firstLine="0" w:firstLineChars="0"/>
                    <w:jc w:val="center"/>
                    <w:rPr>
                      <w:color w:val="auto"/>
                      <w:sz w:val="21"/>
                      <w:szCs w:val="21"/>
                    </w:rPr>
                  </w:pPr>
                  <w:r>
                    <w:rPr>
                      <w:rFonts w:hint="eastAsia"/>
                      <w:color w:val="auto"/>
                      <w:sz w:val="21"/>
                      <w:szCs w:val="21"/>
                    </w:rPr>
                    <w:t>3.19</w:t>
                  </w:r>
                </w:p>
              </w:tc>
              <w:tc>
                <w:tcPr>
                  <w:tcW w:w="612" w:type="pct"/>
                  <w:noWrap w:val="0"/>
                  <w:vAlign w:val="center"/>
                </w:tcPr>
                <w:p w14:paraId="0268FAC1">
                  <w:pPr>
                    <w:spacing w:line="240" w:lineRule="auto"/>
                    <w:ind w:firstLine="0" w:firstLineChars="0"/>
                    <w:jc w:val="center"/>
                    <w:rPr>
                      <w:color w:val="auto"/>
                      <w:sz w:val="21"/>
                      <w:szCs w:val="21"/>
                    </w:rPr>
                  </w:pPr>
                  <w:r>
                    <w:rPr>
                      <w:rFonts w:hint="eastAsia"/>
                      <w:color w:val="auto"/>
                      <w:sz w:val="21"/>
                      <w:szCs w:val="21"/>
                    </w:rPr>
                    <w:t>0.6</w:t>
                  </w:r>
                </w:p>
              </w:tc>
              <w:tc>
                <w:tcPr>
                  <w:tcW w:w="443" w:type="pct"/>
                  <w:vMerge w:val="restart"/>
                  <w:noWrap w:val="0"/>
                  <w:vAlign w:val="center"/>
                </w:tcPr>
                <w:p w14:paraId="051A1122">
                  <w:pPr>
                    <w:spacing w:line="240" w:lineRule="auto"/>
                    <w:ind w:firstLine="0" w:firstLineChars="0"/>
                    <w:jc w:val="center"/>
                    <w:rPr>
                      <w:color w:val="auto"/>
                      <w:sz w:val="21"/>
                      <w:szCs w:val="21"/>
                    </w:rPr>
                  </w:pPr>
                  <w:r>
                    <w:rPr>
                      <w:rFonts w:hint="eastAsia"/>
                      <w:color w:val="auto"/>
                      <w:sz w:val="21"/>
                      <w:szCs w:val="21"/>
                    </w:rPr>
                    <w:t>自带仓顶除尘器除尘后由仓顶排口进行达标排放除尘效率99.8%</w:t>
                  </w:r>
                </w:p>
              </w:tc>
              <w:tc>
                <w:tcPr>
                  <w:tcW w:w="375" w:type="pct"/>
                  <w:noWrap w:val="0"/>
                  <w:vAlign w:val="center"/>
                </w:tcPr>
                <w:p w14:paraId="7FBEE008">
                  <w:pPr>
                    <w:spacing w:line="240" w:lineRule="auto"/>
                    <w:ind w:firstLine="0" w:firstLineChars="0"/>
                    <w:jc w:val="center"/>
                    <w:rPr>
                      <w:rFonts w:hint="eastAsia"/>
                      <w:color w:val="auto"/>
                      <w:sz w:val="21"/>
                      <w:szCs w:val="21"/>
                    </w:rPr>
                  </w:pPr>
                  <w:r>
                    <w:rPr>
                      <w:rFonts w:hint="eastAsia"/>
                      <w:color w:val="auto"/>
                      <w:sz w:val="21"/>
                      <w:szCs w:val="21"/>
                    </w:rPr>
                    <w:t>是</w:t>
                  </w:r>
                </w:p>
              </w:tc>
              <w:tc>
                <w:tcPr>
                  <w:tcW w:w="466" w:type="pct"/>
                  <w:noWrap w:val="0"/>
                  <w:vAlign w:val="center"/>
                </w:tcPr>
                <w:p w14:paraId="7DD0FAC3">
                  <w:pPr>
                    <w:spacing w:line="240" w:lineRule="auto"/>
                    <w:ind w:firstLine="0" w:firstLineChars="0"/>
                    <w:jc w:val="center"/>
                    <w:rPr>
                      <w:color w:val="auto"/>
                      <w:sz w:val="21"/>
                      <w:szCs w:val="21"/>
                    </w:rPr>
                  </w:pPr>
                  <w:r>
                    <w:rPr>
                      <w:rFonts w:hint="eastAsia"/>
                      <w:color w:val="auto"/>
                      <w:sz w:val="21"/>
                      <w:szCs w:val="21"/>
                    </w:rPr>
                    <w:t>3.19</w:t>
                  </w:r>
                </w:p>
              </w:tc>
              <w:tc>
                <w:tcPr>
                  <w:tcW w:w="525" w:type="pct"/>
                  <w:noWrap w:val="0"/>
                  <w:vAlign w:val="center"/>
                </w:tcPr>
                <w:p w14:paraId="7E64810F">
                  <w:pPr>
                    <w:spacing w:line="240" w:lineRule="auto"/>
                    <w:ind w:firstLine="0" w:firstLineChars="0"/>
                    <w:jc w:val="center"/>
                    <w:rPr>
                      <w:color w:val="auto"/>
                      <w:sz w:val="21"/>
                      <w:szCs w:val="21"/>
                    </w:rPr>
                  </w:pPr>
                  <w:r>
                    <w:rPr>
                      <w:rFonts w:hint="eastAsia"/>
                      <w:color w:val="auto"/>
                      <w:sz w:val="21"/>
                      <w:szCs w:val="21"/>
                    </w:rPr>
                    <w:t>0.0064</w:t>
                  </w:r>
                </w:p>
              </w:tc>
              <w:tc>
                <w:tcPr>
                  <w:tcW w:w="525" w:type="pct"/>
                  <w:noWrap w:val="0"/>
                  <w:vAlign w:val="center"/>
                </w:tcPr>
                <w:p w14:paraId="58D89F19">
                  <w:pPr>
                    <w:spacing w:line="240" w:lineRule="auto"/>
                    <w:ind w:firstLine="0" w:firstLineChars="0"/>
                    <w:jc w:val="center"/>
                    <w:rPr>
                      <w:color w:val="auto"/>
                      <w:sz w:val="21"/>
                      <w:szCs w:val="21"/>
                    </w:rPr>
                  </w:pPr>
                  <w:r>
                    <w:rPr>
                      <w:rFonts w:hint="eastAsia"/>
                      <w:color w:val="auto"/>
                      <w:sz w:val="21"/>
                      <w:szCs w:val="21"/>
                    </w:rPr>
                    <w:t>0.0012</w:t>
                  </w:r>
                </w:p>
              </w:tc>
            </w:tr>
            <w:tr w14:paraId="3C3C0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pct"/>
                  <w:noWrap w:val="0"/>
                  <w:vAlign w:val="center"/>
                </w:tcPr>
                <w:p w14:paraId="3669E4BA">
                  <w:pPr>
                    <w:spacing w:line="240" w:lineRule="auto"/>
                    <w:ind w:firstLine="0" w:firstLineChars="0"/>
                    <w:jc w:val="center"/>
                    <w:rPr>
                      <w:rFonts w:hint="eastAsia"/>
                      <w:color w:val="auto"/>
                      <w:sz w:val="21"/>
                      <w:szCs w:val="21"/>
                    </w:rPr>
                  </w:pPr>
                  <w:r>
                    <w:rPr>
                      <w:rFonts w:hint="eastAsia"/>
                      <w:color w:val="auto"/>
                      <w:sz w:val="21"/>
                      <w:szCs w:val="21"/>
                    </w:rPr>
                    <w:t>2#水泥筒仓粉尘</w:t>
                  </w:r>
                </w:p>
              </w:tc>
              <w:tc>
                <w:tcPr>
                  <w:tcW w:w="385" w:type="pct"/>
                  <w:noWrap w:val="0"/>
                  <w:vAlign w:val="center"/>
                </w:tcPr>
                <w:p w14:paraId="2ED795A5">
                  <w:pPr>
                    <w:spacing w:line="240" w:lineRule="auto"/>
                    <w:ind w:firstLine="0" w:firstLineChars="0"/>
                    <w:jc w:val="center"/>
                    <w:rPr>
                      <w:color w:val="auto"/>
                      <w:sz w:val="21"/>
                      <w:szCs w:val="21"/>
                    </w:rPr>
                  </w:pPr>
                  <w:r>
                    <w:rPr>
                      <w:color w:val="auto"/>
                      <w:sz w:val="21"/>
                      <w:szCs w:val="21"/>
                    </w:rPr>
                    <w:t>PM</w:t>
                  </w:r>
                  <w:r>
                    <w:rPr>
                      <w:color w:val="auto"/>
                      <w:sz w:val="21"/>
                      <w:szCs w:val="21"/>
                      <w:vertAlign w:val="subscript"/>
                    </w:rPr>
                    <w:t>10</w:t>
                  </w:r>
                </w:p>
              </w:tc>
              <w:tc>
                <w:tcPr>
                  <w:tcW w:w="466" w:type="pct"/>
                  <w:noWrap w:val="0"/>
                  <w:vAlign w:val="center"/>
                </w:tcPr>
                <w:p w14:paraId="123776AF">
                  <w:pPr>
                    <w:spacing w:line="240" w:lineRule="auto"/>
                    <w:ind w:firstLine="0" w:firstLineChars="0"/>
                    <w:jc w:val="center"/>
                    <w:rPr>
                      <w:rFonts w:hint="eastAsia"/>
                      <w:color w:val="auto"/>
                      <w:sz w:val="21"/>
                      <w:szCs w:val="21"/>
                    </w:rPr>
                  </w:pPr>
                  <w:r>
                    <w:rPr>
                      <w:rFonts w:hint="eastAsia"/>
                      <w:color w:val="auto"/>
                      <w:sz w:val="21"/>
                      <w:szCs w:val="21"/>
                    </w:rPr>
                    <w:t>1593.6</w:t>
                  </w:r>
                </w:p>
              </w:tc>
              <w:tc>
                <w:tcPr>
                  <w:tcW w:w="558" w:type="pct"/>
                  <w:noWrap w:val="0"/>
                  <w:vAlign w:val="center"/>
                </w:tcPr>
                <w:p w14:paraId="11997B7D">
                  <w:pPr>
                    <w:spacing w:line="240" w:lineRule="auto"/>
                    <w:ind w:firstLine="0" w:firstLineChars="0"/>
                    <w:jc w:val="center"/>
                    <w:rPr>
                      <w:rFonts w:hint="eastAsia"/>
                      <w:color w:val="auto"/>
                      <w:sz w:val="21"/>
                      <w:szCs w:val="21"/>
                    </w:rPr>
                  </w:pPr>
                  <w:r>
                    <w:rPr>
                      <w:rFonts w:hint="eastAsia"/>
                      <w:color w:val="auto"/>
                      <w:sz w:val="21"/>
                      <w:szCs w:val="21"/>
                    </w:rPr>
                    <w:t>3.19</w:t>
                  </w:r>
                </w:p>
              </w:tc>
              <w:tc>
                <w:tcPr>
                  <w:tcW w:w="612" w:type="pct"/>
                  <w:noWrap w:val="0"/>
                  <w:vAlign w:val="center"/>
                </w:tcPr>
                <w:p w14:paraId="40DD6660">
                  <w:pPr>
                    <w:spacing w:line="240" w:lineRule="auto"/>
                    <w:ind w:firstLine="0" w:firstLineChars="0"/>
                    <w:jc w:val="center"/>
                    <w:rPr>
                      <w:rFonts w:hint="eastAsia"/>
                      <w:color w:val="auto"/>
                      <w:sz w:val="21"/>
                      <w:szCs w:val="21"/>
                    </w:rPr>
                  </w:pPr>
                  <w:r>
                    <w:rPr>
                      <w:rFonts w:hint="eastAsia"/>
                      <w:color w:val="auto"/>
                      <w:sz w:val="21"/>
                      <w:szCs w:val="21"/>
                    </w:rPr>
                    <w:t>0.6</w:t>
                  </w:r>
                </w:p>
              </w:tc>
              <w:tc>
                <w:tcPr>
                  <w:tcW w:w="443" w:type="pct"/>
                  <w:vMerge w:val="continue"/>
                  <w:noWrap w:val="0"/>
                  <w:vAlign w:val="center"/>
                </w:tcPr>
                <w:p w14:paraId="446AB596">
                  <w:pPr>
                    <w:spacing w:line="240" w:lineRule="auto"/>
                    <w:ind w:firstLine="0" w:firstLineChars="0"/>
                    <w:jc w:val="center"/>
                    <w:rPr>
                      <w:rFonts w:hint="eastAsia"/>
                      <w:color w:val="auto"/>
                      <w:sz w:val="21"/>
                      <w:szCs w:val="21"/>
                    </w:rPr>
                  </w:pPr>
                </w:p>
              </w:tc>
              <w:tc>
                <w:tcPr>
                  <w:tcW w:w="375" w:type="pct"/>
                  <w:noWrap w:val="0"/>
                  <w:vAlign w:val="center"/>
                </w:tcPr>
                <w:p w14:paraId="4D9AE3B5">
                  <w:pPr>
                    <w:spacing w:line="240" w:lineRule="auto"/>
                    <w:ind w:firstLine="0" w:firstLineChars="0"/>
                    <w:jc w:val="center"/>
                    <w:rPr>
                      <w:rFonts w:hint="eastAsia"/>
                      <w:color w:val="auto"/>
                      <w:sz w:val="21"/>
                      <w:szCs w:val="21"/>
                    </w:rPr>
                  </w:pPr>
                  <w:r>
                    <w:rPr>
                      <w:rFonts w:hint="eastAsia"/>
                      <w:color w:val="auto"/>
                      <w:sz w:val="21"/>
                      <w:szCs w:val="21"/>
                    </w:rPr>
                    <w:t>是</w:t>
                  </w:r>
                </w:p>
              </w:tc>
              <w:tc>
                <w:tcPr>
                  <w:tcW w:w="466" w:type="pct"/>
                  <w:noWrap w:val="0"/>
                  <w:vAlign w:val="center"/>
                </w:tcPr>
                <w:p w14:paraId="6D22120C">
                  <w:pPr>
                    <w:spacing w:line="240" w:lineRule="auto"/>
                    <w:ind w:firstLine="0" w:firstLineChars="0"/>
                    <w:jc w:val="center"/>
                    <w:rPr>
                      <w:rFonts w:hint="eastAsia"/>
                      <w:color w:val="auto"/>
                      <w:sz w:val="21"/>
                      <w:szCs w:val="21"/>
                    </w:rPr>
                  </w:pPr>
                  <w:r>
                    <w:rPr>
                      <w:rFonts w:hint="eastAsia"/>
                      <w:color w:val="auto"/>
                      <w:sz w:val="21"/>
                      <w:szCs w:val="21"/>
                    </w:rPr>
                    <w:t>3.19</w:t>
                  </w:r>
                </w:p>
              </w:tc>
              <w:tc>
                <w:tcPr>
                  <w:tcW w:w="525" w:type="pct"/>
                  <w:noWrap w:val="0"/>
                  <w:vAlign w:val="center"/>
                </w:tcPr>
                <w:p w14:paraId="12FA7160">
                  <w:pPr>
                    <w:spacing w:line="240" w:lineRule="auto"/>
                    <w:ind w:firstLine="0" w:firstLineChars="0"/>
                    <w:jc w:val="center"/>
                    <w:rPr>
                      <w:rFonts w:hint="eastAsia"/>
                      <w:color w:val="auto"/>
                      <w:sz w:val="21"/>
                      <w:szCs w:val="21"/>
                    </w:rPr>
                  </w:pPr>
                  <w:r>
                    <w:rPr>
                      <w:rFonts w:hint="eastAsia"/>
                      <w:color w:val="auto"/>
                      <w:sz w:val="21"/>
                      <w:szCs w:val="21"/>
                    </w:rPr>
                    <w:t>0.0064</w:t>
                  </w:r>
                </w:p>
              </w:tc>
              <w:tc>
                <w:tcPr>
                  <w:tcW w:w="525" w:type="pct"/>
                  <w:noWrap w:val="0"/>
                  <w:vAlign w:val="center"/>
                </w:tcPr>
                <w:p w14:paraId="4CF4420D">
                  <w:pPr>
                    <w:spacing w:line="240" w:lineRule="auto"/>
                    <w:ind w:firstLine="0" w:firstLineChars="0"/>
                    <w:jc w:val="center"/>
                    <w:rPr>
                      <w:rFonts w:hint="eastAsia"/>
                      <w:color w:val="auto"/>
                      <w:sz w:val="21"/>
                      <w:szCs w:val="21"/>
                    </w:rPr>
                  </w:pPr>
                  <w:r>
                    <w:rPr>
                      <w:rFonts w:hint="eastAsia"/>
                      <w:color w:val="auto"/>
                      <w:sz w:val="21"/>
                      <w:szCs w:val="21"/>
                    </w:rPr>
                    <w:t>0.0012</w:t>
                  </w:r>
                </w:p>
              </w:tc>
            </w:tr>
            <w:tr w14:paraId="4554E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pct"/>
                  <w:noWrap w:val="0"/>
                  <w:vAlign w:val="center"/>
                </w:tcPr>
                <w:p w14:paraId="321E286C">
                  <w:pPr>
                    <w:spacing w:line="240" w:lineRule="auto"/>
                    <w:ind w:firstLine="0" w:firstLineChars="0"/>
                    <w:jc w:val="center"/>
                    <w:rPr>
                      <w:rFonts w:hint="eastAsia"/>
                      <w:color w:val="auto"/>
                      <w:sz w:val="21"/>
                      <w:szCs w:val="21"/>
                    </w:rPr>
                  </w:pPr>
                  <w:r>
                    <w:rPr>
                      <w:rFonts w:hint="eastAsia"/>
                      <w:color w:val="auto"/>
                      <w:sz w:val="21"/>
                      <w:szCs w:val="21"/>
                    </w:rPr>
                    <w:t>3#水泥筒仓粉尘</w:t>
                  </w:r>
                </w:p>
              </w:tc>
              <w:tc>
                <w:tcPr>
                  <w:tcW w:w="385" w:type="pct"/>
                  <w:noWrap w:val="0"/>
                  <w:vAlign w:val="center"/>
                </w:tcPr>
                <w:p w14:paraId="390DDFE1">
                  <w:pPr>
                    <w:spacing w:line="240" w:lineRule="auto"/>
                    <w:ind w:firstLine="0" w:firstLineChars="0"/>
                    <w:jc w:val="center"/>
                    <w:rPr>
                      <w:color w:val="auto"/>
                      <w:sz w:val="21"/>
                      <w:szCs w:val="21"/>
                    </w:rPr>
                  </w:pPr>
                  <w:r>
                    <w:rPr>
                      <w:color w:val="auto"/>
                      <w:sz w:val="21"/>
                      <w:szCs w:val="21"/>
                    </w:rPr>
                    <w:t>PM</w:t>
                  </w:r>
                  <w:r>
                    <w:rPr>
                      <w:color w:val="auto"/>
                      <w:sz w:val="21"/>
                      <w:szCs w:val="21"/>
                      <w:vertAlign w:val="subscript"/>
                    </w:rPr>
                    <w:t>10</w:t>
                  </w:r>
                </w:p>
              </w:tc>
              <w:tc>
                <w:tcPr>
                  <w:tcW w:w="466" w:type="pct"/>
                  <w:noWrap w:val="0"/>
                  <w:vAlign w:val="center"/>
                </w:tcPr>
                <w:p w14:paraId="62B48116">
                  <w:pPr>
                    <w:spacing w:line="240" w:lineRule="auto"/>
                    <w:ind w:firstLine="0" w:firstLineChars="0"/>
                    <w:jc w:val="center"/>
                    <w:rPr>
                      <w:rFonts w:hint="eastAsia"/>
                      <w:color w:val="auto"/>
                      <w:sz w:val="21"/>
                      <w:szCs w:val="21"/>
                    </w:rPr>
                  </w:pPr>
                  <w:r>
                    <w:rPr>
                      <w:rFonts w:hint="eastAsia"/>
                      <w:color w:val="auto"/>
                      <w:sz w:val="21"/>
                      <w:szCs w:val="21"/>
                    </w:rPr>
                    <w:t>1593.6</w:t>
                  </w:r>
                </w:p>
              </w:tc>
              <w:tc>
                <w:tcPr>
                  <w:tcW w:w="558" w:type="pct"/>
                  <w:noWrap w:val="0"/>
                  <w:vAlign w:val="center"/>
                </w:tcPr>
                <w:p w14:paraId="37AE88B4">
                  <w:pPr>
                    <w:spacing w:line="240" w:lineRule="auto"/>
                    <w:ind w:firstLine="0" w:firstLineChars="0"/>
                    <w:jc w:val="center"/>
                    <w:rPr>
                      <w:rFonts w:hint="eastAsia"/>
                      <w:color w:val="auto"/>
                      <w:sz w:val="21"/>
                      <w:szCs w:val="21"/>
                    </w:rPr>
                  </w:pPr>
                  <w:r>
                    <w:rPr>
                      <w:rFonts w:hint="eastAsia"/>
                      <w:color w:val="auto"/>
                      <w:sz w:val="21"/>
                      <w:szCs w:val="21"/>
                    </w:rPr>
                    <w:t>3.19</w:t>
                  </w:r>
                </w:p>
              </w:tc>
              <w:tc>
                <w:tcPr>
                  <w:tcW w:w="612" w:type="pct"/>
                  <w:noWrap w:val="0"/>
                  <w:vAlign w:val="center"/>
                </w:tcPr>
                <w:p w14:paraId="49E07F85">
                  <w:pPr>
                    <w:spacing w:line="240" w:lineRule="auto"/>
                    <w:ind w:firstLine="0" w:firstLineChars="0"/>
                    <w:jc w:val="center"/>
                    <w:rPr>
                      <w:rFonts w:hint="eastAsia"/>
                      <w:color w:val="auto"/>
                      <w:sz w:val="21"/>
                      <w:szCs w:val="21"/>
                    </w:rPr>
                  </w:pPr>
                  <w:r>
                    <w:rPr>
                      <w:rFonts w:hint="eastAsia"/>
                      <w:color w:val="auto"/>
                      <w:sz w:val="21"/>
                      <w:szCs w:val="21"/>
                    </w:rPr>
                    <w:t>0.6</w:t>
                  </w:r>
                </w:p>
              </w:tc>
              <w:tc>
                <w:tcPr>
                  <w:tcW w:w="443" w:type="pct"/>
                  <w:vMerge w:val="continue"/>
                  <w:noWrap w:val="0"/>
                  <w:vAlign w:val="center"/>
                </w:tcPr>
                <w:p w14:paraId="3DCA71F0">
                  <w:pPr>
                    <w:spacing w:line="240" w:lineRule="auto"/>
                    <w:ind w:firstLine="0" w:firstLineChars="0"/>
                    <w:jc w:val="center"/>
                    <w:rPr>
                      <w:rFonts w:hint="eastAsia"/>
                      <w:color w:val="auto"/>
                      <w:sz w:val="21"/>
                      <w:szCs w:val="21"/>
                    </w:rPr>
                  </w:pPr>
                </w:p>
              </w:tc>
              <w:tc>
                <w:tcPr>
                  <w:tcW w:w="375" w:type="pct"/>
                  <w:noWrap w:val="0"/>
                  <w:vAlign w:val="center"/>
                </w:tcPr>
                <w:p w14:paraId="171DD084">
                  <w:pPr>
                    <w:spacing w:line="240" w:lineRule="auto"/>
                    <w:ind w:firstLine="0" w:firstLineChars="0"/>
                    <w:jc w:val="center"/>
                    <w:rPr>
                      <w:rFonts w:hint="eastAsia"/>
                      <w:color w:val="auto"/>
                      <w:sz w:val="21"/>
                      <w:szCs w:val="21"/>
                    </w:rPr>
                  </w:pPr>
                  <w:r>
                    <w:rPr>
                      <w:rFonts w:hint="eastAsia"/>
                      <w:color w:val="auto"/>
                      <w:sz w:val="21"/>
                      <w:szCs w:val="21"/>
                    </w:rPr>
                    <w:t>是</w:t>
                  </w:r>
                </w:p>
              </w:tc>
              <w:tc>
                <w:tcPr>
                  <w:tcW w:w="466" w:type="pct"/>
                  <w:noWrap w:val="0"/>
                  <w:vAlign w:val="center"/>
                </w:tcPr>
                <w:p w14:paraId="5A5094E2">
                  <w:pPr>
                    <w:spacing w:line="240" w:lineRule="auto"/>
                    <w:ind w:firstLine="0" w:firstLineChars="0"/>
                    <w:jc w:val="center"/>
                    <w:rPr>
                      <w:rFonts w:hint="eastAsia"/>
                      <w:color w:val="auto"/>
                      <w:sz w:val="21"/>
                      <w:szCs w:val="21"/>
                    </w:rPr>
                  </w:pPr>
                  <w:r>
                    <w:rPr>
                      <w:rFonts w:hint="eastAsia"/>
                      <w:color w:val="auto"/>
                      <w:sz w:val="21"/>
                      <w:szCs w:val="21"/>
                    </w:rPr>
                    <w:t>3.19</w:t>
                  </w:r>
                </w:p>
              </w:tc>
              <w:tc>
                <w:tcPr>
                  <w:tcW w:w="525" w:type="pct"/>
                  <w:noWrap w:val="0"/>
                  <w:vAlign w:val="center"/>
                </w:tcPr>
                <w:p w14:paraId="6E5393D7">
                  <w:pPr>
                    <w:spacing w:line="240" w:lineRule="auto"/>
                    <w:ind w:firstLine="0" w:firstLineChars="0"/>
                    <w:jc w:val="center"/>
                    <w:rPr>
                      <w:rFonts w:hint="eastAsia"/>
                      <w:color w:val="auto"/>
                      <w:sz w:val="21"/>
                      <w:szCs w:val="21"/>
                    </w:rPr>
                  </w:pPr>
                  <w:r>
                    <w:rPr>
                      <w:rFonts w:hint="eastAsia"/>
                      <w:color w:val="auto"/>
                      <w:sz w:val="21"/>
                      <w:szCs w:val="21"/>
                    </w:rPr>
                    <w:t>0.0064</w:t>
                  </w:r>
                </w:p>
              </w:tc>
              <w:tc>
                <w:tcPr>
                  <w:tcW w:w="525" w:type="pct"/>
                  <w:noWrap w:val="0"/>
                  <w:vAlign w:val="center"/>
                </w:tcPr>
                <w:p w14:paraId="408D3B80">
                  <w:pPr>
                    <w:spacing w:line="240" w:lineRule="auto"/>
                    <w:ind w:firstLine="0" w:firstLineChars="0"/>
                    <w:jc w:val="center"/>
                    <w:rPr>
                      <w:rFonts w:hint="eastAsia"/>
                      <w:color w:val="auto"/>
                      <w:sz w:val="21"/>
                      <w:szCs w:val="21"/>
                    </w:rPr>
                  </w:pPr>
                  <w:r>
                    <w:rPr>
                      <w:rFonts w:hint="eastAsia"/>
                      <w:color w:val="auto"/>
                      <w:sz w:val="21"/>
                      <w:szCs w:val="21"/>
                    </w:rPr>
                    <w:t>0.0012</w:t>
                  </w:r>
                </w:p>
              </w:tc>
            </w:tr>
            <w:tr w14:paraId="15B0C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pct"/>
                  <w:noWrap w:val="0"/>
                  <w:vAlign w:val="center"/>
                </w:tcPr>
                <w:p w14:paraId="021C7A46">
                  <w:pPr>
                    <w:spacing w:line="240" w:lineRule="auto"/>
                    <w:ind w:firstLine="0" w:firstLineChars="0"/>
                    <w:jc w:val="center"/>
                    <w:rPr>
                      <w:rFonts w:hint="eastAsia"/>
                      <w:color w:val="auto"/>
                      <w:sz w:val="21"/>
                      <w:szCs w:val="21"/>
                    </w:rPr>
                  </w:pPr>
                  <w:r>
                    <w:rPr>
                      <w:rFonts w:hint="eastAsia"/>
                      <w:color w:val="auto"/>
                      <w:sz w:val="21"/>
                      <w:szCs w:val="21"/>
                    </w:rPr>
                    <w:t>4#水泥筒仓粉尘</w:t>
                  </w:r>
                </w:p>
              </w:tc>
              <w:tc>
                <w:tcPr>
                  <w:tcW w:w="385" w:type="pct"/>
                  <w:noWrap w:val="0"/>
                  <w:vAlign w:val="center"/>
                </w:tcPr>
                <w:p w14:paraId="1C061B81">
                  <w:pPr>
                    <w:spacing w:line="240" w:lineRule="auto"/>
                    <w:ind w:firstLine="0" w:firstLineChars="0"/>
                    <w:jc w:val="center"/>
                    <w:rPr>
                      <w:color w:val="auto"/>
                      <w:sz w:val="21"/>
                      <w:szCs w:val="21"/>
                    </w:rPr>
                  </w:pPr>
                  <w:r>
                    <w:rPr>
                      <w:color w:val="auto"/>
                      <w:sz w:val="21"/>
                      <w:szCs w:val="21"/>
                    </w:rPr>
                    <w:t>PM</w:t>
                  </w:r>
                  <w:r>
                    <w:rPr>
                      <w:color w:val="auto"/>
                      <w:sz w:val="21"/>
                      <w:szCs w:val="21"/>
                      <w:vertAlign w:val="subscript"/>
                    </w:rPr>
                    <w:t>10</w:t>
                  </w:r>
                </w:p>
              </w:tc>
              <w:tc>
                <w:tcPr>
                  <w:tcW w:w="466" w:type="pct"/>
                  <w:noWrap w:val="0"/>
                  <w:vAlign w:val="center"/>
                </w:tcPr>
                <w:p w14:paraId="18CBC2DA">
                  <w:pPr>
                    <w:spacing w:line="240" w:lineRule="auto"/>
                    <w:ind w:firstLine="0" w:firstLineChars="0"/>
                    <w:jc w:val="center"/>
                    <w:rPr>
                      <w:rFonts w:hint="eastAsia"/>
                      <w:color w:val="auto"/>
                      <w:sz w:val="21"/>
                      <w:szCs w:val="21"/>
                    </w:rPr>
                  </w:pPr>
                  <w:r>
                    <w:rPr>
                      <w:rFonts w:hint="eastAsia"/>
                      <w:color w:val="auto"/>
                      <w:sz w:val="21"/>
                      <w:szCs w:val="21"/>
                    </w:rPr>
                    <w:t>1593.6</w:t>
                  </w:r>
                </w:p>
              </w:tc>
              <w:tc>
                <w:tcPr>
                  <w:tcW w:w="558" w:type="pct"/>
                  <w:noWrap w:val="0"/>
                  <w:vAlign w:val="center"/>
                </w:tcPr>
                <w:p w14:paraId="329B941C">
                  <w:pPr>
                    <w:spacing w:line="240" w:lineRule="auto"/>
                    <w:ind w:firstLine="0" w:firstLineChars="0"/>
                    <w:jc w:val="center"/>
                    <w:rPr>
                      <w:rFonts w:hint="eastAsia"/>
                      <w:color w:val="auto"/>
                      <w:sz w:val="21"/>
                      <w:szCs w:val="21"/>
                    </w:rPr>
                  </w:pPr>
                  <w:r>
                    <w:rPr>
                      <w:rFonts w:hint="eastAsia"/>
                      <w:color w:val="auto"/>
                      <w:sz w:val="21"/>
                      <w:szCs w:val="21"/>
                    </w:rPr>
                    <w:t>3.19</w:t>
                  </w:r>
                </w:p>
              </w:tc>
              <w:tc>
                <w:tcPr>
                  <w:tcW w:w="612" w:type="pct"/>
                  <w:noWrap w:val="0"/>
                  <w:vAlign w:val="center"/>
                </w:tcPr>
                <w:p w14:paraId="3A7F3B31">
                  <w:pPr>
                    <w:spacing w:line="240" w:lineRule="auto"/>
                    <w:ind w:firstLine="0" w:firstLineChars="0"/>
                    <w:jc w:val="center"/>
                    <w:rPr>
                      <w:rFonts w:hint="eastAsia"/>
                      <w:color w:val="auto"/>
                      <w:sz w:val="21"/>
                      <w:szCs w:val="21"/>
                    </w:rPr>
                  </w:pPr>
                  <w:r>
                    <w:rPr>
                      <w:rFonts w:hint="eastAsia"/>
                      <w:color w:val="auto"/>
                      <w:sz w:val="21"/>
                      <w:szCs w:val="21"/>
                    </w:rPr>
                    <w:t>0.6</w:t>
                  </w:r>
                </w:p>
              </w:tc>
              <w:tc>
                <w:tcPr>
                  <w:tcW w:w="443" w:type="pct"/>
                  <w:vMerge w:val="continue"/>
                  <w:noWrap w:val="0"/>
                  <w:vAlign w:val="center"/>
                </w:tcPr>
                <w:p w14:paraId="3E227DB2">
                  <w:pPr>
                    <w:spacing w:line="240" w:lineRule="auto"/>
                    <w:ind w:firstLine="0" w:firstLineChars="0"/>
                    <w:jc w:val="center"/>
                    <w:rPr>
                      <w:rFonts w:hint="eastAsia"/>
                      <w:color w:val="auto"/>
                      <w:sz w:val="21"/>
                      <w:szCs w:val="21"/>
                    </w:rPr>
                  </w:pPr>
                </w:p>
              </w:tc>
              <w:tc>
                <w:tcPr>
                  <w:tcW w:w="375" w:type="pct"/>
                  <w:noWrap w:val="0"/>
                  <w:vAlign w:val="center"/>
                </w:tcPr>
                <w:p w14:paraId="1EB592F6">
                  <w:pPr>
                    <w:spacing w:line="240" w:lineRule="auto"/>
                    <w:ind w:firstLine="0" w:firstLineChars="0"/>
                    <w:jc w:val="center"/>
                    <w:rPr>
                      <w:rFonts w:hint="eastAsia"/>
                      <w:color w:val="auto"/>
                      <w:sz w:val="21"/>
                      <w:szCs w:val="21"/>
                    </w:rPr>
                  </w:pPr>
                  <w:r>
                    <w:rPr>
                      <w:rFonts w:hint="eastAsia"/>
                      <w:color w:val="auto"/>
                      <w:sz w:val="21"/>
                      <w:szCs w:val="21"/>
                    </w:rPr>
                    <w:t>是</w:t>
                  </w:r>
                </w:p>
              </w:tc>
              <w:tc>
                <w:tcPr>
                  <w:tcW w:w="466" w:type="pct"/>
                  <w:noWrap w:val="0"/>
                  <w:vAlign w:val="center"/>
                </w:tcPr>
                <w:p w14:paraId="7764B6AE">
                  <w:pPr>
                    <w:spacing w:line="240" w:lineRule="auto"/>
                    <w:ind w:firstLine="0" w:firstLineChars="0"/>
                    <w:jc w:val="center"/>
                    <w:rPr>
                      <w:rFonts w:hint="eastAsia"/>
                      <w:color w:val="auto"/>
                      <w:sz w:val="21"/>
                      <w:szCs w:val="21"/>
                    </w:rPr>
                  </w:pPr>
                  <w:r>
                    <w:rPr>
                      <w:rFonts w:hint="eastAsia"/>
                      <w:color w:val="auto"/>
                      <w:sz w:val="21"/>
                      <w:szCs w:val="21"/>
                    </w:rPr>
                    <w:t>3.19</w:t>
                  </w:r>
                </w:p>
              </w:tc>
              <w:tc>
                <w:tcPr>
                  <w:tcW w:w="525" w:type="pct"/>
                  <w:noWrap w:val="0"/>
                  <w:vAlign w:val="center"/>
                </w:tcPr>
                <w:p w14:paraId="462EBD25">
                  <w:pPr>
                    <w:spacing w:line="240" w:lineRule="auto"/>
                    <w:ind w:firstLine="0" w:firstLineChars="0"/>
                    <w:jc w:val="center"/>
                    <w:rPr>
                      <w:rFonts w:hint="eastAsia"/>
                      <w:color w:val="auto"/>
                      <w:sz w:val="21"/>
                      <w:szCs w:val="21"/>
                    </w:rPr>
                  </w:pPr>
                  <w:r>
                    <w:rPr>
                      <w:rFonts w:hint="eastAsia"/>
                      <w:color w:val="auto"/>
                      <w:sz w:val="21"/>
                      <w:szCs w:val="21"/>
                    </w:rPr>
                    <w:t>0.0064</w:t>
                  </w:r>
                </w:p>
              </w:tc>
              <w:tc>
                <w:tcPr>
                  <w:tcW w:w="525" w:type="pct"/>
                  <w:noWrap w:val="0"/>
                  <w:vAlign w:val="center"/>
                </w:tcPr>
                <w:p w14:paraId="1C6AF44A">
                  <w:pPr>
                    <w:spacing w:line="240" w:lineRule="auto"/>
                    <w:ind w:firstLine="0" w:firstLineChars="0"/>
                    <w:jc w:val="center"/>
                    <w:rPr>
                      <w:rFonts w:hint="eastAsia"/>
                      <w:color w:val="auto"/>
                      <w:sz w:val="21"/>
                      <w:szCs w:val="21"/>
                    </w:rPr>
                  </w:pPr>
                  <w:r>
                    <w:rPr>
                      <w:rFonts w:hint="eastAsia"/>
                      <w:color w:val="auto"/>
                      <w:sz w:val="21"/>
                      <w:szCs w:val="21"/>
                    </w:rPr>
                    <w:t>0.0012</w:t>
                  </w:r>
                </w:p>
              </w:tc>
            </w:tr>
            <w:tr w14:paraId="526D5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pct"/>
                  <w:noWrap w:val="0"/>
                  <w:vAlign w:val="center"/>
                </w:tcPr>
                <w:p w14:paraId="4214C611">
                  <w:pPr>
                    <w:spacing w:line="240" w:lineRule="auto"/>
                    <w:ind w:firstLine="0" w:firstLineChars="0"/>
                    <w:jc w:val="center"/>
                    <w:rPr>
                      <w:rFonts w:hint="eastAsia"/>
                      <w:color w:val="auto"/>
                      <w:sz w:val="21"/>
                      <w:szCs w:val="21"/>
                    </w:rPr>
                  </w:pPr>
                  <w:r>
                    <w:rPr>
                      <w:rFonts w:hint="eastAsia"/>
                      <w:color w:val="auto"/>
                      <w:sz w:val="21"/>
                      <w:szCs w:val="21"/>
                    </w:rPr>
                    <w:t>1#掺和料筒仓粉尘</w:t>
                  </w:r>
                </w:p>
              </w:tc>
              <w:tc>
                <w:tcPr>
                  <w:tcW w:w="385" w:type="pct"/>
                  <w:noWrap w:val="0"/>
                  <w:vAlign w:val="center"/>
                </w:tcPr>
                <w:p w14:paraId="4BA5FC68">
                  <w:pPr>
                    <w:spacing w:line="240" w:lineRule="auto"/>
                    <w:ind w:firstLine="0" w:firstLineChars="0"/>
                    <w:jc w:val="center"/>
                    <w:rPr>
                      <w:color w:val="auto"/>
                      <w:sz w:val="21"/>
                      <w:szCs w:val="21"/>
                    </w:rPr>
                  </w:pPr>
                  <w:r>
                    <w:rPr>
                      <w:color w:val="auto"/>
                      <w:sz w:val="21"/>
                      <w:szCs w:val="21"/>
                    </w:rPr>
                    <w:t>PM</w:t>
                  </w:r>
                  <w:r>
                    <w:rPr>
                      <w:color w:val="auto"/>
                      <w:sz w:val="21"/>
                      <w:szCs w:val="21"/>
                      <w:vertAlign w:val="subscript"/>
                    </w:rPr>
                    <w:t>10</w:t>
                  </w:r>
                </w:p>
              </w:tc>
              <w:tc>
                <w:tcPr>
                  <w:tcW w:w="466" w:type="pct"/>
                  <w:noWrap w:val="0"/>
                  <w:vAlign w:val="center"/>
                </w:tcPr>
                <w:p w14:paraId="2C0D592A">
                  <w:pPr>
                    <w:spacing w:line="240" w:lineRule="auto"/>
                    <w:ind w:firstLine="0" w:firstLineChars="0"/>
                    <w:jc w:val="center"/>
                    <w:rPr>
                      <w:rFonts w:hint="eastAsia"/>
                      <w:color w:val="auto"/>
                      <w:sz w:val="21"/>
                      <w:szCs w:val="21"/>
                    </w:rPr>
                  </w:pPr>
                  <w:r>
                    <w:rPr>
                      <w:rFonts w:hint="eastAsia"/>
                      <w:color w:val="auto"/>
                      <w:sz w:val="21"/>
                      <w:szCs w:val="21"/>
                    </w:rPr>
                    <w:t>1585</w:t>
                  </w:r>
                </w:p>
              </w:tc>
              <w:tc>
                <w:tcPr>
                  <w:tcW w:w="558" w:type="pct"/>
                  <w:noWrap w:val="0"/>
                  <w:vAlign w:val="center"/>
                </w:tcPr>
                <w:p w14:paraId="622A8FC6">
                  <w:pPr>
                    <w:spacing w:line="240" w:lineRule="auto"/>
                    <w:ind w:firstLine="0" w:firstLineChars="0"/>
                    <w:jc w:val="center"/>
                    <w:rPr>
                      <w:rFonts w:hint="eastAsia"/>
                      <w:color w:val="auto"/>
                      <w:sz w:val="21"/>
                      <w:szCs w:val="21"/>
                    </w:rPr>
                  </w:pPr>
                  <w:r>
                    <w:rPr>
                      <w:rFonts w:hint="eastAsia"/>
                      <w:color w:val="auto"/>
                      <w:sz w:val="21"/>
                      <w:szCs w:val="21"/>
                    </w:rPr>
                    <w:t>3.17</w:t>
                  </w:r>
                </w:p>
              </w:tc>
              <w:tc>
                <w:tcPr>
                  <w:tcW w:w="612" w:type="pct"/>
                  <w:noWrap w:val="0"/>
                  <w:vAlign w:val="center"/>
                </w:tcPr>
                <w:p w14:paraId="2BD98B47">
                  <w:pPr>
                    <w:spacing w:line="240" w:lineRule="auto"/>
                    <w:ind w:firstLine="0" w:firstLineChars="0"/>
                    <w:jc w:val="center"/>
                    <w:rPr>
                      <w:rFonts w:hint="eastAsia"/>
                      <w:color w:val="auto"/>
                      <w:sz w:val="21"/>
                      <w:szCs w:val="21"/>
                    </w:rPr>
                  </w:pPr>
                  <w:r>
                    <w:rPr>
                      <w:rFonts w:hint="eastAsia"/>
                      <w:color w:val="auto"/>
                      <w:sz w:val="21"/>
                      <w:szCs w:val="21"/>
                    </w:rPr>
                    <w:t>0.145</w:t>
                  </w:r>
                </w:p>
              </w:tc>
              <w:tc>
                <w:tcPr>
                  <w:tcW w:w="443" w:type="pct"/>
                  <w:vMerge w:val="continue"/>
                  <w:noWrap w:val="0"/>
                  <w:vAlign w:val="center"/>
                </w:tcPr>
                <w:p w14:paraId="71499EA7">
                  <w:pPr>
                    <w:spacing w:line="240" w:lineRule="auto"/>
                    <w:ind w:firstLine="0" w:firstLineChars="0"/>
                    <w:jc w:val="center"/>
                    <w:rPr>
                      <w:rFonts w:hint="eastAsia"/>
                      <w:color w:val="auto"/>
                      <w:sz w:val="21"/>
                      <w:szCs w:val="21"/>
                    </w:rPr>
                  </w:pPr>
                </w:p>
              </w:tc>
              <w:tc>
                <w:tcPr>
                  <w:tcW w:w="375" w:type="pct"/>
                  <w:noWrap w:val="0"/>
                  <w:vAlign w:val="center"/>
                </w:tcPr>
                <w:p w14:paraId="5432764C">
                  <w:pPr>
                    <w:spacing w:line="240" w:lineRule="auto"/>
                    <w:ind w:firstLine="0" w:firstLineChars="0"/>
                    <w:jc w:val="center"/>
                    <w:rPr>
                      <w:rFonts w:hint="eastAsia"/>
                      <w:color w:val="auto"/>
                      <w:sz w:val="21"/>
                      <w:szCs w:val="21"/>
                    </w:rPr>
                  </w:pPr>
                  <w:r>
                    <w:rPr>
                      <w:rFonts w:hint="eastAsia"/>
                      <w:color w:val="auto"/>
                      <w:sz w:val="21"/>
                      <w:szCs w:val="21"/>
                    </w:rPr>
                    <w:t>是</w:t>
                  </w:r>
                </w:p>
              </w:tc>
              <w:tc>
                <w:tcPr>
                  <w:tcW w:w="466" w:type="pct"/>
                  <w:noWrap w:val="0"/>
                  <w:vAlign w:val="center"/>
                </w:tcPr>
                <w:p w14:paraId="42956BCC">
                  <w:pPr>
                    <w:spacing w:line="240" w:lineRule="auto"/>
                    <w:ind w:firstLine="0" w:firstLineChars="0"/>
                    <w:jc w:val="center"/>
                    <w:rPr>
                      <w:rFonts w:hint="eastAsia"/>
                      <w:color w:val="auto"/>
                      <w:sz w:val="21"/>
                      <w:szCs w:val="21"/>
                    </w:rPr>
                  </w:pPr>
                  <w:r>
                    <w:rPr>
                      <w:rFonts w:hint="eastAsia"/>
                      <w:color w:val="auto"/>
                      <w:sz w:val="21"/>
                      <w:szCs w:val="21"/>
                    </w:rPr>
                    <w:t>3.17</w:t>
                  </w:r>
                </w:p>
              </w:tc>
              <w:tc>
                <w:tcPr>
                  <w:tcW w:w="525" w:type="pct"/>
                  <w:noWrap w:val="0"/>
                  <w:vAlign w:val="center"/>
                </w:tcPr>
                <w:p w14:paraId="631454FB">
                  <w:pPr>
                    <w:spacing w:line="240" w:lineRule="auto"/>
                    <w:ind w:firstLine="0" w:firstLineChars="0"/>
                    <w:jc w:val="center"/>
                    <w:rPr>
                      <w:rFonts w:hint="eastAsia"/>
                      <w:color w:val="auto"/>
                      <w:sz w:val="21"/>
                      <w:szCs w:val="21"/>
                    </w:rPr>
                  </w:pPr>
                  <w:r>
                    <w:rPr>
                      <w:rFonts w:hint="eastAsia"/>
                      <w:color w:val="auto"/>
                      <w:sz w:val="21"/>
                      <w:szCs w:val="21"/>
                    </w:rPr>
                    <w:t>0.00634</w:t>
                  </w:r>
                </w:p>
              </w:tc>
              <w:tc>
                <w:tcPr>
                  <w:tcW w:w="525" w:type="pct"/>
                  <w:noWrap w:val="0"/>
                  <w:vAlign w:val="center"/>
                </w:tcPr>
                <w:p w14:paraId="247B2F42">
                  <w:pPr>
                    <w:spacing w:line="240" w:lineRule="auto"/>
                    <w:ind w:firstLine="0" w:firstLineChars="0"/>
                    <w:jc w:val="center"/>
                    <w:rPr>
                      <w:rFonts w:hint="eastAsia"/>
                      <w:color w:val="auto"/>
                      <w:sz w:val="21"/>
                      <w:szCs w:val="21"/>
                    </w:rPr>
                  </w:pPr>
                  <w:r>
                    <w:rPr>
                      <w:rFonts w:hint="eastAsia"/>
                      <w:color w:val="auto"/>
                      <w:sz w:val="21"/>
                      <w:szCs w:val="21"/>
                    </w:rPr>
                    <w:t>0.00029</w:t>
                  </w:r>
                </w:p>
              </w:tc>
            </w:tr>
            <w:tr w14:paraId="79401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pct"/>
                  <w:noWrap w:val="0"/>
                  <w:vAlign w:val="center"/>
                </w:tcPr>
                <w:p w14:paraId="2BBE9DA1">
                  <w:pPr>
                    <w:spacing w:line="240" w:lineRule="auto"/>
                    <w:ind w:firstLine="0" w:firstLineChars="0"/>
                    <w:jc w:val="center"/>
                    <w:rPr>
                      <w:rFonts w:hint="eastAsia"/>
                      <w:color w:val="auto"/>
                      <w:sz w:val="21"/>
                      <w:szCs w:val="21"/>
                    </w:rPr>
                  </w:pPr>
                  <w:r>
                    <w:rPr>
                      <w:rFonts w:hint="eastAsia"/>
                      <w:color w:val="auto"/>
                      <w:sz w:val="21"/>
                      <w:szCs w:val="21"/>
                    </w:rPr>
                    <w:t>2#掺和料筒仓粉尘</w:t>
                  </w:r>
                </w:p>
              </w:tc>
              <w:tc>
                <w:tcPr>
                  <w:tcW w:w="385" w:type="pct"/>
                  <w:noWrap w:val="0"/>
                  <w:vAlign w:val="center"/>
                </w:tcPr>
                <w:p w14:paraId="2CE1F533">
                  <w:pPr>
                    <w:spacing w:line="240" w:lineRule="auto"/>
                    <w:ind w:firstLine="0" w:firstLineChars="0"/>
                    <w:jc w:val="center"/>
                    <w:rPr>
                      <w:color w:val="auto"/>
                      <w:sz w:val="21"/>
                      <w:szCs w:val="21"/>
                    </w:rPr>
                  </w:pPr>
                  <w:r>
                    <w:rPr>
                      <w:color w:val="auto"/>
                      <w:sz w:val="21"/>
                      <w:szCs w:val="21"/>
                    </w:rPr>
                    <w:t>PM</w:t>
                  </w:r>
                  <w:r>
                    <w:rPr>
                      <w:color w:val="auto"/>
                      <w:sz w:val="21"/>
                      <w:szCs w:val="21"/>
                      <w:vertAlign w:val="subscript"/>
                    </w:rPr>
                    <w:t>10</w:t>
                  </w:r>
                </w:p>
              </w:tc>
              <w:tc>
                <w:tcPr>
                  <w:tcW w:w="466" w:type="pct"/>
                  <w:noWrap w:val="0"/>
                  <w:vAlign w:val="center"/>
                </w:tcPr>
                <w:p w14:paraId="3620BEDF">
                  <w:pPr>
                    <w:spacing w:line="240" w:lineRule="auto"/>
                    <w:ind w:firstLine="0" w:firstLineChars="0"/>
                    <w:jc w:val="center"/>
                    <w:rPr>
                      <w:rFonts w:hint="eastAsia"/>
                      <w:color w:val="auto"/>
                      <w:sz w:val="21"/>
                      <w:szCs w:val="21"/>
                    </w:rPr>
                  </w:pPr>
                  <w:r>
                    <w:rPr>
                      <w:rFonts w:hint="eastAsia"/>
                      <w:color w:val="auto"/>
                      <w:sz w:val="21"/>
                      <w:szCs w:val="21"/>
                    </w:rPr>
                    <w:t>1585</w:t>
                  </w:r>
                </w:p>
              </w:tc>
              <w:tc>
                <w:tcPr>
                  <w:tcW w:w="558" w:type="pct"/>
                  <w:noWrap w:val="0"/>
                  <w:vAlign w:val="center"/>
                </w:tcPr>
                <w:p w14:paraId="02CF45D5">
                  <w:pPr>
                    <w:spacing w:line="240" w:lineRule="auto"/>
                    <w:ind w:firstLine="0" w:firstLineChars="0"/>
                    <w:jc w:val="center"/>
                    <w:rPr>
                      <w:rFonts w:hint="eastAsia"/>
                      <w:color w:val="auto"/>
                      <w:sz w:val="21"/>
                      <w:szCs w:val="21"/>
                    </w:rPr>
                  </w:pPr>
                  <w:r>
                    <w:rPr>
                      <w:rFonts w:hint="eastAsia"/>
                      <w:color w:val="auto"/>
                      <w:sz w:val="21"/>
                      <w:szCs w:val="21"/>
                    </w:rPr>
                    <w:t>3.17</w:t>
                  </w:r>
                </w:p>
              </w:tc>
              <w:tc>
                <w:tcPr>
                  <w:tcW w:w="612" w:type="pct"/>
                  <w:noWrap w:val="0"/>
                  <w:vAlign w:val="center"/>
                </w:tcPr>
                <w:p w14:paraId="575F6A68">
                  <w:pPr>
                    <w:spacing w:line="240" w:lineRule="auto"/>
                    <w:ind w:firstLine="0" w:firstLineChars="0"/>
                    <w:jc w:val="center"/>
                    <w:rPr>
                      <w:rFonts w:hint="eastAsia"/>
                      <w:color w:val="auto"/>
                      <w:sz w:val="21"/>
                      <w:szCs w:val="21"/>
                    </w:rPr>
                  </w:pPr>
                  <w:r>
                    <w:rPr>
                      <w:rFonts w:hint="eastAsia"/>
                      <w:color w:val="auto"/>
                      <w:sz w:val="21"/>
                      <w:szCs w:val="21"/>
                    </w:rPr>
                    <w:t>0.145</w:t>
                  </w:r>
                </w:p>
              </w:tc>
              <w:tc>
                <w:tcPr>
                  <w:tcW w:w="443" w:type="pct"/>
                  <w:vMerge w:val="continue"/>
                  <w:noWrap w:val="0"/>
                  <w:vAlign w:val="center"/>
                </w:tcPr>
                <w:p w14:paraId="71A9A15F">
                  <w:pPr>
                    <w:spacing w:line="240" w:lineRule="auto"/>
                    <w:ind w:firstLine="0" w:firstLineChars="0"/>
                    <w:jc w:val="center"/>
                    <w:rPr>
                      <w:rFonts w:hint="eastAsia"/>
                      <w:color w:val="auto"/>
                      <w:sz w:val="21"/>
                      <w:szCs w:val="21"/>
                    </w:rPr>
                  </w:pPr>
                </w:p>
              </w:tc>
              <w:tc>
                <w:tcPr>
                  <w:tcW w:w="375" w:type="pct"/>
                  <w:noWrap w:val="0"/>
                  <w:vAlign w:val="center"/>
                </w:tcPr>
                <w:p w14:paraId="47A28B41">
                  <w:pPr>
                    <w:spacing w:line="240" w:lineRule="auto"/>
                    <w:ind w:firstLine="0" w:firstLineChars="0"/>
                    <w:jc w:val="center"/>
                    <w:rPr>
                      <w:rFonts w:hint="eastAsia"/>
                      <w:color w:val="auto"/>
                      <w:sz w:val="21"/>
                      <w:szCs w:val="21"/>
                    </w:rPr>
                  </w:pPr>
                  <w:r>
                    <w:rPr>
                      <w:rFonts w:hint="eastAsia"/>
                      <w:color w:val="auto"/>
                      <w:sz w:val="21"/>
                      <w:szCs w:val="21"/>
                    </w:rPr>
                    <w:t>是</w:t>
                  </w:r>
                </w:p>
              </w:tc>
              <w:tc>
                <w:tcPr>
                  <w:tcW w:w="466" w:type="pct"/>
                  <w:noWrap w:val="0"/>
                  <w:vAlign w:val="center"/>
                </w:tcPr>
                <w:p w14:paraId="5FE4398E">
                  <w:pPr>
                    <w:spacing w:line="240" w:lineRule="auto"/>
                    <w:ind w:firstLine="0" w:firstLineChars="0"/>
                    <w:jc w:val="center"/>
                    <w:rPr>
                      <w:rFonts w:hint="eastAsia"/>
                      <w:color w:val="auto"/>
                      <w:sz w:val="21"/>
                      <w:szCs w:val="21"/>
                    </w:rPr>
                  </w:pPr>
                  <w:r>
                    <w:rPr>
                      <w:rFonts w:hint="eastAsia"/>
                      <w:color w:val="auto"/>
                      <w:sz w:val="21"/>
                      <w:szCs w:val="21"/>
                    </w:rPr>
                    <w:t>3.17</w:t>
                  </w:r>
                </w:p>
              </w:tc>
              <w:tc>
                <w:tcPr>
                  <w:tcW w:w="525" w:type="pct"/>
                  <w:noWrap w:val="0"/>
                  <w:vAlign w:val="center"/>
                </w:tcPr>
                <w:p w14:paraId="233FC2CE">
                  <w:pPr>
                    <w:spacing w:line="240" w:lineRule="auto"/>
                    <w:ind w:firstLine="0" w:firstLineChars="0"/>
                    <w:jc w:val="center"/>
                    <w:rPr>
                      <w:rFonts w:hint="eastAsia"/>
                      <w:color w:val="auto"/>
                      <w:sz w:val="21"/>
                      <w:szCs w:val="21"/>
                    </w:rPr>
                  </w:pPr>
                  <w:r>
                    <w:rPr>
                      <w:rFonts w:hint="eastAsia"/>
                      <w:color w:val="auto"/>
                      <w:sz w:val="21"/>
                      <w:szCs w:val="21"/>
                    </w:rPr>
                    <w:t>0.00634</w:t>
                  </w:r>
                </w:p>
              </w:tc>
              <w:tc>
                <w:tcPr>
                  <w:tcW w:w="525" w:type="pct"/>
                  <w:noWrap w:val="0"/>
                  <w:vAlign w:val="center"/>
                </w:tcPr>
                <w:p w14:paraId="293E99A9">
                  <w:pPr>
                    <w:spacing w:line="240" w:lineRule="auto"/>
                    <w:ind w:firstLine="0" w:firstLineChars="0"/>
                    <w:jc w:val="center"/>
                    <w:rPr>
                      <w:rFonts w:hint="eastAsia"/>
                      <w:color w:val="auto"/>
                      <w:sz w:val="21"/>
                      <w:szCs w:val="21"/>
                    </w:rPr>
                  </w:pPr>
                  <w:r>
                    <w:rPr>
                      <w:rFonts w:hint="eastAsia"/>
                      <w:color w:val="auto"/>
                      <w:sz w:val="21"/>
                      <w:szCs w:val="21"/>
                    </w:rPr>
                    <w:t>0.00029</w:t>
                  </w:r>
                </w:p>
              </w:tc>
            </w:tr>
            <w:tr w14:paraId="30A06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pct"/>
                  <w:vMerge w:val="restart"/>
                  <w:noWrap w:val="0"/>
                  <w:vAlign w:val="center"/>
                </w:tcPr>
                <w:p w14:paraId="3955B8EA">
                  <w:pPr>
                    <w:spacing w:line="240" w:lineRule="auto"/>
                    <w:ind w:firstLine="0" w:firstLineChars="0"/>
                    <w:jc w:val="center"/>
                    <w:rPr>
                      <w:rFonts w:hint="eastAsia"/>
                      <w:color w:val="auto"/>
                      <w:sz w:val="21"/>
                      <w:szCs w:val="21"/>
                    </w:rPr>
                  </w:pPr>
                  <w:r>
                    <w:rPr>
                      <w:rFonts w:hint="eastAsia"/>
                      <w:color w:val="auto"/>
                      <w:sz w:val="21"/>
                      <w:szCs w:val="21"/>
                    </w:rPr>
                    <w:t>锅炉废气</w:t>
                  </w:r>
                </w:p>
              </w:tc>
              <w:tc>
                <w:tcPr>
                  <w:tcW w:w="385" w:type="pct"/>
                  <w:noWrap w:val="0"/>
                  <w:vAlign w:val="center"/>
                </w:tcPr>
                <w:p w14:paraId="17C12DE9">
                  <w:pPr>
                    <w:spacing w:line="240" w:lineRule="auto"/>
                    <w:ind w:firstLine="0" w:firstLineChars="0"/>
                    <w:jc w:val="center"/>
                    <w:rPr>
                      <w:color w:val="auto"/>
                      <w:sz w:val="21"/>
                      <w:szCs w:val="21"/>
                    </w:rPr>
                  </w:pPr>
                  <w:r>
                    <w:rPr>
                      <w:rFonts w:hint="eastAsia"/>
                      <w:color w:val="auto"/>
                      <w:sz w:val="21"/>
                      <w:szCs w:val="21"/>
                    </w:rPr>
                    <w:t>S</w:t>
                  </w:r>
                  <w:r>
                    <w:rPr>
                      <w:color w:val="auto"/>
                      <w:sz w:val="21"/>
                      <w:szCs w:val="21"/>
                    </w:rPr>
                    <w:t>O</w:t>
                  </w:r>
                  <w:r>
                    <w:rPr>
                      <w:color w:val="auto"/>
                      <w:sz w:val="21"/>
                      <w:szCs w:val="21"/>
                      <w:vertAlign w:val="subscript"/>
                    </w:rPr>
                    <w:t>2</w:t>
                  </w:r>
                </w:p>
              </w:tc>
              <w:tc>
                <w:tcPr>
                  <w:tcW w:w="466" w:type="pct"/>
                  <w:noWrap w:val="0"/>
                  <w:vAlign w:val="center"/>
                </w:tcPr>
                <w:p w14:paraId="657944D4">
                  <w:pPr>
                    <w:spacing w:line="240" w:lineRule="auto"/>
                    <w:ind w:firstLine="0" w:firstLineChars="0"/>
                    <w:jc w:val="center"/>
                    <w:rPr>
                      <w:rFonts w:hint="eastAsia"/>
                      <w:color w:val="auto"/>
                      <w:sz w:val="21"/>
                      <w:szCs w:val="21"/>
                    </w:rPr>
                  </w:pPr>
                  <w:r>
                    <w:rPr>
                      <w:rFonts w:hint="eastAsia"/>
                      <w:color w:val="auto"/>
                      <w:sz w:val="21"/>
                      <w:szCs w:val="21"/>
                    </w:rPr>
                    <w:t>299.04</w:t>
                  </w:r>
                </w:p>
              </w:tc>
              <w:tc>
                <w:tcPr>
                  <w:tcW w:w="558" w:type="pct"/>
                  <w:noWrap w:val="0"/>
                  <w:vAlign w:val="center"/>
                </w:tcPr>
                <w:p w14:paraId="5D5A8A73">
                  <w:pPr>
                    <w:spacing w:line="240" w:lineRule="auto"/>
                    <w:ind w:firstLine="0" w:firstLineChars="0"/>
                    <w:jc w:val="center"/>
                    <w:rPr>
                      <w:rFonts w:hint="eastAsia"/>
                      <w:color w:val="auto"/>
                      <w:sz w:val="21"/>
                      <w:szCs w:val="21"/>
                    </w:rPr>
                  </w:pPr>
                  <w:r>
                    <w:rPr>
                      <w:rFonts w:hint="eastAsia"/>
                      <w:color w:val="auto"/>
                      <w:sz w:val="21"/>
                      <w:szCs w:val="21"/>
                    </w:rPr>
                    <w:t>2.36</w:t>
                  </w:r>
                </w:p>
              </w:tc>
              <w:tc>
                <w:tcPr>
                  <w:tcW w:w="612" w:type="pct"/>
                  <w:noWrap w:val="0"/>
                  <w:vAlign w:val="center"/>
                </w:tcPr>
                <w:p w14:paraId="5F8E709F">
                  <w:pPr>
                    <w:spacing w:line="240" w:lineRule="auto"/>
                    <w:ind w:firstLine="0" w:firstLineChars="0"/>
                    <w:jc w:val="center"/>
                    <w:rPr>
                      <w:rFonts w:hint="eastAsia"/>
                      <w:color w:val="auto"/>
                      <w:sz w:val="21"/>
                      <w:szCs w:val="21"/>
                    </w:rPr>
                  </w:pPr>
                  <w:r>
                    <w:rPr>
                      <w:rFonts w:hint="eastAsia"/>
                      <w:color w:val="auto"/>
                      <w:sz w:val="21"/>
                      <w:szCs w:val="21"/>
                    </w:rPr>
                    <w:t>17</w:t>
                  </w:r>
                </w:p>
              </w:tc>
              <w:tc>
                <w:tcPr>
                  <w:tcW w:w="443" w:type="pct"/>
                  <w:vMerge w:val="restart"/>
                  <w:noWrap w:val="0"/>
                  <w:vAlign w:val="center"/>
                </w:tcPr>
                <w:p w14:paraId="6DF5C042">
                  <w:pPr>
                    <w:spacing w:line="240" w:lineRule="auto"/>
                    <w:ind w:firstLine="0" w:firstLineChars="0"/>
                    <w:jc w:val="center"/>
                    <w:rPr>
                      <w:rFonts w:hint="eastAsia"/>
                      <w:color w:val="auto"/>
                      <w:sz w:val="21"/>
                      <w:szCs w:val="21"/>
                    </w:rPr>
                  </w:pPr>
                  <w:r>
                    <w:rPr>
                      <w:color w:val="auto"/>
                      <w:sz w:val="21"/>
                      <w:szCs w:val="21"/>
                    </w:rPr>
                    <w:t>布袋除尘+</w:t>
                  </w:r>
                  <w:r>
                    <w:rPr>
                      <w:rFonts w:hint="eastAsia"/>
                      <w:color w:val="auto"/>
                      <w:sz w:val="21"/>
                      <w:szCs w:val="21"/>
                      <w:lang w:val="en-US" w:eastAsia="zh-CN"/>
                    </w:rPr>
                    <w:t>30</w:t>
                  </w:r>
                  <w:r>
                    <w:rPr>
                      <w:color w:val="auto"/>
                      <w:sz w:val="21"/>
                      <w:szCs w:val="21"/>
                    </w:rPr>
                    <w:t>米排气筒</w:t>
                  </w:r>
                  <w:r>
                    <w:rPr>
                      <w:rFonts w:hint="eastAsia"/>
                      <w:color w:val="auto"/>
                      <w:sz w:val="21"/>
                      <w:szCs w:val="21"/>
                    </w:rPr>
                    <w:t>，除尘效率87%</w:t>
                  </w:r>
                </w:p>
              </w:tc>
              <w:tc>
                <w:tcPr>
                  <w:tcW w:w="375" w:type="pct"/>
                  <w:noWrap w:val="0"/>
                  <w:vAlign w:val="center"/>
                </w:tcPr>
                <w:p w14:paraId="5990E2BC">
                  <w:pPr>
                    <w:spacing w:line="240" w:lineRule="auto"/>
                    <w:ind w:firstLine="0" w:firstLineChars="0"/>
                    <w:jc w:val="center"/>
                    <w:rPr>
                      <w:rFonts w:hint="eastAsia"/>
                      <w:color w:val="auto"/>
                      <w:sz w:val="21"/>
                      <w:szCs w:val="21"/>
                    </w:rPr>
                  </w:pPr>
                  <w:r>
                    <w:rPr>
                      <w:rFonts w:hint="eastAsia"/>
                      <w:color w:val="auto"/>
                      <w:sz w:val="21"/>
                      <w:szCs w:val="21"/>
                    </w:rPr>
                    <w:t>是</w:t>
                  </w:r>
                </w:p>
              </w:tc>
              <w:tc>
                <w:tcPr>
                  <w:tcW w:w="466" w:type="pct"/>
                  <w:noWrap w:val="0"/>
                  <w:vAlign w:val="center"/>
                </w:tcPr>
                <w:p w14:paraId="5958877E">
                  <w:pPr>
                    <w:spacing w:line="240" w:lineRule="auto"/>
                    <w:ind w:firstLine="0" w:firstLineChars="0"/>
                    <w:jc w:val="center"/>
                    <w:rPr>
                      <w:rFonts w:hint="eastAsia"/>
                      <w:color w:val="auto"/>
                      <w:sz w:val="21"/>
                      <w:szCs w:val="21"/>
                    </w:rPr>
                  </w:pPr>
                  <w:r>
                    <w:rPr>
                      <w:rFonts w:hint="eastAsia"/>
                      <w:color w:val="auto"/>
                      <w:sz w:val="21"/>
                      <w:szCs w:val="21"/>
                    </w:rPr>
                    <w:t>5.98</w:t>
                  </w:r>
                </w:p>
              </w:tc>
              <w:tc>
                <w:tcPr>
                  <w:tcW w:w="525" w:type="pct"/>
                  <w:noWrap w:val="0"/>
                  <w:vAlign w:val="center"/>
                </w:tcPr>
                <w:p w14:paraId="05B991D8">
                  <w:pPr>
                    <w:spacing w:line="240" w:lineRule="auto"/>
                    <w:ind w:firstLine="0" w:firstLineChars="0"/>
                    <w:jc w:val="center"/>
                    <w:rPr>
                      <w:rFonts w:hint="eastAsia"/>
                      <w:color w:val="auto"/>
                      <w:sz w:val="21"/>
                      <w:szCs w:val="21"/>
                    </w:rPr>
                  </w:pPr>
                  <w:r>
                    <w:rPr>
                      <w:rFonts w:hint="eastAsia"/>
                      <w:color w:val="auto"/>
                      <w:sz w:val="21"/>
                      <w:szCs w:val="21"/>
                    </w:rPr>
                    <w:t>0.0472</w:t>
                  </w:r>
                </w:p>
              </w:tc>
              <w:tc>
                <w:tcPr>
                  <w:tcW w:w="525" w:type="pct"/>
                  <w:noWrap w:val="0"/>
                  <w:vAlign w:val="center"/>
                </w:tcPr>
                <w:p w14:paraId="667AC8D6">
                  <w:pPr>
                    <w:spacing w:line="240" w:lineRule="auto"/>
                    <w:ind w:firstLine="0" w:firstLineChars="0"/>
                    <w:jc w:val="center"/>
                    <w:rPr>
                      <w:rFonts w:hint="eastAsia"/>
                      <w:color w:val="auto"/>
                      <w:sz w:val="21"/>
                      <w:szCs w:val="21"/>
                    </w:rPr>
                  </w:pPr>
                  <w:r>
                    <w:rPr>
                      <w:rFonts w:hint="eastAsia"/>
                      <w:color w:val="auto"/>
                      <w:sz w:val="21"/>
                      <w:szCs w:val="21"/>
                    </w:rPr>
                    <w:t>0.34</w:t>
                  </w:r>
                </w:p>
              </w:tc>
            </w:tr>
            <w:tr w14:paraId="55336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pct"/>
                  <w:vMerge w:val="continue"/>
                  <w:noWrap w:val="0"/>
                  <w:vAlign w:val="center"/>
                </w:tcPr>
                <w:p w14:paraId="39908AD7">
                  <w:pPr>
                    <w:spacing w:line="240" w:lineRule="auto"/>
                    <w:ind w:firstLine="0" w:firstLineChars="0"/>
                    <w:jc w:val="center"/>
                    <w:rPr>
                      <w:rFonts w:hint="eastAsia"/>
                      <w:color w:val="auto"/>
                      <w:sz w:val="21"/>
                      <w:szCs w:val="21"/>
                    </w:rPr>
                  </w:pPr>
                </w:p>
              </w:tc>
              <w:tc>
                <w:tcPr>
                  <w:tcW w:w="385" w:type="pct"/>
                  <w:noWrap w:val="0"/>
                  <w:vAlign w:val="center"/>
                </w:tcPr>
                <w:p w14:paraId="6E1BB428">
                  <w:pPr>
                    <w:spacing w:line="240" w:lineRule="auto"/>
                    <w:ind w:firstLine="0" w:firstLineChars="0"/>
                    <w:jc w:val="center"/>
                    <w:rPr>
                      <w:color w:val="auto"/>
                      <w:sz w:val="21"/>
                      <w:szCs w:val="21"/>
                    </w:rPr>
                  </w:pPr>
                  <w:r>
                    <w:rPr>
                      <w:rFonts w:hint="eastAsia"/>
                      <w:color w:val="auto"/>
                      <w:sz w:val="21"/>
                      <w:szCs w:val="21"/>
                    </w:rPr>
                    <w:t>P</w:t>
                  </w:r>
                  <w:r>
                    <w:rPr>
                      <w:color w:val="auto"/>
                      <w:sz w:val="21"/>
                      <w:szCs w:val="21"/>
                    </w:rPr>
                    <w:t>M</w:t>
                  </w:r>
                  <w:r>
                    <w:rPr>
                      <w:color w:val="auto"/>
                      <w:sz w:val="21"/>
                      <w:szCs w:val="21"/>
                      <w:vertAlign w:val="subscript"/>
                    </w:rPr>
                    <w:t>10</w:t>
                  </w:r>
                </w:p>
              </w:tc>
              <w:tc>
                <w:tcPr>
                  <w:tcW w:w="466" w:type="pct"/>
                  <w:noWrap w:val="0"/>
                  <w:vAlign w:val="center"/>
                </w:tcPr>
                <w:p w14:paraId="63F7AFE8">
                  <w:pPr>
                    <w:spacing w:line="240" w:lineRule="auto"/>
                    <w:ind w:firstLine="0" w:firstLineChars="0"/>
                    <w:jc w:val="center"/>
                    <w:rPr>
                      <w:rFonts w:hint="eastAsia"/>
                      <w:color w:val="auto"/>
                      <w:sz w:val="21"/>
                      <w:szCs w:val="21"/>
                    </w:rPr>
                  </w:pPr>
                  <w:r>
                    <w:rPr>
                      <w:rFonts w:hint="eastAsia"/>
                      <w:color w:val="auto"/>
                      <w:sz w:val="21"/>
                      <w:szCs w:val="21"/>
                    </w:rPr>
                    <w:t>87.57</w:t>
                  </w:r>
                </w:p>
              </w:tc>
              <w:tc>
                <w:tcPr>
                  <w:tcW w:w="558" w:type="pct"/>
                  <w:noWrap w:val="0"/>
                  <w:vAlign w:val="center"/>
                </w:tcPr>
                <w:p w14:paraId="7E498575">
                  <w:pPr>
                    <w:spacing w:line="240" w:lineRule="auto"/>
                    <w:ind w:firstLine="0" w:firstLineChars="0"/>
                    <w:jc w:val="center"/>
                    <w:rPr>
                      <w:rFonts w:hint="eastAsia"/>
                      <w:color w:val="auto"/>
                      <w:sz w:val="21"/>
                      <w:szCs w:val="21"/>
                    </w:rPr>
                  </w:pPr>
                  <w:r>
                    <w:rPr>
                      <w:rFonts w:hint="eastAsia"/>
                      <w:color w:val="auto"/>
                      <w:sz w:val="21"/>
                      <w:szCs w:val="21"/>
                    </w:rPr>
                    <w:t>0</w:t>
                  </w:r>
                  <w:r>
                    <w:rPr>
                      <w:color w:val="auto"/>
                      <w:sz w:val="21"/>
                      <w:szCs w:val="21"/>
                    </w:rPr>
                    <w:t>.69</w:t>
                  </w:r>
                </w:p>
              </w:tc>
              <w:tc>
                <w:tcPr>
                  <w:tcW w:w="612" w:type="pct"/>
                  <w:noWrap w:val="0"/>
                  <w:vAlign w:val="center"/>
                </w:tcPr>
                <w:p w14:paraId="6A9C8932">
                  <w:pPr>
                    <w:spacing w:line="240" w:lineRule="auto"/>
                    <w:ind w:firstLine="0" w:firstLineChars="0"/>
                    <w:jc w:val="center"/>
                    <w:rPr>
                      <w:rFonts w:hint="eastAsia"/>
                      <w:color w:val="auto"/>
                      <w:sz w:val="21"/>
                      <w:szCs w:val="21"/>
                    </w:rPr>
                  </w:pPr>
                  <w:r>
                    <w:rPr>
                      <w:rFonts w:hint="eastAsia"/>
                      <w:color w:val="auto"/>
                      <w:sz w:val="21"/>
                      <w:szCs w:val="21"/>
                    </w:rPr>
                    <w:t>5</w:t>
                  </w:r>
                  <w:r>
                    <w:rPr>
                      <w:color w:val="auto"/>
                      <w:sz w:val="21"/>
                      <w:szCs w:val="21"/>
                    </w:rPr>
                    <w:t>.0</w:t>
                  </w:r>
                </w:p>
              </w:tc>
              <w:tc>
                <w:tcPr>
                  <w:tcW w:w="443" w:type="pct"/>
                  <w:vMerge w:val="continue"/>
                  <w:noWrap w:val="0"/>
                  <w:vAlign w:val="center"/>
                </w:tcPr>
                <w:p w14:paraId="64F0A45E">
                  <w:pPr>
                    <w:spacing w:line="240" w:lineRule="auto"/>
                    <w:ind w:firstLine="0" w:firstLineChars="0"/>
                    <w:jc w:val="center"/>
                    <w:rPr>
                      <w:rFonts w:hint="eastAsia"/>
                      <w:color w:val="auto"/>
                      <w:sz w:val="21"/>
                      <w:szCs w:val="21"/>
                    </w:rPr>
                  </w:pPr>
                </w:p>
              </w:tc>
              <w:tc>
                <w:tcPr>
                  <w:tcW w:w="375" w:type="pct"/>
                  <w:noWrap w:val="0"/>
                  <w:vAlign w:val="center"/>
                </w:tcPr>
                <w:p w14:paraId="338343F2">
                  <w:pPr>
                    <w:spacing w:line="240" w:lineRule="auto"/>
                    <w:ind w:firstLine="0" w:firstLineChars="0"/>
                    <w:jc w:val="center"/>
                    <w:rPr>
                      <w:rFonts w:hint="eastAsia"/>
                      <w:color w:val="auto"/>
                      <w:sz w:val="21"/>
                      <w:szCs w:val="21"/>
                    </w:rPr>
                  </w:pPr>
                  <w:r>
                    <w:rPr>
                      <w:rFonts w:hint="eastAsia"/>
                      <w:color w:val="auto"/>
                      <w:sz w:val="21"/>
                      <w:szCs w:val="21"/>
                    </w:rPr>
                    <w:t>是</w:t>
                  </w:r>
                </w:p>
              </w:tc>
              <w:tc>
                <w:tcPr>
                  <w:tcW w:w="466" w:type="pct"/>
                  <w:noWrap w:val="0"/>
                  <w:vAlign w:val="center"/>
                </w:tcPr>
                <w:p w14:paraId="51B6B8B6">
                  <w:pPr>
                    <w:spacing w:line="240" w:lineRule="auto"/>
                    <w:ind w:firstLine="0" w:firstLineChars="0"/>
                    <w:jc w:val="center"/>
                    <w:rPr>
                      <w:rFonts w:hint="eastAsia"/>
                      <w:color w:val="auto"/>
                      <w:sz w:val="21"/>
                      <w:szCs w:val="21"/>
                    </w:rPr>
                  </w:pPr>
                  <w:r>
                    <w:rPr>
                      <w:rFonts w:hint="eastAsia"/>
                      <w:color w:val="auto"/>
                      <w:sz w:val="21"/>
                      <w:szCs w:val="21"/>
                    </w:rPr>
                    <w:t>1.75</w:t>
                  </w:r>
                </w:p>
              </w:tc>
              <w:tc>
                <w:tcPr>
                  <w:tcW w:w="525" w:type="pct"/>
                  <w:noWrap w:val="0"/>
                  <w:vAlign w:val="center"/>
                </w:tcPr>
                <w:p w14:paraId="3921C25F">
                  <w:pPr>
                    <w:spacing w:line="240" w:lineRule="auto"/>
                    <w:ind w:firstLine="0" w:firstLineChars="0"/>
                    <w:jc w:val="center"/>
                    <w:rPr>
                      <w:rFonts w:hint="eastAsia"/>
                      <w:color w:val="auto"/>
                      <w:sz w:val="21"/>
                      <w:szCs w:val="21"/>
                    </w:rPr>
                  </w:pPr>
                  <w:r>
                    <w:rPr>
                      <w:rFonts w:hint="eastAsia"/>
                      <w:color w:val="auto"/>
                      <w:sz w:val="21"/>
                      <w:szCs w:val="21"/>
                    </w:rPr>
                    <w:t>0.0138</w:t>
                  </w:r>
                </w:p>
              </w:tc>
              <w:tc>
                <w:tcPr>
                  <w:tcW w:w="525" w:type="pct"/>
                  <w:noWrap w:val="0"/>
                  <w:vAlign w:val="center"/>
                </w:tcPr>
                <w:p w14:paraId="060ECC3B">
                  <w:pPr>
                    <w:spacing w:line="240" w:lineRule="auto"/>
                    <w:ind w:firstLine="0" w:firstLineChars="0"/>
                    <w:jc w:val="center"/>
                    <w:rPr>
                      <w:rFonts w:hint="eastAsia"/>
                      <w:color w:val="auto"/>
                      <w:sz w:val="21"/>
                      <w:szCs w:val="21"/>
                    </w:rPr>
                  </w:pPr>
                  <w:r>
                    <w:rPr>
                      <w:rFonts w:hint="eastAsia"/>
                      <w:color w:val="auto"/>
                      <w:sz w:val="21"/>
                      <w:szCs w:val="21"/>
                    </w:rPr>
                    <w:t>0.1</w:t>
                  </w:r>
                </w:p>
              </w:tc>
            </w:tr>
            <w:tr w14:paraId="253F3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pct"/>
                  <w:vMerge w:val="continue"/>
                  <w:noWrap w:val="0"/>
                  <w:vAlign w:val="center"/>
                </w:tcPr>
                <w:p w14:paraId="5FC774A8">
                  <w:pPr>
                    <w:spacing w:line="240" w:lineRule="auto"/>
                    <w:ind w:firstLine="0" w:firstLineChars="0"/>
                    <w:jc w:val="center"/>
                    <w:rPr>
                      <w:rFonts w:hint="eastAsia"/>
                      <w:color w:val="auto"/>
                      <w:sz w:val="21"/>
                      <w:szCs w:val="21"/>
                    </w:rPr>
                  </w:pPr>
                </w:p>
              </w:tc>
              <w:tc>
                <w:tcPr>
                  <w:tcW w:w="385" w:type="pct"/>
                  <w:noWrap w:val="0"/>
                  <w:vAlign w:val="center"/>
                </w:tcPr>
                <w:p w14:paraId="50E0CEF7">
                  <w:pPr>
                    <w:spacing w:line="240" w:lineRule="auto"/>
                    <w:ind w:firstLine="0" w:firstLineChars="0"/>
                    <w:jc w:val="center"/>
                    <w:rPr>
                      <w:color w:val="auto"/>
                      <w:sz w:val="21"/>
                      <w:szCs w:val="21"/>
                    </w:rPr>
                  </w:pPr>
                  <w:r>
                    <w:rPr>
                      <w:rFonts w:hint="eastAsia"/>
                      <w:color w:val="auto"/>
                      <w:sz w:val="21"/>
                      <w:szCs w:val="21"/>
                    </w:rPr>
                    <w:t>N</w:t>
                  </w:r>
                  <w:r>
                    <w:rPr>
                      <w:color w:val="auto"/>
                      <w:sz w:val="21"/>
                      <w:szCs w:val="21"/>
                    </w:rPr>
                    <w:t>O</w:t>
                  </w:r>
                  <w:r>
                    <w:rPr>
                      <w:color w:val="auto"/>
                      <w:sz w:val="21"/>
                      <w:szCs w:val="21"/>
                      <w:vertAlign w:val="subscript"/>
                    </w:rPr>
                    <w:t>X</w:t>
                  </w:r>
                </w:p>
              </w:tc>
              <w:tc>
                <w:tcPr>
                  <w:tcW w:w="466" w:type="pct"/>
                  <w:noWrap w:val="0"/>
                  <w:vAlign w:val="center"/>
                </w:tcPr>
                <w:p w14:paraId="0C6B786F">
                  <w:pPr>
                    <w:spacing w:line="240" w:lineRule="auto"/>
                    <w:ind w:firstLine="0" w:firstLineChars="0"/>
                    <w:jc w:val="center"/>
                    <w:rPr>
                      <w:rFonts w:hint="eastAsia"/>
                      <w:color w:val="auto"/>
                      <w:sz w:val="21"/>
                      <w:szCs w:val="21"/>
                    </w:rPr>
                  </w:pPr>
                  <w:r>
                    <w:rPr>
                      <w:rFonts w:hint="eastAsia"/>
                      <w:color w:val="auto"/>
                      <w:sz w:val="21"/>
                      <w:szCs w:val="21"/>
                    </w:rPr>
                    <w:t>180.23</w:t>
                  </w:r>
                </w:p>
              </w:tc>
              <w:tc>
                <w:tcPr>
                  <w:tcW w:w="558" w:type="pct"/>
                  <w:noWrap w:val="0"/>
                  <w:vAlign w:val="center"/>
                </w:tcPr>
                <w:p w14:paraId="4C726082">
                  <w:pPr>
                    <w:spacing w:line="240" w:lineRule="auto"/>
                    <w:ind w:firstLine="0" w:firstLineChars="0"/>
                    <w:jc w:val="center"/>
                    <w:rPr>
                      <w:rFonts w:hint="eastAsia"/>
                      <w:color w:val="auto"/>
                      <w:sz w:val="21"/>
                      <w:szCs w:val="21"/>
                    </w:rPr>
                  </w:pPr>
                  <w:r>
                    <w:rPr>
                      <w:rFonts w:hint="eastAsia"/>
                      <w:color w:val="auto"/>
                      <w:sz w:val="21"/>
                      <w:szCs w:val="21"/>
                    </w:rPr>
                    <w:t>1</w:t>
                  </w:r>
                  <w:r>
                    <w:rPr>
                      <w:color w:val="auto"/>
                      <w:sz w:val="21"/>
                      <w:szCs w:val="21"/>
                    </w:rPr>
                    <w:t>.42</w:t>
                  </w:r>
                </w:p>
              </w:tc>
              <w:tc>
                <w:tcPr>
                  <w:tcW w:w="612" w:type="pct"/>
                  <w:noWrap w:val="0"/>
                  <w:vAlign w:val="center"/>
                </w:tcPr>
                <w:p w14:paraId="6DB3A102">
                  <w:pPr>
                    <w:spacing w:line="240" w:lineRule="auto"/>
                    <w:ind w:firstLine="0" w:firstLineChars="0"/>
                    <w:jc w:val="center"/>
                    <w:rPr>
                      <w:rFonts w:hint="eastAsia"/>
                      <w:color w:val="auto"/>
                      <w:sz w:val="21"/>
                      <w:szCs w:val="21"/>
                    </w:rPr>
                  </w:pPr>
                  <w:r>
                    <w:rPr>
                      <w:rFonts w:hint="eastAsia"/>
                      <w:color w:val="auto"/>
                      <w:sz w:val="21"/>
                      <w:szCs w:val="21"/>
                    </w:rPr>
                    <w:t>1</w:t>
                  </w:r>
                  <w:r>
                    <w:rPr>
                      <w:color w:val="auto"/>
                      <w:sz w:val="21"/>
                      <w:szCs w:val="21"/>
                    </w:rPr>
                    <w:t>0.2</w:t>
                  </w:r>
                </w:p>
              </w:tc>
              <w:tc>
                <w:tcPr>
                  <w:tcW w:w="443" w:type="pct"/>
                  <w:vMerge w:val="continue"/>
                  <w:noWrap w:val="0"/>
                  <w:vAlign w:val="center"/>
                </w:tcPr>
                <w:p w14:paraId="4C2AD20F">
                  <w:pPr>
                    <w:spacing w:line="240" w:lineRule="auto"/>
                    <w:ind w:firstLine="0" w:firstLineChars="0"/>
                    <w:jc w:val="center"/>
                    <w:rPr>
                      <w:rFonts w:hint="eastAsia"/>
                      <w:color w:val="auto"/>
                      <w:sz w:val="21"/>
                      <w:szCs w:val="21"/>
                    </w:rPr>
                  </w:pPr>
                </w:p>
              </w:tc>
              <w:tc>
                <w:tcPr>
                  <w:tcW w:w="375" w:type="pct"/>
                  <w:noWrap w:val="0"/>
                  <w:vAlign w:val="center"/>
                </w:tcPr>
                <w:p w14:paraId="52C7D0BE">
                  <w:pPr>
                    <w:spacing w:line="240" w:lineRule="auto"/>
                    <w:ind w:firstLine="0" w:firstLineChars="0"/>
                    <w:jc w:val="center"/>
                    <w:rPr>
                      <w:rFonts w:hint="eastAsia"/>
                      <w:color w:val="auto"/>
                      <w:sz w:val="21"/>
                      <w:szCs w:val="21"/>
                    </w:rPr>
                  </w:pPr>
                  <w:r>
                    <w:rPr>
                      <w:rFonts w:hint="eastAsia"/>
                      <w:color w:val="auto"/>
                      <w:sz w:val="21"/>
                      <w:szCs w:val="21"/>
                    </w:rPr>
                    <w:t>是</w:t>
                  </w:r>
                </w:p>
              </w:tc>
              <w:tc>
                <w:tcPr>
                  <w:tcW w:w="466" w:type="pct"/>
                  <w:noWrap w:val="0"/>
                  <w:vAlign w:val="center"/>
                </w:tcPr>
                <w:p w14:paraId="36FB6D1A">
                  <w:pPr>
                    <w:spacing w:line="240" w:lineRule="auto"/>
                    <w:ind w:firstLine="0" w:firstLineChars="0"/>
                    <w:jc w:val="center"/>
                    <w:rPr>
                      <w:rFonts w:hint="eastAsia"/>
                      <w:color w:val="auto"/>
                      <w:sz w:val="21"/>
                      <w:szCs w:val="21"/>
                    </w:rPr>
                  </w:pPr>
                  <w:r>
                    <w:rPr>
                      <w:rFonts w:hint="eastAsia"/>
                      <w:color w:val="auto"/>
                      <w:sz w:val="21"/>
                      <w:szCs w:val="21"/>
                    </w:rPr>
                    <w:t>3.60</w:t>
                  </w:r>
                </w:p>
              </w:tc>
              <w:tc>
                <w:tcPr>
                  <w:tcW w:w="525" w:type="pct"/>
                  <w:noWrap w:val="0"/>
                  <w:vAlign w:val="center"/>
                </w:tcPr>
                <w:p w14:paraId="04272515">
                  <w:pPr>
                    <w:spacing w:line="240" w:lineRule="auto"/>
                    <w:ind w:firstLine="0" w:firstLineChars="0"/>
                    <w:jc w:val="center"/>
                    <w:rPr>
                      <w:rFonts w:hint="eastAsia"/>
                      <w:color w:val="auto"/>
                      <w:sz w:val="21"/>
                      <w:szCs w:val="21"/>
                    </w:rPr>
                  </w:pPr>
                  <w:r>
                    <w:rPr>
                      <w:rFonts w:hint="eastAsia"/>
                      <w:color w:val="auto"/>
                      <w:sz w:val="21"/>
                      <w:szCs w:val="21"/>
                    </w:rPr>
                    <w:t>0.0284</w:t>
                  </w:r>
                </w:p>
              </w:tc>
              <w:tc>
                <w:tcPr>
                  <w:tcW w:w="525" w:type="pct"/>
                  <w:noWrap w:val="0"/>
                  <w:vAlign w:val="center"/>
                </w:tcPr>
                <w:p w14:paraId="5B945484">
                  <w:pPr>
                    <w:spacing w:line="240" w:lineRule="auto"/>
                    <w:ind w:firstLine="0" w:firstLineChars="0"/>
                    <w:jc w:val="center"/>
                    <w:rPr>
                      <w:rFonts w:hint="eastAsia"/>
                      <w:color w:val="auto"/>
                      <w:sz w:val="21"/>
                      <w:szCs w:val="21"/>
                    </w:rPr>
                  </w:pPr>
                  <w:r>
                    <w:rPr>
                      <w:rFonts w:hint="eastAsia"/>
                      <w:color w:val="auto"/>
                      <w:sz w:val="21"/>
                      <w:szCs w:val="21"/>
                    </w:rPr>
                    <w:t>0.204</w:t>
                  </w:r>
                </w:p>
              </w:tc>
            </w:tr>
            <w:tr w14:paraId="4D86C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0" w:type="pct"/>
                  <w:noWrap w:val="0"/>
                  <w:vAlign w:val="center"/>
                </w:tcPr>
                <w:p w14:paraId="74EFB98E">
                  <w:pPr>
                    <w:spacing w:line="240" w:lineRule="auto"/>
                    <w:ind w:firstLine="0" w:firstLineChars="0"/>
                    <w:jc w:val="center"/>
                    <w:rPr>
                      <w:rFonts w:hint="eastAsia"/>
                      <w:color w:val="auto"/>
                      <w:sz w:val="21"/>
                      <w:szCs w:val="21"/>
                    </w:rPr>
                  </w:pPr>
                  <w:r>
                    <w:rPr>
                      <w:rFonts w:hint="eastAsia"/>
                      <w:color w:val="auto"/>
                      <w:sz w:val="21"/>
                      <w:szCs w:val="21"/>
                    </w:rPr>
                    <w:t>食堂油烟</w:t>
                  </w:r>
                </w:p>
              </w:tc>
              <w:tc>
                <w:tcPr>
                  <w:tcW w:w="385" w:type="pct"/>
                  <w:noWrap w:val="0"/>
                  <w:vAlign w:val="center"/>
                </w:tcPr>
                <w:p w14:paraId="5F1AF365">
                  <w:pPr>
                    <w:spacing w:line="240" w:lineRule="auto"/>
                    <w:ind w:firstLine="0" w:firstLineChars="0"/>
                    <w:jc w:val="center"/>
                    <w:rPr>
                      <w:color w:val="auto"/>
                      <w:sz w:val="21"/>
                      <w:szCs w:val="21"/>
                    </w:rPr>
                  </w:pPr>
                  <w:r>
                    <w:rPr>
                      <w:rFonts w:hint="eastAsia"/>
                      <w:color w:val="auto"/>
                      <w:sz w:val="21"/>
                      <w:szCs w:val="21"/>
                    </w:rPr>
                    <w:t>油烟</w:t>
                  </w:r>
                </w:p>
              </w:tc>
              <w:tc>
                <w:tcPr>
                  <w:tcW w:w="466" w:type="pct"/>
                  <w:noWrap w:val="0"/>
                  <w:vAlign w:val="center"/>
                </w:tcPr>
                <w:p w14:paraId="1117E954">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3.45</w:t>
                  </w:r>
                </w:p>
              </w:tc>
              <w:tc>
                <w:tcPr>
                  <w:tcW w:w="558" w:type="pct"/>
                  <w:noWrap w:val="0"/>
                  <w:vAlign w:val="center"/>
                </w:tcPr>
                <w:p w14:paraId="3A953EE5">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0.01</w:t>
                  </w:r>
                </w:p>
              </w:tc>
              <w:tc>
                <w:tcPr>
                  <w:tcW w:w="612" w:type="pct"/>
                  <w:noWrap w:val="0"/>
                  <w:vAlign w:val="center"/>
                </w:tcPr>
                <w:p w14:paraId="131AA92B">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0.012</w:t>
                  </w:r>
                </w:p>
              </w:tc>
              <w:tc>
                <w:tcPr>
                  <w:tcW w:w="443" w:type="pct"/>
                  <w:noWrap w:val="0"/>
                  <w:vAlign w:val="center"/>
                </w:tcPr>
                <w:p w14:paraId="3E929CBE">
                  <w:pPr>
                    <w:spacing w:line="240" w:lineRule="auto"/>
                    <w:ind w:firstLine="0" w:firstLineChars="0"/>
                    <w:jc w:val="center"/>
                    <w:rPr>
                      <w:rFonts w:hint="eastAsia"/>
                      <w:color w:val="auto"/>
                      <w:sz w:val="21"/>
                      <w:szCs w:val="21"/>
                    </w:rPr>
                  </w:pPr>
                  <w:r>
                    <w:rPr>
                      <w:color w:val="auto"/>
                      <w:sz w:val="21"/>
                      <w:szCs w:val="21"/>
                    </w:rPr>
                    <w:t>油烟净化装置</w:t>
                  </w:r>
                  <w:r>
                    <w:rPr>
                      <w:rFonts w:hint="eastAsia"/>
                      <w:color w:val="auto"/>
                      <w:sz w:val="21"/>
                      <w:szCs w:val="21"/>
                    </w:rPr>
                    <w:t>净化，净化效率75%</w:t>
                  </w:r>
                </w:p>
              </w:tc>
              <w:tc>
                <w:tcPr>
                  <w:tcW w:w="375" w:type="pct"/>
                  <w:noWrap w:val="0"/>
                  <w:vAlign w:val="center"/>
                </w:tcPr>
                <w:p w14:paraId="34401C80">
                  <w:pPr>
                    <w:spacing w:line="240" w:lineRule="auto"/>
                    <w:ind w:firstLine="0" w:firstLineChars="0"/>
                    <w:jc w:val="center"/>
                    <w:rPr>
                      <w:rFonts w:hint="eastAsia"/>
                      <w:color w:val="auto"/>
                      <w:sz w:val="21"/>
                      <w:szCs w:val="21"/>
                    </w:rPr>
                  </w:pPr>
                  <w:r>
                    <w:rPr>
                      <w:rFonts w:hint="eastAsia"/>
                      <w:color w:val="auto"/>
                      <w:sz w:val="21"/>
                      <w:szCs w:val="21"/>
                    </w:rPr>
                    <w:t>是</w:t>
                  </w:r>
                </w:p>
              </w:tc>
              <w:tc>
                <w:tcPr>
                  <w:tcW w:w="466" w:type="pct"/>
                  <w:noWrap w:val="0"/>
                  <w:vAlign w:val="center"/>
                </w:tcPr>
                <w:p w14:paraId="5504328B">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0.86</w:t>
                  </w:r>
                </w:p>
              </w:tc>
              <w:tc>
                <w:tcPr>
                  <w:tcW w:w="525" w:type="pct"/>
                  <w:noWrap w:val="0"/>
                  <w:vAlign w:val="center"/>
                </w:tcPr>
                <w:p w14:paraId="0378ECED">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0.003</w:t>
                  </w:r>
                </w:p>
              </w:tc>
              <w:tc>
                <w:tcPr>
                  <w:tcW w:w="525" w:type="pct"/>
                  <w:noWrap w:val="0"/>
                  <w:vAlign w:val="center"/>
                </w:tcPr>
                <w:p w14:paraId="6D9AEEAF">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0.0026</w:t>
                  </w:r>
                </w:p>
              </w:tc>
            </w:tr>
          </w:tbl>
          <w:p w14:paraId="704E7EC3">
            <w:pPr>
              <w:pStyle w:val="29"/>
              <w:spacing w:before="24" w:after="24"/>
              <w:rPr>
                <w:rFonts w:hint="eastAsia"/>
                <w:color w:val="auto"/>
              </w:rPr>
            </w:pPr>
            <w:r>
              <w:rPr>
                <w:color w:val="auto"/>
              </w:rPr>
              <w:t>表</w:t>
            </w:r>
            <w:r>
              <w:rPr>
                <w:rFonts w:hint="eastAsia"/>
                <w:color w:val="auto"/>
                <w:lang w:val="en-US" w:eastAsia="zh-CN"/>
              </w:rPr>
              <w:t>4-5</w:t>
            </w:r>
            <w:r>
              <w:rPr>
                <w:color w:val="auto"/>
              </w:rPr>
              <w:t xml:space="preserve">  项目</w:t>
            </w:r>
            <w:r>
              <w:rPr>
                <w:rFonts w:hint="eastAsia"/>
                <w:color w:val="auto"/>
              </w:rPr>
              <w:t>无组织</w:t>
            </w:r>
            <w:r>
              <w:rPr>
                <w:color w:val="auto"/>
              </w:rPr>
              <w:t>废气产生及处置情况一览表</w:t>
            </w:r>
          </w:p>
          <w:tbl>
            <w:tblPr>
              <w:tblStyle w:val="20"/>
              <w:tblW w:w="85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754"/>
              <w:gridCol w:w="800"/>
              <w:gridCol w:w="1004"/>
              <w:gridCol w:w="1026"/>
              <w:gridCol w:w="739"/>
              <w:gridCol w:w="427"/>
              <w:gridCol w:w="800"/>
              <w:gridCol w:w="1004"/>
              <w:gridCol w:w="1004"/>
              <w:gridCol w:w="427"/>
            </w:tblGrid>
            <w:tr w14:paraId="2D3AD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6" w:type="dxa"/>
                  <w:vMerge w:val="restart"/>
                  <w:noWrap w:val="0"/>
                  <w:vAlign w:val="center"/>
                </w:tcPr>
                <w:p w14:paraId="49238192">
                  <w:pPr>
                    <w:spacing w:line="240" w:lineRule="auto"/>
                    <w:ind w:firstLine="0" w:firstLineChars="0"/>
                    <w:jc w:val="center"/>
                    <w:rPr>
                      <w:b/>
                      <w:bCs/>
                      <w:color w:val="auto"/>
                      <w:sz w:val="21"/>
                      <w:szCs w:val="21"/>
                    </w:rPr>
                  </w:pPr>
                  <w:r>
                    <w:rPr>
                      <w:b/>
                      <w:bCs/>
                      <w:color w:val="auto"/>
                      <w:sz w:val="21"/>
                      <w:szCs w:val="21"/>
                    </w:rPr>
                    <w:t>污染源</w:t>
                  </w:r>
                </w:p>
              </w:tc>
              <w:tc>
                <w:tcPr>
                  <w:tcW w:w="790" w:type="dxa"/>
                  <w:vMerge w:val="restart"/>
                  <w:noWrap w:val="0"/>
                  <w:vAlign w:val="center"/>
                </w:tcPr>
                <w:p w14:paraId="4D7BCF9A">
                  <w:pPr>
                    <w:spacing w:line="240" w:lineRule="auto"/>
                    <w:ind w:firstLine="0" w:firstLineChars="0"/>
                    <w:jc w:val="center"/>
                    <w:rPr>
                      <w:b/>
                      <w:bCs/>
                      <w:color w:val="auto"/>
                      <w:sz w:val="21"/>
                      <w:szCs w:val="21"/>
                    </w:rPr>
                  </w:pPr>
                  <w:r>
                    <w:rPr>
                      <w:b/>
                      <w:bCs/>
                      <w:color w:val="auto"/>
                      <w:sz w:val="21"/>
                      <w:szCs w:val="21"/>
                    </w:rPr>
                    <w:t>污染物</w:t>
                  </w:r>
                </w:p>
              </w:tc>
              <w:tc>
                <w:tcPr>
                  <w:tcW w:w="2855" w:type="dxa"/>
                  <w:gridSpan w:val="3"/>
                  <w:noWrap w:val="0"/>
                  <w:vAlign w:val="center"/>
                </w:tcPr>
                <w:p w14:paraId="5FF66B0E">
                  <w:pPr>
                    <w:spacing w:line="240" w:lineRule="auto"/>
                    <w:ind w:firstLine="0" w:firstLineChars="0"/>
                    <w:jc w:val="center"/>
                    <w:rPr>
                      <w:b/>
                      <w:bCs/>
                      <w:color w:val="auto"/>
                      <w:sz w:val="21"/>
                      <w:szCs w:val="21"/>
                    </w:rPr>
                  </w:pPr>
                  <w:r>
                    <w:rPr>
                      <w:b/>
                      <w:bCs/>
                      <w:color w:val="auto"/>
                      <w:sz w:val="21"/>
                      <w:szCs w:val="21"/>
                    </w:rPr>
                    <w:t>产生情况</w:t>
                  </w:r>
                </w:p>
              </w:tc>
              <w:tc>
                <w:tcPr>
                  <w:tcW w:w="759" w:type="dxa"/>
                  <w:vMerge w:val="restart"/>
                  <w:noWrap w:val="0"/>
                  <w:vAlign w:val="center"/>
                </w:tcPr>
                <w:p w14:paraId="31EF03A9">
                  <w:pPr>
                    <w:spacing w:line="240" w:lineRule="auto"/>
                    <w:ind w:firstLine="0" w:firstLineChars="0"/>
                    <w:jc w:val="center"/>
                    <w:rPr>
                      <w:b/>
                      <w:bCs/>
                      <w:color w:val="auto"/>
                      <w:sz w:val="21"/>
                      <w:szCs w:val="21"/>
                    </w:rPr>
                  </w:pPr>
                  <w:r>
                    <w:rPr>
                      <w:b/>
                      <w:bCs/>
                      <w:color w:val="auto"/>
                      <w:sz w:val="21"/>
                      <w:szCs w:val="21"/>
                    </w:rPr>
                    <w:t>除尘措施及效率</w:t>
                  </w:r>
                </w:p>
              </w:tc>
              <w:tc>
                <w:tcPr>
                  <w:tcW w:w="427" w:type="dxa"/>
                  <w:vMerge w:val="restart"/>
                  <w:noWrap w:val="0"/>
                  <w:vAlign w:val="center"/>
                </w:tcPr>
                <w:p w14:paraId="2F2605DA">
                  <w:pPr>
                    <w:spacing w:line="240" w:lineRule="auto"/>
                    <w:ind w:firstLine="0" w:firstLineChars="0"/>
                    <w:jc w:val="center"/>
                    <w:rPr>
                      <w:b/>
                      <w:bCs/>
                      <w:color w:val="auto"/>
                      <w:sz w:val="21"/>
                      <w:szCs w:val="21"/>
                    </w:rPr>
                  </w:pPr>
                  <w:r>
                    <w:rPr>
                      <w:rFonts w:hint="eastAsia"/>
                      <w:b/>
                      <w:bCs/>
                      <w:color w:val="auto"/>
                      <w:sz w:val="21"/>
                      <w:szCs w:val="21"/>
                    </w:rPr>
                    <w:t>是否为可行性技术</w:t>
                  </w:r>
                </w:p>
              </w:tc>
              <w:tc>
                <w:tcPr>
                  <w:tcW w:w="2695" w:type="dxa"/>
                  <w:gridSpan w:val="3"/>
                  <w:noWrap w:val="0"/>
                  <w:vAlign w:val="center"/>
                </w:tcPr>
                <w:p w14:paraId="7503B622">
                  <w:pPr>
                    <w:spacing w:line="240" w:lineRule="auto"/>
                    <w:ind w:firstLine="0" w:firstLineChars="0"/>
                    <w:jc w:val="center"/>
                    <w:rPr>
                      <w:b/>
                      <w:bCs/>
                      <w:color w:val="auto"/>
                      <w:sz w:val="21"/>
                      <w:szCs w:val="21"/>
                    </w:rPr>
                  </w:pPr>
                  <w:r>
                    <w:rPr>
                      <w:b/>
                      <w:bCs/>
                      <w:color w:val="auto"/>
                      <w:sz w:val="21"/>
                      <w:szCs w:val="21"/>
                    </w:rPr>
                    <w:t>排放情况</w:t>
                  </w:r>
                </w:p>
              </w:tc>
              <w:tc>
                <w:tcPr>
                  <w:tcW w:w="427" w:type="dxa"/>
                  <w:vMerge w:val="restart"/>
                  <w:noWrap w:val="0"/>
                  <w:vAlign w:val="center"/>
                </w:tcPr>
                <w:p w14:paraId="1825D981">
                  <w:pPr>
                    <w:spacing w:line="240" w:lineRule="auto"/>
                    <w:ind w:firstLine="0" w:firstLineChars="0"/>
                    <w:jc w:val="center"/>
                    <w:rPr>
                      <w:color w:val="auto"/>
                      <w:sz w:val="21"/>
                      <w:szCs w:val="21"/>
                    </w:rPr>
                  </w:pPr>
                  <w:r>
                    <w:rPr>
                      <w:b/>
                      <w:bCs/>
                      <w:color w:val="auto"/>
                      <w:sz w:val="21"/>
                      <w:szCs w:val="21"/>
                    </w:rPr>
                    <w:t>排放形式</w:t>
                  </w:r>
                </w:p>
              </w:tc>
            </w:tr>
            <w:tr w14:paraId="5FFAA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6" w:type="dxa"/>
                  <w:vMerge w:val="continue"/>
                  <w:noWrap w:val="0"/>
                  <w:vAlign w:val="center"/>
                </w:tcPr>
                <w:p w14:paraId="0A1AD0B2">
                  <w:pPr>
                    <w:spacing w:line="240" w:lineRule="auto"/>
                    <w:ind w:firstLine="0" w:firstLineChars="0"/>
                    <w:jc w:val="center"/>
                    <w:rPr>
                      <w:b/>
                      <w:bCs/>
                      <w:color w:val="auto"/>
                      <w:sz w:val="21"/>
                      <w:szCs w:val="21"/>
                    </w:rPr>
                  </w:pPr>
                </w:p>
              </w:tc>
              <w:tc>
                <w:tcPr>
                  <w:tcW w:w="790" w:type="dxa"/>
                  <w:vMerge w:val="continue"/>
                  <w:noWrap w:val="0"/>
                  <w:vAlign w:val="center"/>
                </w:tcPr>
                <w:p w14:paraId="68058207">
                  <w:pPr>
                    <w:spacing w:line="240" w:lineRule="auto"/>
                    <w:ind w:firstLine="0" w:firstLineChars="0"/>
                    <w:jc w:val="center"/>
                    <w:rPr>
                      <w:b/>
                      <w:bCs/>
                      <w:color w:val="auto"/>
                      <w:sz w:val="21"/>
                      <w:szCs w:val="21"/>
                    </w:rPr>
                  </w:pPr>
                </w:p>
              </w:tc>
              <w:tc>
                <w:tcPr>
                  <w:tcW w:w="800" w:type="dxa"/>
                  <w:noWrap w:val="0"/>
                  <w:vAlign w:val="center"/>
                </w:tcPr>
                <w:p w14:paraId="69A897D8">
                  <w:pPr>
                    <w:spacing w:line="240" w:lineRule="auto"/>
                    <w:ind w:firstLine="0" w:firstLineChars="0"/>
                    <w:jc w:val="center"/>
                    <w:rPr>
                      <w:b/>
                      <w:bCs/>
                      <w:color w:val="auto"/>
                      <w:sz w:val="21"/>
                      <w:szCs w:val="21"/>
                    </w:rPr>
                  </w:pPr>
                  <w:r>
                    <w:rPr>
                      <w:b/>
                      <w:bCs/>
                      <w:color w:val="auto"/>
                      <w:sz w:val="21"/>
                      <w:szCs w:val="21"/>
                    </w:rPr>
                    <w:t>产生浓度mg/m</w:t>
                  </w:r>
                  <w:r>
                    <w:rPr>
                      <w:b/>
                      <w:bCs/>
                      <w:color w:val="auto"/>
                      <w:sz w:val="21"/>
                      <w:szCs w:val="21"/>
                      <w:vertAlign w:val="superscript"/>
                    </w:rPr>
                    <w:t>3</w:t>
                  </w:r>
                </w:p>
              </w:tc>
              <w:tc>
                <w:tcPr>
                  <w:tcW w:w="1004" w:type="dxa"/>
                  <w:noWrap w:val="0"/>
                  <w:vAlign w:val="center"/>
                </w:tcPr>
                <w:p w14:paraId="31559160">
                  <w:pPr>
                    <w:spacing w:line="240" w:lineRule="auto"/>
                    <w:ind w:firstLine="0" w:firstLineChars="0"/>
                    <w:jc w:val="center"/>
                    <w:rPr>
                      <w:b/>
                      <w:bCs/>
                      <w:color w:val="auto"/>
                      <w:sz w:val="21"/>
                      <w:szCs w:val="21"/>
                    </w:rPr>
                  </w:pPr>
                  <w:r>
                    <w:rPr>
                      <w:b/>
                      <w:bCs/>
                      <w:color w:val="auto"/>
                      <w:sz w:val="21"/>
                      <w:szCs w:val="21"/>
                    </w:rPr>
                    <w:t>产生速率kg/h</w:t>
                  </w:r>
                </w:p>
              </w:tc>
              <w:tc>
                <w:tcPr>
                  <w:tcW w:w="1051" w:type="dxa"/>
                  <w:noWrap w:val="0"/>
                  <w:vAlign w:val="center"/>
                </w:tcPr>
                <w:p w14:paraId="22DAAB70">
                  <w:pPr>
                    <w:spacing w:line="240" w:lineRule="auto"/>
                    <w:ind w:firstLine="0" w:firstLineChars="0"/>
                    <w:jc w:val="center"/>
                    <w:rPr>
                      <w:b/>
                      <w:bCs/>
                      <w:color w:val="auto"/>
                      <w:sz w:val="21"/>
                      <w:szCs w:val="21"/>
                    </w:rPr>
                  </w:pPr>
                  <w:r>
                    <w:rPr>
                      <w:b/>
                      <w:bCs/>
                      <w:color w:val="auto"/>
                      <w:sz w:val="21"/>
                      <w:szCs w:val="21"/>
                    </w:rPr>
                    <w:t>产生量t/a</w:t>
                  </w:r>
                </w:p>
              </w:tc>
              <w:tc>
                <w:tcPr>
                  <w:tcW w:w="759" w:type="dxa"/>
                  <w:vMerge w:val="continue"/>
                  <w:noWrap w:val="0"/>
                  <w:vAlign w:val="center"/>
                </w:tcPr>
                <w:p w14:paraId="31D16A58">
                  <w:pPr>
                    <w:spacing w:line="240" w:lineRule="auto"/>
                    <w:ind w:firstLine="0" w:firstLineChars="0"/>
                    <w:jc w:val="center"/>
                    <w:rPr>
                      <w:b/>
                      <w:bCs/>
                      <w:color w:val="auto"/>
                      <w:sz w:val="21"/>
                      <w:szCs w:val="21"/>
                    </w:rPr>
                  </w:pPr>
                </w:p>
              </w:tc>
              <w:tc>
                <w:tcPr>
                  <w:tcW w:w="427" w:type="dxa"/>
                  <w:vMerge w:val="continue"/>
                  <w:noWrap w:val="0"/>
                  <w:vAlign w:val="center"/>
                </w:tcPr>
                <w:p w14:paraId="7FE66B6C">
                  <w:pPr>
                    <w:spacing w:line="240" w:lineRule="auto"/>
                    <w:ind w:firstLine="0" w:firstLineChars="0"/>
                    <w:jc w:val="center"/>
                    <w:rPr>
                      <w:b/>
                      <w:bCs/>
                      <w:color w:val="auto"/>
                      <w:sz w:val="21"/>
                      <w:szCs w:val="21"/>
                    </w:rPr>
                  </w:pPr>
                </w:p>
              </w:tc>
              <w:tc>
                <w:tcPr>
                  <w:tcW w:w="800" w:type="dxa"/>
                  <w:noWrap w:val="0"/>
                  <w:vAlign w:val="center"/>
                </w:tcPr>
                <w:p w14:paraId="010B853A">
                  <w:pPr>
                    <w:spacing w:line="240" w:lineRule="auto"/>
                    <w:ind w:firstLine="0" w:firstLineChars="0"/>
                    <w:jc w:val="center"/>
                    <w:rPr>
                      <w:b/>
                      <w:bCs/>
                      <w:color w:val="auto"/>
                      <w:sz w:val="21"/>
                      <w:szCs w:val="21"/>
                    </w:rPr>
                  </w:pPr>
                  <w:r>
                    <w:rPr>
                      <w:b/>
                      <w:bCs/>
                      <w:color w:val="auto"/>
                      <w:sz w:val="21"/>
                      <w:szCs w:val="21"/>
                    </w:rPr>
                    <w:t>排放浓度mg/m</w:t>
                  </w:r>
                  <w:r>
                    <w:rPr>
                      <w:b/>
                      <w:bCs/>
                      <w:color w:val="auto"/>
                      <w:sz w:val="21"/>
                      <w:szCs w:val="21"/>
                      <w:vertAlign w:val="superscript"/>
                    </w:rPr>
                    <w:t>3</w:t>
                  </w:r>
                </w:p>
              </w:tc>
              <w:tc>
                <w:tcPr>
                  <w:tcW w:w="1004" w:type="dxa"/>
                  <w:noWrap w:val="0"/>
                  <w:vAlign w:val="center"/>
                </w:tcPr>
                <w:p w14:paraId="71D59C07">
                  <w:pPr>
                    <w:spacing w:line="240" w:lineRule="auto"/>
                    <w:ind w:firstLine="0" w:firstLineChars="0"/>
                    <w:jc w:val="center"/>
                    <w:rPr>
                      <w:b/>
                      <w:bCs/>
                      <w:color w:val="auto"/>
                      <w:sz w:val="21"/>
                      <w:szCs w:val="21"/>
                    </w:rPr>
                  </w:pPr>
                  <w:r>
                    <w:rPr>
                      <w:b/>
                      <w:bCs/>
                      <w:color w:val="auto"/>
                      <w:sz w:val="21"/>
                      <w:szCs w:val="21"/>
                    </w:rPr>
                    <w:t>排放速率kg/h</w:t>
                  </w:r>
                </w:p>
              </w:tc>
              <w:tc>
                <w:tcPr>
                  <w:tcW w:w="891" w:type="dxa"/>
                  <w:noWrap w:val="0"/>
                  <w:vAlign w:val="center"/>
                </w:tcPr>
                <w:p w14:paraId="6BC03F34">
                  <w:pPr>
                    <w:spacing w:line="240" w:lineRule="auto"/>
                    <w:ind w:firstLine="0" w:firstLineChars="0"/>
                    <w:jc w:val="center"/>
                    <w:rPr>
                      <w:b/>
                      <w:bCs/>
                      <w:color w:val="auto"/>
                      <w:sz w:val="21"/>
                      <w:szCs w:val="21"/>
                    </w:rPr>
                  </w:pPr>
                  <w:r>
                    <w:rPr>
                      <w:b/>
                      <w:bCs/>
                      <w:color w:val="auto"/>
                      <w:sz w:val="21"/>
                      <w:szCs w:val="21"/>
                    </w:rPr>
                    <w:t>排放量t/a</w:t>
                  </w:r>
                </w:p>
              </w:tc>
              <w:tc>
                <w:tcPr>
                  <w:tcW w:w="427" w:type="dxa"/>
                  <w:vMerge w:val="continue"/>
                  <w:noWrap w:val="0"/>
                  <w:vAlign w:val="center"/>
                </w:tcPr>
                <w:p w14:paraId="2A7483E3">
                  <w:pPr>
                    <w:spacing w:line="240" w:lineRule="auto"/>
                    <w:ind w:firstLine="0" w:firstLineChars="0"/>
                    <w:jc w:val="center"/>
                    <w:rPr>
                      <w:color w:val="auto"/>
                      <w:sz w:val="21"/>
                      <w:szCs w:val="21"/>
                    </w:rPr>
                  </w:pPr>
                </w:p>
              </w:tc>
            </w:tr>
            <w:tr w14:paraId="4F479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6" w:type="dxa"/>
                  <w:noWrap w:val="0"/>
                  <w:vAlign w:val="center"/>
                </w:tcPr>
                <w:p w14:paraId="7D4D31E5">
                  <w:pPr>
                    <w:spacing w:line="240" w:lineRule="auto"/>
                    <w:ind w:firstLine="0" w:firstLineChars="0"/>
                    <w:jc w:val="center"/>
                    <w:rPr>
                      <w:color w:val="auto"/>
                      <w:sz w:val="21"/>
                      <w:szCs w:val="21"/>
                    </w:rPr>
                  </w:pPr>
                  <w:r>
                    <w:rPr>
                      <w:rFonts w:hint="eastAsia"/>
                      <w:color w:val="auto"/>
                      <w:sz w:val="21"/>
                      <w:szCs w:val="21"/>
                    </w:rPr>
                    <w:t>砂石料装卸粉尘</w:t>
                  </w:r>
                </w:p>
              </w:tc>
              <w:tc>
                <w:tcPr>
                  <w:tcW w:w="790" w:type="dxa"/>
                  <w:noWrap w:val="0"/>
                  <w:vAlign w:val="center"/>
                </w:tcPr>
                <w:p w14:paraId="748B5E94">
                  <w:pPr>
                    <w:spacing w:line="240" w:lineRule="auto"/>
                    <w:ind w:firstLine="0" w:firstLineChars="0"/>
                    <w:jc w:val="center"/>
                    <w:rPr>
                      <w:color w:val="auto"/>
                      <w:sz w:val="21"/>
                      <w:szCs w:val="21"/>
                    </w:rPr>
                  </w:pPr>
                  <w:r>
                    <w:rPr>
                      <w:color w:val="auto"/>
                      <w:sz w:val="21"/>
                      <w:szCs w:val="21"/>
                    </w:rPr>
                    <w:t>TSP</w:t>
                  </w:r>
                </w:p>
              </w:tc>
              <w:tc>
                <w:tcPr>
                  <w:tcW w:w="800" w:type="dxa"/>
                  <w:noWrap w:val="0"/>
                  <w:vAlign w:val="center"/>
                </w:tcPr>
                <w:p w14:paraId="2800B4A6">
                  <w:pPr>
                    <w:spacing w:line="240" w:lineRule="auto"/>
                    <w:ind w:firstLine="0" w:firstLineChars="0"/>
                    <w:jc w:val="center"/>
                    <w:rPr>
                      <w:color w:val="auto"/>
                      <w:sz w:val="21"/>
                      <w:szCs w:val="21"/>
                    </w:rPr>
                  </w:pPr>
                  <w:r>
                    <w:rPr>
                      <w:color w:val="auto"/>
                      <w:sz w:val="21"/>
                      <w:szCs w:val="21"/>
                    </w:rPr>
                    <w:t>/</w:t>
                  </w:r>
                </w:p>
              </w:tc>
              <w:tc>
                <w:tcPr>
                  <w:tcW w:w="1004" w:type="dxa"/>
                  <w:noWrap w:val="0"/>
                  <w:vAlign w:val="center"/>
                </w:tcPr>
                <w:p w14:paraId="05CF7BC7">
                  <w:pPr>
                    <w:spacing w:line="240" w:lineRule="auto"/>
                    <w:ind w:firstLine="0" w:firstLineChars="0"/>
                    <w:jc w:val="center"/>
                    <w:rPr>
                      <w:color w:val="auto"/>
                      <w:sz w:val="21"/>
                      <w:szCs w:val="21"/>
                    </w:rPr>
                  </w:pPr>
                  <w:r>
                    <w:rPr>
                      <w:rFonts w:hint="eastAsia"/>
                      <w:color w:val="auto"/>
                      <w:sz w:val="21"/>
                      <w:szCs w:val="21"/>
                    </w:rPr>
                    <w:t>0.0084</w:t>
                  </w:r>
                </w:p>
              </w:tc>
              <w:tc>
                <w:tcPr>
                  <w:tcW w:w="1051" w:type="dxa"/>
                  <w:noWrap w:val="0"/>
                  <w:vAlign w:val="center"/>
                </w:tcPr>
                <w:p w14:paraId="5887A8FA">
                  <w:pPr>
                    <w:spacing w:line="240" w:lineRule="auto"/>
                    <w:ind w:firstLine="0" w:firstLineChars="0"/>
                    <w:jc w:val="center"/>
                    <w:rPr>
                      <w:color w:val="auto"/>
                      <w:sz w:val="21"/>
                      <w:szCs w:val="21"/>
                    </w:rPr>
                  </w:pPr>
                  <w:r>
                    <w:rPr>
                      <w:rFonts w:hint="eastAsia"/>
                      <w:color w:val="auto"/>
                      <w:sz w:val="21"/>
                      <w:szCs w:val="21"/>
                    </w:rPr>
                    <w:t>0.021</w:t>
                  </w:r>
                </w:p>
              </w:tc>
              <w:tc>
                <w:tcPr>
                  <w:tcW w:w="759" w:type="dxa"/>
                  <w:noWrap w:val="0"/>
                  <w:vAlign w:val="center"/>
                </w:tcPr>
                <w:p w14:paraId="39735ADD">
                  <w:pPr>
                    <w:spacing w:line="240" w:lineRule="auto"/>
                    <w:ind w:firstLine="0" w:firstLineChars="0"/>
                    <w:jc w:val="center"/>
                    <w:rPr>
                      <w:color w:val="auto"/>
                      <w:sz w:val="21"/>
                      <w:szCs w:val="21"/>
                    </w:rPr>
                  </w:pPr>
                  <w:r>
                    <w:rPr>
                      <w:rFonts w:hint="eastAsia"/>
                      <w:color w:val="auto"/>
                      <w:sz w:val="21"/>
                      <w:szCs w:val="21"/>
                    </w:rPr>
                    <w:t>水雾喷淋、顶棚和降低物料装卸过程高度差除尘效率60%</w:t>
                  </w:r>
                </w:p>
              </w:tc>
              <w:tc>
                <w:tcPr>
                  <w:tcW w:w="427" w:type="dxa"/>
                  <w:noWrap w:val="0"/>
                  <w:vAlign w:val="center"/>
                </w:tcPr>
                <w:p w14:paraId="4805BA88">
                  <w:pPr>
                    <w:spacing w:line="240" w:lineRule="auto"/>
                    <w:ind w:firstLine="0" w:firstLineChars="0"/>
                    <w:jc w:val="center"/>
                    <w:rPr>
                      <w:color w:val="auto"/>
                      <w:sz w:val="21"/>
                      <w:szCs w:val="21"/>
                    </w:rPr>
                  </w:pPr>
                  <w:r>
                    <w:rPr>
                      <w:rFonts w:hint="eastAsia"/>
                      <w:color w:val="auto"/>
                      <w:sz w:val="21"/>
                      <w:szCs w:val="21"/>
                    </w:rPr>
                    <w:t>是</w:t>
                  </w:r>
                </w:p>
              </w:tc>
              <w:tc>
                <w:tcPr>
                  <w:tcW w:w="800" w:type="dxa"/>
                  <w:noWrap w:val="0"/>
                  <w:vAlign w:val="center"/>
                </w:tcPr>
                <w:p w14:paraId="22F83D14">
                  <w:pPr>
                    <w:spacing w:line="240" w:lineRule="auto"/>
                    <w:ind w:firstLine="0" w:firstLineChars="0"/>
                    <w:jc w:val="center"/>
                    <w:rPr>
                      <w:color w:val="auto"/>
                      <w:sz w:val="21"/>
                      <w:szCs w:val="21"/>
                    </w:rPr>
                  </w:pPr>
                  <w:r>
                    <w:rPr>
                      <w:color w:val="auto"/>
                      <w:sz w:val="21"/>
                      <w:szCs w:val="21"/>
                    </w:rPr>
                    <w:t>/</w:t>
                  </w:r>
                </w:p>
              </w:tc>
              <w:tc>
                <w:tcPr>
                  <w:tcW w:w="1004" w:type="dxa"/>
                  <w:noWrap w:val="0"/>
                  <w:vAlign w:val="center"/>
                </w:tcPr>
                <w:p w14:paraId="245D1C83">
                  <w:pPr>
                    <w:spacing w:line="240" w:lineRule="auto"/>
                    <w:ind w:firstLine="0" w:firstLineChars="0"/>
                    <w:jc w:val="center"/>
                    <w:rPr>
                      <w:color w:val="auto"/>
                      <w:sz w:val="21"/>
                      <w:szCs w:val="21"/>
                    </w:rPr>
                  </w:pPr>
                  <w:r>
                    <w:rPr>
                      <w:rFonts w:hint="eastAsia"/>
                      <w:color w:val="auto"/>
                      <w:sz w:val="21"/>
                      <w:szCs w:val="21"/>
                    </w:rPr>
                    <w:t>0.0033</w:t>
                  </w:r>
                </w:p>
              </w:tc>
              <w:tc>
                <w:tcPr>
                  <w:tcW w:w="891" w:type="dxa"/>
                  <w:noWrap w:val="0"/>
                  <w:vAlign w:val="center"/>
                </w:tcPr>
                <w:p w14:paraId="04A88E07">
                  <w:pPr>
                    <w:spacing w:line="240" w:lineRule="auto"/>
                    <w:ind w:firstLine="0" w:firstLineChars="0"/>
                    <w:jc w:val="center"/>
                    <w:rPr>
                      <w:color w:val="auto"/>
                      <w:sz w:val="21"/>
                      <w:szCs w:val="21"/>
                    </w:rPr>
                  </w:pPr>
                  <w:r>
                    <w:rPr>
                      <w:rFonts w:hint="eastAsia"/>
                      <w:color w:val="auto"/>
                      <w:sz w:val="21"/>
                      <w:szCs w:val="21"/>
                    </w:rPr>
                    <w:t>0.0084</w:t>
                  </w:r>
                </w:p>
              </w:tc>
              <w:tc>
                <w:tcPr>
                  <w:tcW w:w="427" w:type="dxa"/>
                  <w:noWrap w:val="0"/>
                  <w:vAlign w:val="center"/>
                </w:tcPr>
                <w:p w14:paraId="78319604">
                  <w:pPr>
                    <w:spacing w:line="240" w:lineRule="auto"/>
                    <w:ind w:firstLine="0" w:firstLineChars="0"/>
                    <w:jc w:val="center"/>
                    <w:rPr>
                      <w:color w:val="auto"/>
                      <w:sz w:val="21"/>
                      <w:szCs w:val="21"/>
                    </w:rPr>
                  </w:pPr>
                  <w:r>
                    <w:rPr>
                      <w:color w:val="auto"/>
                      <w:sz w:val="21"/>
                      <w:szCs w:val="21"/>
                    </w:rPr>
                    <w:t>无组织</w:t>
                  </w:r>
                </w:p>
              </w:tc>
            </w:tr>
            <w:tr w14:paraId="28581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6" w:type="dxa"/>
                  <w:noWrap w:val="0"/>
                  <w:vAlign w:val="center"/>
                </w:tcPr>
                <w:p w14:paraId="62F0EBCC">
                  <w:pPr>
                    <w:spacing w:line="240" w:lineRule="auto"/>
                    <w:ind w:firstLine="0" w:firstLineChars="0"/>
                    <w:jc w:val="center"/>
                    <w:rPr>
                      <w:color w:val="auto"/>
                      <w:sz w:val="21"/>
                      <w:szCs w:val="21"/>
                    </w:rPr>
                  </w:pPr>
                  <w:r>
                    <w:rPr>
                      <w:color w:val="auto"/>
                      <w:sz w:val="21"/>
                      <w:szCs w:val="21"/>
                    </w:rPr>
                    <w:t>运输</w:t>
                  </w:r>
                  <w:r>
                    <w:rPr>
                      <w:rFonts w:hint="eastAsia"/>
                      <w:color w:val="auto"/>
                      <w:sz w:val="21"/>
                      <w:szCs w:val="21"/>
                    </w:rPr>
                    <w:t>粉尘</w:t>
                  </w:r>
                </w:p>
              </w:tc>
              <w:tc>
                <w:tcPr>
                  <w:tcW w:w="790" w:type="dxa"/>
                  <w:noWrap w:val="0"/>
                  <w:vAlign w:val="center"/>
                </w:tcPr>
                <w:p w14:paraId="2EAC292A">
                  <w:pPr>
                    <w:spacing w:line="240" w:lineRule="auto"/>
                    <w:ind w:firstLine="0" w:firstLineChars="0"/>
                    <w:jc w:val="center"/>
                    <w:rPr>
                      <w:color w:val="auto"/>
                      <w:sz w:val="21"/>
                      <w:szCs w:val="21"/>
                    </w:rPr>
                  </w:pPr>
                  <w:r>
                    <w:rPr>
                      <w:color w:val="auto"/>
                      <w:sz w:val="21"/>
                      <w:szCs w:val="21"/>
                    </w:rPr>
                    <w:t>TSP</w:t>
                  </w:r>
                </w:p>
              </w:tc>
              <w:tc>
                <w:tcPr>
                  <w:tcW w:w="800" w:type="dxa"/>
                  <w:noWrap w:val="0"/>
                  <w:vAlign w:val="center"/>
                </w:tcPr>
                <w:p w14:paraId="5012BC62">
                  <w:pPr>
                    <w:spacing w:line="240" w:lineRule="auto"/>
                    <w:ind w:firstLine="0" w:firstLineChars="0"/>
                    <w:jc w:val="center"/>
                    <w:rPr>
                      <w:color w:val="auto"/>
                      <w:sz w:val="21"/>
                      <w:szCs w:val="21"/>
                    </w:rPr>
                  </w:pPr>
                  <w:r>
                    <w:rPr>
                      <w:color w:val="auto"/>
                      <w:sz w:val="21"/>
                      <w:szCs w:val="21"/>
                    </w:rPr>
                    <w:t>/</w:t>
                  </w:r>
                </w:p>
              </w:tc>
              <w:tc>
                <w:tcPr>
                  <w:tcW w:w="1004" w:type="dxa"/>
                  <w:noWrap w:val="0"/>
                  <w:vAlign w:val="center"/>
                </w:tcPr>
                <w:p w14:paraId="13356B0F">
                  <w:pPr>
                    <w:spacing w:line="240" w:lineRule="auto"/>
                    <w:ind w:firstLine="0" w:firstLineChars="0"/>
                    <w:jc w:val="center"/>
                    <w:rPr>
                      <w:color w:val="auto"/>
                      <w:sz w:val="21"/>
                      <w:szCs w:val="21"/>
                    </w:rPr>
                  </w:pPr>
                  <w:r>
                    <w:rPr>
                      <w:rFonts w:hint="eastAsia"/>
                      <w:color w:val="auto"/>
                      <w:sz w:val="21"/>
                      <w:szCs w:val="21"/>
                    </w:rPr>
                    <w:t>1.11</w:t>
                  </w:r>
                </w:p>
              </w:tc>
              <w:tc>
                <w:tcPr>
                  <w:tcW w:w="1051" w:type="dxa"/>
                  <w:noWrap w:val="0"/>
                  <w:vAlign w:val="center"/>
                </w:tcPr>
                <w:p w14:paraId="3BAE1102">
                  <w:pPr>
                    <w:spacing w:line="240" w:lineRule="auto"/>
                    <w:ind w:firstLine="0" w:firstLineChars="0"/>
                    <w:jc w:val="center"/>
                    <w:rPr>
                      <w:color w:val="auto"/>
                      <w:sz w:val="21"/>
                      <w:szCs w:val="21"/>
                    </w:rPr>
                  </w:pPr>
                  <w:r>
                    <w:rPr>
                      <w:rFonts w:hint="eastAsia"/>
                      <w:color w:val="auto"/>
                      <w:sz w:val="21"/>
                      <w:szCs w:val="21"/>
                    </w:rPr>
                    <w:t>0.475</w:t>
                  </w:r>
                </w:p>
              </w:tc>
              <w:tc>
                <w:tcPr>
                  <w:tcW w:w="759" w:type="dxa"/>
                  <w:noWrap w:val="0"/>
                  <w:vAlign w:val="center"/>
                </w:tcPr>
                <w:p w14:paraId="3B26A5C9">
                  <w:pPr>
                    <w:spacing w:line="240" w:lineRule="auto"/>
                    <w:ind w:firstLine="0" w:firstLineChars="0"/>
                    <w:jc w:val="center"/>
                    <w:rPr>
                      <w:color w:val="auto"/>
                      <w:sz w:val="21"/>
                      <w:szCs w:val="21"/>
                    </w:rPr>
                  </w:pPr>
                  <w:r>
                    <w:rPr>
                      <w:color w:val="auto"/>
                      <w:sz w:val="21"/>
                      <w:szCs w:val="21"/>
                    </w:rPr>
                    <w:t>洒水降尘，物料覆盖运输，除尘效率</w:t>
                  </w:r>
                  <w:r>
                    <w:rPr>
                      <w:rFonts w:hint="eastAsia"/>
                      <w:color w:val="auto"/>
                      <w:sz w:val="21"/>
                      <w:szCs w:val="21"/>
                    </w:rPr>
                    <w:t>6</w:t>
                  </w:r>
                  <w:r>
                    <w:rPr>
                      <w:color w:val="auto"/>
                      <w:sz w:val="21"/>
                      <w:szCs w:val="21"/>
                    </w:rPr>
                    <w:t>0%</w:t>
                  </w:r>
                </w:p>
              </w:tc>
              <w:tc>
                <w:tcPr>
                  <w:tcW w:w="427" w:type="dxa"/>
                  <w:noWrap w:val="0"/>
                  <w:vAlign w:val="center"/>
                </w:tcPr>
                <w:p w14:paraId="173C9B42">
                  <w:pPr>
                    <w:spacing w:line="240" w:lineRule="auto"/>
                    <w:ind w:firstLine="0" w:firstLineChars="0"/>
                    <w:jc w:val="center"/>
                    <w:rPr>
                      <w:color w:val="auto"/>
                      <w:sz w:val="21"/>
                      <w:szCs w:val="21"/>
                    </w:rPr>
                  </w:pPr>
                  <w:r>
                    <w:rPr>
                      <w:rFonts w:hint="eastAsia"/>
                      <w:color w:val="auto"/>
                      <w:sz w:val="21"/>
                      <w:szCs w:val="21"/>
                    </w:rPr>
                    <w:t>是</w:t>
                  </w:r>
                </w:p>
              </w:tc>
              <w:tc>
                <w:tcPr>
                  <w:tcW w:w="800" w:type="dxa"/>
                  <w:noWrap w:val="0"/>
                  <w:vAlign w:val="center"/>
                </w:tcPr>
                <w:p w14:paraId="331F1764">
                  <w:pPr>
                    <w:spacing w:line="240" w:lineRule="auto"/>
                    <w:ind w:firstLine="0" w:firstLineChars="0"/>
                    <w:jc w:val="center"/>
                    <w:rPr>
                      <w:color w:val="auto"/>
                      <w:sz w:val="21"/>
                      <w:szCs w:val="21"/>
                    </w:rPr>
                  </w:pPr>
                  <w:r>
                    <w:rPr>
                      <w:color w:val="auto"/>
                      <w:sz w:val="21"/>
                      <w:szCs w:val="21"/>
                    </w:rPr>
                    <w:t>/</w:t>
                  </w:r>
                </w:p>
              </w:tc>
              <w:tc>
                <w:tcPr>
                  <w:tcW w:w="1004" w:type="dxa"/>
                  <w:noWrap w:val="0"/>
                  <w:vAlign w:val="center"/>
                </w:tcPr>
                <w:p w14:paraId="5ACB9028">
                  <w:pPr>
                    <w:spacing w:line="240" w:lineRule="auto"/>
                    <w:ind w:firstLine="0" w:firstLineChars="0"/>
                    <w:jc w:val="center"/>
                    <w:rPr>
                      <w:color w:val="auto"/>
                      <w:sz w:val="21"/>
                      <w:szCs w:val="21"/>
                    </w:rPr>
                  </w:pPr>
                  <w:r>
                    <w:rPr>
                      <w:rFonts w:hint="eastAsia"/>
                      <w:color w:val="auto"/>
                      <w:sz w:val="21"/>
                      <w:szCs w:val="21"/>
                    </w:rPr>
                    <w:t>0.44</w:t>
                  </w:r>
                </w:p>
              </w:tc>
              <w:tc>
                <w:tcPr>
                  <w:tcW w:w="891" w:type="dxa"/>
                  <w:noWrap w:val="0"/>
                  <w:vAlign w:val="center"/>
                </w:tcPr>
                <w:p w14:paraId="054AD775">
                  <w:pPr>
                    <w:spacing w:line="240" w:lineRule="auto"/>
                    <w:ind w:firstLine="0" w:firstLineChars="0"/>
                    <w:jc w:val="center"/>
                    <w:rPr>
                      <w:color w:val="auto"/>
                      <w:sz w:val="21"/>
                      <w:szCs w:val="21"/>
                    </w:rPr>
                  </w:pPr>
                  <w:r>
                    <w:rPr>
                      <w:rFonts w:hint="eastAsia"/>
                      <w:color w:val="auto"/>
                      <w:sz w:val="21"/>
                      <w:szCs w:val="21"/>
                    </w:rPr>
                    <w:t>0.19</w:t>
                  </w:r>
                </w:p>
              </w:tc>
              <w:tc>
                <w:tcPr>
                  <w:tcW w:w="427" w:type="dxa"/>
                  <w:noWrap w:val="0"/>
                  <w:vAlign w:val="center"/>
                </w:tcPr>
                <w:p w14:paraId="0B02E4A3">
                  <w:pPr>
                    <w:spacing w:line="240" w:lineRule="auto"/>
                    <w:ind w:firstLine="0" w:firstLineChars="0"/>
                    <w:jc w:val="center"/>
                    <w:rPr>
                      <w:color w:val="auto"/>
                      <w:sz w:val="21"/>
                      <w:szCs w:val="21"/>
                    </w:rPr>
                  </w:pPr>
                  <w:r>
                    <w:rPr>
                      <w:color w:val="auto"/>
                      <w:sz w:val="21"/>
                      <w:szCs w:val="21"/>
                    </w:rPr>
                    <w:t>无组织</w:t>
                  </w:r>
                </w:p>
              </w:tc>
            </w:tr>
            <w:tr w14:paraId="29A07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6" w:type="dxa"/>
                  <w:noWrap w:val="0"/>
                  <w:vAlign w:val="center"/>
                </w:tcPr>
                <w:p w14:paraId="433A3C6C">
                  <w:pPr>
                    <w:spacing w:line="240" w:lineRule="auto"/>
                    <w:ind w:firstLine="0" w:firstLineChars="0"/>
                    <w:jc w:val="center"/>
                    <w:rPr>
                      <w:color w:val="auto"/>
                      <w:sz w:val="21"/>
                      <w:szCs w:val="21"/>
                    </w:rPr>
                  </w:pPr>
                  <w:r>
                    <w:rPr>
                      <w:rFonts w:hint="eastAsia"/>
                      <w:color w:val="auto"/>
                      <w:sz w:val="21"/>
                      <w:szCs w:val="21"/>
                    </w:rPr>
                    <w:t>砂石料堆场扬尘</w:t>
                  </w:r>
                </w:p>
              </w:tc>
              <w:tc>
                <w:tcPr>
                  <w:tcW w:w="790" w:type="dxa"/>
                  <w:noWrap w:val="0"/>
                  <w:vAlign w:val="center"/>
                </w:tcPr>
                <w:p w14:paraId="3B146944">
                  <w:pPr>
                    <w:spacing w:line="240" w:lineRule="auto"/>
                    <w:ind w:firstLine="0" w:firstLineChars="0"/>
                    <w:jc w:val="center"/>
                    <w:rPr>
                      <w:color w:val="auto"/>
                      <w:sz w:val="21"/>
                      <w:szCs w:val="21"/>
                    </w:rPr>
                  </w:pPr>
                  <w:r>
                    <w:rPr>
                      <w:color w:val="auto"/>
                      <w:sz w:val="21"/>
                      <w:szCs w:val="21"/>
                    </w:rPr>
                    <w:t>TSP</w:t>
                  </w:r>
                </w:p>
              </w:tc>
              <w:tc>
                <w:tcPr>
                  <w:tcW w:w="800" w:type="dxa"/>
                  <w:noWrap w:val="0"/>
                  <w:vAlign w:val="center"/>
                </w:tcPr>
                <w:p w14:paraId="654FFD21">
                  <w:pPr>
                    <w:spacing w:line="240" w:lineRule="auto"/>
                    <w:ind w:firstLine="0" w:firstLineChars="0"/>
                    <w:jc w:val="center"/>
                    <w:rPr>
                      <w:color w:val="auto"/>
                      <w:sz w:val="21"/>
                      <w:szCs w:val="21"/>
                    </w:rPr>
                  </w:pPr>
                  <w:r>
                    <w:rPr>
                      <w:color w:val="auto"/>
                      <w:sz w:val="21"/>
                      <w:szCs w:val="21"/>
                    </w:rPr>
                    <w:t>/</w:t>
                  </w:r>
                </w:p>
              </w:tc>
              <w:tc>
                <w:tcPr>
                  <w:tcW w:w="1004" w:type="dxa"/>
                  <w:noWrap w:val="0"/>
                  <w:vAlign w:val="center"/>
                </w:tcPr>
                <w:p w14:paraId="0F423209">
                  <w:pPr>
                    <w:spacing w:line="240" w:lineRule="auto"/>
                    <w:ind w:firstLine="0" w:firstLineChars="0"/>
                    <w:jc w:val="center"/>
                    <w:rPr>
                      <w:color w:val="auto"/>
                      <w:sz w:val="21"/>
                      <w:szCs w:val="21"/>
                    </w:rPr>
                  </w:pPr>
                  <w:r>
                    <w:rPr>
                      <w:rFonts w:hint="eastAsia"/>
                      <w:color w:val="auto"/>
                      <w:sz w:val="21"/>
                      <w:szCs w:val="21"/>
                    </w:rPr>
                    <w:t>0.000031</w:t>
                  </w:r>
                </w:p>
              </w:tc>
              <w:tc>
                <w:tcPr>
                  <w:tcW w:w="1051" w:type="dxa"/>
                  <w:noWrap w:val="0"/>
                  <w:vAlign w:val="center"/>
                </w:tcPr>
                <w:p w14:paraId="619BD8A9">
                  <w:pPr>
                    <w:spacing w:line="240" w:lineRule="auto"/>
                    <w:ind w:firstLine="0" w:firstLineChars="0"/>
                    <w:jc w:val="center"/>
                    <w:rPr>
                      <w:color w:val="auto"/>
                      <w:sz w:val="21"/>
                      <w:szCs w:val="21"/>
                    </w:rPr>
                  </w:pPr>
                  <w:r>
                    <w:rPr>
                      <w:rFonts w:hint="eastAsia"/>
                      <w:color w:val="auto"/>
                      <w:sz w:val="21"/>
                      <w:szCs w:val="21"/>
                    </w:rPr>
                    <w:t>0.00027</w:t>
                  </w:r>
                </w:p>
              </w:tc>
              <w:tc>
                <w:tcPr>
                  <w:tcW w:w="759" w:type="dxa"/>
                  <w:noWrap w:val="0"/>
                  <w:vAlign w:val="center"/>
                </w:tcPr>
                <w:p w14:paraId="20986301">
                  <w:pPr>
                    <w:spacing w:line="240" w:lineRule="auto"/>
                    <w:ind w:firstLine="0" w:firstLineChars="0"/>
                    <w:jc w:val="center"/>
                    <w:rPr>
                      <w:color w:val="auto"/>
                      <w:sz w:val="21"/>
                      <w:szCs w:val="21"/>
                    </w:rPr>
                  </w:pPr>
                  <w:r>
                    <w:rPr>
                      <w:rFonts w:hint="eastAsia"/>
                      <w:color w:val="auto"/>
                      <w:sz w:val="21"/>
                      <w:szCs w:val="21"/>
                      <w:lang w:val="en-US" w:eastAsia="zh-CN"/>
                    </w:rPr>
                    <w:t>位于厂房内对TSP的控制率为95</w:t>
                  </w:r>
                  <w:r>
                    <w:rPr>
                      <w:color w:val="auto"/>
                      <w:sz w:val="21"/>
                      <w:szCs w:val="21"/>
                    </w:rPr>
                    <w:t>%</w:t>
                  </w:r>
                </w:p>
              </w:tc>
              <w:tc>
                <w:tcPr>
                  <w:tcW w:w="427" w:type="dxa"/>
                  <w:noWrap w:val="0"/>
                  <w:vAlign w:val="center"/>
                </w:tcPr>
                <w:p w14:paraId="50EB9B83">
                  <w:pPr>
                    <w:spacing w:line="240" w:lineRule="auto"/>
                    <w:ind w:firstLine="0" w:firstLineChars="0"/>
                    <w:jc w:val="center"/>
                    <w:rPr>
                      <w:color w:val="auto"/>
                      <w:sz w:val="21"/>
                      <w:szCs w:val="21"/>
                    </w:rPr>
                  </w:pPr>
                  <w:r>
                    <w:rPr>
                      <w:rFonts w:hint="eastAsia"/>
                      <w:color w:val="auto"/>
                      <w:sz w:val="21"/>
                      <w:szCs w:val="21"/>
                    </w:rPr>
                    <w:t>是</w:t>
                  </w:r>
                </w:p>
              </w:tc>
              <w:tc>
                <w:tcPr>
                  <w:tcW w:w="800" w:type="dxa"/>
                  <w:noWrap w:val="0"/>
                  <w:vAlign w:val="center"/>
                </w:tcPr>
                <w:p w14:paraId="7FDAE26F">
                  <w:pPr>
                    <w:spacing w:line="240" w:lineRule="auto"/>
                    <w:ind w:firstLine="0" w:firstLineChars="0"/>
                    <w:jc w:val="center"/>
                    <w:rPr>
                      <w:color w:val="auto"/>
                      <w:sz w:val="21"/>
                      <w:szCs w:val="21"/>
                    </w:rPr>
                  </w:pPr>
                  <w:r>
                    <w:rPr>
                      <w:color w:val="auto"/>
                      <w:sz w:val="21"/>
                      <w:szCs w:val="21"/>
                    </w:rPr>
                    <w:t>/</w:t>
                  </w:r>
                </w:p>
              </w:tc>
              <w:tc>
                <w:tcPr>
                  <w:tcW w:w="1004" w:type="dxa"/>
                  <w:noWrap w:val="0"/>
                  <w:vAlign w:val="center"/>
                </w:tcPr>
                <w:p w14:paraId="74B2C4EA">
                  <w:pPr>
                    <w:spacing w:line="240" w:lineRule="auto"/>
                    <w:ind w:firstLine="0" w:firstLineChars="0"/>
                    <w:jc w:val="center"/>
                    <w:rPr>
                      <w:color w:val="auto"/>
                      <w:sz w:val="21"/>
                      <w:szCs w:val="21"/>
                    </w:rPr>
                  </w:pPr>
                  <w:r>
                    <w:rPr>
                      <w:rFonts w:hint="eastAsia"/>
                      <w:color w:val="auto"/>
                      <w:sz w:val="21"/>
                      <w:szCs w:val="21"/>
                      <w:lang w:val="en-US" w:eastAsia="zh-CN"/>
                    </w:rPr>
                    <w:t>0.000016</w:t>
                  </w:r>
                </w:p>
              </w:tc>
              <w:tc>
                <w:tcPr>
                  <w:tcW w:w="891" w:type="dxa"/>
                  <w:noWrap w:val="0"/>
                  <w:vAlign w:val="center"/>
                </w:tcPr>
                <w:p w14:paraId="15C8CB5F">
                  <w:pPr>
                    <w:spacing w:line="240" w:lineRule="auto"/>
                    <w:ind w:firstLine="0" w:firstLineChars="0"/>
                    <w:jc w:val="center"/>
                    <w:rPr>
                      <w:color w:val="auto"/>
                      <w:sz w:val="21"/>
                      <w:szCs w:val="21"/>
                    </w:rPr>
                  </w:pPr>
                  <w:r>
                    <w:rPr>
                      <w:rFonts w:hint="eastAsia"/>
                      <w:color w:val="auto"/>
                      <w:sz w:val="21"/>
                      <w:szCs w:val="21"/>
                      <w:lang w:val="en-US" w:eastAsia="zh-CN"/>
                    </w:rPr>
                    <w:t>0.000014</w:t>
                  </w:r>
                </w:p>
              </w:tc>
              <w:tc>
                <w:tcPr>
                  <w:tcW w:w="427" w:type="dxa"/>
                  <w:noWrap w:val="0"/>
                  <w:vAlign w:val="center"/>
                </w:tcPr>
                <w:p w14:paraId="46906017">
                  <w:pPr>
                    <w:spacing w:line="240" w:lineRule="auto"/>
                    <w:ind w:firstLine="0" w:firstLineChars="0"/>
                    <w:jc w:val="center"/>
                    <w:rPr>
                      <w:color w:val="auto"/>
                      <w:sz w:val="21"/>
                      <w:szCs w:val="21"/>
                    </w:rPr>
                  </w:pPr>
                  <w:r>
                    <w:rPr>
                      <w:color w:val="auto"/>
                      <w:sz w:val="21"/>
                      <w:szCs w:val="21"/>
                    </w:rPr>
                    <w:t>无组织</w:t>
                  </w:r>
                </w:p>
              </w:tc>
            </w:tr>
            <w:tr w14:paraId="2488B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4" w:hRule="atLeast"/>
                <w:jc w:val="center"/>
              </w:trPr>
              <w:tc>
                <w:tcPr>
                  <w:tcW w:w="616" w:type="dxa"/>
                  <w:noWrap w:val="0"/>
                  <w:vAlign w:val="center"/>
                </w:tcPr>
                <w:p w14:paraId="588AC5B1">
                  <w:pPr>
                    <w:spacing w:line="240" w:lineRule="auto"/>
                    <w:ind w:firstLine="0" w:firstLineChars="0"/>
                    <w:jc w:val="center"/>
                    <w:rPr>
                      <w:color w:val="auto"/>
                      <w:sz w:val="21"/>
                      <w:szCs w:val="21"/>
                    </w:rPr>
                  </w:pPr>
                  <w:r>
                    <w:rPr>
                      <w:rFonts w:hint="eastAsia"/>
                      <w:color w:val="auto"/>
                      <w:sz w:val="21"/>
                      <w:szCs w:val="21"/>
                    </w:rPr>
                    <w:t>投料粉尘</w:t>
                  </w:r>
                </w:p>
              </w:tc>
              <w:tc>
                <w:tcPr>
                  <w:tcW w:w="790" w:type="dxa"/>
                  <w:noWrap w:val="0"/>
                  <w:vAlign w:val="center"/>
                </w:tcPr>
                <w:p w14:paraId="50310153">
                  <w:pPr>
                    <w:spacing w:line="240" w:lineRule="auto"/>
                    <w:ind w:firstLine="0" w:firstLineChars="0"/>
                    <w:jc w:val="center"/>
                    <w:rPr>
                      <w:color w:val="auto"/>
                      <w:sz w:val="21"/>
                      <w:szCs w:val="21"/>
                    </w:rPr>
                  </w:pPr>
                  <w:r>
                    <w:rPr>
                      <w:color w:val="auto"/>
                      <w:sz w:val="21"/>
                      <w:szCs w:val="21"/>
                    </w:rPr>
                    <w:t>TSP</w:t>
                  </w:r>
                </w:p>
              </w:tc>
              <w:tc>
                <w:tcPr>
                  <w:tcW w:w="800" w:type="dxa"/>
                  <w:noWrap w:val="0"/>
                  <w:vAlign w:val="center"/>
                </w:tcPr>
                <w:p w14:paraId="79824412">
                  <w:pPr>
                    <w:spacing w:line="240" w:lineRule="auto"/>
                    <w:ind w:firstLine="0" w:firstLineChars="0"/>
                    <w:jc w:val="center"/>
                    <w:rPr>
                      <w:color w:val="auto"/>
                      <w:sz w:val="21"/>
                      <w:szCs w:val="21"/>
                    </w:rPr>
                  </w:pPr>
                  <w:r>
                    <w:rPr>
                      <w:color w:val="auto"/>
                      <w:sz w:val="21"/>
                      <w:szCs w:val="21"/>
                    </w:rPr>
                    <w:t>/</w:t>
                  </w:r>
                </w:p>
              </w:tc>
              <w:tc>
                <w:tcPr>
                  <w:tcW w:w="1004" w:type="dxa"/>
                  <w:noWrap w:val="0"/>
                  <w:vAlign w:val="center"/>
                </w:tcPr>
                <w:p w14:paraId="6E078A41">
                  <w:pPr>
                    <w:spacing w:line="240" w:lineRule="auto"/>
                    <w:ind w:firstLine="0" w:firstLineChars="0"/>
                    <w:jc w:val="center"/>
                    <w:rPr>
                      <w:rFonts w:hint="default" w:eastAsia="宋体"/>
                      <w:color w:val="auto"/>
                      <w:sz w:val="21"/>
                      <w:szCs w:val="21"/>
                      <w:lang w:val="en-US" w:eastAsia="zh-CN"/>
                    </w:rPr>
                  </w:pPr>
                  <w:r>
                    <w:rPr>
                      <w:rFonts w:hint="eastAsia"/>
                      <w:color w:val="auto"/>
                      <w:sz w:val="21"/>
                      <w:szCs w:val="21"/>
                    </w:rPr>
                    <w:t>0.</w:t>
                  </w:r>
                  <w:r>
                    <w:rPr>
                      <w:rFonts w:hint="eastAsia"/>
                      <w:color w:val="auto"/>
                      <w:sz w:val="21"/>
                      <w:szCs w:val="21"/>
                      <w:lang w:val="en-US" w:eastAsia="zh-CN"/>
                    </w:rPr>
                    <w:t>134</w:t>
                  </w:r>
                </w:p>
              </w:tc>
              <w:tc>
                <w:tcPr>
                  <w:tcW w:w="1051" w:type="dxa"/>
                  <w:noWrap w:val="0"/>
                  <w:vAlign w:val="center"/>
                </w:tcPr>
                <w:p w14:paraId="42F4358F">
                  <w:pPr>
                    <w:spacing w:line="240" w:lineRule="auto"/>
                    <w:ind w:firstLine="0" w:firstLineChars="0"/>
                    <w:jc w:val="center"/>
                    <w:rPr>
                      <w:rFonts w:hint="default" w:eastAsia="宋体"/>
                      <w:color w:val="auto"/>
                      <w:sz w:val="21"/>
                      <w:szCs w:val="21"/>
                      <w:lang w:val="en-US" w:eastAsia="zh-CN"/>
                    </w:rPr>
                  </w:pPr>
                  <w:r>
                    <w:rPr>
                      <w:rFonts w:hint="eastAsia"/>
                      <w:color w:val="auto"/>
                      <w:sz w:val="21"/>
                      <w:szCs w:val="21"/>
                    </w:rPr>
                    <w:t>0.</w:t>
                  </w:r>
                  <w:r>
                    <w:rPr>
                      <w:rFonts w:hint="eastAsia"/>
                      <w:color w:val="auto"/>
                      <w:sz w:val="21"/>
                      <w:szCs w:val="21"/>
                      <w:lang w:val="en-US" w:eastAsia="zh-CN"/>
                    </w:rPr>
                    <w:t>963</w:t>
                  </w:r>
                </w:p>
              </w:tc>
              <w:tc>
                <w:tcPr>
                  <w:tcW w:w="759" w:type="dxa"/>
                  <w:noWrap w:val="0"/>
                  <w:vAlign w:val="center"/>
                </w:tcPr>
                <w:p w14:paraId="678B0831">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封闭车间+喷淋系统，除尘效率60%</w:t>
                  </w:r>
                </w:p>
              </w:tc>
              <w:tc>
                <w:tcPr>
                  <w:tcW w:w="427" w:type="dxa"/>
                  <w:noWrap w:val="0"/>
                  <w:vAlign w:val="center"/>
                </w:tcPr>
                <w:p w14:paraId="67D824E4">
                  <w:pPr>
                    <w:spacing w:line="240" w:lineRule="auto"/>
                    <w:ind w:firstLine="0" w:firstLineChars="0"/>
                    <w:jc w:val="center"/>
                    <w:rPr>
                      <w:color w:val="auto"/>
                      <w:sz w:val="21"/>
                      <w:szCs w:val="21"/>
                    </w:rPr>
                  </w:pPr>
                  <w:r>
                    <w:rPr>
                      <w:rFonts w:hint="eastAsia"/>
                      <w:color w:val="auto"/>
                      <w:sz w:val="21"/>
                      <w:szCs w:val="21"/>
                    </w:rPr>
                    <w:t>是</w:t>
                  </w:r>
                </w:p>
              </w:tc>
              <w:tc>
                <w:tcPr>
                  <w:tcW w:w="800" w:type="dxa"/>
                  <w:noWrap w:val="0"/>
                  <w:vAlign w:val="center"/>
                </w:tcPr>
                <w:p w14:paraId="15336DB1">
                  <w:pPr>
                    <w:spacing w:line="240" w:lineRule="auto"/>
                    <w:ind w:firstLine="0" w:firstLineChars="0"/>
                    <w:jc w:val="center"/>
                    <w:rPr>
                      <w:color w:val="auto"/>
                      <w:sz w:val="21"/>
                      <w:szCs w:val="21"/>
                    </w:rPr>
                  </w:pPr>
                  <w:r>
                    <w:rPr>
                      <w:color w:val="auto"/>
                      <w:sz w:val="21"/>
                      <w:szCs w:val="21"/>
                    </w:rPr>
                    <w:t>/</w:t>
                  </w:r>
                </w:p>
              </w:tc>
              <w:tc>
                <w:tcPr>
                  <w:tcW w:w="1004" w:type="dxa"/>
                  <w:noWrap w:val="0"/>
                  <w:vAlign w:val="center"/>
                </w:tcPr>
                <w:p w14:paraId="33D6F749">
                  <w:pPr>
                    <w:spacing w:line="240" w:lineRule="auto"/>
                    <w:ind w:firstLine="0" w:firstLineChars="0"/>
                    <w:jc w:val="center"/>
                    <w:rPr>
                      <w:rFonts w:hint="default" w:eastAsia="宋体"/>
                      <w:color w:val="auto"/>
                      <w:sz w:val="21"/>
                      <w:szCs w:val="21"/>
                      <w:lang w:val="en-US" w:eastAsia="zh-CN"/>
                    </w:rPr>
                  </w:pPr>
                  <w:r>
                    <w:rPr>
                      <w:rFonts w:hint="eastAsia"/>
                      <w:color w:val="auto"/>
                      <w:sz w:val="21"/>
                      <w:szCs w:val="21"/>
                    </w:rPr>
                    <w:t>0.0</w:t>
                  </w:r>
                  <w:r>
                    <w:rPr>
                      <w:rFonts w:hint="eastAsia"/>
                      <w:color w:val="auto"/>
                      <w:sz w:val="21"/>
                      <w:szCs w:val="21"/>
                      <w:lang w:val="en-US" w:eastAsia="zh-CN"/>
                    </w:rPr>
                    <w:t>53</w:t>
                  </w:r>
                </w:p>
              </w:tc>
              <w:tc>
                <w:tcPr>
                  <w:tcW w:w="891" w:type="dxa"/>
                  <w:noWrap w:val="0"/>
                  <w:vAlign w:val="center"/>
                </w:tcPr>
                <w:p w14:paraId="0130C7CD">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rPr>
                    <w:t>0.38</w:t>
                  </w:r>
                  <w:r>
                    <w:rPr>
                      <w:rFonts w:hint="eastAsia"/>
                      <w:color w:val="auto"/>
                      <w:sz w:val="21"/>
                      <w:szCs w:val="21"/>
                      <w:lang w:val="en-US" w:eastAsia="zh-CN"/>
                    </w:rPr>
                    <w:t>5</w:t>
                  </w:r>
                </w:p>
              </w:tc>
              <w:tc>
                <w:tcPr>
                  <w:tcW w:w="427" w:type="dxa"/>
                  <w:noWrap w:val="0"/>
                  <w:vAlign w:val="center"/>
                </w:tcPr>
                <w:p w14:paraId="54CA040C">
                  <w:pPr>
                    <w:spacing w:line="240" w:lineRule="auto"/>
                    <w:ind w:firstLine="0" w:firstLineChars="0"/>
                    <w:jc w:val="center"/>
                    <w:rPr>
                      <w:color w:val="auto"/>
                      <w:sz w:val="21"/>
                      <w:szCs w:val="21"/>
                    </w:rPr>
                  </w:pPr>
                  <w:r>
                    <w:rPr>
                      <w:color w:val="auto"/>
                      <w:sz w:val="21"/>
                      <w:szCs w:val="21"/>
                    </w:rPr>
                    <w:t>无组织</w:t>
                  </w:r>
                </w:p>
              </w:tc>
            </w:tr>
            <w:tr w14:paraId="3E7BF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6" w:type="dxa"/>
                  <w:noWrap w:val="0"/>
                  <w:vAlign w:val="center"/>
                </w:tcPr>
                <w:p w14:paraId="21DD38CD">
                  <w:pPr>
                    <w:spacing w:line="240" w:lineRule="auto"/>
                    <w:ind w:firstLine="0" w:firstLineChars="0"/>
                    <w:jc w:val="center"/>
                    <w:rPr>
                      <w:rFonts w:hint="eastAsia"/>
                      <w:color w:val="auto"/>
                      <w:sz w:val="21"/>
                      <w:szCs w:val="21"/>
                    </w:rPr>
                  </w:pPr>
                  <w:r>
                    <w:rPr>
                      <w:rFonts w:hint="eastAsia"/>
                      <w:color w:val="auto"/>
                      <w:sz w:val="21"/>
                      <w:szCs w:val="21"/>
                    </w:rPr>
                    <w:t>钢筋焊接烟尘</w:t>
                  </w:r>
                </w:p>
              </w:tc>
              <w:tc>
                <w:tcPr>
                  <w:tcW w:w="790" w:type="dxa"/>
                  <w:noWrap w:val="0"/>
                  <w:vAlign w:val="center"/>
                </w:tcPr>
                <w:p w14:paraId="1F717D36">
                  <w:pPr>
                    <w:spacing w:line="240" w:lineRule="auto"/>
                    <w:ind w:firstLine="0" w:firstLineChars="0"/>
                    <w:jc w:val="center"/>
                    <w:rPr>
                      <w:color w:val="auto"/>
                      <w:sz w:val="21"/>
                      <w:szCs w:val="21"/>
                    </w:rPr>
                  </w:pPr>
                  <w:r>
                    <w:rPr>
                      <w:rFonts w:hint="eastAsia"/>
                      <w:color w:val="auto"/>
                      <w:sz w:val="21"/>
                      <w:szCs w:val="21"/>
                    </w:rPr>
                    <w:t>烟尘</w:t>
                  </w:r>
                </w:p>
              </w:tc>
              <w:tc>
                <w:tcPr>
                  <w:tcW w:w="800" w:type="dxa"/>
                  <w:noWrap w:val="0"/>
                  <w:vAlign w:val="center"/>
                </w:tcPr>
                <w:p w14:paraId="2BDABC41">
                  <w:pPr>
                    <w:spacing w:line="240" w:lineRule="auto"/>
                    <w:ind w:firstLine="0" w:firstLineChars="0"/>
                    <w:jc w:val="center"/>
                    <w:rPr>
                      <w:color w:val="auto"/>
                      <w:sz w:val="21"/>
                      <w:szCs w:val="21"/>
                    </w:rPr>
                  </w:pPr>
                  <w:r>
                    <w:rPr>
                      <w:color w:val="auto"/>
                      <w:sz w:val="21"/>
                      <w:szCs w:val="21"/>
                    </w:rPr>
                    <w:t>/</w:t>
                  </w:r>
                </w:p>
              </w:tc>
              <w:tc>
                <w:tcPr>
                  <w:tcW w:w="1004" w:type="dxa"/>
                  <w:noWrap w:val="0"/>
                  <w:vAlign w:val="center"/>
                </w:tcPr>
                <w:p w14:paraId="31FC85F0">
                  <w:pPr>
                    <w:spacing w:line="240" w:lineRule="auto"/>
                    <w:ind w:firstLine="0" w:firstLineChars="0"/>
                    <w:jc w:val="center"/>
                    <w:rPr>
                      <w:color w:val="auto"/>
                      <w:sz w:val="21"/>
                      <w:szCs w:val="21"/>
                    </w:rPr>
                  </w:pPr>
                  <w:r>
                    <w:rPr>
                      <w:rFonts w:hint="eastAsia"/>
                      <w:color w:val="auto"/>
                      <w:sz w:val="21"/>
                      <w:szCs w:val="21"/>
                    </w:rPr>
                    <w:t>0.01</w:t>
                  </w:r>
                </w:p>
              </w:tc>
              <w:tc>
                <w:tcPr>
                  <w:tcW w:w="1051" w:type="dxa"/>
                  <w:noWrap w:val="0"/>
                  <w:vAlign w:val="center"/>
                </w:tcPr>
                <w:p w14:paraId="44A715B3">
                  <w:pPr>
                    <w:spacing w:line="240" w:lineRule="auto"/>
                    <w:ind w:firstLine="0" w:firstLineChars="0"/>
                    <w:jc w:val="center"/>
                    <w:rPr>
                      <w:color w:val="auto"/>
                      <w:sz w:val="21"/>
                      <w:szCs w:val="21"/>
                    </w:rPr>
                  </w:pPr>
                  <w:r>
                    <w:rPr>
                      <w:rFonts w:hint="eastAsia"/>
                      <w:color w:val="auto"/>
                      <w:sz w:val="21"/>
                      <w:szCs w:val="21"/>
                    </w:rPr>
                    <w:t>0.08</w:t>
                  </w:r>
                </w:p>
              </w:tc>
              <w:tc>
                <w:tcPr>
                  <w:tcW w:w="759" w:type="dxa"/>
                  <w:noWrap w:val="0"/>
                  <w:vAlign w:val="center"/>
                </w:tcPr>
                <w:p w14:paraId="4AD52A0A">
                  <w:pPr>
                    <w:spacing w:line="240" w:lineRule="auto"/>
                    <w:ind w:firstLine="0" w:firstLineChars="0"/>
                    <w:jc w:val="center"/>
                    <w:rPr>
                      <w:rFonts w:hint="eastAsia"/>
                      <w:color w:val="auto"/>
                      <w:sz w:val="21"/>
                      <w:szCs w:val="21"/>
                    </w:rPr>
                  </w:pPr>
                  <w:r>
                    <w:rPr>
                      <w:color w:val="auto"/>
                      <w:sz w:val="21"/>
                      <w:szCs w:val="21"/>
                    </w:rPr>
                    <w:t>厂房封闭</w:t>
                  </w:r>
                </w:p>
              </w:tc>
              <w:tc>
                <w:tcPr>
                  <w:tcW w:w="427" w:type="dxa"/>
                  <w:noWrap w:val="0"/>
                  <w:vAlign w:val="center"/>
                </w:tcPr>
                <w:p w14:paraId="726292B3">
                  <w:pPr>
                    <w:spacing w:line="240" w:lineRule="auto"/>
                    <w:ind w:firstLine="0" w:firstLineChars="0"/>
                    <w:jc w:val="center"/>
                    <w:rPr>
                      <w:color w:val="auto"/>
                      <w:sz w:val="21"/>
                      <w:szCs w:val="21"/>
                    </w:rPr>
                  </w:pPr>
                  <w:r>
                    <w:rPr>
                      <w:rFonts w:hint="eastAsia"/>
                      <w:color w:val="auto"/>
                      <w:sz w:val="21"/>
                      <w:szCs w:val="21"/>
                    </w:rPr>
                    <w:t>是</w:t>
                  </w:r>
                </w:p>
              </w:tc>
              <w:tc>
                <w:tcPr>
                  <w:tcW w:w="800" w:type="dxa"/>
                  <w:noWrap w:val="0"/>
                  <w:vAlign w:val="center"/>
                </w:tcPr>
                <w:p w14:paraId="2700BA38">
                  <w:pPr>
                    <w:spacing w:line="240" w:lineRule="auto"/>
                    <w:ind w:firstLine="0" w:firstLineChars="0"/>
                    <w:jc w:val="center"/>
                    <w:rPr>
                      <w:color w:val="auto"/>
                      <w:sz w:val="21"/>
                      <w:szCs w:val="21"/>
                    </w:rPr>
                  </w:pPr>
                  <w:r>
                    <w:rPr>
                      <w:color w:val="auto"/>
                      <w:sz w:val="21"/>
                      <w:szCs w:val="21"/>
                    </w:rPr>
                    <w:t>/</w:t>
                  </w:r>
                </w:p>
              </w:tc>
              <w:tc>
                <w:tcPr>
                  <w:tcW w:w="1004" w:type="dxa"/>
                  <w:noWrap w:val="0"/>
                  <w:vAlign w:val="center"/>
                </w:tcPr>
                <w:p w14:paraId="7623ECB1">
                  <w:pPr>
                    <w:spacing w:line="240" w:lineRule="auto"/>
                    <w:ind w:firstLine="0" w:firstLineChars="0"/>
                    <w:jc w:val="center"/>
                    <w:rPr>
                      <w:color w:val="auto"/>
                      <w:sz w:val="21"/>
                      <w:szCs w:val="21"/>
                    </w:rPr>
                  </w:pPr>
                  <w:r>
                    <w:rPr>
                      <w:rFonts w:hint="eastAsia"/>
                      <w:color w:val="auto"/>
                      <w:sz w:val="21"/>
                      <w:szCs w:val="21"/>
                    </w:rPr>
                    <w:t>0.01</w:t>
                  </w:r>
                </w:p>
              </w:tc>
              <w:tc>
                <w:tcPr>
                  <w:tcW w:w="891" w:type="dxa"/>
                  <w:noWrap w:val="0"/>
                  <w:vAlign w:val="center"/>
                </w:tcPr>
                <w:p w14:paraId="0438A621">
                  <w:pPr>
                    <w:spacing w:line="240" w:lineRule="auto"/>
                    <w:ind w:firstLine="0" w:firstLineChars="0"/>
                    <w:jc w:val="center"/>
                    <w:rPr>
                      <w:color w:val="auto"/>
                      <w:sz w:val="21"/>
                      <w:szCs w:val="21"/>
                    </w:rPr>
                  </w:pPr>
                  <w:r>
                    <w:rPr>
                      <w:rFonts w:hint="eastAsia"/>
                      <w:color w:val="auto"/>
                      <w:sz w:val="21"/>
                      <w:szCs w:val="21"/>
                    </w:rPr>
                    <w:t>0.08</w:t>
                  </w:r>
                </w:p>
              </w:tc>
              <w:tc>
                <w:tcPr>
                  <w:tcW w:w="427" w:type="dxa"/>
                  <w:noWrap w:val="0"/>
                  <w:vAlign w:val="center"/>
                </w:tcPr>
                <w:p w14:paraId="50D71B6B">
                  <w:pPr>
                    <w:spacing w:line="240" w:lineRule="auto"/>
                    <w:ind w:firstLine="0" w:firstLineChars="0"/>
                    <w:jc w:val="center"/>
                    <w:rPr>
                      <w:color w:val="auto"/>
                      <w:sz w:val="21"/>
                      <w:szCs w:val="21"/>
                    </w:rPr>
                  </w:pPr>
                  <w:r>
                    <w:rPr>
                      <w:color w:val="auto"/>
                      <w:sz w:val="21"/>
                      <w:szCs w:val="21"/>
                    </w:rPr>
                    <w:t>无组织</w:t>
                  </w:r>
                </w:p>
              </w:tc>
            </w:tr>
            <w:tr w14:paraId="045B8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6" w:type="dxa"/>
                  <w:noWrap w:val="0"/>
                  <w:vAlign w:val="center"/>
                </w:tcPr>
                <w:p w14:paraId="5103C91D">
                  <w:pPr>
                    <w:spacing w:line="240" w:lineRule="auto"/>
                    <w:ind w:firstLine="0" w:firstLineChars="0"/>
                    <w:jc w:val="center"/>
                    <w:rPr>
                      <w:color w:val="auto"/>
                      <w:sz w:val="21"/>
                      <w:szCs w:val="21"/>
                    </w:rPr>
                  </w:pPr>
                  <w:r>
                    <w:rPr>
                      <w:rFonts w:hint="eastAsia"/>
                      <w:color w:val="auto"/>
                      <w:sz w:val="21"/>
                      <w:szCs w:val="21"/>
                    </w:rPr>
                    <w:t>切割粉尘</w:t>
                  </w:r>
                </w:p>
              </w:tc>
              <w:tc>
                <w:tcPr>
                  <w:tcW w:w="790" w:type="dxa"/>
                  <w:noWrap w:val="0"/>
                  <w:vAlign w:val="center"/>
                </w:tcPr>
                <w:p w14:paraId="5820DA4F">
                  <w:pPr>
                    <w:spacing w:line="240" w:lineRule="auto"/>
                    <w:ind w:firstLine="0" w:firstLineChars="0"/>
                    <w:jc w:val="center"/>
                    <w:rPr>
                      <w:color w:val="auto"/>
                      <w:sz w:val="21"/>
                      <w:szCs w:val="21"/>
                    </w:rPr>
                  </w:pPr>
                  <w:r>
                    <w:rPr>
                      <w:rFonts w:hint="eastAsia"/>
                      <w:color w:val="auto"/>
                      <w:sz w:val="21"/>
                      <w:szCs w:val="21"/>
                    </w:rPr>
                    <w:t>烟尘</w:t>
                  </w:r>
                </w:p>
              </w:tc>
              <w:tc>
                <w:tcPr>
                  <w:tcW w:w="800" w:type="dxa"/>
                  <w:noWrap w:val="0"/>
                  <w:vAlign w:val="center"/>
                </w:tcPr>
                <w:p w14:paraId="28A56709">
                  <w:pPr>
                    <w:spacing w:line="240" w:lineRule="auto"/>
                    <w:ind w:firstLine="0" w:firstLineChars="0"/>
                    <w:jc w:val="center"/>
                    <w:rPr>
                      <w:color w:val="auto"/>
                      <w:sz w:val="21"/>
                      <w:szCs w:val="21"/>
                    </w:rPr>
                  </w:pPr>
                  <w:r>
                    <w:rPr>
                      <w:color w:val="auto"/>
                      <w:sz w:val="21"/>
                      <w:szCs w:val="21"/>
                    </w:rPr>
                    <w:t>/</w:t>
                  </w:r>
                </w:p>
              </w:tc>
              <w:tc>
                <w:tcPr>
                  <w:tcW w:w="1004" w:type="dxa"/>
                  <w:noWrap w:val="0"/>
                  <w:vAlign w:val="center"/>
                </w:tcPr>
                <w:p w14:paraId="24EBAF74">
                  <w:pPr>
                    <w:spacing w:line="240" w:lineRule="auto"/>
                    <w:ind w:firstLine="0" w:firstLineChars="0"/>
                    <w:jc w:val="center"/>
                    <w:rPr>
                      <w:color w:val="auto"/>
                      <w:sz w:val="21"/>
                      <w:szCs w:val="21"/>
                    </w:rPr>
                  </w:pPr>
                  <w:r>
                    <w:rPr>
                      <w:color w:val="auto"/>
                      <w:sz w:val="21"/>
                      <w:szCs w:val="21"/>
                    </w:rPr>
                    <w:t>少量</w:t>
                  </w:r>
                </w:p>
              </w:tc>
              <w:tc>
                <w:tcPr>
                  <w:tcW w:w="1051" w:type="dxa"/>
                  <w:noWrap w:val="0"/>
                  <w:vAlign w:val="center"/>
                </w:tcPr>
                <w:p w14:paraId="33649310">
                  <w:pPr>
                    <w:spacing w:line="240" w:lineRule="auto"/>
                    <w:ind w:firstLine="0" w:firstLineChars="0"/>
                    <w:jc w:val="center"/>
                    <w:rPr>
                      <w:color w:val="auto"/>
                      <w:sz w:val="21"/>
                      <w:szCs w:val="21"/>
                    </w:rPr>
                  </w:pPr>
                  <w:r>
                    <w:rPr>
                      <w:color w:val="auto"/>
                      <w:sz w:val="21"/>
                      <w:szCs w:val="21"/>
                    </w:rPr>
                    <w:t>少量</w:t>
                  </w:r>
                </w:p>
              </w:tc>
              <w:tc>
                <w:tcPr>
                  <w:tcW w:w="759" w:type="dxa"/>
                  <w:noWrap w:val="0"/>
                  <w:vAlign w:val="center"/>
                </w:tcPr>
                <w:p w14:paraId="2AD8BF18">
                  <w:pPr>
                    <w:spacing w:line="240" w:lineRule="auto"/>
                    <w:ind w:firstLine="0" w:firstLineChars="0"/>
                    <w:jc w:val="center"/>
                    <w:rPr>
                      <w:color w:val="auto"/>
                      <w:sz w:val="21"/>
                      <w:szCs w:val="21"/>
                    </w:rPr>
                  </w:pPr>
                  <w:r>
                    <w:rPr>
                      <w:color w:val="auto"/>
                      <w:sz w:val="21"/>
                      <w:szCs w:val="21"/>
                    </w:rPr>
                    <w:t>厂房封闭</w:t>
                  </w:r>
                </w:p>
              </w:tc>
              <w:tc>
                <w:tcPr>
                  <w:tcW w:w="427" w:type="dxa"/>
                  <w:noWrap w:val="0"/>
                  <w:vAlign w:val="center"/>
                </w:tcPr>
                <w:p w14:paraId="797FC260">
                  <w:pPr>
                    <w:spacing w:line="240" w:lineRule="auto"/>
                    <w:ind w:firstLine="0" w:firstLineChars="0"/>
                    <w:jc w:val="center"/>
                    <w:rPr>
                      <w:color w:val="auto"/>
                      <w:sz w:val="21"/>
                      <w:szCs w:val="21"/>
                    </w:rPr>
                  </w:pPr>
                  <w:r>
                    <w:rPr>
                      <w:rFonts w:hint="eastAsia"/>
                      <w:color w:val="auto"/>
                      <w:sz w:val="21"/>
                      <w:szCs w:val="21"/>
                    </w:rPr>
                    <w:t>是</w:t>
                  </w:r>
                </w:p>
              </w:tc>
              <w:tc>
                <w:tcPr>
                  <w:tcW w:w="800" w:type="dxa"/>
                  <w:noWrap w:val="0"/>
                  <w:vAlign w:val="center"/>
                </w:tcPr>
                <w:p w14:paraId="618A2332">
                  <w:pPr>
                    <w:spacing w:line="240" w:lineRule="auto"/>
                    <w:ind w:firstLine="0" w:firstLineChars="0"/>
                    <w:jc w:val="center"/>
                    <w:rPr>
                      <w:color w:val="auto"/>
                      <w:sz w:val="21"/>
                      <w:szCs w:val="21"/>
                    </w:rPr>
                  </w:pPr>
                  <w:r>
                    <w:rPr>
                      <w:color w:val="auto"/>
                      <w:sz w:val="21"/>
                      <w:szCs w:val="21"/>
                    </w:rPr>
                    <w:t>/</w:t>
                  </w:r>
                </w:p>
              </w:tc>
              <w:tc>
                <w:tcPr>
                  <w:tcW w:w="1004" w:type="dxa"/>
                  <w:noWrap w:val="0"/>
                  <w:vAlign w:val="center"/>
                </w:tcPr>
                <w:p w14:paraId="47549243">
                  <w:pPr>
                    <w:spacing w:line="240" w:lineRule="auto"/>
                    <w:ind w:firstLine="0" w:firstLineChars="0"/>
                    <w:jc w:val="center"/>
                    <w:rPr>
                      <w:color w:val="auto"/>
                      <w:sz w:val="21"/>
                      <w:szCs w:val="21"/>
                    </w:rPr>
                  </w:pPr>
                  <w:r>
                    <w:rPr>
                      <w:color w:val="auto"/>
                      <w:sz w:val="21"/>
                      <w:szCs w:val="21"/>
                    </w:rPr>
                    <w:t>少量</w:t>
                  </w:r>
                </w:p>
              </w:tc>
              <w:tc>
                <w:tcPr>
                  <w:tcW w:w="891" w:type="dxa"/>
                  <w:noWrap w:val="0"/>
                  <w:vAlign w:val="center"/>
                </w:tcPr>
                <w:p w14:paraId="4485B86C">
                  <w:pPr>
                    <w:spacing w:line="240" w:lineRule="auto"/>
                    <w:ind w:firstLine="0" w:firstLineChars="0"/>
                    <w:jc w:val="center"/>
                    <w:rPr>
                      <w:color w:val="auto"/>
                      <w:sz w:val="21"/>
                      <w:szCs w:val="21"/>
                    </w:rPr>
                  </w:pPr>
                  <w:r>
                    <w:rPr>
                      <w:color w:val="auto"/>
                      <w:sz w:val="21"/>
                      <w:szCs w:val="21"/>
                    </w:rPr>
                    <w:t>少量</w:t>
                  </w:r>
                </w:p>
              </w:tc>
              <w:tc>
                <w:tcPr>
                  <w:tcW w:w="427" w:type="dxa"/>
                  <w:noWrap w:val="0"/>
                  <w:vAlign w:val="center"/>
                </w:tcPr>
                <w:p w14:paraId="31A1E3F9">
                  <w:pPr>
                    <w:spacing w:line="240" w:lineRule="auto"/>
                    <w:ind w:firstLine="0" w:firstLineChars="0"/>
                    <w:jc w:val="center"/>
                    <w:rPr>
                      <w:color w:val="auto"/>
                      <w:sz w:val="21"/>
                      <w:szCs w:val="21"/>
                    </w:rPr>
                  </w:pPr>
                  <w:r>
                    <w:rPr>
                      <w:color w:val="auto"/>
                      <w:sz w:val="21"/>
                      <w:szCs w:val="21"/>
                    </w:rPr>
                    <w:t>无组织</w:t>
                  </w:r>
                </w:p>
              </w:tc>
            </w:tr>
            <w:tr w14:paraId="31BDC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6" w:type="dxa"/>
                  <w:gridSpan w:val="2"/>
                  <w:noWrap w:val="0"/>
                  <w:vAlign w:val="center"/>
                </w:tcPr>
                <w:p w14:paraId="05E126F7">
                  <w:pPr>
                    <w:spacing w:line="240" w:lineRule="auto"/>
                    <w:ind w:firstLine="0" w:firstLineChars="0"/>
                    <w:jc w:val="center"/>
                    <w:rPr>
                      <w:color w:val="auto"/>
                      <w:sz w:val="21"/>
                      <w:szCs w:val="21"/>
                    </w:rPr>
                  </w:pPr>
                  <w:r>
                    <w:rPr>
                      <w:color w:val="auto"/>
                      <w:sz w:val="21"/>
                      <w:szCs w:val="21"/>
                    </w:rPr>
                    <w:t>燃油废气</w:t>
                  </w:r>
                </w:p>
              </w:tc>
              <w:tc>
                <w:tcPr>
                  <w:tcW w:w="2855" w:type="dxa"/>
                  <w:gridSpan w:val="3"/>
                  <w:noWrap w:val="0"/>
                  <w:vAlign w:val="center"/>
                </w:tcPr>
                <w:p w14:paraId="3872E945">
                  <w:pPr>
                    <w:spacing w:line="240" w:lineRule="auto"/>
                    <w:ind w:firstLine="0" w:firstLineChars="0"/>
                    <w:jc w:val="center"/>
                    <w:rPr>
                      <w:color w:val="auto"/>
                      <w:sz w:val="21"/>
                      <w:szCs w:val="21"/>
                    </w:rPr>
                  </w:pPr>
                  <w:r>
                    <w:rPr>
                      <w:color w:val="auto"/>
                      <w:sz w:val="21"/>
                      <w:szCs w:val="21"/>
                    </w:rPr>
                    <w:t>少量</w:t>
                  </w:r>
                </w:p>
              </w:tc>
              <w:tc>
                <w:tcPr>
                  <w:tcW w:w="759" w:type="dxa"/>
                  <w:noWrap w:val="0"/>
                  <w:vAlign w:val="center"/>
                </w:tcPr>
                <w:p w14:paraId="74FBCF87">
                  <w:pPr>
                    <w:spacing w:line="240" w:lineRule="auto"/>
                    <w:ind w:firstLine="0" w:firstLineChars="0"/>
                    <w:jc w:val="center"/>
                    <w:rPr>
                      <w:color w:val="auto"/>
                      <w:sz w:val="21"/>
                      <w:szCs w:val="21"/>
                    </w:rPr>
                  </w:pPr>
                  <w:r>
                    <w:rPr>
                      <w:color w:val="auto"/>
                      <w:sz w:val="21"/>
                      <w:szCs w:val="21"/>
                    </w:rPr>
                    <w:t>空气稀释扩散</w:t>
                  </w:r>
                </w:p>
              </w:tc>
              <w:tc>
                <w:tcPr>
                  <w:tcW w:w="427" w:type="dxa"/>
                  <w:noWrap w:val="0"/>
                  <w:vAlign w:val="center"/>
                </w:tcPr>
                <w:p w14:paraId="56596E41">
                  <w:pPr>
                    <w:spacing w:line="240" w:lineRule="auto"/>
                    <w:ind w:firstLine="0" w:firstLineChars="0"/>
                    <w:jc w:val="center"/>
                    <w:rPr>
                      <w:color w:val="auto"/>
                      <w:sz w:val="21"/>
                      <w:szCs w:val="21"/>
                    </w:rPr>
                  </w:pPr>
                  <w:r>
                    <w:rPr>
                      <w:rFonts w:hint="eastAsia"/>
                      <w:color w:val="auto"/>
                      <w:sz w:val="21"/>
                      <w:szCs w:val="21"/>
                    </w:rPr>
                    <w:t>是</w:t>
                  </w:r>
                </w:p>
              </w:tc>
              <w:tc>
                <w:tcPr>
                  <w:tcW w:w="2695" w:type="dxa"/>
                  <w:gridSpan w:val="3"/>
                  <w:noWrap w:val="0"/>
                  <w:vAlign w:val="center"/>
                </w:tcPr>
                <w:p w14:paraId="21E0E1A9">
                  <w:pPr>
                    <w:spacing w:line="240" w:lineRule="auto"/>
                    <w:ind w:firstLine="0" w:firstLineChars="0"/>
                    <w:jc w:val="center"/>
                    <w:rPr>
                      <w:color w:val="auto"/>
                      <w:sz w:val="21"/>
                      <w:szCs w:val="21"/>
                    </w:rPr>
                  </w:pPr>
                  <w:r>
                    <w:rPr>
                      <w:color w:val="auto"/>
                      <w:sz w:val="21"/>
                      <w:szCs w:val="21"/>
                    </w:rPr>
                    <w:t>少量</w:t>
                  </w:r>
                </w:p>
              </w:tc>
              <w:tc>
                <w:tcPr>
                  <w:tcW w:w="427" w:type="dxa"/>
                  <w:noWrap w:val="0"/>
                  <w:vAlign w:val="center"/>
                </w:tcPr>
                <w:p w14:paraId="191DC92D">
                  <w:pPr>
                    <w:spacing w:line="240" w:lineRule="auto"/>
                    <w:ind w:firstLine="0" w:firstLineChars="0"/>
                    <w:jc w:val="center"/>
                    <w:rPr>
                      <w:color w:val="auto"/>
                      <w:sz w:val="21"/>
                      <w:szCs w:val="21"/>
                    </w:rPr>
                  </w:pPr>
                  <w:r>
                    <w:rPr>
                      <w:color w:val="auto"/>
                      <w:sz w:val="21"/>
                      <w:szCs w:val="21"/>
                    </w:rPr>
                    <w:t>无组织</w:t>
                  </w:r>
                </w:p>
              </w:tc>
            </w:tr>
            <w:tr w14:paraId="0350C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69" w:type="dxa"/>
                  <w:gridSpan w:val="11"/>
                  <w:noWrap w:val="0"/>
                  <w:vAlign w:val="top"/>
                </w:tcPr>
                <w:p w14:paraId="0D569F43">
                  <w:pPr>
                    <w:spacing w:line="240" w:lineRule="auto"/>
                    <w:ind w:firstLine="0" w:firstLineChars="0"/>
                    <w:jc w:val="center"/>
                    <w:rPr>
                      <w:color w:val="auto"/>
                      <w:sz w:val="21"/>
                      <w:szCs w:val="21"/>
                    </w:rPr>
                  </w:pPr>
                  <w:r>
                    <w:rPr>
                      <w:color w:val="auto"/>
                      <w:sz w:val="21"/>
                      <w:szCs w:val="21"/>
                    </w:rPr>
                    <w:t>注：</w:t>
                  </w:r>
                  <w:r>
                    <w:rPr>
                      <w:rFonts w:hint="eastAsia" w:ascii="宋体" w:hAnsi="宋体" w:cs="宋体"/>
                      <w:color w:val="auto"/>
                      <w:sz w:val="21"/>
                      <w:szCs w:val="21"/>
                    </w:rPr>
                    <w:t>①</w:t>
                  </w:r>
                  <w:r>
                    <w:rPr>
                      <w:color w:val="auto"/>
                      <w:sz w:val="21"/>
                      <w:szCs w:val="21"/>
                    </w:rPr>
                    <w:t>有组织粉尘直接视为PM</w:t>
                  </w:r>
                  <w:r>
                    <w:rPr>
                      <w:color w:val="auto"/>
                      <w:sz w:val="21"/>
                      <w:szCs w:val="21"/>
                      <w:vertAlign w:val="subscript"/>
                    </w:rPr>
                    <w:t>10</w:t>
                  </w:r>
                  <w:r>
                    <w:rPr>
                      <w:color w:val="auto"/>
                      <w:sz w:val="21"/>
                      <w:szCs w:val="21"/>
                    </w:rPr>
                    <w:t>量；</w:t>
                  </w:r>
                  <w:r>
                    <w:rPr>
                      <w:rFonts w:hint="eastAsia" w:ascii="宋体" w:hAnsi="宋体" w:cs="宋体"/>
                      <w:color w:val="auto"/>
                      <w:sz w:val="21"/>
                      <w:szCs w:val="21"/>
                    </w:rPr>
                    <w:t>②</w:t>
                  </w:r>
                  <w:r>
                    <w:rPr>
                      <w:color w:val="auto"/>
                      <w:sz w:val="21"/>
                      <w:szCs w:val="21"/>
                    </w:rPr>
                    <w:t>PM</w:t>
                  </w:r>
                  <w:r>
                    <w:rPr>
                      <w:color w:val="auto"/>
                      <w:sz w:val="21"/>
                      <w:szCs w:val="21"/>
                      <w:vertAlign w:val="subscript"/>
                    </w:rPr>
                    <w:t>2.5</w:t>
                  </w:r>
                  <w:r>
                    <w:rPr>
                      <w:color w:val="auto"/>
                      <w:sz w:val="21"/>
                      <w:szCs w:val="21"/>
                    </w:rPr>
                    <w:t>量按照PM</w:t>
                  </w:r>
                  <w:r>
                    <w:rPr>
                      <w:color w:val="auto"/>
                      <w:sz w:val="21"/>
                      <w:szCs w:val="21"/>
                      <w:vertAlign w:val="subscript"/>
                    </w:rPr>
                    <w:t>10</w:t>
                  </w:r>
                  <w:r>
                    <w:rPr>
                      <w:color w:val="auto"/>
                      <w:sz w:val="21"/>
                      <w:szCs w:val="21"/>
                    </w:rPr>
                    <w:t>量的50%进行核算。</w:t>
                  </w:r>
                </w:p>
              </w:tc>
            </w:tr>
          </w:tbl>
          <w:p w14:paraId="27D14616">
            <w:pPr>
              <w:adjustRightInd w:val="0"/>
              <w:snapToGrid w:val="0"/>
              <w:spacing w:line="348" w:lineRule="auto"/>
              <w:ind w:firstLine="482"/>
              <w:rPr>
                <w:b/>
                <w:bCs/>
                <w:color w:val="auto"/>
              </w:rPr>
            </w:pPr>
            <w:r>
              <w:rPr>
                <w:rFonts w:hint="eastAsia"/>
                <w:b/>
                <w:bCs/>
                <w:color w:val="auto"/>
              </w:rPr>
              <w:t>4.2.2</w:t>
            </w:r>
            <w:r>
              <w:rPr>
                <w:b/>
                <w:bCs/>
                <w:color w:val="auto"/>
              </w:rPr>
              <w:t>大气环境影响分析</w:t>
            </w:r>
          </w:p>
          <w:p w14:paraId="5ED5B8C6">
            <w:pPr>
              <w:adjustRightInd w:val="0"/>
              <w:snapToGrid w:val="0"/>
              <w:ind w:firstLine="482"/>
              <w:rPr>
                <w:b/>
                <w:bCs/>
                <w:color w:val="auto"/>
              </w:rPr>
            </w:pPr>
            <w:r>
              <w:rPr>
                <w:rFonts w:hint="eastAsia"/>
                <w:b/>
                <w:bCs/>
                <w:color w:val="auto"/>
              </w:rPr>
              <w:t>1、</w:t>
            </w:r>
            <w:r>
              <w:rPr>
                <w:b/>
                <w:bCs/>
                <w:color w:val="auto"/>
              </w:rPr>
              <w:t>有组织粉尘达标情况分析</w:t>
            </w:r>
          </w:p>
          <w:p w14:paraId="1BEFAED0">
            <w:pPr>
              <w:adjustRightInd w:val="0"/>
              <w:snapToGrid w:val="0"/>
              <w:ind w:firstLine="482"/>
              <w:rPr>
                <w:b/>
                <w:bCs/>
                <w:iCs/>
                <w:color w:val="auto"/>
              </w:rPr>
            </w:pPr>
            <w:r>
              <w:rPr>
                <w:b/>
                <w:bCs/>
                <w:iCs/>
                <w:color w:val="auto"/>
              </w:rPr>
              <w:t>①正常排放情况</w:t>
            </w:r>
          </w:p>
          <w:p w14:paraId="0D40B0F6">
            <w:pPr>
              <w:adjustRightInd w:val="0"/>
              <w:snapToGrid w:val="0"/>
              <w:ind w:firstLine="480"/>
              <w:rPr>
                <w:color w:val="auto"/>
              </w:rPr>
            </w:pPr>
            <w:r>
              <w:rPr>
                <w:iCs/>
                <w:color w:val="auto"/>
              </w:rPr>
              <w:t>项目有组织废气为</w:t>
            </w:r>
            <w:r>
              <w:rPr>
                <w:rFonts w:hint="eastAsia"/>
                <w:iCs/>
                <w:color w:val="auto"/>
              </w:rPr>
              <w:t>粉料筒仓粉尘、锅炉废气</w:t>
            </w:r>
            <w:r>
              <w:rPr>
                <w:iCs/>
                <w:color w:val="auto"/>
              </w:rPr>
              <w:t>收集处理后排放的颗粒物，</w:t>
            </w:r>
            <w:r>
              <w:rPr>
                <w:rFonts w:hint="eastAsia"/>
                <w:iCs/>
                <w:color w:val="auto"/>
              </w:rPr>
              <w:t>粉料筒仓粉尘</w:t>
            </w:r>
            <w:r>
              <w:rPr>
                <w:iCs/>
                <w:color w:val="auto"/>
              </w:rPr>
              <w:t>有组织排放粉尘</w:t>
            </w:r>
            <w:r>
              <w:rPr>
                <w:rFonts w:hint="eastAsia"/>
                <w:iCs/>
                <w:color w:val="auto"/>
              </w:rPr>
              <w:t>《水泥工业大气污染物排放标准》（GB4915-2013）表1现有与新建企业大气污染物排放限值中的“水泥仓及其他通风生产设备颗粒物排放浓度：20mg/m</w:t>
            </w:r>
            <w:r>
              <w:rPr>
                <w:rFonts w:hint="eastAsia"/>
                <w:iCs/>
                <w:color w:val="auto"/>
                <w:vertAlign w:val="superscript"/>
              </w:rPr>
              <w:t>3</w:t>
            </w:r>
            <w:r>
              <w:rPr>
                <w:iCs/>
                <w:color w:val="auto"/>
              </w:rPr>
              <w:t>，</w:t>
            </w:r>
            <w:r>
              <w:rPr>
                <w:rFonts w:hint="eastAsia"/>
                <w:iCs/>
                <w:color w:val="auto"/>
              </w:rPr>
              <w:t>锅炉废气有组织排放废气执行</w:t>
            </w:r>
            <w:r>
              <w:rPr>
                <w:color w:val="auto"/>
                <w:kern w:val="0"/>
              </w:rPr>
              <w:t>《锅炉大气污染物排放标准》（GB13271-2014）中“表2新建锅炉大气污染物排放浓度限值”的要求</w:t>
            </w:r>
            <w:r>
              <w:rPr>
                <w:rFonts w:hint="eastAsia"/>
                <w:color w:val="auto"/>
                <w:kern w:val="0"/>
              </w:rPr>
              <w:t>，</w:t>
            </w:r>
            <w:r>
              <w:rPr>
                <w:iCs/>
                <w:color w:val="auto"/>
              </w:rPr>
              <w:t>项目有组织颗粒物达标情况详见下表。</w:t>
            </w:r>
          </w:p>
          <w:p w14:paraId="55E28F1A">
            <w:pPr>
              <w:pStyle w:val="29"/>
              <w:spacing w:before="24" w:after="24"/>
              <w:rPr>
                <w:color w:val="auto"/>
              </w:rPr>
            </w:pPr>
          </w:p>
          <w:p w14:paraId="3036E125">
            <w:pPr>
              <w:pStyle w:val="29"/>
              <w:spacing w:before="24" w:after="24"/>
              <w:rPr>
                <w:color w:val="auto"/>
              </w:rPr>
            </w:pPr>
            <w:r>
              <w:rPr>
                <w:color w:val="auto"/>
              </w:rPr>
              <w:t>表</w:t>
            </w:r>
            <w:r>
              <w:rPr>
                <w:rFonts w:hint="eastAsia"/>
                <w:color w:val="auto"/>
                <w:lang w:val="en-US" w:eastAsia="zh-CN"/>
              </w:rPr>
              <w:t xml:space="preserve">4-6 </w:t>
            </w:r>
            <w:r>
              <w:rPr>
                <w:color w:val="auto"/>
              </w:rPr>
              <w:t xml:space="preserve"> 项目有组织颗粒物达标情况表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1"/>
              <w:gridCol w:w="601"/>
              <w:gridCol w:w="669"/>
              <w:gridCol w:w="596"/>
              <w:gridCol w:w="773"/>
              <w:gridCol w:w="736"/>
              <w:gridCol w:w="870"/>
              <w:gridCol w:w="870"/>
              <w:gridCol w:w="773"/>
              <w:gridCol w:w="1176"/>
              <w:gridCol w:w="419"/>
            </w:tblGrid>
            <w:tr w14:paraId="26F44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5" w:type="pct"/>
                  <w:vMerge w:val="restart"/>
                  <w:noWrap w:val="0"/>
                  <w:vAlign w:val="center"/>
                </w:tcPr>
                <w:p w14:paraId="7A5652E0">
                  <w:pPr>
                    <w:spacing w:line="240" w:lineRule="auto"/>
                    <w:ind w:firstLine="0" w:firstLineChars="0"/>
                    <w:jc w:val="center"/>
                    <w:rPr>
                      <w:b/>
                      <w:bCs/>
                      <w:color w:val="auto"/>
                      <w:sz w:val="21"/>
                      <w:szCs w:val="21"/>
                    </w:rPr>
                  </w:pPr>
                  <w:r>
                    <w:rPr>
                      <w:b/>
                      <w:bCs/>
                      <w:color w:val="auto"/>
                      <w:sz w:val="21"/>
                      <w:szCs w:val="21"/>
                    </w:rPr>
                    <w:t>污染源</w:t>
                  </w:r>
                </w:p>
              </w:tc>
              <w:tc>
                <w:tcPr>
                  <w:tcW w:w="436" w:type="pct"/>
                  <w:vMerge w:val="restart"/>
                  <w:noWrap w:val="0"/>
                  <w:vAlign w:val="center"/>
                </w:tcPr>
                <w:p w14:paraId="15791812">
                  <w:pPr>
                    <w:spacing w:line="240" w:lineRule="auto"/>
                    <w:ind w:firstLine="0" w:firstLineChars="0"/>
                    <w:jc w:val="center"/>
                    <w:rPr>
                      <w:b/>
                      <w:bCs/>
                      <w:color w:val="auto"/>
                      <w:sz w:val="21"/>
                      <w:szCs w:val="21"/>
                    </w:rPr>
                  </w:pPr>
                  <w:r>
                    <w:rPr>
                      <w:b/>
                      <w:bCs/>
                      <w:color w:val="auto"/>
                      <w:sz w:val="21"/>
                      <w:szCs w:val="21"/>
                    </w:rPr>
                    <w:t>污染因子</w:t>
                  </w:r>
                </w:p>
              </w:tc>
              <w:tc>
                <w:tcPr>
                  <w:tcW w:w="1172" w:type="pct"/>
                  <w:gridSpan w:val="3"/>
                  <w:noWrap w:val="0"/>
                  <w:vAlign w:val="center"/>
                </w:tcPr>
                <w:p w14:paraId="4C5EDE02">
                  <w:pPr>
                    <w:spacing w:line="240" w:lineRule="auto"/>
                    <w:ind w:firstLine="0" w:firstLineChars="0"/>
                    <w:jc w:val="center"/>
                    <w:rPr>
                      <w:b/>
                      <w:bCs/>
                      <w:color w:val="auto"/>
                      <w:sz w:val="21"/>
                      <w:szCs w:val="21"/>
                    </w:rPr>
                  </w:pPr>
                  <w:r>
                    <w:rPr>
                      <w:b/>
                      <w:bCs/>
                      <w:color w:val="auto"/>
                      <w:sz w:val="21"/>
                      <w:szCs w:val="21"/>
                    </w:rPr>
                    <w:t>产生情况</w:t>
                  </w:r>
                </w:p>
              </w:tc>
              <w:tc>
                <w:tcPr>
                  <w:tcW w:w="423" w:type="pct"/>
                  <w:vMerge w:val="restart"/>
                  <w:noWrap w:val="0"/>
                  <w:vAlign w:val="center"/>
                </w:tcPr>
                <w:p w14:paraId="26245301">
                  <w:pPr>
                    <w:spacing w:line="240" w:lineRule="auto"/>
                    <w:ind w:firstLine="0" w:firstLineChars="0"/>
                    <w:jc w:val="center"/>
                    <w:rPr>
                      <w:b/>
                      <w:bCs/>
                      <w:color w:val="auto"/>
                      <w:sz w:val="21"/>
                      <w:szCs w:val="21"/>
                    </w:rPr>
                  </w:pPr>
                  <w:r>
                    <w:rPr>
                      <w:b/>
                      <w:bCs/>
                      <w:color w:val="auto"/>
                      <w:sz w:val="21"/>
                      <w:szCs w:val="21"/>
                    </w:rPr>
                    <w:t>治理措施及治理效率</w:t>
                  </w:r>
                </w:p>
              </w:tc>
              <w:tc>
                <w:tcPr>
                  <w:tcW w:w="1446" w:type="pct"/>
                  <w:gridSpan w:val="3"/>
                  <w:noWrap w:val="0"/>
                  <w:vAlign w:val="center"/>
                </w:tcPr>
                <w:p w14:paraId="029F2370">
                  <w:pPr>
                    <w:spacing w:line="240" w:lineRule="auto"/>
                    <w:ind w:firstLine="0" w:firstLineChars="0"/>
                    <w:jc w:val="center"/>
                    <w:rPr>
                      <w:b/>
                      <w:bCs/>
                      <w:color w:val="auto"/>
                      <w:sz w:val="21"/>
                      <w:szCs w:val="21"/>
                    </w:rPr>
                  </w:pPr>
                  <w:r>
                    <w:rPr>
                      <w:b/>
                      <w:bCs/>
                      <w:color w:val="auto"/>
                      <w:sz w:val="21"/>
                      <w:szCs w:val="21"/>
                    </w:rPr>
                    <w:t>排放情况</w:t>
                  </w:r>
                </w:p>
              </w:tc>
              <w:tc>
                <w:tcPr>
                  <w:tcW w:w="612" w:type="pct"/>
                  <w:noWrap w:val="0"/>
                  <w:vAlign w:val="center"/>
                </w:tcPr>
                <w:p w14:paraId="51C0D60C">
                  <w:pPr>
                    <w:spacing w:line="240" w:lineRule="auto"/>
                    <w:ind w:firstLine="0" w:firstLineChars="0"/>
                    <w:jc w:val="center"/>
                    <w:rPr>
                      <w:b/>
                      <w:bCs/>
                      <w:color w:val="auto"/>
                      <w:sz w:val="21"/>
                      <w:szCs w:val="21"/>
                    </w:rPr>
                  </w:pPr>
                  <w:r>
                    <w:rPr>
                      <w:b/>
                      <w:bCs/>
                      <w:color w:val="auto"/>
                      <w:sz w:val="21"/>
                      <w:szCs w:val="21"/>
                    </w:rPr>
                    <w:t>标准值</w:t>
                  </w:r>
                </w:p>
              </w:tc>
              <w:tc>
                <w:tcPr>
                  <w:tcW w:w="304" w:type="pct"/>
                  <w:vMerge w:val="restart"/>
                  <w:noWrap w:val="0"/>
                  <w:vAlign w:val="center"/>
                </w:tcPr>
                <w:p w14:paraId="6450C8B1">
                  <w:pPr>
                    <w:spacing w:line="240" w:lineRule="auto"/>
                    <w:ind w:firstLine="0" w:firstLineChars="0"/>
                    <w:jc w:val="center"/>
                    <w:rPr>
                      <w:b/>
                      <w:bCs/>
                      <w:color w:val="auto"/>
                      <w:sz w:val="21"/>
                      <w:szCs w:val="21"/>
                    </w:rPr>
                  </w:pPr>
                  <w:r>
                    <w:rPr>
                      <w:b/>
                      <w:bCs/>
                      <w:color w:val="auto"/>
                      <w:sz w:val="21"/>
                      <w:szCs w:val="21"/>
                    </w:rPr>
                    <w:t>达标情况</w:t>
                  </w:r>
                </w:p>
              </w:tc>
            </w:tr>
            <w:tr w14:paraId="5E13A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5" w:type="pct"/>
                  <w:vMerge w:val="continue"/>
                  <w:noWrap w:val="0"/>
                  <w:vAlign w:val="center"/>
                </w:tcPr>
                <w:p w14:paraId="5EF2A83C">
                  <w:pPr>
                    <w:spacing w:line="240" w:lineRule="auto"/>
                    <w:ind w:firstLine="0" w:firstLineChars="0"/>
                    <w:jc w:val="center"/>
                    <w:rPr>
                      <w:b/>
                      <w:bCs/>
                      <w:color w:val="auto"/>
                      <w:sz w:val="21"/>
                      <w:szCs w:val="21"/>
                    </w:rPr>
                  </w:pPr>
                </w:p>
              </w:tc>
              <w:tc>
                <w:tcPr>
                  <w:tcW w:w="436" w:type="pct"/>
                  <w:vMerge w:val="continue"/>
                  <w:noWrap w:val="0"/>
                  <w:vAlign w:val="center"/>
                </w:tcPr>
                <w:p w14:paraId="2BCACD13">
                  <w:pPr>
                    <w:spacing w:line="240" w:lineRule="auto"/>
                    <w:ind w:firstLine="0" w:firstLineChars="0"/>
                    <w:jc w:val="center"/>
                    <w:rPr>
                      <w:b/>
                      <w:bCs/>
                      <w:color w:val="auto"/>
                      <w:sz w:val="21"/>
                      <w:szCs w:val="21"/>
                    </w:rPr>
                  </w:pPr>
                </w:p>
              </w:tc>
              <w:tc>
                <w:tcPr>
                  <w:tcW w:w="383" w:type="pct"/>
                  <w:noWrap w:val="0"/>
                  <w:vAlign w:val="center"/>
                </w:tcPr>
                <w:p w14:paraId="0321745E">
                  <w:pPr>
                    <w:spacing w:line="240" w:lineRule="auto"/>
                    <w:ind w:firstLine="0" w:firstLineChars="0"/>
                    <w:jc w:val="center"/>
                    <w:rPr>
                      <w:b/>
                      <w:bCs/>
                      <w:color w:val="auto"/>
                      <w:sz w:val="21"/>
                      <w:szCs w:val="21"/>
                    </w:rPr>
                  </w:pPr>
                  <w:r>
                    <w:rPr>
                      <w:rFonts w:hint="eastAsia"/>
                      <w:b/>
                      <w:bCs/>
                      <w:color w:val="auto"/>
                      <w:sz w:val="21"/>
                      <w:szCs w:val="21"/>
                    </w:rPr>
                    <w:t>产生量t/a</w:t>
                  </w:r>
                </w:p>
              </w:tc>
              <w:tc>
                <w:tcPr>
                  <w:tcW w:w="342" w:type="pct"/>
                  <w:noWrap w:val="0"/>
                  <w:vAlign w:val="center"/>
                </w:tcPr>
                <w:p w14:paraId="24B00CD1">
                  <w:pPr>
                    <w:spacing w:line="240" w:lineRule="auto"/>
                    <w:ind w:firstLine="0" w:firstLineChars="0"/>
                    <w:jc w:val="center"/>
                    <w:rPr>
                      <w:b/>
                      <w:bCs/>
                      <w:color w:val="auto"/>
                      <w:sz w:val="21"/>
                      <w:szCs w:val="21"/>
                    </w:rPr>
                  </w:pPr>
                  <w:r>
                    <w:rPr>
                      <w:b/>
                      <w:bCs/>
                      <w:color w:val="auto"/>
                      <w:sz w:val="21"/>
                      <w:szCs w:val="21"/>
                    </w:rPr>
                    <w:t>产生速率kg/h</w:t>
                  </w:r>
                </w:p>
              </w:tc>
              <w:tc>
                <w:tcPr>
                  <w:tcW w:w="446" w:type="pct"/>
                  <w:noWrap w:val="0"/>
                  <w:vAlign w:val="center"/>
                </w:tcPr>
                <w:p w14:paraId="1E07DB90">
                  <w:pPr>
                    <w:spacing w:line="240" w:lineRule="auto"/>
                    <w:ind w:firstLine="0" w:firstLineChars="0"/>
                    <w:jc w:val="center"/>
                    <w:rPr>
                      <w:b/>
                      <w:bCs/>
                      <w:color w:val="auto"/>
                      <w:sz w:val="21"/>
                      <w:szCs w:val="21"/>
                      <w:vertAlign w:val="superscript"/>
                    </w:rPr>
                  </w:pPr>
                  <w:r>
                    <w:rPr>
                      <w:b/>
                      <w:bCs/>
                      <w:color w:val="auto"/>
                      <w:sz w:val="21"/>
                      <w:szCs w:val="21"/>
                    </w:rPr>
                    <w:t>产生浓度mg/m</w:t>
                  </w:r>
                  <w:r>
                    <w:rPr>
                      <w:b/>
                      <w:bCs/>
                      <w:color w:val="auto"/>
                      <w:sz w:val="21"/>
                      <w:szCs w:val="21"/>
                      <w:vertAlign w:val="superscript"/>
                    </w:rPr>
                    <w:t>3</w:t>
                  </w:r>
                </w:p>
              </w:tc>
              <w:tc>
                <w:tcPr>
                  <w:tcW w:w="423" w:type="pct"/>
                  <w:vMerge w:val="continue"/>
                  <w:noWrap w:val="0"/>
                  <w:vAlign w:val="center"/>
                </w:tcPr>
                <w:p w14:paraId="16FAB403">
                  <w:pPr>
                    <w:spacing w:line="240" w:lineRule="auto"/>
                    <w:ind w:firstLine="0" w:firstLineChars="0"/>
                    <w:jc w:val="center"/>
                    <w:rPr>
                      <w:b/>
                      <w:bCs/>
                      <w:color w:val="auto"/>
                      <w:sz w:val="21"/>
                      <w:szCs w:val="21"/>
                    </w:rPr>
                  </w:pPr>
                </w:p>
              </w:tc>
              <w:tc>
                <w:tcPr>
                  <w:tcW w:w="500" w:type="pct"/>
                  <w:noWrap w:val="0"/>
                  <w:vAlign w:val="center"/>
                </w:tcPr>
                <w:p w14:paraId="1BE3C289">
                  <w:pPr>
                    <w:spacing w:line="240" w:lineRule="auto"/>
                    <w:ind w:firstLine="0" w:firstLineChars="0"/>
                    <w:jc w:val="center"/>
                    <w:rPr>
                      <w:b/>
                      <w:bCs/>
                      <w:color w:val="auto"/>
                      <w:sz w:val="21"/>
                      <w:szCs w:val="21"/>
                    </w:rPr>
                  </w:pPr>
                  <w:r>
                    <w:rPr>
                      <w:rFonts w:hint="eastAsia"/>
                      <w:b/>
                      <w:bCs/>
                      <w:color w:val="auto"/>
                      <w:sz w:val="21"/>
                      <w:szCs w:val="21"/>
                    </w:rPr>
                    <w:t>排放量t/a</w:t>
                  </w:r>
                </w:p>
              </w:tc>
              <w:tc>
                <w:tcPr>
                  <w:tcW w:w="500" w:type="pct"/>
                  <w:noWrap w:val="0"/>
                  <w:vAlign w:val="center"/>
                </w:tcPr>
                <w:p w14:paraId="28A1C0D1">
                  <w:pPr>
                    <w:spacing w:line="240" w:lineRule="auto"/>
                    <w:ind w:firstLine="0" w:firstLineChars="0"/>
                    <w:jc w:val="center"/>
                    <w:rPr>
                      <w:b/>
                      <w:bCs/>
                      <w:color w:val="auto"/>
                      <w:sz w:val="21"/>
                      <w:szCs w:val="21"/>
                    </w:rPr>
                  </w:pPr>
                  <w:r>
                    <w:rPr>
                      <w:b/>
                      <w:bCs/>
                      <w:color w:val="auto"/>
                      <w:sz w:val="21"/>
                      <w:szCs w:val="21"/>
                    </w:rPr>
                    <w:t>排放速率kg/h</w:t>
                  </w:r>
                </w:p>
              </w:tc>
              <w:tc>
                <w:tcPr>
                  <w:tcW w:w="445" w:type="pct"/>
                  <w:noWrap w:val="0"/>
                  <w:vAlign w:val="center"/>
                </w:tcPr>
                <w:p w14:paraId="6BECF4D3">
                  <w:pPr>
                    <w:spacing w:line="240" w:lineRule="auto"/>
                    <w:ind w:firstLine="0" w:firstLineChars="0"/>
                    <w:jc w:val="center"/>
                    <w:rPr>
                      <w:b/>
                      <w:bCs/>
                      <w:color w:val="auto"/>
                      <w:sz w:val="21"/>
                      <w:szCs w:val="21"/>
                    </w:rPr>
                  </w:pPr>
                  <w:r>
                    <w:rPr>
                      <w:b/>
                      <w:bCs/>
                      <w:color w:val="auto"/>
                      <w:sz w:val="21"/>
                      <w:szCs w:val="21"/>
                    </w:rPr>
                    <w:t>排放浓度mg/m</w:t>
                  </w:r>
                  <w:r>
                    <w:rPr>
                      <w:b/>
                      <w:bCs/>
                      <w:color w:val="auto"/>
                      <w:sz w:val="21"/>
                      <w:szCs w:val="21"/>
                      <w:vertAlign w:val="superscript"/>
                    </w:rPr>
                    <w:t>3</w:t>
                  </w:r>
                </w:p>
              </w:tc>
              <w:tc>
                <w:tcPr>
                  <w:tcW w:w="612" w:type="pct"/>
                  <w:noWrap w:val="0"/>
                  <w:vAlign w:val="center"/>
                </w:tcPr>
                <w:p w14:paraId="23B46F48">
                  <w:pPr>
                    <w:spacing w:line="240" w:lineRule="auto"/>
                    <w:ind w:firstLine="0" w:firstLineChars="0"/>
                    <w:jc w:val="center"/>
                    <w:rPr>
                      <w:b/>
                      <w:bCs/>
                      <w:color w:val="auto"/>
                      <w:sz w:val="21"/>
                      <w:szCs w:val="21"/>
                    </w:rPr>
                  </w:pPr>
                  <w:r>
                    <w:rPr>
                      <w:b/>
                      <w:bCs/>
                      <w:color w:val="auto"/>
                      <w:sz w:val="21"/>
                      <w:szCs w:val="21"/>
                    </w:rPr>
                    <w:t>浓度</w:t>
                  </w:r>
                  <w:r>
                    <w:rPr>
                      <w:rFonts w:hint="eastAsia"/>
                      <w:b/>
                      <w:bCs/>
                      <w:color w:val="auto"/>
                      <w:sz w:val="21"/>
                      <w:szCs w:val="21"/>
                    </w:rPr>
                    <w:t>（</w:t>
                  </w:r>
                  <w:r>
                    <w:rPr>
                      <w:b/>
                      <w:bCs/>
                      <w:color w:val="auto"/>
                      <w:sz w:val="21"/>
                      <w:szCs w:val="21"/>
                    </w:rPr>
                    <w:t>mg/m</w:t>
                  </w:r>
                  <w:r>
                    <w:rPr>
                      <w:b/>
                      <w:bCs/>
                      <w:color w:val="auto"/>
                      <w:sz w:val="21"/>
                      <w:szCs w:val="21"/>
                      <w:vertAlign w:val="superscript"/>
                    </w:rPr>
                    <w:t>3</w:t>
                  </w:r>
                  <w:r>
                    <w:rPr>
                      <w:rFonts w:hint="eastAsia"/>
                      <w:b/>
                      <w:bCs/>
                      <w:color w:val="auto"/>
                      <w:sz w:val="21"/>
                      <w:szCs w:val="21"/>
                    </w:rPr>
                    <w:t>）</w:t>
                  </w:r>
                </w:p>
              </w:tc>
              <w:tc>
                <w:tcPr>
                  <w:tcW w:w="304" w:type="pct"/>
                  <w:vMerge w:val="continue"/>
                  <w:noWrap w:val="0"/>
                  <w:vAlign w:val="center"/>
                </w:tcPr>
                <w:p w14:paraId="3539E5CD">
                  <w:pPr>
                    <w:spacing w:line="240" w:lineRule="auto"/>
                    <w:ind w:firstLine="0" w:firstLineChars="0"/>
                    <w:jc w:val="center"/>
                    <w:rPr>
                      <w:b/>
                      <w:bCs/>
                      <w:color w:val="auto"/>
                      <w:sz w:val="21"/>
                      <w:szCs w:val="21"/>
                    </w:rPr>
                  </w:pPr>
                </w:p>
              </w:tc>
            </w:tr>
            <w:tr w14:paraId="55AD7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5" w:type="pct"/>
                  <w:noWrap w:val="0"/>
                  <w:vAlign w:val="center"/>
                </w:tcPr>
                <w:p w14:paraId="0B76D3BC">
                  <w:pPr>
                    <w:spacing w:line="240" w:lineRule="auto"/>
                    <w:ind w:firstLine="0" w:firstLineChars="0"/>
                    <w:jc w:val="center"/>
                    <w:rPr>
                      <w:rFonts w:hint="eastAsia"/>
                      <w:color w:val="auto"/>
                      <w:sz w:val="21"/>
                      <w:szCs w:val="21"/>
                    </w:rPr>
                  </w:pPr>
                  <w:r>
                    <w:rPr>
                      <w:rFonts w:hint="eastAsia"/>
                      <w:color w:val="auto"/>
                      <w:sz w:val="21"/>
                      <w:szCs w:val="21"/>
                    </w:rPr>
                    <w:t>1#水泥筒仓仓顶</w:t>
                  </w:r>
                  <w:r>
                    <w:rPr>
                      <w:color w:val="auto"/>
                      <w:sz w:val="21"/>
                      <w:szCs w:val="21"/>
                    </w:rPr>
                    <w:t>排</w:t>
                  </w:r>
                  <w:r>
                    <w:rPr>
                      <w:rFonts w:hint="eastAsia"/>
                      <w:color w:val="auto"/>
                      <w:sz w:val="21"/>
                      <w:szCs w:val="21"/>
                    </w:rPr>
                    <w:t>口</w:t>
                  </w:r>
                </w:p>
              </w:tc>
              <w:tc>
                <w:tcPr>
                  <w:tcW w:w="436" w:type="pct"/>
                  <w:noWrap w:val="0"/>
                  <w:vAlign w:val="center"/>
                </w:tcPr>
                <w:p w14:paraId="20AC4849">
                  <w:pPr>
                    <w:spacing w:line="240" w:lineRule="auto"/>
                    <w:ind w:firstLine="0" w:firstLineChars="0"/>
                    <w:jc w:val="center"/>
                    <w:rPr>
                      <w:color w:val="auto"/>
                      <w:sz w:val="21"/>
                      <w:szCs w:val="21"/>
                    </w:rPr>
                  </w:pPr>
                  <w:r>
                    <w:rPr>
                      <w:color w:val="auto"/>
                      <w:sz w:val="21"/>
                      <w:szCs w:val="21"/>
                    </w:rPr>
                    <w:t>颗粒物</w:t>
                  </w:r>
                </w:p>
              </w:tc>
              <w:tc>
                <w:tcPr>
                  <w:tcW w:w="383" w:type="pct"/>
                  <w:noWrap w:val="0"/>
                  <w:vAlign w:val="center"/>
                </w:tcPr>
                <w:p w14:paraId="6F955052">
                  <w:pPr>
                    <w:spacing w:line="240" w:lineRule="auto"/>
                    <w:ind w:firstLine="0" w:firstLineChars="0"/>
                    <w:jc w:val="center"/>
                    <w:rPr>
                      <w:rFonts w:hint="eastAsia"/>
                      <w:color w:val="auto"/>
                      <w:sz w:val="21"/>
                      <w:szCs w:val="21"/>
                    </w:rPr>
                  </w:pPr>
                  <w:r>
                    <w:rPr>
                      <w:rFonts w:hint="eastAsia"/>
                      <w:color w:val="auto"/>
                      <w:sz w:val="21"/>
                      <w:szCs w:val="21"/>
                    </w:rPr>
                    <w:t>0.6</w:t>
                  </w:r>
                </w:p>
              </w:tc>
              <w:tc>
                <w:tcPr>
                  <w:tcW w:w="342" w:type="pct"/>
                  <w:noWrap w:val="0"/>
                  <w:vAlign w:val="center"/>
                </w:tcPr>
                <w:p w14:paraId="218E2094">
                  <w:pPr>
                    <w:spacing w:line="240" w:lineRule="auto"/>
                    <w:ind w:firstLine="0" w:firstLineChars="0"/>
                    <w:jc w:val="center"/>
                    <w:rPr>
                      <w:color w:val="auto"/>
                      <w:sz w:val="21"/>
                      <w:szCs w:val="21"/>
                    </w:rPr>
                  </w:pPr>
                  <w:r>
                    <w:rPr>
                      <w:rFonts w:hint="eastAsia"/>
                      <w:color w:val="auto"/>
                      <w:sz w:val="21"/>
                      <w:szCs w:val="21"/>
                    </w:rPr>
                    <w:t>3.19</w:t>
                  </w:r>
                </w:p>
              </w:tc>
              <w:tc>
                <w:tcPr>
                  <w:tcW w:w="446" w:type="pct"/>
                  <w:noWrap w:val="0"/>
                  <w:vAlign w:val="center"/>
                </w:tcPr>
                <w:p w14:paraId="141FBCAC">
                  <w:pPr>
                    <w:spacing w:line="240" w:lineRule="auto"/>
                    <w:ind w:firstLine="0" w:firstLineChars="0"/>
                    <w:jc w:val="center"/>
                    <w:rPr>
                      <w:color w:val="auto"/>
                      <w:sz w:val="21"/>
                      <w:szCs w:val="21"/>
                    </w:rPr>
                  </w:pPr>
                  <w:r>
                    <w:rPr>
                      <w:rFonts w:hint="eastAsia"/>
                      <w:color w:val="auto"/>
                      <w:sz w:val="21"/>
                      <w:szCs w:val="21"/>
                    </w:rPr>
                    <w:t>1593.6</w:t>
                  </w:r>
                </w:p>
              </w:tc>
              <w:tc>
                <w:tcPr>
                  <w:tcW w:w="423" w:type="pct"/>
                  <w:vMerge w:val="restart"/>
                  <w:noWrap w:val="0"/>
                  <w:vAlign w:val="center"/>
                </w:tcPr>
                <w:p w14:paraId="6519B2DD">
                  <w:pPr>
                    <w:spacing w:line="240" w:lineRule="auto"/>
                    <w:ind w:firstLine="0" w:firstLineChars="0"/>
                    <w:jc w:val="center"/>
                    <w:rPr>
                      <w:color w:val="auto"/>
                      <w:sz w:val="21"/>
                      <w:szCs w:val="21"/>
                    </w:rPr>
                  </w:pPr>
                  <w:r>
                    <w:rPr>
                      <w:color w:val="auto"/>
                      <w:sz w:val="21"/>
                      <w:szCs w:val="21"/>
                    </w:rPr>
                    <w:t>99</w:t>
                  </w:r>
                  <w:r>
                    <w:rPr>
                      <w:rFonts w:hint="eastAsia"/>
                      <w:color w:val="auto"/>
                      <w:sz w:val="21"/>
                      <w:szCs w:val="21"/>
                    </w:rPr>
                    <w:t>.8</w:t>
                  </w:r>
                  <w:r>
                    <w:rPr>
                      <w:color w:val="auto"/>
                      <w:sz w:val="21"/>
                      <w:szCs w:val="21"/>
                    </w:rPr>
                    <w:t>%</w:t>
                  </w:r>
                </w:p>
              </w:tc>
              <w:tc>
                <w:tcPr>
                  <w:tcW w:w="500" w:type="pct"/>
                  <w:noWrap w:val="0"/>
                  <w:vAlign w:val="center"/>
                </w:tcPr>
                <w:p w14:paraId="292BDB1E">
                  <w:pPr>
                    <w:spacing w:line="240" w:lineRule="auto"/>
                    <w:ind w:firstLine="0" w:firstLineChars="0"/>
                    <w:jc w:val="center"/>
                    <w:rPr>
                      <w:rFonts w:hint="eastAsia"/>
                      <w:color w:val="auto"/>
                      <w:sz w:val="21"/>
                      <w:szCs w:val="21"/>
                    </w:rPr>
                  </w:pPr>
                  <w:r>
                    <w:rPr>
                      <w:rFonts w:hint="eastAsia"/>
                      <w:color w:val="auto"/>
                      <w:sz w:val="21"/>
                      <w:szCs w:val="21"/>
                    </w:rPr>
                    <w:t>0.0012</w:t>
                  </w:r>
                </w:p>
              </w:tc>
              <w:tc>
                <w:tcPr>
                  <w:tcW w:w="500" w:type="pct"/>
                  <w:noWrap w:val="0"/>
                  <w:vAlign w:val="center"/>
                </w:tcPr>
                <w:p w14:paraId="53F4800A">
                  <w:pPr>
                    <w:spacing w:line="240" w:lineRule="auto"/>
                    <w:ind w:firstLine="0" w:firstLineChars="0"/>
                    <w:jc w:val="center"/>
                    <w:rPr>
                      <w:color w:val="auto"/>
                      <w:sz w:val="21"/>
                      <w:szCs w:val="21"/>
                    </w:rPr>
                  </w:pPr>
                  <w:r>
                    <w:rPr>
                      <w:rFonts w:hint="eastAsia"/>
                      <w:color w:val="auto"/>
                      <w:sz w:val="21"/>
                      <w:szCs w:val="21"/>
                    </w:rPr>
                    <w:t>0.0064</w:t>
                  </w:r>
                </w:p>
              </w:tc>
              <w:tc>
                <w:tcPr>
                  <w:tcW w:w="445" w:type="pct"/>
                  <w:noWrap w:val="0"/>
                  <w:vAlign w:val="center"/>
                </w:tcPr>
                <w:p w14:paraId="13930DBE">
                  <w:pPr>
                    <w:spacing w:line="240" w:lineRule="auto"/>
                    <w:ind w:firstLine="0" w:firstLineChars="0"/>
                    <w:jc w:val="center"/>
                    <w:rPr>
                      <w:color w:val="auto"/>
                      <w:sz w:val="21"/>
                      <w:szCs w:val="21"/>
                    </w:rPr>
                  </w:pPr>
                  <w:r>
                    <w:rPr>
                      <w:rFonts w:hint="eastAsia"/>
                      <w:color w:val="auto"/>
                      <w:sz w:val="21"/>
                      <w:szCs w:val="21"/>
                    </w:rPr>
                    <w:t>3.19</w:t>
                  </w:r>
                </w:p>
              </w:tc>
              <w:tc>
                <w:tcPr>
                  <w:tcW w:w="612" w:type="pct"/>
                  <w:noWrap w:val="0"/>
                  <w:vAlign w:val="center"/>
                </w:tcPr>
                <w:p w14:paraId="19D11793">
                  <w:pPr>
                    <w:spacing w:line="240" w:lineRule="auto"/>
                    <w:ind w:firstLine="0" w:firstLineChars="0"/>
                    <w:jc w:val="center"/>
                    <w:rPr>
                      <w:color w:val="auto"/>
                      <w:sz w:val="21"/>
                      <w:szCs w:val="21"/>
                    </w:rPr>
                  </w:pPr>
                  <w:r>
                    <w:rPr>
                      <w:rFonts w:hint="eastAsia"/>
                      <w:color w:val="auto"/>
                      <w:sz w:val="21"/>
                      <w:szCs w:val="21"/>
                    </w:rPr>
                    <w:t>20</w:t>
                  </w:r>
                </w:p>
              </w:tc>
              <w:tc>
                <w:tcPr>
                  <w:tcW w:w="304" w:type="pct"/>
                  <w:noWrap w:val="0"/>
                  <w:vAlign w:val="center"/>
                </w:tcPr>
                <w:p w14:paraId="42F2C950">
                  <w:pPr>
                    <w:spacing w:line="240" w:lineRule="auto"/>
                    <w:ind w:firstLine="0" w:firstLineChars="0"/>
                    <w:jc w:val="center"/>
                    <w:rPr>
                      <w:color w:val="auto"/>
                      <w:sz w:val="21"/>
                      <w:szCs w:val="21"/>
                    </w:rPr>
                  </w:pPr>
                  <w:r>
                    <w:rPr>
                      <w:color w:val="auto"/>
                      <w:sz w:val="21"/>
                      <w:szCs w:val="21"/>
                    </w:rPr>
                    <w:t>达标</w:t>
                  </w:r>
                </w:p>
              </w:tc>
            </w:tr>
            <w:tr w14:paraId="42B31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5" w:type="pct"/>
                  <w:noWrap w:val="0"/>
                  <w:vAlign w:val="top"/>
                </w:tcPr>
                <w:p w14:paraId="13E56D48">
                  <w:pPr>
                    <w:spacing w:line="240" w:lineRule="auto"/>
                    <w:ind w:firstLine="0" w:firstLineChars="0"/>
                    <w:jc w:val="center"/>
                    <w:rPr>
                      <w:rFonts w:hint="eastAsia"/>
                      <w:color w:val="auto"/>
                      <w:sz w:val="21"/>
                      <w:szCs w:val="21"/>
                    </w:rPr>
                  </w:pPr>
                  <w:r>
                    <w:rPr>
                      <w:rFonts w:hint="eastAsia"/>
                      <w:color w:val="auto"/>
                      <w:sz w:val="21"/>
                      <w:szCs w:val="21"/>
                    </w:rPr>
                    <w:t>2#水泥筒仓仓顶</w:t>
                  </w:r>
                  <w:r>
                    <w:rPr>
                      <w:color w:val="auto"/>
                      <w:sz w:val="21"/>
                      <w:szCs w:val="21"/>
                    </w:rPr>
                    <w:t>排</w:t>
                  </w:r>
                  <w:r>
                    <w:rPr>
                      <w:rFonts w:hint="eastAsia"/>
                      <w:color w:val="auto"/>
                      <w:sz w:val="21"/>
                      <w:szCs w:val="21"/>
                    </w:rPr>
                    <w:t>口</w:t>
                  </w:r>
                </w:p>
              </w:tc>
              <w:tc>
                <w:tcPr>
                  <w:tcW w:w="436" w:type="pct"/>
                  <w:noWrap w:val="0"/>
                  <w:vAlign w:val="center"/>
                </w:tcPr>
                <w:p w14:paraId="7CB695BD">
                  <w:pPr>
                    <w:spacing w:line="240" w:lineRule="auto"/>
                    <w:ind w:firstLine="0" w:firstLineChars="0"/>
                    <w:jc w:val="center"/>
                    <w:rPr>
                      <w:color w:val="auto"/>
                      <w:sz w:val="21"/>
                      <w:szCs w:val="21"/>
                    </w:rPr>
                  </w:pPr>
                  <w:r>
                    <w:rPr>
                      <w:color w:val="auto"/>
                      <w:sz w:val="21"/>
                      <w:szCs w:val="21"/>
                    </w:rPr>
                    <w:t>颗粒物</w:t>
                  </w:r>
                </w:p>
              </w:tc>
              <w:tc>
                <w:tcPr>
                  <w:tcW w:w="383" w:type="pct"/>
                  <w:noWrap w:val="0"/>
                  <w:vAlign w:val="center"/>
                </w:tcPr>
                <w:p w14:paraId="268179AB">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0.6</w:t>
                  </w:r>
                </w:p>
              </w:tc>
              <w:tc>
                <w:tcPr>
                  <w:tcW w:w="342" w:type="pct"/>
                  <w:noWrap w:val="0"/>
                  <w:vAlign w:val="center"/>
                </w:tcPr>
                <w:p w14:paraId="55E0A8FA">
                  <w:pPr>
                    <w:spacing w:line="240" w:lineRule="auto"/>
                    <w:ind w:firstLine="0" w:firstLineChars="0"/>
                    <w:jc w:val="center"/>
                    <w:rPr>
                      <w:rFonts w:hint="eastAsia"/>
                      <w:color w:val="auto"/>
                      <w:sz w:val="21"/>
                      <w:szCs w:val="21"/>
                    </w:rPr>
                  </w:pPr>
                  <w:r>
                    <w:rPr>
                      <w:rFonts w:hint="eastAsia"/>
                      <w:color w:val="auto"/>
                      <w:sz w:val="21"/>
                      <w:szCs w:val="21"/>
                    </w:rPr>
                    <w:t>3.19</w:t>
                  </w:r>
                </w:p>
              </w:tc>
              <w:tc>
                <w:tcPr>
                  <w:tcW w:w="446" w:type="pct"/>
                  <w:noWrap w:val="0"/>
                  <w:vAlign w:val="center"/>
                </w:tcPr>
                <w:p w14:paraId="1B1A7B44">
                  <w:pPr>
                    <w:spacing w:line="240" w:lineRule="auto"/>
                    <w:ind w:firstLine="0" w:firstLineChars="0"/>
                    <w:jc w:val="center"/>
                    <w:rPr>
                      <w:rFonts w:hint="eastAsia"/>
                      <w:color w:val="auto"/>
                      <w:sz w:val="21"/>
                      <w:szCs w:val="21"/>
                    </w:rPr>
                  </w:pPr>
                  <w:r>
                    <w:rPr>
                      <w:rFonts w:hint="eastAsia"/>
                      <w:color w:val="auto"/>
                      <w:sz w:val="21"/>
                      <w:szCs w:val="21"/>
                    </w:rPr>
                    <w:t>1593.6</w:t>
                  </w:r>
                </w:p>
              </w:tc>
              <w:tc>
                <w:tcPr>
                  <w:tcW w:w="423" w:type="pct"/>
                  <w:vMerge w:val="continue"/>
                  <w:noWrap w:val="0"/>
                  <w:vAlign w:val="center"/>
                </w:tcPr>
                <w:p w14:paraId="0D22D4A9">
                  <w:pPr>
                    <w:spacing w:line="240" w:lineRule="auto"/>
                    <w:ind w:firstLine="0" w:firstLineChars="0"/>
                    <w:jc w:val="center"/>
                    <w:rPr>
                      <w:color w:val="auto"/>
                      <w:sz w:val="21"/>
                      <w:szCs w:val="21"/>
                    </w:rPr>
                  </w:pPr>
                </w:p>
              </w:tc>
              <w:tc>
                <w:tcPr>
                  <w:tcW w:w="500" w:type="pct"/>
                  <w:noWrap w:val="0"/>
                  <w:vAlign w:val="center"/>
                </w:tcPr>
                <w:p w14:paraId="46DB1FF1">
                  <w:pPr>
                    <w:spacing w:line="240" w:lineRule="auto"/>
                    <w:ind w:firstLine="0" w:firstLineChars="0"/>
                    <w:jc w:val="center"/>
                    <w:rPr>
                      <w:rFonts w:hint="eastAsia"/>
                      <w:color w:val="auto"/>
                      <w:sz w:val="21"/>
                      <w:szCs w:val="21"/>
                    </w:rPr>
                  </w:pPr>
                  <w:r>
                    <w:rPr>
                      <w:rFonts w:hint="eastAsia"/>
                      <w:color w:val="auto"/>
                      <w:sz w:val="21"/>
                      <w:szCs w:val="21"/>
                    </w:rPr>
                    <w:t>0.0012</w:t>
                  </w:r>
                </w:p>
              </w:tc>
              <w:tc>
                <w:tcPr>
                  <w:tcW w:w="500" w:type="pct"/>
                  <w:noWrap w:val="0"/>
                  <w:vAlign w:val="center"/>
                </w:tcPr>
                <w:p w14:paraId="4456BD45">
                  <w:pPr>
                    <w:spacing w:line="240" w:lineRule="auto"/>
                    <w:ind w:firstLine="0" w:firstLineChars="0"/>
                    <w:jc w:val="center"/>
                    <w:rPr>
                      <w:rFonts w:hint="eastAsia"/>
                      <w:color w:val="auto"/>
                      <w:sz w:val="21"/>
                      <w:szCs w:val="21"/>
                    </w:rPr>
                  </w:pPr>
                  <w:r>
                    <w:rPr>
                      <w:rFonts w:hint="eastAsia"/>
                      <w:color w:val="auto"/>
                      <w:sz w:val="21"/>
                      <w:szCs w:val="21"/>
                    </w:rPr>
                    <w:t>0.0064</w:t>
                  </w:r>
                </w:p>
              </w:tc>
              <w:tc>
                <w:tcPr>
                  <w:tcW w:w="445" w:type="pct"/>
                  <w:noWrap w:val="0"/>
                  <w:vAlign w:val="center"/>
                </w:tcPr>
                <w:p w14:paraId="4A7AB8BD">
                  <w:pPr>
                    <w:spacing w:line="240" w:lineRule="auto"/>
                    <w:ind w:firstLine="0" w:firstLineChars="0"/>
                    <w:jc w:val="center"/>
                    <w:rPr>
                      <w:rFonts w:hint="eastAsia"/>
                      <w:color w:val="auto"/>
                      <w:sz w:val="21"/>
                      <w:szCs w:val="21"/>
                    </w:rPr>
                  </w:pPr>
                  <w:r>
                    <w:rPr>
                      <w:rFonts w:hint="eastAsia"/>
                      <w:color w:val="auto"/>
                      <w:sz w:val="21"/>
                      <w:szCs w:val="21"/>
                    </w:rPr>
                    <w:t>3.19</w:t>
                  </w:r>
                </w:p>
              </w:tc>
              <w:tc>
                <w:tcPr>
                  <w:tcW w:w="612" w:type="pct"/>
                  <w:noWrap w:val="0"/>
                  <w:vAlign w:val="center"/>
                </w:tcPr>
                <w:p w14:paraId="53F00907">
                  <w:pPr>
                    <w:spacing w:line="240" w:lineRule="auto"/>
                    <w:ind w:firstLine="0" w:firstLineChars="0"/>
                    <w:jc w:val="center"/>
                    <w:rPr>
                      <w:rFonts w:hint="eastAsia"/>
                      <w:color w:val="auto"/>
                      <w:sz w:val="21"/>
                      <w:szCs w:val="21"/>
                    </w:rPr>
                  </w:pPr>
                  <w:r>
                    <w:rPr>
                      <w:rFonts w:hint="eastAsia"/>
                      <w:color w:val="auto"/>
                      <w:sz w:val="21"/>
                      <w:szCs w:val="21"/>
                    </w:rPr>
                    <w:t>20</w:t>
                  </w:r>
                </w:p>
              </w:tc>
              <w:tc>
                <w:tcPr>
                  <w:tcW w:w="304" w:type="pct"/>
                  <w:noWrap w:val="0"/>
                  <w:vAlign w:val="center"/>
                </w:tcPr>
                <w:p w14:paraId="53ACD2BC">
                  <w:pPr>
                    <w:spacing w:line="240" w:lineRule="auto"/>
                    <w:ind w:firstLine="0" w:firstLineChars="0"/>
                    <w:jc w:val="center"/>
                    <w:rPr>
                      <w:color w:val="auto"/>
                      <w:sz w:val="21"/>
                      <w:szCs w:val="21"/>
                    </w:rPr>
                  </w:pPr>
                  <w:r>
                    <w:rPr>
                      <w:color w:val="auto"/>
                      <w:sz w:val="21"/>
                      <w:szCs w:val="21"/>
                    </w:rPr>
                    <w:t>达标</w:t>
                  </w:r>
                </w:p>
              </w:tc>
            </w:tr>
            <w:tr w14:paraId="23051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5" w:type="pct"/>
                  <w:noWrap w:val="0"/>
                  <w:vAlign w:val="top"/>
                </w:tcPr>
                <w:p w14:paraId="5B070A05">
                  <w:pPr>
                    <w:spacing w:line="240" w:lineRule="auto"/>
                    <w:ind w:firstLine="0" w:firstLineChars="0"/>
                    <w:jc w:val="center"/>
                    <w:rPr>
                      <w:rFonts w:hint="eastAsia"/>
                      <w:color w:val="auto"/>
                      <w:sz w:val="21"/>
                      <w:szCs w:val="21"/>
                    </w:rPr>
                  </w:pPr>
                  <w:r>
                    <w:rPr>
                      <w:rFonts w:hint="eastAsia"/>
                      <w:color w:val="auto"/>
                      <w:sz w:val="21"/>
                      <w:szCs w:val="21"/>
                    </w:rPr>
                    <w:t>3#水泥筒仓仓顶</w:t>
                  </w:r>
                  <w:r>
                    <w:rPr>
                      <w:color w:val="auto"/>
                      <w:sz w:val="21"/>
                      <w:szCs w:val="21"/>
                    </w:rPr>
                    <w:t>排</w:t>
                  </w:r>
                  <w:r>
                    <w:rPr>
                      <w:rFonts w:hint="eastAsia"/>
                      <w:color w:val="auto"/>
                      <w:sz w:val="21"/>
                      <w:szCs w:val="21"/>
                    </w:rPr>
                    <w:t>口</w:t>
                  </w:r>
                </w:p>
              </w:tc>
              <w:tc>
                <w:tcPr>
                  <w:tcW w:w="436" w:type="pct"/>
                  <w:noWrap w:val="0"/>
                  <w:vAlign w:val="center"/>
                </w:tcPr>
                <w:p w14:paraId="6CBFDB1D">
                  <w:pPr>
                    <w:spacing w:line="240" w:lineRule="auto"/>
                    <w:ind w:firstLine="0" w:firstLineChars="0"/>
                    <w:jc w:val="center"/>
                    <w:rPr>
                      <w:color w:val="auto"/>
                      <w:sz w:val="21"/>
                      <w:szCs w:val="21"/>
                    </w:rPr>
                  </w:pPr>
                  <w:r>
                    <w:rPr>
                      <w:color w:val="auto"/>
                      <w:sz w:val="21"/>
                      <w:szCs w:val="21"/>
                    </w:rPr>
                    <w:t>颗粒物</w:t>
                  </w:r>
                </w:p>
              </w:tc>
              <w:tc>
                <w:tcPr>
                  <w:tcW w:w="383" w:type="pct"/>
                  <w:noWrap w:val="0"/>
                  <w:vAlign w:val="center"/>
                </w:tcPr>
                <w:p w14:paraId="1C3D282F">
                  <w:pPr>
                    <w:spacing w:line="240" w:lineRule="auto"/>
                    <w:ind w:firstLine="0" w:firstLineChars="0"/>
                    <w:jc w:val="center"/>
                    <w:rPr>
                      <w:rFonts w:hint="eastAsia"/>
                      <w:color w:val="auto"/>
                      <w:sz w:val="21"/>
                      <w:szCs w:val="21"/>
                    </w:rPr>
                  </w:pPr>
                  <w:r>
                    <w:rPr>
                      <w:rFonts w:hint="eastAsia"/>
                      <w:color w:val="auto"/>
                      <w:sz w:val="21"/>
                      <w:szCs w:val="21"/>
                    </w:rPr>
                    <w:t>0.6</w:t>
                  </w:r>
                </w:p>
              </w:tc>
              <w:tc>
                <w:tcPr>
                  <w:tcW w:w="342" w:type="pct"/>
                  <w:noWrap w:val="0"/>
                  <w:vAlign w:val="center"/>
                </w:tcPr>
                <w:p w14:paraId="70A11702">
                  <w:pPr>
                    <w:spacing w:line="240" w:lineRule="auto"/>
                    <w:ind w:firstLine="0" w:firstLineChars="0"/>
                    <w:jc w:val="center"/>
                    <w:rPr>
                      <w:rFonts w:hint="eastAsia"/>
                      <w:color w:val="auto"/>
                      <w:sz w:val="21"/>
                      <w:szCs w:val="21"/>
                    </w:rPr>
                  </w:pPr>
                  <w:r>
                    <w:rPr>
                      <w:rFonts w:hint="eastAsia"/>
                      <w:color w:val="auto"/>
                      <w:sz w:val="21"/>
                      <w:szCs w:val="21"/>
                    </w:rPr>
                    <w:t>3.19</w:t>
                  </w:r>
                </w:p>
              </w:tc>
              <w:tc>
                <w:tcPr>
                  <w:tcW w:w="446" w:type="pct"/>
                  <w:noWrap w:val="0"/>
                  <w:vAlign w:val="center"/>
                </w:tcPr>
                <w:p w14:paraId="13E6CAD3">
                  <w:pPr>
                    <w:spacing w:line="240" w:lineRule="auto"/>
                    <w:ind w:firstLine="0" w:firstLineChars="0"/>
                    <w:jc w:val="center"/>
                    <w:rPr>
                      <w:rFonts w:hint="eastAsia"/>
                      <w:color w:val="auto"/>
                      <w:sz w:val="21"/>
                      <w:szCs w:val="21"/>
                    </w:rPr>
                  </w:pPr>
                  <w:r>
                    <w:rPr>
                      <w:rFonts w:hint="eastAsia"/>
                      <w:color w:val="auto"/>
                      <w:sz w:val="21"/>
                      <w:szCs w:val="21"/>
                    </w:rPr>
                    <w:t>1593.6</w:t>
                  </w:r>
                </w:p>
              </w:tc>
              <w:tc>
                <w:tcPr>
                  <w:tcW w:w="423" w:type="pct"/>
                  <w:vMerge w:val="continue"/>
                  <w:noWrap w:val="0"/>
                  <w:vAlign w:val="center"/>
                </w:tcPr>
                <w:p w14:paraId="0DA92A83">
                  <w:pPr>
                    <w:spacing w:line="240" w:lineRule="auto"/>
                    <w:ind w:firstLine="0" w:firstLineChars="0"/>
                    <w:jc w:val="center"/>
                    <w:rPr>
                      <w:color w:val="auto"/>
                      <w:sz w:val="21"/>
                      <w:szCs w:val="21"/>
                    </w:rPr>
                  </w:pPr>
                </w:p>
              </w:tc>
              <w:tc>
                <w:tcPr>
                  <w:tcW w:w="500" w:type="pct"/>
                  <w:noWrap w:val="0"/>
                  <w:vAlign w:val="center"/>
                </w:tcPr>
                <w:p w14:paraId="67BA1449">
                  <w:pPr>
                    <w:spacing w:line="240" w:lineRule="auto"/>
                    <w:ind w:firstLine="0" w:firstLineChars="0"/>
                    <w:jc w:val="center"/>
                    <w:rPr>
                      <w:rFonts w:hint="eastAsia"/>
                      <w:color w:val="auto"/>
                      <w:sz w:val="21"/>
                      <w:szCs w:val="21"/>
                    </w:rPr>
                  </w:pPr>
                  <w:r>
                    <w:rPr>
                      <w:rFonts w:hint="eastAsia"/>
                      <w:color w:val="auto"/>
                      <w:sz w:val="21"/>
                      <w:szCs w:val="21"/>
                    </w:rPr>
                    <w:t>0.0012</w:t>
                  </w:r>
                </w:p>
              </w:tc>
              <w:tc>
                <w:tcPr>
                  <w:tcW w:w="500" w:type="pct"/>
                  <w:noWrap w:val="0"/>
                  <w:vAlign w:val="center"/>
                </w:tcPr>
                <w:p w14:paraId="4CAF0772">
                  <w:pPr>
                    <w:spacing w:line="240" w:lineRule="auto"/>
                    <w:ind w:firstLine="0" w:firstLineChars="0"/>
                    <w:jc w:val="center"/>
                    <w:rPr>
                      <w:rFonts w:hint="eastAsia"/>
                      <w:color w:val="auto"/>
                      <w:sz w:val="21"/>
                      <w:szCs w:val="21"/>
                    </w:rPr>
                  </w:pPr>
                  <w:r>
                    <w:rPr>
                      <w:rFonts w:hint="eastAsia"/>
                      <w:color w:val="auto"/>
                      <w:sz w:val="21"/>
                      <w:szCs w:val="21"/>
                    </w:rPr>
                    <w:t>0.0064</w:t>
                  </w:r>
                </w:p>
              </w:tc>
              <w:tc>
                <w:tcPr>
                  <w:tcW w:w="445" w:type="pct"/>
                  <w:noWrap w:val="0"/>
                  <w:vAlign w:val="center"/>
                </w:tcPr>
                <w:p w14:paraId="5840DE8F">
                  <w:pPr>
                    <w:spacing w:line="240" w:lineRule="auto"/>
                    <w:ind w:firstLine="0" w:firstLineChars="0"/>
                    <w:jc w:val="center"/>
                    <w:rPr>
                      <w:rFonts w:hint="eastAsia"/>
                      <w:color w:val="auto"/>
                      <w:sz w:val="21"/>
                      <w:szCs w:val="21"/>
                    </w:rPr>
                  </w:pPr>
                  <w:r>
                    <w:rPr>
                      <w:rFonts w:hint="eastAsia"/>
                      <w:color w:val="auto"/>
                      <w:sz w:val="21"/>
                      <w:szCs w:val="21"/>
                    </w:rPr>
                    <w:t>3.19</w:t>
                  </w:r>
                </w:p>
              </w:tc>
              <w:tc>
                <w:tcPr>
                  <w:tcW w:w="612" w:type="pct"/>
                  <w:noWrap w:val="0"/>
                  <w:vAlign w:val="center"/>
                </w:tcPr>
                <w:p w14:paraId="132AFCC4">
                  <w:pPr>
                    <w:spacing w:line="240" w:lineRule="auto"/>
                    <w:ind w:firstLine="0" w:firstLineChars="0"/>
                    <w:jc w:val="center"/>
                    <w:rPr>
                      <w:rFonts w:hint="eastAsia"/>
                      <w:color w:val="auto"/>
                      <w:sz w:val="21"/>
                      <w:szCs w:val="21"/>
                    </w:rPr>
                  </w:pPr>
                  <w:r>
                    <w:rPr>
                      <w:rFonts w:hint="eastAsia"/>
                      <w:color w:val="auto"/>
                      <w:sz w:val="21"/>
                      <w:szCs w:val="21"/>
                    </w:rPr>
                    <w:t>20</w:t>
                  </w:r>
                </w:p>
              </w:tc>
              <w:tc>
                <w:tcPr>
                  <w:tcW w:w="304" w:type="pct"/>
                  <w:noWrap w:val="0"/>
                  <w:vAlign w:val="center"/>
                </w:tcPr>
                <w:p w14:paraId="25475CDC">
                  <w:pPr>
                    <w:spacing w:line="240" w:lineRule="auto"/>
                    <w:ind w:firstLine="0" w:firstLineChars="0"/>
                    <w:jc w:val="center"/>
                    <w:rPr>
                      <w:color w:val="auto"/>
                      <w:sz w:val="21"/>
                      <w:szCs w:val="21"/>
                    </w:rPr>
                  </w:pPr>
                  <w:r>
                    <w:rPr>
                      <w:color w:val="auto"/>
                      <w:sz w:val="21"/>
                      <w:szCs w:val="21"/>
                    </w:rPr>
                    <w:t>达标</w:t>
                  </w:r>
                </w:p>
              </w:tc>
            </w:tr>
            <w:tr w14:paraId="193AE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5" w:type="pct"/>
                  <w:noWrap w:val="0"/>
                  <w:vAlign w:val="top"/>
                </w:tcPr>
                <w:p w14:paraId="0AB68047">
                  <w:pPr>
                    <w:spacing w:line="240" w:lineRule="auto"/>
                    <w:ind w:firstLine="0" w:firstLineChars="0"/>
                    <w:jc w:val="center"/>
                    <w:rPr>
                      <w:rFonts w:hint="eastAsia"/>
                      <w:color w:val="auto"/>
                      <w:sz w:val="21"/>
                      <w:szCs w:val="21"/>
                    </w:rPr>
                  </w:pPr>
                  <w:r>
                    <w:rPr>
                      <w:rFonts w:hint="eastAsia"/>
                      <w:color w:val="auto"/>
                      <w:sz w:val="21"/>
                      <w:szCs w:val="21"/>
                    </w:rPr>
                    <w:t>4#水泥筒仓仓顶</w:t>
                  </w:r>
                  <w:r>
                    <w:rPr>
                      <w:color w:val="auto"/>
                      <w:sz w:val="21"/>
                      <w:szCs w:val="21"/>
                    </w:rPr>
                    <w:t>排</w:t>
                  </w:r>
                  <w:r>
                    <w:rPr>
                      <w:rFonts w:hint="eastAsia"/>
                      <w:color w:val="auto"/>
                      <w:sz w:val="21"/>
                      <w:szCs w:val="21"/>
                    </w:rPr>
                    <w:t>口</w:t>
                  </w:r>
                </w:p>
              </w:tc>
              <w:tc>
                <w:tcPr>
                  <w:tcW w:w="436" w:type="pct"/>
                  <w:noWrap w:val="0"/>
                  <w:vAlign w:val="center"/>
                </w:tcPr>
                <w:p w14:paraId="731A8904">
                  <w:pPr>
                    <w:spacing w:line="240" w:lineRule="auto"/>
                    <w:ind w:firstLine="0" w:firstLineChars="0"/>
                    <w:jc w:val="center"/>
                    <w:rPr>
                      <w:color w:val="auto"/>
                      <w:sz w:val="21"/>
                      <w:szCs w:val="21"/>
                    </w:rPr>
                  </w:pPr>
                  <w:r>
                    <w:rPr>
                      <w:color w:val="auto"/>
                      <w:sz w:val="21"/>
                      <w:szCs w:val="21"/>
                    </w:rPr>
                    <w:t>颗粒物</w:t>
                  </w:r>
                </w:p>
              </w:tc>
              <w:tc>
                <w:tcPr>
                  <w:tcW w:w="383" w:type="pct"/>
                  <w:noWrap w:val="0"/>
                  <w:vAlign w:val="center"/>
                </w:tcPr>
                <w:p w14:paraId="38C23806">
                  <w:pPr>
                    <w:spacing w:line="240" w:lineRule="auto"/>
                    <w:ind w:firstLine="0" w:firstLineChars="0"/>
                    <w:jc w:val="center"/>
                    <w:rPr>
                      <w:rFonts w:hint="eastAsia"/>
                      <w:color w:val="auto"/>
                      <w:sz w:val="21"/>
                      <w:szCs w:val="21"/>
                    </w:rPr>
                  </w:pPr>
                  <w:r>
                    <w:rPr>
                      <w:rFonts w:hint="eastAsia"/>
                      <w:color w:val="auto"/>
                      <w:sz w:val="21"/>
                      <w:szCs w:val="21"/>
                    </w:rPr>
                    <w:t>0.6</w:t>
                  </w:r>
                </w:p>
              </w:tc>
              <w:tc>
                <w:tcPr>
                  <w:tcW w:w="342" w:type="pct"/>
                  <w:noWrap w:val="0"/>
                  <w:vAlign w:val="center"/>
                </w:tcPr>
                <w:p w14:paraId="28F411B5">
                  <w:pPr>
                    <w:spacing w:line="240" w:lineRule="auto"/>
                    <w:ind w:firstLine="0" w:firstLineChars="0"/>
                    <w:jc w:val="center"/>
                    <w:rPr>
                      <w:rFonts w:hint="eastAsia"/>
                      <w:color w:val="auto"/>
                      <w:sz w:val="21"/>
                      <w:szCs w:val="21"/>
                    </w:rPr>
                  </w:pPr>
                  <w:r>
                    <w:rPr>
                      <w:rFonts w:hint="eastAsia"/>
                      <w:color w:val="auto"/>
                      <w:sz w:val="21"/>
                      <w:szCs w:val="21"/>
                    </w:rPr>
                    <w:t>3.19</w:t>
                  </w:r>
                </w:p>
              </w:tc>
              <w:tc>
                <w:tcPr>
                  <w:tcW w:w="446" w:type="pct"/>
                  <w:noWrap w:val="0"/>
                  <w:vAlign w:val="center"/>
                </w:tcPr>
                <w:p w14:paraId="1B70EFAD">
                  <w:pPr>
                    <w:spacing w:line="240" w:lineRule="auto"/>
                    <w:ind w:firstLine="0" w:firstLineChars="0"/>
                    <w:jc w:val="center"/>
                    <w:rPr>
                      <w:rFonts w:hint="eastAsia"/>
                      <w:color w:val="auto"/>
                      <w:sz w:val="21"/>
                      <w:szCs w:val="21"/>
                    </w:rPr>
                  </w:pPr>
                  <w:r>
                    <w:rPr>
                      <w:rFonts w:hint="eastAsia"/>
                      <w:color w:val="auto"/>
                      <w:sz w:val="21"/>
                      <w:szCs w:val="21"/>
                    </w:rPr>
                    <w:t>1593.6</w:t>
                  </w:r>
                </w:p>
              </w:tc>
              <w:tc>
                <w:tcPr>
                  <w:tcW w:w="423" w:type="pct"/>
                  <w:vMerge w:val="continue"/>
                  <w:noWrap w:val="0"/>
                  <w:vAlign w:val="center"/>
                </w:tcPr>
                <w:p w14:paraId="0A8F3EFB">
                  <w:pPr>
                    <w:spacing w:line="240" w:lineRule="auto"/>
                    <w:ind w:firstLine="0" w:firstLineChars="0"/>
                    <w:jc w:val="center"/>
                    <w:rPr>
                      <w:color w:val="auto"/>
                      <w:sz w:val="21"/>
                      <w:szCs w:val="21"/>
                    </w:rPr>
                  </w:pPr>
                </w:p>
              </w:tc>
              <w:tc>
                <w:tcPr>
                  <w:tcW w:w="500" w:type="pct"/>
                  <w:noWrap w:val="0"/>
                  <w:vAlign w:val="center"/>
                </w:tcPr>
                <w:p w14:paraId="2F9D11A1">
                  <w:pPr>
                    <w:spacing w:line="240" w:lineRule="auto"/>
                    <w:ind w:firstLine="0" w:firstLineChars="0"/>
                    <w:jc w:val="center"/>
                    <w:rPr>
                      <w:rFonts w:hint="eastAsia"/>
                      <w:color w:val="auto"/>
                      <w:sz w:val="21"/>
                      <w:szCs w:val="21"/>
                    </w:rPr>
                  </w:pPr>
                  <w:r>
                    <w:rPr>
                      <w:rFonts w:hint="eastAsia"/>
                      <w:color w:val="auto"/>
                      <w:sz w:val="21"/>
                      <w:szCs w:val="21"/>
                    </w:rPr>
                    <w:t>0.0012</w:t>
                  </w:r>
                </w:p>
              </w:tc>
              <w:tc>
                <w:tcPr>
                  <w:tcW w:w="500" w:type="pct"/>
                  <w:noWrap w:val="0"/>
                  <w:vAlign w:val="center"/>
                </w:tcPr>
                <w:p w14:paraId="78B47AA5">
                  <w:pPr>
                    <w:spacing w:line="240" w:lineRule="auto"/>
                    <w:ind w:firstLine="0" w:firstLineChars="0"/>
                    <w:jc w:val="center"/>
                    <w:rPr>
                      <w:rFonts w:hint="eastAsia"/>
                      <w:color w:val="auto"/>
                      <w:sz w:val="21"/>
                      <w:szCs w:val="21"/>
                    </w:rPr>
                  </w:pPr>
                  <w:r>
                    <w:rPr>
                      <w:rFonts w:hint="eastAsia"/>
                      <w:color w:val="auto"/>
                      <w:sz w:val="21"/>
                      <w:szCs w:val="21"/>
                    </w:rPr>
                    <w:t>0.0064</w:t>
                  </w:r>
                </w:p>
              </w:tc>
              <w:tc>
                <w:tcPr>
                  <w:tcW w:w="445" w:type="pct"/>
                  <w:noWrap w:val="0"/>
                  <w:vAlign w:val="center"/>
                </w:tcPr>
                <w:p w14:paraId="2FA0018F">
                  <w:pPr>
                    <w:spacing w:line="240" w:lineRule="auto"/>
                    <w:ind w:firstLine="0" w:firstLineChars="0"/>
                    <w:jc w:val="center"/>
                    <w:rPr>
                      <w:rFonts w:hint="eastAsia"/>
                      <w:color w:val="auto"/>
                      <w:sz w:val="21"/>
                      <w:szCs w:val="21"/>
                    </w:rPr>
                  </w:pPr>
                  <w:r>
                    <w:rPr>
                      <w:rFonts w:hint="eastAsia"/>
                      <w:color w:val="auto"/>
                      <w:sz w:val="21"/>
                      <w:szCs w:val="21"/>
                    </w:rPr>
                    <w:t>3.19</w:t>
                  </w:r>
                </w:p>
              </w:tc>
              <w:tc>
                <w:tcPr>
                  <w:tcW w:w="612" w:type="pct"/>
                  <w:noWrap w:val="0"/>
                  <w:vAlign w:val="center"/>
                </w:tcPr>
                <w:p w14:paraId="24E339AE">
                  <w:pPr>
                    <w:spacing w:line="240" w:lineRule="auto"/>
                    <w:ind w:firstLine="0" w:firstLineChars="0"/>
                    <w:jc w:val="center"/>
                    <w:rPr>
                      <w:rFonts w:hint="eastAsia"/>
                      <w:color w:val="auto"/>
                      <w:sz w:val="21"/>
                      <w:szCs w:val="21"/>
                    </w:rPr>
                  </w:pPr>
                  <w:r>
                    <w:rPr>
                      <w:rFonts w:hint="eastAsia"/>
                      <w:color w:val="auto"/>
                      <w:sz w:val="21"/>
                      <w:szCs w:val="21"/>
                    </w:rPr>
                    <w:t>20</w:t>
                  </w:r>
                </w:p>
              </w:tc>
              <w:tc>
                <w:tcPr>
                  <w:tcW w:w="304" w:type="pct"/>
                  <w:noWrap w:val="0"/>
                  <w:vAlign w:val="center"/>
                </w:tcPr>
                <w:p w14:paraId="48A626DC">
                  <w:pPr>
                    <w:spacing w:line="240" w:lineRule="auto"/>
                    <w:ind w:firstLine="0" w:firstLineChars="0"/>
                    <w:jc w:val="center"/>
                    <w:rPr>
                      <w:color w:val="auto"/>
                      <w:sz w:val="21"/>
                      <w:szCs w:val="21"/>
                    </w:rPr>
                  </w:pPr>
                  <w:r>
                    <w:rPr>
                      <w:color w:val="auto"/>
                      <w:sz w:val="21"/>
                      <w:szCs w:val="21"/>
                    </w:rPr>
                    <w:t>达标</w:t>
                  </w:r>
                </w:p>
              </w:tc>
            </w:tr>
            <w:tr w14:paraId="47E6D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5" w:type="pct"/>
                  <w:noWrap w:val="0"/>
                  <w:vAlign w:val="top"/>
                </w:tcPr>
                <w:p w14:paraId="62F08855">
                  <w:pPr>
                    <w:spacing w:line="240" w:lineRule="auto"/>
                    <w:ind w:firstLine="0" w:firstLineChars="0"/>
                    <w:jc w:val="center"/>
                    <w:rPr>
                      <w:rFonts w:hint="eastAsia"/>
                      <w:color w:val="auto"/>
                      <w:sz w:val="21"/>
                      <w:szCs w:val="21"/>
                    </w:rPr>
                  </w:pPr>
                  <w:r>
                    <w:rPr>
                      <w:rFonts w:hint="eastAsia"/>
                      <w:color w:val="auto"/>
                      <w:sz w:val="21"/>
                      <w:szCs w:val="21"/>
                    </w:rPr>
                    <w:t>1#掺和料筒仓仓顶</w:t>
                  </w:r>
                  <w:r>
                    <w:rPr>
                      <w:color w:val="auto"/>
                      <w:sz w:val="21"/>
                      <w:szCs w:val="21"/>
                    </w:rPr>
                    <w:t>排</w:t>
                  </w:r>
                  <w:r>
                    <w:rPr>
                      <w:rFonts w:hint="eastAsia"/>
                      <w:color w:val="auto"/>
                      <w:sz w:val="21"/>
                      <w:szCs w:val="21"/>
                    </w:rPr>
                    <w:t>口</w:t>
                  </w:r>
                </w:p>
              </w:tc>
              <w:tc>
                <w:tcPr>
                  <w:tcW w:w="436" w:type="pct"/>
                  <w:noWrap w:val="0"/>
                  <w:vAlign w:val="center"/>
                </w:tcPr>
                <w:p w14:paraId="15D91CB5">
                  <w:pPr>
                    <w:spacing w:line="240" w:lineRule="auto"/>
                    <w:ind w:firstLine="0" w:firstLineChars="0"/>
                    <w:jc w:val="center"/>
                    <w:rPr>
                      <w:color w:val="auto"/>
                      <w:sz w:val="21"/>
                      <w:szCs w:val="21"/>
                    </w:rPr>
                  </w:pPr>
                  <w:r>
                    <w:rPr>
                      <w:color w:val="auto"/>
                      <w:sz w:val="21"/>
                      <w:szCs w:val="21"/>
                    </w:rPr>
                    <w:t>颗粒物</w:t>
                  </w:r>
                </w:p>
              </w:tc>
              <w:tc>
                <w:tcPr>
                  <w:tcW w:w="383" w:type="pct"/>
                  <w:noWrap w:val="0"/>
                  <w:vAlign w:val="center"/>
                </w:tcPr>
                <w:p w14:paraId="5DAB5686">
                  <w:pPr>
                    <w:spacing w:line="240" w:lineRule="auto"/>
                    <w:ind w:firstLine="0" w:firstLineChars="0"/>
                    <w:jc w:val="center"/>
                    <w:rPr>
                      <w:rFonts w:hint="eastAsia"/>
                      <w:color w:val="auto"/>
                      <w:sz w:val="21"/>
                      <w:szCs w:val="21"/>
                    </w:rPr>
                  </w:pPr>
                  <w:r>
                    <w:rPr>
                      <w:rFonts w:hint="eastAsia"/>
                      <w:color w:val="auto"/>
                      <w:sz w:val="21"/>
                      <w:szCs w:val="21"/>
                    </w:rPr>
                    <w:t>0.145</w:t>
                  </w:r>
                </w:p>
              </w:tc>
              <w:tc>
                <w:tcPr>
                  <w:tcW w:w="342" w:type="pct"/>
                  <w:noWrap w:val="0"/>
                  <w:vAlign w:val="center"/>
                </w:tcPr>
                <w:p w14:paraId="0264A2F0">
                  <w:pPr>
                    <w:spacing w:line="240" w:lineRule="auto"/>
                    <w:ind w:firstLine="0" w:firstLineChars="0"/>
                    <w:jc w:val="center"/>
                    <w:rPr>
                      <w:rFonts w:hint="eastAsia"/>
                      <w:color w:val="auto"/>
                      <w:sz w:val="21"/>
                      <w:szCs w:val="21"/>
                    </w:rPr>
                  </w:pPr>
                  <w:r>
                    <w:rPr>
                      <w:rFonts w:hint="eastAsia"/>
                      <w:color w:val="auto"/>
                      <w:sz w:val="21"/>
                      <w:szCs w:val="21"/>
                    </w:rPr>
                    <w:t>3.17</w:t>
                  </w:r>
                </w:p>
              </w:tc>
              <w:tc>
                <w:tcPr>
                  <w:tcW w:w="446" w:type="pct"/>
                  <w:noWrap w:val="0"/>
                  <w:vAlign w:val="center"/>
                </w:tcPr>
                <w:p w14:paraId="1E92ADAF">
                  <w:pPr>
                    <w:spacing w:line="240" w:lineRule="auto"/>
                    <w:ind w:firstLine="0" w:firstLineChars="0"/>
                    <w:jc w:val="center"/>
                    <w:rPr>
                      <w:rFonts w:hint="eastAsia"/>
                      <w:color w:val="auto"/>
                      <w:sz w:val="21"/>
                      <w:szCs w:val="21"/>
                    </w:rPr>
                  </w:pPr>
                  <w:r>
                    <w:rPr>
                      <w:rFonts w:hint="eastAsia"/>
                      <w:color w:val="auto"/>
                      <w:sz w:val="21"/>
                      <w:szCs w:val="21"/>
                    </w:rPr>
                    <w:t>1585</w:t>
                  </w:r>
                </w:p>
              </w:tc>
              <w:tc>
                <w:tcPr>
                  <w:tcW w:w="423" w:type="pct"/>
                  <w:vMerge w:val="continue"/>
                  <w:noWrap w:val="0"/>
                  <w:vAlign w:val="center"/>
                </w:tcPr>
                <w:p w14:paraId="1ACEDB6F">
                  <w:pPr>
                    <w:spacing w:line="240" w:lineRule="auto"/>
                    <w:ind w:firstLine="0" w:firstLineChars="0"/>
                    <w:jc w:val="center"/>
                    <w:rPr>
                      <w:color w:val="auto"/>
                      <w:sz w:val="21"/>
                      <w:szCs w:val="21"/>
                    </w:rPr>
                  </w:pPr>
                </w:p>
              </w:tc>
              <w:tc>
                <w:tcPr>
                  <w:tcW w:w="500" w:type="pct"/>
                  <w:noWrap w:val="0"/>
                  <w:vAlign w:val="center"/>
                </w:tcPr>
                <w:p w14:paraId="42740724">
                  <w:pPr>
                    <w:spacing w:line="240" w:lineRule="auto"/>
                    <w:ind w:firstLine="0" w:firstLineChars="0"/>
                    <w:jc w:val="center"/>
                    <w:rPr>
                      <w:rFonts w:hint="eastAsia"/>
                      <w:color w:val="auto"/>
                      <w:sz w:val="21"/>
                      <w:szCs w:val="21"/>
                    </w:rPr>
                  </w:pPr>
                  <w:r>
                    <w:rPr>
                      <w:rFonts w:hint="eastAsia"/>
                      <w:color w:val="auto"/>
                      <w:sz w:val="21"/>
                      <w:szCs w:val="21"/>
                    </w:rPr>
                    <w:t>0.00029</w:t>
                  </w:r>
                </w:p>
              </w:tc>
              <w:tc>
                <w:tcPr>
                  <w:tcW w:w="500" w:type="pct"/>
                  <w:noWrap w:val="0"/>
                  <w:vAlign w:val="center"/>
                </w:tcPr>
                <w:p w14:paraId="64853805">
                  <w:pPr>
                    <w:spacing w:line="240" w:lineRule="auto"/>
                    <w:ind w:firstLine="0" w:firstLineChars="0"/>
                    <w:jc w:val="center"/>
                    <w:rPr>
                      <w:rFonts w:hint="eastAsia"/>
                      <w:color w:val="auto"/>
                      <w:sz w:val="21"/>
                      <w:szCs w:val="21"/>
                    </w:rPr>
                  </w:pPr>
                  <w:r>
                    <w:rPr>
                      <w:rFonts w:hint="eastAsia"/>
                      <w:color w:val="auto"/>
                      <w:sz w:val="21"/>
                      <w:szCs w:val="21"/>
                    </w:rPr>
                    <w:t>0.00634</w:t>
                  </w:r>
                </w:p>
              </w:tc>
              <w:tc>
                <w:tcPr>
                  <w:tcW w:w="445" w:type="pct"/>
                  <w:noWrap w:val="0"/>
                  <w:vAlign w:val="center"/>
                </w:tcPr>
                <w:p w14:paraId="568135E8">
                  <w:pPr>
                    <w:spacing w:line="240" w:lineRule="auto"/>
                    <w:ind w:firstLine="0" w:firstLineChars="0"/>
                    <w:jc w:val="center"/>
                    <w:rPr>
                      <w:rFonts w:hint="eastAsia"/>
                      <w:color w:val="auto"/>
                      <w:sz w:val="21"/>
                      <w:szCs w:val="21"/>
                    </w:rPr>
                  </w:pPr>
                  <w:r>
                    <w:rPr>
                      <w:rFonts w:hint="eastAsia"/>
                      <w:color w:val="auto"/>
                      <w:sz w:val="21"/>
                      <w:szCs w:val="21"/>
                    </w:rPr>
                    <w:t>3.17</w:t>
                  </w:r>
                </w:p>
              </w:tc>
              <w:tc>
                <w:tcPr>
                  <w:tcW w:w="612" w:type="pct"/>
                  <w:noWrap w:val="0"/>
                  <w:vAlign w:val="center"/>
                </w:tcPr>
                <w:p w14:paraId="01F3EBBC">
                  <w:pPr>
                    <w:spacing w:line="240" w:lineRule="auto"/>
                    <w:ind w:firstLine="0" w:firstLineChars="0"/>
                    <w:jc w:val="center"/>
                    <w:rPr>
                      <w:rFonts w:hint="eastAsia"/>
                      <w:color w:val="auto"/>
                      <w:sz w:val="21"/>
                      <w:szCs w:val="21"/>
                    </w:rPr>
                  </w:pPr>
                  <w:r>
                    <w:rPr>
                      <w:rFonts w:hint="eastAsia"/>
                      <w:color w:val="auto"/>
                      <w:sz w:val="21"/>
                      <w:szCs w:val="21"/>
                    </w:rPr>
                    <w:t>20</w:t>
                  </w:r>
                </w:p>
              </w:tc>
              <w:tc>
                <w:tcPr>
                  <w:tcW w:w="304" w:type="pct"/>
                  <w:noWrap w:val="0"/>
                  <w:vAlign w:val="center"/>
                </w:tcPr>
                <w:p w14:paraId="6A94CB26">
                  <w:pPr>
                    <w:spacing w:line="240" w:lineRule="auto"/>
                    <w:ind w:firstLine="0" w:firstLineChars="0"/>
                    <w:jc w:val="center"/>
                    <w:rPr>
                      <w:color w:val="auto"/>
                      <w:sz w:val="21"/>
                      <w:szCs w:val="21"/>
                    </w:rPr>
                  </w:pPr>
                  <w:r>
                    <w:rPr>
                      <w:color w:val="auto"/>
                      <w:sz w:val="21"/>
                      <w:szCs w:val="21"/>
                    </w:rPr>
                    <w:t>达标</w:t>
                  </w:r>
                </w:p>
              </w:tc>
            </w:tr>
            <w:tr w14:paraId="448B3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5" w:type="pct"/>
                  <w:noWrap w:val="0"/>
                  <w:vAlign w:val="top"/>
                </w:tcPr>
                <w:p w14:paraId="1544BC1C">
                  <w:pPr>
                    <w:spacing w:line="240" w:lineRule="auto"/>
                    <w:ind w:firstLine="0" w:firstLineChars="0"/>
                    <w:jc w:val="center"/>
                    <w:rPr>
                      <w:rFonts w:hint="eastAsia"/>
                      <w:color w:val="auto"/>
                      <w:sz w:val="21"/>
                      <w:szCs w:val="21"/>
                    </w:rPr>
                  </w:pPr>
                  <w:r>
                    <w:rPr>
                      <w:rFonts w:hint="eastAsia"/>
                      <w:color w:val="auto"/>
                      <w:sz w:val="21"/>
                      <w:szCs w:val="21"/>
                    </w:rPr>
                    <w:t>2#掺和料筒仓仓顶</w:t>
                  </w:r>
                  <w:r>
                    <w:rPr>
                      <w:color w:val="auto"/>
                      <w:sz w:val="21"/>
                      <w:szCs w:val="21"/>
                    </w:rPr>
                    <w:t>排</w:t>
                  </w:r>
                  <w:r>
                    <w:rPr>
                      <w:rFonts w:hint="eastAsia"/>
                      <w:color w:val="auto"/>
                      <w:sz w:val="21"/>
                      <w:szCs w:val="21"/>
                    </w:rPr>
                    <w:t>口</w:t>
                  </w:r>
                </w:p>
              </w:tc>
              <w:tc>
                <w:tcPr>
                  <w:tcW w:w="436" w:type="pct"/>
                  <w:noWrap w:val="0"/>
                  <w:vAlign w:val="center"/>
                </w:tcPr>
                <w:p w14:paraId="7920C237">
                  <w:pPr>
                    <w:spacing w:line="240" w:lineRule="auto"/>
                    <w:ind w:firstLine="0" w:firstLineChars="0"/>
                    <w:jc w:val="center"/>
                    <w:rPr>
                      <w:color w:val="auto"/>
                      <w:sz w:val="21"/>
                      <w:szCs w:val="21"/>
                    </w:rPr>
                  </w:pPr>
                  <w:r>
                    <w:rPr>
                      <w:color w:val="auto"/>
                      <w:sz w:val="21"/>
                      <w:szCs w:val="21"/>
                    </w:rPr>
                    <w:t>颗粒物</w:t>
                  </w:r>
                </w:p>
              </w:tc>
              <w:tc>
                <w:tcPr>
                  <w:tcW w:w="383" w:type="pct"/>
                  <w:noWrap w:val="0"/>
                  <w:vAlign w:val="center"/>
                </w:tcPr>
                <w:p w14:paraId="7CFADBEF">
                  <w:pPr>
                    <w:spacing w:line="240" w:lineRule="auto"/>
                    <w:ind w:firstLine="0" w:firstLineChars="0"/>
                    <w:jc w:val="center"/>
                    <w:rPr>
                      <w:rFonts w:hint="eastAsia"/>
                      <w:color w:val="auto"/>
                      <w:sz w:val="21"/>
                      <w:szCs w:val="21"/>
                    </w:rPr>
                  </w:pPr>
                  <w:r>
                    <w:rPr>
                      <w:rFonts w:hint="eastAsia"/>
                      <w:color w:val="auto"/>
                      <w:sz w:val="21"/>
                      <w:szCs w:val="21"/>
                    </w:rPr>
                    <w:t>0.145</w:t>
                  </w:r>
                </w:p>
              </w:tc>
              <w:tc>
                <w:tcPr>
                  <w:tcW w:w="342" w:type="pct"/>
                  <w:noWrap w:val="0"/>
                  <w:vAlign w:val="center"/>
                </w:tcPr>
                <w:p w14:paraId="33AAC6D3">
                  <w:pPr>
                    <w:spacing w:line="240" w:lineRule="auto"/>
                    <w:ind w:firstLine="0" w:firstLineChars="0"/>
                    <w:jc w:val="center"/>
                    <w:rPr>
                      <w:rFonts w:hint="eastAsia"/>
                      <w:color w:val="auto"/>
                      <w:sz w:val="21"/>
                      <w:szCs w:val="21"/>
                    </w:rPr>
                  </w:pPr>
                  <w:r>
                    <w:rPr>
                      <w:rFonts w:hint="eastAsia"/>
                      <w:color w:val="auto"/>
                      <w:sz w:val="21"/>
                      <w:szCs w:val="21"/>
                    </w:rPr>
                    <w:t>3.17</w:t>
                  </w:r>
                </w:p>
              </w:tc>
              <w:tc>
                <w:tcPr>
                  <w:tcW w:w="446" w:type="pct"/>
                  <w:noWrap w:val="0"/>
                  <w:vAlign w:val="center"/>
                </w:tcPr>
                <w:p w14:paraId="29091381">
                  <w:pPr>
                    <w:spacing w:line="240" w:lineRule="auto"/>
                    <w:ind w:firstLine="0" w:firstLineChars="0"/>
                    <w:jc w:val="center"/>
                    <w:rPr>
                      <w:rFonts w:hint="eastAsia"/>
                      <w:color w:val="auto"/>
                      <w:sz w:val="21"/>
                      <w:szCs w:val="21"/>
                    </w:rPr>
                  </w:pPr>
                  <w:r>
                    <w:rPr>
                      <w:rFonts w:hint="eastAsia"/>
                      <w:color w:val="auto"/>
                      <w:sz w:val="21"/>
                      <w:szCs w:val="21"/>
                    </w:rPr>
                    <w:t>1585</w:t>
                  </w:r>
                </w:p>
              </w:tc>
              <w:tc>
                <w:tcPr>
                  <w:tcW w:w="423" w:type="pct"/>
                  <w:vMerge w:val="continue"/>
                  <w:noWrap w:val="0"/>
                  <w:vAlign w:val="center"/>
                </w:tcPr>
                <w:p w14:paraId="018DC73B">
                  <w:pPr>
                    <w:spacing w:line="240" w:lineRule="auto"/>
                    <w:ind w:firstLine="0" w:firstLineChars="0"/>
                    <w:jc w:val="center"/>
                    <w:rPr>
                      <w:color w:val="auto"/>
                      <w:sz w:val="21"/>
                      <w:szCs w:val="21"/>
                    </w:rPr>
                  </w:pPr>
                </w:p>
              </w:tc>
              <w:tc>
                <w:tcPr>
                  <w:tcW w:w="500" w:type="pct"/>
                  <w:noWrap w:val="0"/>
                  <w:vAlign w:val="center"/>
                </w:tcPr>
                <w:p w14:paraId="79A49AD3">
                  <w:pPr>
                    <w:spacing w:line="240" w:lineRule="auto"/>
                    <w:ind w:firstLine="0" w:firstLineChars="0"/>
                    <w:jc w:val="center"/>
                    <w:rPr>
                      <w:rFonts w:hint="eastAsia"/>
                      <w:color w:val="auto"/>
                      <w:sz w:val="21"/>
                      <w:szCs w:val="21"/>
                    </w:rPr>
                  </w:pPr>
                  <w:r>
                    <w:rPr>
                      <w:rFonts w:hint="eastAsia"/>
                      <w:color w:val="auto"/>
                      <w:sz w:val="21"/>
                      <w:szCs w:val="21"/>
                    </w:rPr>
                    <w:t>0.00029</w:t>
                  </w:r>
                </w:p>
              </w:tc>
              <w:tc>
                <w:tcPr>
                  <w:tcW w:w="500" w:type="pct"/>
                  <w:noWrap w:val="0"/>
                  <w:vAlign w:val="center"/>
                </w:tcPr>
                <w:p w14:paraId="7DAE6B29">
                  <w:pPr>
                    <w:spacing w:line="240" w:lineRule="auto"/>
                    <w:ind w:firstLine="0" w:firstLineChars="0"/>
                    <w:jc w:val="center"/>
                    <w:rPr>
                      <w:rFonts w:hint="eastAsia"/>
                      <w:color w:val="auto"/>
                      <w:sz w:val="21"/>
                      <w:szCs w:val="21"/>
                    </w:rPr>
                  </w:pPr>
                  <w:r>
                    <w:rPr>
                      <w:rFonts w:hint="eastAsia"/>
                      <w:color w:val="auto"/>
                      <w:sz w:val="21"/>
                      <w:szCs w:val="21"/>
                    </w:rPr>
                    <w:t>0.00634</w:t>
                  </w:r>
                </w:p>
              </w:tc>
              <w:tc>
                <w:tcPr>
                  <w:tcW w:w="445" w:type="pct"/>
                  <w:noWrap w:val="0"/>
                  <w:vAlign w:val="center"/>
                </w:tcPr>
                <w:p w14:paraId="3F4D78FC">
                  <w:pPr>
                    <w:spacing w:line="240" w:lineRule="auto"/>
                    <w:ind w:firstLine="0" w:firstLineChars="0"/>
                    <w:jc w:val="center"/>
                    <w:rPr>
                      <w:rFonts w:hint="eastAsia"/>
                      <w:color w:val="auto"/>
                      <w:sz w:val="21"/>
                      <w:szCs w:val="21"/>
                    </w:rPr>
                  </w:pPr>
                  <w:r>
                    <w:rPr>
                      <w:rFonts w:hint="eastAsia"/>
                      <w:color w:val="auto"/>
                      <w:sz w:val="21"/>
                      <w:szCs w:val="21"/>
                    </w:rPr>
                    <w:t>3.17</w:t>
                  </w:r>
                </w:p>
              </w:tc>
              <w:tc>
                <w:tcPr>
                  <w:tcW w:w="612" w:type="pct"/>
                  <w:noWrap w:val="0"/>
                  <w:vAlign w:val="center"/>
                </w:tcPr>
                <w:p w14:paraId="716BC87E">
                  <w:pPr>
                    <w:spacing w:line="240" w:lineRule="auto"/>
                    <w:ind w:firstLine="0" w:firstLineChars="0"/>
                    <w:jc w:val="center"/>
                    <w:rPr>
                      <w:rFonts w:hint="eastAsia"/>
                      <w:color w:val="auto"/>
                      <w:sz w:val="21"/>
                      <w:szCs w:val="21"/>
                    </w:rPr>
                  </w:pPr>
                  <w:r>
                    <w:rPr>
                      <w:rFonts w:hint="eastAsia"/>
                      <w:color w:val="auto"/>
                      <w:sz w:val="21"/>
                      <w:szCs w:val="21"/>
                    </w:rPr>
                    <w:t>20</w:t>
                  </w:r>
                </w:p>
              </w:tc>
              <w:tc>
                <w:tcPr>
                  <w:tcW w:w="304" w:type="pct"/>
                  <w:noWrap w:val="0"/>
                  <w:vAlign w:val="center"/>
                </w:tcPr>
                <w:p w14:paraId="4B7A9E58">
                  <w:pPr>
                    <w:spacing w:line="240" w:lineRule="auto"/>
                    <w:ind w:firstLine="0" w:firstLineChars="0"/>
                    <w:jc w:val="center"/>
                    <w:rPr>
                      <w:color w:val="auto"/>
                      <w:sz w:val="21"/>
                      <w:szCs w:val="21"/>
                    </w:rPr>
                  </w:pPr>
                  <w:r>
                    <w:rPr>
                      <w:color w:val="auto"/>
                      <w:sz w:val="21"/>
                      <w:szCs w:val="21"/>
                    </w:rPr>
                    <w:t>达标</w:t>
                  </w:r>
                </w:p>
              </w:tc>
            </w:tr>
            <w:tr w14:paraId="7E81C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5" w:type="pct"/>
                  <w:vMerge w:val="restart"/>
                  <w:noWrap w:val="0"/>
                  <w:vAlign w:val="center"/>
                </w:tcPr>
                <w:p w14:paraId="6377CE95">
                  <w:pPr>
                    <w:spacing w:line="240" w:lineRule="auto"/>
                    <w:ind w:firstLine="0" w:firstLineChars="0"/>
                    <w:jc w:val="center"/>
                    <w:rPr>
                      <w:rFonts w:hint="eastAsia"/>
                      <w:color w:val="auto"/>
                      <w:sz w:val="21"/>
                      <w:szCs w:val="21"/>
                    </w:rPr>
                  </w:pPr>
                  <w:r>
                    <w:rPr>
                      <w:rFonts w:hint="eastAsia"/>
                      <w:color w:val="auto"/>
                      <w:sz w:val="21"/>
                      <w:szCs w:val="21"/>
                    </w:rPr>
                    <w:t>生物质锅炉排气筒（DA00</w:t>
                  </w:r>
                  <w:r>
                    <w:rPr>
                      <w:rFonts w:hint="eastAsia"/>
                      <w:color w:val="auto"/>
                      <w:sz w:val="21"/>
                      <w:szCs w:val="21"/>
                      <w:lang w:val="en-US" w:eastAsia="zh-CN"/>
                    </w:rPr>
                    <w:t>1</w:t>
                  </w:r>
                  <w:r>
                    <w:rPr>
                      <w:rFonts w:hint="eastAsia"/>
                      <w:color w:val="auto"/>
                      <w:sz w:val="21"/>
                      <w:szCs w:val="21"/>
                    </w:rPr>
                    <w:t>）</w:t>
                  </w:r>
                </w:p>
              </w:tc>
              <w:tc>
                <w:tcPr>
                  <w:tcW w:w="436" w:type="pct"/>
                  <w:noWrap w:val="0"/>
                  <w:vAlign w:val="center"/>
                </w:tcPr>
                <w:p w14:paraId="055F22F3">
                  <w:pPr>
                    <w:spacing w:line="240" w:lineRule="auto"/>
                    <w:ind w:firstLine="0" w:firstLineChars="0"/>
                    <w:jc w:val="center"/>
                    <w:rPr>
                      <w:rFonts w:hint="eastAsia"/>
                      <w:color w:val="auto"/>
                      <w:sz w:val="21"/>
                      <w:szCs w:val="21"/>
                    </w:rPr>
                  </w:pPr>
                  <w:r>
                    <w:rPr>
                      <w:color w:val="auto"/>
                      <w:sz w:val="21"/>
                      <w:szCs w:val="21"/>
                    </w:rPr>
                    <w:t>SO</w:t>
                  </w:r>
                  <w:r>
                    <w:rPr>
                      <w:color w:val="auto"/>
                      <w:sz w:val="21"/>
                      <w:szCs w:val="21"/>
                      <w:vertAlign w:val="subscript"/>
                    </w:rPr>
                    <w:t>2</w:t>
                  </w:r>
                </w:p>
              </w:tc>
              <w:tc>
                <w:tcPr>
                  <w:tcW w:w="383" w:type="pct"/>
                  <w:noWrap w:val="0"/>
                  <w:vAlign w:val="center"/>
                </w:tcPr>
                <w:p w14:paraId="7F4EF86B">
                  <w:pPr>
                    <w:spacing w:line="240" w:lineRule="auto"/>
                    <w:ind w:firstLine="0" w:firstLineChars="0"/>
                    <w:jc w:val="center"/>
                    <w:rPr>
                      <w:rFonts w:hint="eastAsia"/>
                      <w:color w:val="auto"/>
                      <w:sz w:val="21"/>
                      <w:szCs w:val="21"/>
                    </w:rPr>
                  </w:pPr>
                  <w:r>
                    <w:rPr>
                      <w:rFonts w:hint="eastAsia"/>
                      <w:color w:val="auto"/>
                      <w:sz w:val="21"/>
                      <w:szCs w:val="21"/>
                    </w:rPr>
                    <w:t>17</w:t>
                  </w:r>
                </w:p>
              </w:tc>
              <w:tc>
                <w:tcPr>
                  <w:tcW w:w="342" w:type="pct"/>
                  <w:noWrap w:val="0"/>
                  <w:vAlign w:val="center"/>
                </w:tcPr>
                <w:p w14:paraId="7914A0A8">
                  <w:pPr>
                    <w:spacing w:line="240" w:lineRule="auto"/>
                    <w:ind w:firstLine="0" w:firstLineChars="0"/>
                    <w:jc w:val="center"/>
                    <w:rPr>
                      <w:rFonts w:hint="eastAsia"/>
                      <w:color w:val="auto"/>
                      <w:sz w:val="21"/>
                      <w:szCs w:val="21"/>
                    </w:rPr>
                  </w:pPr>
                  <w:r>
                    <w:rPr>
                      <w:rFonts w:hint="eastAsia"/>
                      <w:color w:val="auto"/>
                      <w:sz w:val="21"/>
                      <w:szCs w:val="21"/>
                    </w:rPr>
                    <w:t>2.36</w:t>
                  </w:r>
                </w:p>
              </w:tc>
              <w:tc>
                <w:tcPr>
                  <w:tcW w:w="446" w:type="pct"/>
                  <w:noWrap w:val="0"/>
                  <w:vAlign w:val="center"/>
                </w:tcPr>
                <w:p w14:paraId="10405FF0">
                  <w:pPr>
                    <w:spacing w:line="240" w:lineRule="auto"/>
                    <w:ind w:firstLine="0" w:firstLineChars="0"/>
                    <w:jc w:val="center"/>
                    <w:rPr>
                      <w:rFonts w:hint="eastAsia"/>
                      <w:color w:val="auto"/>
                      <w:sz w:val="21"/>
                      <w:szCs w:val="21"/>
                    </w:rPr>
                  </w:pPr>
                  <w:r>
                    <w:rPr>
                      <w:rFonts w:hint="eastAsia"/>
                      <w:color w:val="auto"/>
                      <w:sz w:val="21"/>
                      <w:szCs w:val="21"/>
                    </w:rPr>
                    <w:t>299.04</w:t>
                  </w:r>
                </w:p>
              </w:tc>
              <w:tc>
                <w:tcPr>
                  <w:tcW w:w="423" w:type="pct"/>
                  <w:vMerge w:val="restart"/>
                  <w:noWrap w:val="0"/>
                  <w:vAlign w:val="center"/>
                </w:tcPr>
                <w:p w14:paraId="5FBCDB32">
                  <w:pPr>
                    <w:spacing w:line="240" w:lineRule="auto"/>
                    <w:ind w:firstLine="0" w:firstLineChars="0"/>
                    <w:jc w:val="center"/>
                    <w:rPr>
                      <w:rFonts w:hint="eastAsia"/>
                      <w:color w:val="auto"/>
                      <w:sz w:val="21"/>
                      <w:szCs w:val="21"/>
                    </w:rPr>
                  </w:pPr>
                  <w:r>
                    <w:rPr>
                      <w:rFonts w:hint="eastAsia"/>
                      <w:color w:val="auto"/>
                      <w:sz w:val="21"/>
                      <w:szCs w:val="21"/>
                    </w:rPr>
                    <w:t>98%</w:t>
                  </w:r>
                </w:p>
              </w:tc>
              <w:tc>
                <w:tcPr>
                  <w:tcW w:w="500" w:type="pct"/>
                  <w:noWrap w:val="0"/>
                  <w:vAlign w:val="center"/>
                </w:tcPr>
                <w:p w14:paraId="4D954A4E">
                  <w:pPr>
                    <w:spacing w:line="240" w:lineRule="auto"/>
                    <w:ind w:firstLine="0" w:firstLineChars="0"/>
                    <w:jc w:val="center"/>
                    <w:rPr>
                      <w:rFonts w:hint="eastAsia"/>
                      <w:color w:val="auto"/>
                      <w:sz w:val="21"/>
                      <w:szCs w:val="21"/>
                    </w:rPr>
                  </w:pPr>
                  <w:r>
                    <w:rPr>
                      <w:rFonts w:hint="eastAsia"/>
                      <w:color w:val="auto"/>
                      <w:sz w:val="21"/>
                      <w:szCs w:val="21"/>
                    </w:rPr>
                    <w:t>0.34</w:t>
                  </w:r>
                </w:p>
              </w:tc>
              <w:tc>
                <w:tcPr>
                  <w:tcW w:w="500" w:type="pct"/>
                  <w:noWrap w:val="0"/>
                  <w:vAlign w:val="center"/>
                </w:tcPr>
                <w:p w14:paraId="709C3701">
                  <w:pPr>
                    <w:spacing w:line="240" w:lineRule="auto"/>
                    <w:ind w:firstLine="0" w:firstLineChars="0"/>
                    <w:jc w:val="center"/>
                    <w:rPr>
                      <w:rFonts w:hint="eastAsia"/>
                      <w:color w:val="auto"/>
                      <w:sz w:val="21"/>
                      <w:szCs w:val="21"/>
                    </w:rPr>
                  </w:pPr>
                  <w:r>
                    <w:rPr>
                      <w:rFonts w:hint="eastAsia"/>
                      <w:color w:val="auto"/>
                      <w:sz w:val="21"/>
                      <w:szCs w:val="21"/>
                    </w:rPr>
                    <w:t>0.0472</w:t>
                  </w:r>
                </w:p>
              </w:tc>
              <w:tc>
                <w:tcPr>
                  <w:tcW w:w="445" w:type="pct"/>
                  <w:noWrap w:val="0"/>
                  <w:vAlign w:val="center"/>
                </w:tcPr>
                <w:p w14:paraId="343805E3">
                  <w:pPr>
                    <w:spacing w:line="240" w:lineRule="auto"/>
                    <w:ind w:firstLine="0" w:firstLineChars="0"/>
                    <w:jc w:val="center"/>
                    <w:rPr>
                      <w:rFonts w:hint="eastAsia"/>
                      <w:color w:val="auto"/>
                      <w:sz w:val="21"/>
                      <w:szCs w:val="21"/>
                    </w:rPr>
                  </w:pPr>
                  <w:r>
                    <w:rPr>
                      <w:rFonts w:hint="eastAsia"/>
                      <w:color w:val="auto"/>
                      <w:sz w:val="21"/>
                      <w:szCs w:val="21"/>
                    </w:rPr>
                    <w:t>5.98</w:t>
                  </w:r>
                </w:p>
              </w:tc>
              <w:tc>
                <w:tcPr>
                  <w:tcW w:w="612" w:type="pct"/>
                  <w:noWrap w:val="0"/>
                  <w:vAlign w:val="center"/>
                </w:tcPr>
                <w:p w14:paraId="577845EC">
                  <w:pPr>
                    <w:spacing w:line="240" w:lineRule="auto"/>
                    <w:ind w:firstLine="0" w:firstLineChars="0"/>
                    <w:jc w:val="center"/>
                    <w:rPr>
                      <w:rFonts w:hint="eastAsia"/>
                      <w:color w:val="auto"/>
                      <w:sz w:val="21"/>
                      <w:szCs w:val="21"/>
                    </w:rPr>
                  </w:pPr>
                  <w:r>
                    <w:rPr>
                      <w:rFonts w:hint="eastAsia"/>
                      <w:color w:val="auto"/>
                      <w:sz w:val="21"/>
                      <w:szCs w:val="21"/>
                    </w:rPr>
                    <w:t>300</w:t>
                  </w:r>
                </w:p>
              </w:tc>
              <w:tc>
                <w:tcPr>
                  <w:tcW w:w="304" w:type="pct"/>
                  <w:noWrap w:val="0"/>
                  <w:vAlign w:val="center"/>
                </w:tcPr>
                <w:p w14:paraId="31A9B538">
                  <w:pPr>
                    <w:spacing w:line="240" w:lineRule="auto"/>
                    <w:ind w:firstLine="0" w:firstLineChars="0"/>
                    <w:jc w:val="center"/>
                    <w:rPr>
                      <w:rFonts w:hint="eastAsia"/>
                      <w:color w:val="auto"/>
                      <w:sz w:val="21"/>
                      <w:szCs w:val="21"/>
                    </w:rPr>
                  </w:pPr>
                  <w:r>
                    <w:rPr>
                      <w:rFonts w:hint="eastAsia"/>
                      <w:color w:val="auto"/>
                      <w:sz w:val="21"/>
                      <w:szCs w:val="21"/>
                    </w:rPr>
                    <w:t>达标</w:t>
                  </w:r>
                </w:p>
              </w:tc>
            </w:tr>
            <w:tr w14:paraId="159FE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605" w:type="pct"/>
                  <w:vMerge w:val="continue"/>
                  <w:noWrap w:val="0"/>
                  <w:vAlign w:val="center"/>
                </w:tcPr>
                <w:p w14:paraId="48A4F8AA">
                  <w:pPr>
                    <w:spacing w:line="240" w:lineRule="auto"/>
                    <w:ind w:firstLine="0" w:firstLineChars="0"/>
                    <w:jc w:val="center"/>
                    <w:rPr>
                      <w:rFonts w:hint="eastAsia"/>
                      <w:color w:val="auto"/>
                      <w:sz w:val="21"/>
                      <w:szCs w:val="21"/>
                    </w:rPr>
                  </w:pPr>
                </w:p>
              </w:tc>
              <w:tc>
                <w:tcPr>
                  <w:tcW w:w="436" w:type="pct"/>
                  <w:noWrap w:val="0"/>
                  <w:vAlign w:val="center"/>
                </w:tcPr>
                <w:p w14:paraId="52B5D23C">
                  <w:pPr>
                    <w:spacing w:line="240" w:lineRule="auto"/>
                    <w:ind w:firstLine="0" w:firstLineChars="0"/>
                    <w:jc w:val="center"/>
                    <w:rPr>
                      <w:rFonts w:hint="eastAsia"/>
                      <w:color w:val="auto"/>
                      <w:sz w:val="21"/>
                      <w:szCs w:val="21"/>
                    </w:rPr>
                  </w:pPr>
                  <w:r>
                    <w:rPr>
                      <w:rFonts w:hint="eastAsia"/>
                      <w:color w:val="auto"/>
                      <w:sz w:val="21"/>
                      <w:szCs w:val="21"/>
                    </w:rPr>
                    <w:t>颗粒物</w:t>
                  </w:r>
                </w:p>
              </w:tc>
              <w:tc>
                <w:tcPr>
                  <w:tcW w:w="383" w:type="pct"/>
                  <w:noWrap w:val="0"/>
                  <w:vAlign w:val="center"/>
                </w:tcPr>
                <w:p w14:paraId="203CBA73">
                  <w:pPr>
                    <w:spacing w:line="240" w:lineRule="auto"/>
                    <w:ind w:firstLine="0" w:firstLineChars="0"/>
                    <w:jc w:val="center"/>
                    <w:rPr>
                      <w:rFonts w:hint="eastAsia"/>
                      <w:color w:val="auto"/>
                      <w:sz w:val="21"/>
                      <w:szCs w:val="21"/>
                    </w:rPr>
                  </w:pPr>
                  <w:r>
                    <w:rPr>
                      <w:rFonts w:hint="eastAsia"/>
                      <w:color w:val="auto"/>
                      <w:sz w:val="21"/>
                      <w:szCs w:val="21"/>
                    </w:rPr>
                    <w:t>5.0</w:t>
                  </w:r>
                </w:p>
              </w:tc>
              <w:tc>
                <w:tcPr>
                  <w:tcW w:w="342" w:type="pct"/>
                  <w:noWrap w:val="0"/>
                  <w:vAlign w:val="center"/>
                </w:tcPr>
                <w:p w14:paraId="15C3A6EA">
                  <w:pPr>
                    <w:spacing w:line="240" w:lineRule="auto"/>
                    <w:ind w:firstLine="0" w:firstLineChars="0"/>
                    <w:jc w:val="center"/>
                    <w:rPr>
                      <w:rFonts w:hint="eastAsia"/>
                      <w:color w:val="auto"/>
                      <w:sz w:val="21"/>
                      <w:szCs w:val="21"/>
                    </w:rPr>
                  </w:pPr>
                  <w:r>
                    <w:rPr>
                      <w:rFonts w:hint="eastAsia"/>
                      <w:color w:val="auto"/>
                      <w:sz w:val="21"/>
                      <w:szCs w:val="21"/>
                    </w:rPr>
                    <w:t>0.69</w:t>
                  </w:r>
                </w:p>
              </w:tc>
              <w:tc>
                <w:tcPr>
                  <w:tcW w:w="446" w:type="pct"/>
                  <w:noWrap w:val="0"/>
                  <w:vAlign w:val="center"/>
                </w:tcPr>
                <w:p w14:paraId="399D1EA8">
                  <w:pPr>
                    <w:spacing w:line="240" w:lineRule="auto"/>
                    <w:ind w:firstLine="0" w:firstLineChars="0"/>
                    <w:jc w:val="center"/>
                    <w:rPr>
                      <w:rFonts w:hint="eastAsia"/>
                      <w:color w:val="auto"/>
                      <w:sz w:val="21"/>
                      <w:szCs w:val="21"/>
                    </w:rPr>
                  </w:pPr>
                  <w:r>
                    <w:rPr>
                      <w:rFonts w:hint="eastAsia"/>
                      <w:color w:val="auto"/>
                      <w:sz w:val="21"/>
                      <w:szCs w:val="21"/>
                    </w:rPr>
                    <w:t>87.57</w:t>
                  </w:r>
                </w:p>
              </w:tc>
              <w:tc>
                <w:tcPr>
                  <w:tcW w:w="423" w:type="pct"/>
                  <w:vMerge w:val="continue"/>
                  <w:noWrap w:val="0"/>
                  <w:vAlign w:val="center"/>
                </w:tcPr>
                <w:p w14:paraId="7CE553A4">
                  <w:pPr>
                    <w:spacing w:line="240" w:lineRule="auto"/>
                    <w:ind w:firstLine="0" w:firstLineChars="0"/>
                    <w:jc w:val="center"/>
                    <w:rPr>
                      <w:rFonts w:hint="eastAsia"/>
                      <w:color w:val="auto"/>
                      <w:sz w:val="21"/>
                      <w:szCs w:val="21"/>
                    </w:rPr>
                  </w:pPr>
                </w:p>
              </w:tc>
              <w:tc>
                <w:tcPr>
                  <w:tcW w:w="500" w:type="pct"/>
                  <w:noWrap w:val="0"/>
                  <w:vAlign w:val="center"/>
                </w:tcPr>
                <w:p w14:paraId="66D5DDA2">
                  <w:pPr>
                    <w:spacing w:line="240" w:lineRule="auto"/>
                    <w:ind w:firstLine="0" w:firstLineChars="0"/>
                    <w:jc w:val="center"/>
                    <w:rPr>
                      <w:rFonts w:hint="eastAsia"/>
                      <w:color w:val="auto"/>
                      <w:sz w:val="21"/>
                      <w:szCs w:val="21"/>
                    </w:rPr>
                  </w:pPr>
                  <w:r>
                    <w:rPr>
                      <w:rFonts w:hint="eastAsia"/>
                      <w:color w:val="auto"/>
                      <w:sz w:val="21"/>
                      <w:szCs w:val="21"/>
                    </w:rPr>
                    <w:t>0.1</w:t>
                  </w:r>
                </w:p>
              </w:tc>
              <w:tc>
                <w:tcPr>
                  <w:tcW w:w="500" w:type="pct"/>
                  <w:noWrap w:val="0"/>
                  <w:vAlign w:val="center"/>
                </w:tcPr>
                <w:p w14:paraId="2626EF23">
                  <w:pPr>
                    <w:spacing w:line="240" w:lineRule="auto"/>
                    <w:ind w:firstLine="0" w:firstLineChars="0"/>
                    <w:jc w:val="center"/>
                    <w:rPr>
                      <w:rFonts w:hint="eastAsia"/>
                      <w:color w:val="auto"/>
                      <w:sz w:val="21"/>
                      <w:szCs w:val="21"/>
                    </w:rPr>
                  </w:pPr>
                  <w:r>
                    <w:rPr>
                      <w:rFonts w:hint="eastAsia"/>
                      <w:color w:val="auto"/>
                      <w:sz w:val="21"/>
                      <w:szCs w:val="21"/>
                    </w:rPr>
                    <w:t>0.0138</w:t>
                  </w:r>
                </w:p>
              </w:tc>
              <w:tc>
                <w:tcPr>
                  <w:tcW w:w="445" w:type="pct"/>
                  <w:noWrap w:val="0"/>
                  <w:vAlign w:val="center"/>
                </w:tcPr>
                <w:p w14:paraId="738DC4C9">
                  <w:pPr>
                    <w:spacing w:line="240" w:lineRule="auto"/>
                    <w:ind w:firstLine="0" w:firstLineChars="0"/>
                    <w:jc w:val="center"/>
                    <w:rPr>
                      <w:rFonts w:hint="eastAsia"/>
                      <w:color w:val="auto"/>
                      <w:sz w:val="21"/>
                      <w:szCs w:val="21"/>
                    </w:rPr>
                  </w:pPr>
                  <w:r>
                    <w:rPr>
                      <w:rFonts w:hint="eastAsia"/>
                      <w:color w:val="auto"/>
                      <w:sz w:val="21"/>
                      <w:szCs w:val="21"/>
                    </w:rPr>
                    <w:t>1.75</w:t>
                  </w:r>
                </w:p>
              </w:tc>
              <w:tc>
                <w:tcPr>
                  <w:tcW w:w="612" w:type="pct"/>
                  <w:noWrap w:val="0"/>
                  <w:vAlign w:val="center"/>
                </w:tcPr>
                <w:p w14:paraId="0B511445">
                  <w:pPr>
                    <w:spacing w:line="240" w:lineRule="auto"/>
                    <w:ind w:firstLine="0" w:firstLineChars="0"/>
                    <w:jc w:val="center"/>
                    <w:rPr>
                      <w:rFonts w:hint="eastAsia"/>
                      <w:color w:val="auto"/>
                      <w:sz w:val="21"/>
                      <w:szCs w:val="21"/>
                    </w:rPr>
                  </w:pPr>
                  <w:r>
                    <w:rPr>
                      <w:rFonts w:hint="eastAsia"/>
                      <w:color w:val="auto"/>
                      <w:sz w:val="21"/>
                      <w:szCs w:val="21"/>
                    </w:rPr>
                    <w:t>50</w:t>
                  </w:r>
                </w:p>
              </w:tc>
              <w:tc>
                <w:tcPr>
                  <w:tcW w:w="304" w:type="pct"/>
                  <w:noWrap w:val="0"/>
                  <w:vAlign w:val="center"/>
                </w:tcPr>
                <w:p w14:paraId="6D5E9525">
                  <w:pPr>
                    <w:spacing w:line="240" w:lineRule="auto"/>
                    <w:ind w:firstLine="0" w:firstLineChars="0"/>
                    <w:jc w:val="center"/>
                    <w:rPr>
                      <w:rFonts w:hint="eastAsia"/>
                      <w:color w:val="auto"/>
                      <w:sz w:val="21"/>
                      <w:szCs w:val="21"/>
                    </w:rPr>
                  </w:pPr>
                  <w:r>
                    <w:rPr>
                      <w:rFonts w:hint="eastAsia"/>
                      <w:color w:val="auto"/>
                      <w:sz w:val="21"/>
                      <w:szCs w:val="21"/>
                    </w:rPr>
                    <w:t>达标</w:t>
                  </w:r>
                </w:p>
              </w:tc>
            </w:tr>
            <w:tr w14:paraId="2205F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5" w:type="pct"/>
                  <w:vMerge w:val="continue"/>
                  <w:noWrap w:val="0"/>
                  <w:vAlign w:val="center"/>
                </w:tcPr>
                <w:p w14:paraId="7CFB5985">
                  <w:pPr>
                    <w:spacing w:line="240" w:lineRule="auto"/>
                    <w:ind w:firstLine="0" w:firstLineChars="0"/>
                    <w:jc w:val="center"/>
                    <w:rPr>
                      <w:rFonts w:hint="eastAsia"/>
                      <w:color w:val="auto"/>
                      <w:sz w:val="21"/>
                      <w:szCs w:val="21"/>
                    </w:rPr>
                  </w:pPr>
                </w:p>
              </w:tc>
              <w:tc>
                <w:tcPr>
                  <w:tcW w:w="436" w:type="pct"/>
                  <w:noWrap w:val="0"/>
                  <w:vAlign w:val="center"/>
                </w:tcPr>
                <w:p w14:paraId="228B6CCF">
                  <w:pPr>
                    <w:spacing w:line="240" w:lineRule="auto"/>
                    <w:ind w:firstLine="0" w:firstLineChars="0"/>
                    <w:jc w:val="center"/>
                    <w:rPr>
                      <w:rFonts w:hint="eastAsia"/>
                      <w:color w:val="auto"/>
                      <w:sz w:val="21"/>
                      <w:szCs w:val="21"/>
                    </w:rPr>
                  </w:pPr>
                  <w:r>
                    <w:rPr>
                      <w:rFonts w:hint="eastAsia"/>
                      <w:color w:val="auto"/>
                      <w:sz w:val="21"/>
                      <w:szCs w:val="21"/>
                    </w:rPr>
                    <w:t>N</w:t>
                  </w:r>
                  <w:r>
                    <w:rPr>
                      <w:color w:val="auto"/>
                      <w:sz w:val="21"/>
                      <w:szCs w:val="21"/>
                    </w:rPr>
                    <w:t>O</w:t>
                  </w:r>
                  <w:r>
                    <w:rPr>
                      <w:color w:val="auto"/>
                      <w:sz w:val="21"/>
                      <w:szCs w:val="21"/>
                      <w:vertAlign w:val="subscript"/>
                    </w:rPr>
                    <w:t>X</w:t>
                  </w:r>
                </w:p>
              </w:tc>
              <w:tc>
                <w:tcPr>
                  <w:tcW w:w="383" w:type="pct"/>
                  <w:noWrap w:val="0"/>
                  <w:vAlign w:val="center"/>
                </w:tcPr>
                <w:p w14:paraId="70817887">
                  <w:pPr>
                    <w:spacing w:line="240" w:lineRule="auto"/>
                    <w:ind w:firstLine="0" w:firstLineChars="0"/>
                    <w:jc w:val="center"/>
                    <w:rPr>
                      <w:rFonts w:hint="eastAsia"/>
                      <w:color w:val="auto"/>
                      <w:sz w:val="21"/>
                      <w:szCs w:val="21"/>
                    </w:rPr>
                  </w:pPr>
                  <w:r>
                    <w:rPr>
                      <w:rFonts w:hint="eastAsia"/>
                      <w:color w:val="auto"/>
                      <w:sz w:val="21"/>
                      <w:szCs w:val="21"/>
                    </w:rPr>
                    <w:t>10.2</w:t>
                  </w:r>
                </w:p>
              </w:tc>
              <w:tc>
                <w:tcPr>
                  <w:tcW w:w="342" w:type="pct"/>
                  <w:noWrap w:val="0"/>
                  <w:vAlign w:val="center"/>
                </w:tcPr>
                <w:p w14:paraId="2666B8DE">
                  <w:pPr>
                    <w:spacing w:line="240" w:lineRule="auto"/>
                    <w:ind w:firstLine="0" w:firstLineChars="0"/>
                    <w:jc w:val="center"/>
                    <w:rPr>
                      <w:rFonts w:hint="eastAsia"/>
                      <w:color w:val="auto"/>
                      <w:sz w:val="21"/>
                      <w:szCs w:val="21"/>
                    </w:rPr>
                  </w:pPr>
                  <w:r>
                    <w:rPr>
                      <w:rFonts w:hint="eastAsia"/>
                      <w:color w:val="auto"/>
                      <w:sz w:val="21"/>
                      <w:szCs w:val="21"/>
                    </w:rPr>
                    <w:t>1.42</w:t>
                  </w:r>
                </w:p>
              </w:tc>
              <w:tc>
                <w:tcPr>
                  <w:tcW w:w="446" w:type="pct"/>
                  <w:noWrap w:val="0"/>
                  <w:vAlign w:val="center"/>
                </w:tcPr>
                <w:p w14:paraId="77C64078">
                  <w:pPr>
                    <w:spacing w:line="240" w:lineRule="auto"/>
                    <w:ind w:firstLine="0" w:firstLineChars="0"/>
                    <w:jc w:val="center"/>
                    <w:rPr>
                      <w:rFonts w:hint="eastAsia"/>
                      <w:color w:val="auto"/>
                      <w:sz w:val="21"/>
                      <w:szCs w:val="21"/>
                    </w:rPr>
                  </w:pPr>
                  <w:r>
                    <w:rPr>
                      <w:rFonts w:hint="eastAsia"/>
                      <w:color w:val="auto"/>
                      <w:sz w:val="21"/>
                      <w:szCs w:val="21"/>
                    </w:rPr>
                    <w:t>180.23</w:t>
                  </w:r>
                </w:p>
              </w:tc>
              <w:tc>
                <w:tcPr>
                  <w:tcW w:w="423" w:type="pct"/>
                  <w:vMerge w:val="continue"/>
                  <w:noWrap w:val="0"/>
                  <w:vAlign w:val="center"/>
                </w:tcPr>
                <w:p w14:paraId="1D85AF23">
                  <w:pPr>
                    <w:spacing w:line="240" w:lineRule="auto"/>
                    <w:ind w:firstLine="0" w:firstLineChars="0"/>
                    <w:jc w:val="center"/>
                    <w:rPr>
                      <w:rFonts w:hint="eastAsia"/>
                      <w:color w:val="auto"/>
                      <w:sz w:val="21"/>
                      <w:szCs w:val="21"/>
                    </w:rPr>
                  </w:pPr>
                </w:p>
              </w:tc>
              <w:tc>
                <w:tcPr>
                  <w:tcW w:w="500" w:type="pct"/>
                  <w:noWrap w:val="0"/>
                  <w:vAlign w:val="center"/>
                </w:tcPr>
                <w:p w14:paraId="666BC85E">
                  <w:pPr>
                    <w:spacing w:line="240" w:lineRule="auto"/>
                    <w:ind w:firstLine="0" w:firstLineChars="0"/>
                    <w:jc w:val="center"/>
                    <w:rPr>
                      <w:rFonts w:hint="eastAsia"/>
                      <w:color w:val="auto"/>
                      <w:sz w:val="21"/>
                      <w:szCs w:val="21"/>
                    </w:rPr>
                  </w:pPr>
                  <w:r>
                    <w:rPr>
                      <w:rFonts w:hint="eastAsia"/>
                      <w:color w:val="auto"/>
                      <w:sz w:val="21"/>
                      <w:szCs w:val="21"/>
                    </w:rPr>
                    <w:t>0.204</w:t>
                  </w:r>
                </w:p>
              </w:tc>
              <w:tc>
                <w:tcPr>
                  <w:tcW w:w="500" w:type="pct"/>
                  <w:noWrap w:val="0"/>
                  <w:vAlign w:val="center"/>
                </w:tcPr>
                <w:p w14:paraId="4F63E275">
                  <w:pPr>
                    <w:spacing w:line="240" w:lineRule="auto"/>
                    <w:ind w:firstLine="0" w:firstLineChars="0"/>
                    <w:jc w:val="center"/>
                    <w:rPr>
                      <w:rFonts w:hint="eastAsia"/>
                      <w:color w:val="auto"/>
                      <w:sz w:val="21"/>
                      <w:szCs w:val="21"/>
                    </w:rPr>
                  </w:pPr>
                  <w:r>
                    <w:rPr>
                      <w:rFonts w:hint="eastAsia"/>
                      <w:color w:val="auto"/>
                      <w:sz w:val="21"/>
                      <w:szCs w:val="21"/>
                    </w:rPr>
                    <w:t>0.0284</w:t>
                  </w:r>
                </w:p>
              </w:tc>
              <w:tc>
                <w:tcPr>
                  <w:tcW w:w="445" w:type="pct"/>
                  <w:noWrap w:val="0"/>
                  <w:vAlign w:val="center"/>
                </w:tcPr>
                <w:p w14:paraId="31C08616">
                  <w:pPr>
                    <w:spacing w:line="240" w:lineRule="auto"/>
                    <w:ind w:firstLine="0" w:firstLineChars="0"/>
                    <w:jc w:val="center"/>
                    <w:rPr>
                      <w:rFonts w:hint="eastAsia"/>
                      <w:color w:val="auto"/>
                      <w:sz w:val="21"/>
                      <w:szCs w:val="21"/>
                    </w:rPr>
                  </w:pPr>
                  <w:r>
                    <w:rPr>
                      <w:rFonts w:hint="eastAsia"/>
                      <w:color w:val="auto"/>
                      <w:sz w:val="21"/>
                      <w:szCs w:val="21"/>
                    </w:rPr>
                    <w:t>3.6</w:t>
                  </w:r>
                </w:p>
              </w:tc>
              <w:tc>
                <w:tcPr>
                  <w:tcW w:w="612" w:type="pct"/>
                  <w:noWrap w:val="0"/>
                  <w:vAlign w:val="center"/>
                </w:tcPr>
                <w:p w14:paraId="1013F5D1">
                  <w:pPr>
                    <w:spacing w:line="240" w:lineRule="auto"/>
                    <w:ind w:firstLine="0" w:firstLineChars="0"/>
                    <w:jc w:val="center"/>
                    <w:rPr>
                      <w:rFonts w:hint="eastAsia"/>
                      <w:color w:val="auto"/>
                      <w:sz w:val="21"/>
                      <w:szCs w:val="21"/>
                    </w:rPr>
                  </w:pPr>
                  <w:r>
                    <w:rPr>
                      <w:rFonts w:hint="eastAsia"/>
                      <w:color w:val="auto"/>
                      <w:sz w:val="21"/>
                      <w:szCs w:val="21"/>
                    </w:rPr>
                    <w:t>300</w:t>
                  </w:r>
                </w:p>
              </w:tc>
              <w:tc>
                <w:tcPr>
                  <w:tcW w:w="304" w:type="pct"/>
                  <w:noWrap w:val="0"/>
                  <w:vAlign w:val="center"/>
                </w:tcPr>
                <w:p w14:paraId="12DBACB7">
                  <w:pPr>
                    <w:spacing w:line="240" w:lineRule="auto"/>
                    <w:ind w:firstLine="0" w:firstLineChars="0"/>
                    <w:jc w:val="center"/>
                    <w:rPr>
                      <w:rFonts w:hint="eastAsia"/>
                      <w:color w:val="auto"/>
                      <w:sz w:val="21"/>
                      <w:szCs w:val="21"/>
                    </w:rPr>
                  </w:pPr>
                  <w:r>
                    <w:rPr>
                      <w:rFonts w:hint="eastAsia"/>
                      <w:color w:val="auto"/>
                      <w:sz w:val="21"/>
                      <w:szCs w:val="21"/>
                    </w:rPr>
                    <w:t>达标</w:t>
                  </w:r>
                </w:p>
              </w:tc>
            </w:tr>
          </w:tbl>
          <w:p w14:paraId="6ADB9B34">
            <w:pPr>
              <w:adjustRightInd w:val="0"/>
              <w:snapToGrid w:val="0"/>
              <w:spacing w:before="240" w:beforeLines="100"/>
              <w:ind w:firstLine="480"/>
              <w:rPr>
                <w:iCs/>
                <w:color w:val="auto"/>
              </w:rPr>
            </w:pPr>
            <w:r>
              <w:rPr>
                <w:rFonts w:hint="eastAsia"/>
                <w:iCs/>
                <w:color w:val="auto"/>
              </w:rPr>
              <w:t>运营期</w:t>
            </w:r>
            <w:r>
              <w:rPr>
                <w:iCs/>
                <w:color w:val="auto"/>
              </w:rPr>
              <w:t>大气污染物</w:t>
            </w:r>
            <w:r>
              <w:rPr>
                <w:rFonts w:hint="eastAsia"/>
                <w:iCs/>
                <w:color w:val="auto"/>
              </w:rPr>
              <w:t>排气筒</w:t>
            </w:r>
            <w:r>
              <w:rPr>
                <w:iCs/>
                <w:color w:val="auto"/>
              </w:rPr>
              <w:t>基本情况</w:t>
            </w:r>
            <w:r>
              <w:rPr>
                <w:rFonts w:hint="eastAsia"/>
                <w:iCs/>
                <w:color w:val="auto"/>
              </w:rPr>
              <w:t>见下表</w:t>
            </w:r>
          </w:p>
          <w:p w14:paraId="52178356">
            <w:pPr>
              <w:pStyle w:val="29"/>
              <w:spacing w:before="24" w:after="24"/>
              <w:rPr>
                <w:rFonts w:hint="eastAsia"/>
                <w:color w:val="auto"/>
              </w:rPr>
            </w:pPr>
            <w:r>
              <w:rPr>
                <w:rFonts w:hint="eastAsia"/>
                <w:color w:val="auto"/>
              </w:rPr>
              <w:t>表</w:t>
            </w:r>
            <w:r>
              <w:rPr>
                <w:rFonts w:hint="eastAsia"/>
                <w:color w:val="auto"/>
                <w:lang w:val="en-US" w:eastAsia="zh-CN"/>
              </w:rPr>
              <w:t>4-7</w:t>
            </w:r>
            <w:r>
              <w:rPr>
                <w:color w:val="auto"/>
              </w:rPr>
              <w:t xml:space="preserve">  运营期大气污染物排放口基本情况一览表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518"/>
              <w:gridCol w:w="1711"/>
              <w:gridCol w:w="1713"/>
              <w:gridCol w:w="701"/>
              <w:gridCol w:w="701"/>
              <w:gridCol w:w="703"/>
              <w:gridCol w:w="769"/>
              <w:gridCol w:w="878"/>
            </w:tblGrid>
            <w:tr w14:paraId="390E1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73" w:type="pct"/>
                  <w:vMerge w:val="restart"/>
                  <w:tcBorders>
                    <w:top w:val="single" w:color="auto" w:sz="4" w:space="0"/>
                    <w:left w:val="single" w:color="auto" w:sz="4" w:space="0"/>
                    <w:bottom w:val="single" w:color="auto" w:sz="4" w:space="0"/>
                    <w:right w:val="single" w:color="auto" w:sz="4" w:space="0"/>
                  </w:tcBorders>
                  <w:noWrap w:val="0"/>
                  <w:vAlign w:val="center"/>
                </w:tcPr>
                <w:p w14:paraId="338357BA">
                  <w:pPr>
                    <w:spacing w:line="240" w:lineRule="auto"/>
                    <w:ind w:firstLine="0" w:firstLineChars="0"/>
                    <w:jc w:val="center"/>
                    <w:rPr>
                      <w:b/>
                      <w:bCs/>
                      <w:color w:val="auto"/>
                      <w:sz w:val="21"/>
                      <w:szCs w:val="21"/>
                    </w:rPr>
                  </w:pPr>
                  <w:r>
                    <w:rPr>
                      <w:b/>
                      <w:bCs/>
                      <w:color w:val="auto"/>
                      <w:sz w:val="21"/>
                      <w:szCs w:val="21"/>
                    </w:rPr>
                    <w:t>污染源名称</w:t>
                  </w:r>
                </w:p>
              </w:tc>
              <w:tc>
                <w:tcPr>
                  <w:tcW w:w="1969" w:type="pct"/>
                  <w:gridSpan w:val="2"/>
                  <w:tcBorders>
                    <w:top w:val="single" w:color="auto" w:sz="4" w:space="0"/>
                    <w:left w:val="nil"/>
                    <w:bottom w:val="single" w:color="auto" w:sz="4" w:space="0"/>
                    <w:right w:val="single" w:color="auto" w:sz="4" w:space="0"/>
                  </w:tcBorders>
                  <w:noWrap w:val="0"/>
                  <w:vAlign w:val="center"/>
                </w:tcPr>
                <w:p w14:paraId="176C2893">
                  <w:pPr>
                    <w:snapToGrid w:val="0"/>
                    <w:spacing w:line="240" w:lineRule="auto"/>
                    <w:ind w:firstLine="0" w:firstLineChars="0"/>
                    <w:jc w:val="center"/>
                    <w:rPr>
                      <w:b/>
                      <w:bCs/>
                      <w:color w:val="auto"/>
                      <w:sz w:val="21"/>
                      <w:szCs w:val="21"/>
                    </w:rPr>
                  </w:pPr>
                  <w:r>
                    <w:rPr>
                      <w:b/>
                      <w:bCs/>
                      <w:color w:val="auto"/>
                      <w:sz w:val="21"/>
                      <w:szCs w:val="21"/>
                    </w:rPr>
                    <w:t>坐标</w:t>
                  </w:r>
                  <w:r>
                    <w:rPr>
                      <w:rFonts w:hint="eastAsia"/>
                      <w:b/>
                      <w:bCs/>
                      <w:color w:val="auto"/>
                      <w:sz w:val="21"/>
                      <w:szCs w:val="21"/>
                    </w:rPr>
                    <w:t>（</w:t>
                  </w:r>
                  <w:r>
                    <w:rPr>
                      <w:b/>
                      <w:bCs/>
                      <w:color w:val="auto"/>
                      <w:sz w:val="21"/>
                      <w:szCs w:val="21"/>
                    </w:rPr>
                    <w:t>o</w:t>
                  </w:r>
                  <w:r>
                    <w:rPr>
                      <w:rFonts w:hint="eastAsia"/>
                      <w:b/>
                      <w:bCs/>
                      <w:color w:val="auto"/>
                      <w:sz w:val="21"/>
                      <w:szCs w:val="21"/>
                    </w:rPr>
                    <w:t>）</w:t>
                  </w:r>
                </w:p>
              </w:tc>
              <w:tc>
                <w:tcPr>
                  <w:tcW w:w="403" w:type="pct"/>
                  <w:vMerge w:val="restart"/>
                  <w:tcBorders>
                    <w:top w:val="single" w:color="auto" w:sz="4" w:space="0"/>
                    <w:left w:val="nil"/>
                    <w:bottom w:val="single" w:color="auto" w:sz="4" w:space="0"/>
                    <w:right w:val="single" w:color="auto" w:sz="4" w:space="0"/>
                  </w:tcBorders>
                  <w:noWrap w:val="0"/>
                  <w:vAlign w:val="center"/>
                </w:tcPr>
                <w:p w14:paraId="42FBA488">
                  <w:pPr>
                    <w:snapToGrid w:val="0"/>
                    <w:spacing w:line="240" w:lineRule="auto"/>
                    <w:ind w:firstLine="0" w:firstLineChars="0"/>
                    <w:jc w:val="center"/>
                    <w:rPr>
                      <w:b/>
                      <w:bCs/>
                      <w:color w:val="auto"/>
                      <w:sz w:val="21"/>
                      <w:szCs w:val="21"/>
                    </w:rPr>
                  </w:pPr>
                  <w:r>
                    <w:rPr>
                      <w:rFonts w:hint="eastAsia"/>
                      <w:b/>
                      <w:bCs/>
                      <w:color w:val="auto"/>
                      <w:sz w:val="21"/>
                      <w:szCs w:val="21"/>
                      <w:lang w:eastAsia="zh-CN"/>
                    </w:rPr>
                    <w:t>海拔</w:t>
                  </w:r>
                  <w:r>
                    <w:rPr>
                      <w:b/>
                      <w:bCs/>
                      <w:color w:val="auto"/>
                      <w:sz w:val="21"/>
                      <w:szCs w:val="21"/>
                    </w:rPr>
                    <w:t>（m）</w:t>
                  </w:r>
                </w:p>
              </w:tc>
              <w:tc>
                <w:tcPr>
                  <w:tcW w:w="1754" w:type="pct"/>
                  <w:gridSpan w:val="4"/>
                  <w:tcBorders>
                    <w:top w:val="single" w:color="auto" w:sz="4" w:space="0"/>
                    <w:left w:val="nil"/>
                    <w:bottom w:val="nil"/>
                    <w:right w:val="single" w:color="auto" w:sz="4" w:space="0"/>
                  </w:tcBorders>
                  <w:noWrap w:val="0"/>
                  <w:vAlign w:val="center"/>
                </w:tcPr>
                <w:p w14:paraId="5ED4D025">
                  <w:pPr>
                    <w:snapToGrid w:val="0"/>
                    <w:spacing w:line="240" w:lineRule="auto"/>
                    <w:ind w:firstLine="0" w:firstLineChars="0"/>
                    <w:jc w:val="center"/>
                    <w:rPr>
                      <w:b/>
                      <w:bCs/>
                      <w:color w:val="auto"/>
                      <w:sz w:val="21"/>
                      <w:szCs w:val="21"/>
                    </w:rPr>
                  </w:pPr>
                  <w:r>
                    <w:rPr>
                      <w:b/>
                      <w:bCs/>
                      <w:color w:val="auto"/>
                      <w:sz w:val="21"/>
                      <w:szCs w:val="21"/>
                    </w:rPr>
                    <w:t>排气筒参数</w:t>
                  </w:r>
                </w:p>
              </w:tc>
            </w:tr>
            <w:tr w14:paraId="6AF95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73" w:type="pct"/>
                  <w:vMerge w:val="continue"/>
                  <w:tcBorders>
                    <w:top w:val="single" w:color="auto" w:sz="4" w:space="0"/>
                    <w:left w:val="single" w:color="auto" w:sz="4" w:space="0"/>
                    <w:bottom w:val="single" w:color="auto" w:sz="4" w:space="0"/>
                    <w:right w:val="single" w:color="auto" w:sz="4" w:space="0"/>
                  </w:tcBorders>
                  <w:noWrap w:val="0"/>
                  <w:vAlign w:val="center"/>
                </w:tcPr>
                <w:p w14:paraId="1AC3D949">
                  <w:pPr>
                    <w:spacing w:line="240" w:lineRule="auto"/>
                    <w:ind w:firstLine="0" w:firstLineChars="0"/>
                    <w:jc w:val="center"/>
                    <w:rPr>
                      <w:b/>
                      <w:bCs/>
                      <w:color w:val="auto"/>
                      <w:sz w:val="21"/>
                      <w:szCs w:val="21"/>
                    </w:rPr>
                  </w:pPr>
                </w:p>
              </w:tc>
              <w:tc>
                <w:tcPr>
                  <w:tcW w:w="984" w:type="pct"/>
                  <w:tcBorders>
                    <w:top w:val="single" w:color="auto" w:sz="4" w:space="0"/>
                    <w:left w:val="nil"/>
                    <w:bottom w:val="single" w:color="auto" w:sz="4" w:space="0"/>
                    <w:right w:val="single" w:color="auto" w:sz="4" w:space="0"/>
                  </w:tcBorders>
                  <w:noWrap w:val="0"/>
                  <w:vAlign w:val="center"/>
                </w:tcPr>
                <w:p w14:paraId="3341FD51">
                  <w:pPr>
                    <w:snapToGrid w:val="0"/>
                    <w:spacing w:line="240" w:lineRule="auto"/>
                    <w:ind w:firstLine="0" w:firstLineChars="0"/>
                    <w:jc w:val="center"/>
                    <w:rPr>
                      <w:b/>
                      <w:bCs/>
                      <w:color w:val="auto"/>
                      <w:sz w:val="21"/>
                      <w:szCs w:val="21"/>
                    </w:rPr>
                  </w:pPr>
                  <w:r>
                    <w:rPr>
                      <w:b/>
                      <w:bCs/>
                      <w:color w:val="auto"/>
                      <w:sz w:val="21"/>
                      <w:szCs w:val="21"/>
                    </w:rPr>
                    <w:t>经度</w:t>
                  </w:r>
                </w:p>
              </w:tc>
              <w:tc>
                <w:tcPr>
                  <w:tcW w:w="985" w:type="pct"/>
                  <w:tcBorders>
                    <w:top w:val="single" w:color="auto" w:sz="4" w:space="0"/>
                    <w:left w:val="nil"/>
                    <w:bottom w:val="single" w:color="auto" w:sz="4" w:space="0"/>
                    <w:right w:val="single" w:color="auto" w:sz="4" w:space="0"/>
                  </w:tcBorders>
                  <w:noWrap w:val="0"/>
                  <w:vAlign w:val="center"/>
                </w:tcPr>
                <w:p w14:paraId="632C2782">
                  <w:pPr>
                    <w:snapToGrid w:val="0"/>
                    <w:spacing w:line="240" w:lineRule="auto"/>
                    <w:ind w:firstLine="0" w:firstLineChars="0"/>
                    <w:jc w:val="center"/>
                    <w:rPr>
                      <w:b/>
                      <w:bCs/>
                      <w:color w:val="auto"/>
                      <w:sz w:val="21"/>
                      <w:szCs w:val="21"/>
                    </w:rPr>
                  </w:pPr>
                  <w:r>
                    <w:rPr>
                      <w:b/>
                      <w:bCs/>
                      <w:color w:val="auto"/>
                      <w:sz w:val="21"/>
                      <w:szCs w:val="21"/>
                    </w:rPr>
                    <w:t>纬度</w:t>
                  </w:r>
                </w:p>
              </w:tc>
              <w:tc>
                <w:tcPr>
                  <w:tcW w:w="403" w:type="pct"/>
                  <w:vMerge w:val="continue"/>
                  <w:tcBorders>
                    <w:top w:val="single" w:color="auto" w:sz="4" w:space="0"/>
                    <w:left w:val="nil"/>
                    <w:bottom w:val="single" w:color="auto" w:sz="4" w:space="0"/>
                    <w:right w:val="single" w:color="auto" w:sz="4" w:space="0"/>
                  </w:tcBorders>
                  <w:noWrap w:val="0"/>
                  <w:vAlign w:val="center"/>
                </w:tcPr>
                <w:p w14:paraId="58ABA118">
                  <w:pPr>
                    <w:spacing w:line="240" w:lineRule="auto"/>
                    <w:ind w:firstLine="0" w:firstLineChars="0"/>
                    <w:jc w:val="center"/>
                    <w:rPr>
                      <w:b/>
                      <w:bCs/>
                      <w:color w:val="auto"/>
                      <w:sz w:val="21"/>
                      <w:szCs w:val="21"/>
                    </w:rPr>
                  </w:pPr>
                </w:p>
              </w:tc>
              <w:tc>
                <w:tcPr>
                  <w:tcW w:w="403" w:type="pct"/>
                  <w:tcBorders>
                    <w:top w:val="single" w:color="auto" w:sz="4" w:space="0"/>
                    <w:left w:val="nil"/>
                    <w:bottom w:val="single" w:color="auto" w:sz="4" w:space="0"/>
                    <w:right w:val="single" w:color="auto" w:sz="4" w:space="0"/>
                  </w:tcBorders>
                  <w:noWrap w:val="0"/>
                  <w:vAlign w:val="center"/>
                </w:tcPr>
                <w:p w14:paraId="0E167879">
                  <w:pPr>
                    <w:snapToGrid w:val="0"/>
                    <w:spacing w:line="240" w:lineRule="auto"/>
                    <w:ind w:firstLine="0" w:firstLineChars="0"/>
                    <w:jc w:val="center"/>
                    <w:rPr>
                      <w:b/>
                      <w:bCs/>
                      <w:color w:val="auto"/>
                      <w:sz w:val="21"/>
                      <w:szCs w:val="21"/>
                    </w:rPr>
                  </w:pPr>
                  <w:r>
                    <w:rPr>
                      <w:b/>
                      <w:bCs/>
                      <w:color w:val="auto"/>
                      <w:sz w:val="21"/>
                      <w:szCs w:val="21"/>
                    </w:rPr>
                    <w:t>高度</w:t>
                  </w:r>
                </w:p>
                <w:p w14:paraId="09D90CB7">
                  <w:pPr>
                    <w:snapToGrid w:val="0"/>
                    <w:spacing w:line="240" w:lineRule="auto"/>
                    <w:ind w:firstLine="0" w:firstLineChars="0"/>
                    <w:jc w:val="center"/>
                    <w:rPr>
                      <w:b/>
                      <w:bCs/>
                      <w:color w:val="auto"/>
                      <w:sz w:val="21"/>
                      <w:szCs w:val="21"/>
                    </w:rPr>
                  </w:pPr>
                  <w:r>
                    <w:rPr>
                      <w:rFonts w:hint="eastAsia"/>
                      <w:b/>
                      <w:bCs/>
                      <w:color w:val="auto"/>
                      <w:sz w:val="21"/>
                      <w:szCs w:val="21"/>
                      <w:lang w:eastAsia="zh-CN"/>
                    </w:rPr>
                    <w:t>(</w:t>
                  </w:r>
                  <w:r>
                    <w:rPr>
                      <w:b/>
                      <w:bCs/>
                      <w:color w:val="auto"/>
                      <w:sz w:val="21"/>
                      <w:szCs w:val="21"/>
                    </w:rPr>
                    <w:t>m</w:t>
                  </w:r>
                  <w:r>
                    <w:rPr>
                      <w:rFonts w:hint="eastAsia"/>
                      <w:b/>
                      <w:bCs/>
                      <w:color w:val="auto"/>
                      <w:sz w:val="21"/>
                      <w:szCs w:val="21"/>
                      <w:lang w:eastAsia="zh-CN"/>
                    </w:rPr>
                    <w:t>)</w:t>
                  </w:r>
                </w:p>
              </w:tc>
              <w:tc>
                <w:tcPr>
                  <w:tcW w:w="404" w:type="pct"/>
                  <w:tcBorders>
                    <w:top w:val="single" w:color="auto" w:sz="4" w:space="0"/>
                    <w:left w:val="nil"/>
                    <w:bottom w:val="single" w:color="auto" w:sz="4" w:space="0"/>
                    <w:right w:val="single" w:color="auto" w:sz="4" w:space="0"/>
                  </w:tcBorders>
                  <w:noWrap w:val="0"/>
                  <w:vAlign w:val="center"/>
                </w:tcPr>
                <w:p w14:paraId="629361BF">
                  <w:pPr>
                    <w:snapToGrid w:val="0"/>
                    <w:spacing w:line="240" w:lineRule="auto"/>
                    <w:ind w:firstLine="0" w:firstLineChars="0"/>
                    <w:jc w:val="center"/>
                    <w:rPr>
                      <w:b/>
                      <w:bCs/>
                      <w:color w:val="auto"/>
                      <w:sz w:val="21"/>
                      <w:szCs w:val="21"/>
                    </w:rPr>
                  </w:pPr>
                  <w:r>
                    <w:rPr>
                      <w:b/>
                      <w:bCs/>
                      <w:color w:val="auto"/>
                      <w:sz w:val="21"/>
                      <w:szCs w:val="21"/>
                    </w:rPr>
                    <w:t>内径</w:t>
                  </w:r>
                </w:p>
                <w:p w14:paraId="34354615">
                  <w:pPr>
                    <w:snapToGrid w:val="0"/>
                    <w:spacing w:line="240" w:lineRule="auto"/>
                    <w:ind w:firstLine="0" w:firstLineChars="0"/>
                    <w:jc w:val="center"/>
                    <w:rPr>
                      <w:b/>
                      <w:bCs/>
                      <w:color w:val="auto"/>
                      <w:sz w:val="21"/>
                      <w:szCs w:val="21"/>
                    </w:rPr>
                  </w:pPr>
                  <w:r>
                    <w:rPr>
                      <w:rFonts w:hint="eastAsia"/>
                      <w:b/>
                      <w:bCs/>
                      <w:color w:val="auto"/>
                      <w:sz w:val="21"/>
                      <w:szCs w:val="21"/>
                      <w:lang w:eastAsia="zh-CN"/>
                    </w:rPr>
                    <w:t>(</w:t>
                  </w:r>
                  <w:r>
                    <w:rPr>
                      <w:b/>
                      <w:bCs/>
                      <w:color w:val="auto"/>
                      <w:sz w:val="21"/>
                      <w:szCs w:val="21"/>
                    </w:rPr>
                    <w:t>m</w:t>
                  </w:r>
                  <w:r>
                    <w:rPr>
                      <w:rFonts w:hint="eastAsia"/>
                      <w:b/>
                      <w:bCs/>
                      <w:color w:val="auto"/>
                      <w:sz w:val="21"/>
                      <w:szCs w:val="21"/>
                      <w:lang w:eastAsia="zh-CN"/>
                    </w:rPr>
                    <w:t>)</w:t>
                  </w:r>
                </w:p>
              </w:tc>
              <w:tc>
                <w:tcPr>
                  <w:tcW w:w="442" w:type="pct"/>
                  <w:tcBorders>
                    <w:top w:val="single" w:color="auto" w:sz="4" w:space="0"/>
                    <w:left w:val="nil"/>
                    <w:bottom w:val="single" w:color="auto" w:sz="4" w:space="0"/>
                    <w:right w:val="single" w:color="auto" w:sz="4" w:space="0"/>
                  </w:tcBorders>
                  <w:noWrap w:val="0"/>
                  <w:vAlign w:val="center"/>
                </w:tcPr>
                <w:p w14:paraId="5EC85154">
                  <w:pPr>
                    <w:snapToGrid w:val="0"/>
                    <w:spacing w:line="240" w:lineRule="auto"/>
                    <w:ind w:firstLine="0" w:firstLineChars="0"/>
                    <w:jc w:val="center"/>
                    <w:rPr>
                      <w:b/>
                      <w:bCs/>
                      <w:color w:val="auto"/>
                      <w:sz w:val="21"/>
                      <w:szCs w:val="21"/>
                    </w:rPr>
                  </w:pPr>
                  <w:r>
                    <w:rPr>
                      <w:b/>
                      <w:bCs/>
                      <w:color w:val="auto"/>
                      <w:sz w:val="21"/>
                      <w:szCs w:val="21"/>
                    </w:rPr>
                    <w:t>温度</w:t>
                  </w:r>
                </w:p>
                <w:p w14:paraId="443774F0">
                  <w:pPr>
                    <w:snapToGrid w:val="0"/>
                    <w:spacing w:line="240" w:lineRule="auto"/>
                    <w:ind w:firstLine="0" w:firstLineChars="0"/>
                    <w:jc w:val="center"/>
                    <w:rPr>
                      <w:b/>
                      <w:bCs/>
                      <w:color w:val="auto"/>
                      <w:sz w:val="21"/>
                      <w:szCs w:val="21"/>
                    </w:rPr>
                  </w:pPr>
                  <w:r>
                    <w:rPr>
                      <w:b/>
                      <w:bCs/>
                      <w:color w:val="auto"/>
                      <w:sz w:val="21"/>
                      <w:szCs w:val="21"/>
                    </w:rPr>
                    <w:t>（℃）</w:t>
                  </w:r>
                </w:p>
              </w:tc>
              <w:tc>
                <w:tcPr>
                  <w:tcW w:w="503" w:type="pct"/>
                  <w:tcBorders>
                    <w:top w:val="single" w:color="auto" w:sz="4" w:space="0"/>
                    <w:left w:val="nil"/>
                    <w:bottom w:val="single" w:color="auto" w:sz="4" w:space="0"/>
                    <w:right w:val="single" w:color="auto" w:sz="4" w:space="0"/>
                  </w:tcBorders>
                  <w:noWrap w:val="0"/>
                  <w:vAlign w:val="center"/>
                </w:tcPr>
                <w:p w14:paraId="2AB62C64">
                  <w:pPr>
                    <w:snapToGrid w:val="0"/>
                    <w:spacing w:line="240" w:lineRule="auto"/>
                    <w:ind w:firstLine="0" w:firstLineChars="0"/>
                    <w:jc w:val="center"/>
                    <w:rPr>
                      <w:b/>
                      <w:bCs/>
                      <w:color w:val="auto"/>
                      <w:sz w:val="21"/>
                      <w:szCs w:val="21"/>
                    </w:rPr>
                  </w:pPr>
                  <w:r>
                    <w:rPr>
                      <w:b/>
                      <w:bCs/>
                      <w:color w:val="auto"/>
                      <w:sz w:val="21"/>
                      <w:szCs w:val="21"/>
                    </w:rPr>
                    <w:t>流速</w:t>
                  </w:r>
                </w:p>
                <w:p w14:paraId="39945919">
                  <w:pPr>
                    <w:snapToGrid w:val="0"/>
                    <w:spacing w:line="240" w:lineRule="auto"/>
                    <w:ind w:firstLine="0" w:firstLineChars="0"/>
                    <w:jc w:val="center"/>
                    <w:rPr>
                      <w:b/>
                      <w:bCs/>
                      <w:color w:val="auto"/>
                      <w:sz w:val="21"/>
                      <w:szCs w:val="21"/>
                    </w:rPr>
                  </w:pPr>
                  <w:r>
                    <w:rPr>
                      <w:rFonts w:hint="eastAsia"/>
                      <w:b/>
                      <w:bCs/>
                      <w:color w:val="auto"/>
                      <w:sz w:val="21"/>
                      <w:szCs w:val="21"/>
                      <w:lang w:eastAsia="zh-CN"/>
                    </w:rPr>
                    <w:t>(</w:t>
                  </w:r>
                  <w:r>
                    <w:rPr>
                      <w:b/>
                      <w:bCs/>
                      <w:color w:val="auto"/>
                      <w:sz w:val="21"/>
                      <w:szCs w:val="21"/>
                    </w:rPr>
                    <w:t>m/s</w:t>
                  </w:r>
                  <w:r>
                    <w:rPr>
                      <w:rFonts w:hint="eastAsia"/>
                      <w:b/>
                      <w:bCs/>
                      <w:color w:val="auto"/>
                      <w:sz w:val="21"/>
                      <w:szCs w:val="21"/>
                      <w:lang w:eastAsia="zh-CN"/>
                    </w:rPr>
                    <w:t>)</w:t>
                  </w:r>
                </w:p>
              </w:tc>
            </w:tr>
            <w:tr w14:paraId="02FAB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873" w:type="pct"/>
                  <w:tcBorders>
                    <w:top w:val="single" w:color="auto" w:sz="4" w:space="0"/>
                    <w:left w:val="single" w:color="auto" w:sz="4" w:space="0"/>
                    <w:right w:val="single" w:color="auto" w:sz="4" w:space="0"/>
                  </w:tcBorders>
                  <w:noWrap w:val="0"/>
                  <w:vAlign w:val="center"/>
                </w:tcPr>
                <w:p w14:paraId="1337BDD7">
                  <w:pPr>
                    <w:spacing w:line="240" w:lineRule="auto"/>
                    <w:ind w:firstLine="0" w:firstLineChars="0"/>
                    <w:jc w:val="center"/>
                    <w:rPr>
                      <w:rFonts w:hint="eastAsia"/>
                      <w:color w:val="auto"/>
                      <w:sz w:val="21"/>
                      <w:szCs w:val="21"/>
                    </w:rPr>
                  </w:pPr>
                  <w:r>
                    <w:rPr>
                      <w:rFonts w:hint="eastAsia"/>
                      <w:color w:val="auto"/>
                      <w:sz w:val="21"/>
                      <w:szCs w:val="21"/>
                    </w:rPr>
                    <w:t>生物质锅炉排气筒（DA00</w:t>
                  </w:r>
                  <w:r>
                    <w:rPr>
                      <w:rFonts w:hint="eastAsia"/>
                      <w:color w:val="auto"/>
                      <w:sz w:val="21"/>
                      <w:szCs w:val="21"/>
                      <w:lang w:val="en-US" w:eastAsia="zh-CN"/>
                    </w:rPr>
                    <w:t>1</w:t>
                  </w:r>
                  <w:r>
                    <w:rPr>
                      <w:rFonts w:hint="eastAsia"/>
                      <w:color w:val="auto"/>
                      <w:sz w:val="21"/>
                      <w:szCs w:val="21"/>
                    </w:rPr>
                    <w:t>）</w:t>
                  </w:r>
                </w:p>
              </w:tc>
              <w:tc>
                <w:tcPr>
                  <w:tcW w:w="984" w:type="pct"/>
                  <w:tcBorders>
                    <w:top w:val="single" w:color="auto" w:sz="4" w:space="0"/>
                    <w:left w:val="nil"/>
                    <w:right w:val="single" w:color="auto" w:sz="4" w:space="0"/>
                  </w:tcBorders>
                  <w:noWrap w:val="0"/>
                  <w:vAlign w:val="center"/>
                </w:tcPr>
                <w:p w14:paraId="5914DF8B">
                  <w:pPr>
                    <w:spacing w:line="240" w:lineRule="auto"/>
                    <w:ind w:firstLine="0" w:firstLineChars="0"/>
                    <w:jc w:val="center"/>
                    <w:rPr>
                      <w:rFonts w:hint="eastAsia"/>
                      <w:color w:val="auto"/>
                      <w:sz w:val="21"/>
                      <w:szCs w:val="21"/>
                    </w:rPr>
                  </w:pPr>
                  <w:r>
                    <w:rPr>
                      <w:rFonts w:hint="eastAsia"/>
                      <w:color w:val="auto"/>
                      <w:sz w:val="21"/>
                      <w:szCs w:val="21"/>
                    </w:rPr>
                    <w:t>1</w:t>
                  </w:r>
                  <w:r>
                    <w:rPr>
                      <w:color w:val="auto"/>
                      <w:sz w:val="21"/>
                      <w:szCs w:val="21"/>
                    </w:rPr>
                    <w:t>03.293083005</w:t>
                  </w:r>
                  <w:r>
                    <w:rPr>
                      <w:rFonts w:hint="eastAsia"/>
                      <w:color w:val="auto"/>
                      <w:sz w:val="21"/>
                      <w:szCs w:val="21"/>
                    </w:rPr>
                    <w:t>°</w:t>
                  </w:r>
                </w:p>
              </w:tc>
              <w:tc>
                <w:tcPr>
                  <w:tcW w:w="985" w:type="pct"/>
                  <w:tcBorders>
                    <w:top w:val="single" w:color="auto" w:sz="4" w:space="0"/>
                    <w:left w:val="nil"/>
                    <w:right w:val="single" w:color="auto" w:sz="4" w:space="0"/>
                  </w:tcBorders>
                  <w:noWrap w:val="0"/>
                  <w:vAlign w:val="center"/>
                </w:tcPr>
                <w:p w14:paraId="38B8A6B1">
                  <w:pPr>
                    <w:spacing w:line="240" w:lineRule="auto"/>
                    <w:ind w:firstLine="0" w:firstLineChars="0"/>
                    <w:jc w:val="center"/>
                    <w:rPr>
                      <w:rFonts w:hint="eastAsia"/>
                      <w:color w:val="auto"/>
                      <w:sz w:val="21"/>
                      <w:szCs w:val="21"/>
                    </w:rPr>
                  </w:pPr>
                  <w:r>
                    <w:rPr>
                      <w:rFonts w:hint="eastAsia"/>
                      <w:color w:val="auto"/>
                      <w:sz w:val="21"/>
                      <w:szCs w:val="21"/>
                    </w:rPr>
                    <w:t>2</w:t>
                  </w:r>
                  <w:r>
                    <w:rPr>
                      <w:color w:val="auto"/>
                      <w:sz w:val="21"/>
                      <w:szCs w:val="21"/>
                    </w:rPr>
                    <w:t>5.534938994</w:t>
                  </w:r>
                  <w:r>
                    <w:rPr>
                      <w:rFonts w:hint="eastAsia"/>
                      <w:color w:val="auto"/>
                      <w:sz w:val="21"/>
                      <w:szCs w:val="21"/>
                    </w:rPr>
                    <w:t>°</w:t>
                  </w:r>
                </w:p>
              </w:tc>
              <w:tc>
                <w:tcPr>
                  <w:tcW w:w="403" w:type="pct"/>
                  <w:tcBorders>
                    <w:top w:val="single" w:color="auto" w:sz="4" w:space="0"/>
                    <w:left w:val="nil"/>
                    <w:right w:val="single" w:color="auto" w:sz="4" w:space="0"/>
                  </w:tcBorders>
                  <w:noWrap w:val="0"/>
                  <w:vAlign w:val="center"/>
                </w:tcPr>
                <w:p w14:paraId="4266F26B">
                  <w:pPr>
                    <w:spacing w:line="240" w:lineRule="auto"/>
                    <w:ind w:firstLine="0" w:firstLineChars="0"/>
                    <w:jc w:val="center"/>
                    <w:rPr>
                      <w:rFonts w:hint="eastAsia"/>
                      <w:color w:val="auto"/>
                      <w:sz w:val="21"/>
                      <w:szCs w:val="21"/>
                    </w:rPr>
                  </w:pPr>
                  <w:r>
                    <w:rPr>
                      <w:rFonts w:hint="eastAsia"/>
                      <w:color w:val="auto"/>
                      <w:sz w:val="21"/>
                      <w:szCs w:val="21"/>
                    </w:rPr>
                    <w:t>1</w:t>
                  </w:r>
                  <w:r>
                    <w:rPr>
                      <w:color w:val="auto"/>
                      <w:sz w:val="21"/>
                      <w:szCs w:val="21"/>
                    </w:rPr>
                    <w:t>868</w:t>
                  </w:r>
                </w:p>
              </w:tc>
              <w:tc>
                <w:tcPr>
                  <w:tcW w:w="403" w:type="pct"/>
                  <w:tcBorders>
                    <w:top w:val="single" w:color="auto" w:sz="4" w:space="0"/>
                    <w:left w:val="nil"/>
                    <w:right w:val="single" w:color="auto" w:sz="4" w:space="0"/>
                  </w:tcBorders>
                  <w:noWrap w:val="0"/>
                  <w:vAlign w:val="center"/>
                </w:tcPr>
                <w:p w14:paraId="24606623">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30</w:t>
                  </w:r>
                </w:p>
              </w:tc>
              <w:tc>
                <w:tcPr>
                  <w:tcW w:w="404" w:type="pct"/>
                  <w:tcBorders>
                    <w:top w:val="single" w:color="auto" w:sz="4" w:space="0"/>
                    <w:left w:val="nil"/>
                    <w:right w:val="single" w:color="auto" w:sz="4" w:space="0"/>
                  </w:tcBorders>
                  <w:noWrap w:val="0"/>
                  <w:vAlign w:val="center"/>
                </w:tcPr>
                <w:p w14:paraId="360A0BD2">
                  <w:pPr>
                    <w:spacing w:line="240" w:lineRule="auto"/>
                    <w:ind w:firstLine="0" w:firstLineChars="0"/>
                    <w:jc w:val="center"/>
                    <w:rPr>
                      <w:rFonts w:hint="eastAsia"/>
                      <w:color w:val="auto"/>
                      <w:sz w:val="21"/>
                      <w:szCs w:val="21"/>
                    </w:rPr>
                  </w:pPr>
                  <w:r>
                    <w:rPr>
                      <w:rFonts w:hint="eastAsia"/>
                      <w:color w:val="auto"/>
                      <w:sz w:val="21"/>
                      <w:szCs w:val="21"/>
                    </w:rPr>
                    <w:t>0</w:t>
                  </w:r>
                  <w:r>
                    <w:rPr>
                      <w:color w:val="auto"/>
                      <w:sz w:val="21"/>
                      <w:szCs w:val="21"/>
                    </w:rPr>
                    <w:t>.15</w:t>
                  </w:r>
                </w:p>
              </w:tc>
              <w:tc>
                <w:tcPr>
                  <w:tcW w:w="442" w:type="pct"/>
                  <w:tcBorders>
                    <w:top w:val="single" w:color="auto" w:sz="4" w:space="0"/>
                    <w:left w:val="nil"/>
                    <w:right w:val="single" w:color="auto" w:sz="4" w:space="0"/>
                  </w:tcBorders>
                  <w:noWrap w:val="0"/>
                  <w:vAlign w:val="center"/>
                </w:tcPr>
                <w:p w14:paraId="3BD51CA9">
                  <w:pPr>
                    <w:spacing w:line="240" w:lineRule="auto"/>
                    <w:ind w:firstLine="0" w:firstLineChars="0"/>
                    <w:jc w:val="center"/>
                    <w:rPr>
                      <w:color w:val="auto"/>
                      <w:sz w:val="21"/>
                      <w:szCs w:val="21"/>
                    </w:rPr>
                  </w:pPr>
                  <w:r>
                    <w:rPr>
                      <w:rFonts w:hint="eastAsia"/>
                      <w:color w:val="auto"/>
                      <w:sz w:val="21"/>
                      <w:szCs w:val="21"/>
                    </w:rPr>
                    <w:t>2</w:t>
                  </w:r>
                  <w:r>
                    <w:rPr>
                      <w:color w:val="auto"/>
                      <w:sz w:val="21"/>
                      <w:szCs w:val="21"/>
                    </w:rPr>
                    <w:t>5</w:t>
                  </w:r>
                </w:p>
              </w:tc>
              <w:tc>
                <w:tcPr>
                  <w:tcW w:w="503" w:type="pct"/>
                  <w:tcBorders>
                    <w:top w:val="single" w:color="auto" w:sz="4" w:space="0"/>
                    <w:left w:val="nil"/>
                    <w:right w:val="single" w:color="auto" w:sz="4" w:space="0"/>
                  </w:tcBorders>
                  <w:noWrap w:val="0"/>
                  <w:vAlign w:val="center"/>
                </w:tcPr>
                <w:p w14:paraId="6CDEBD8D">
                  <w:pPr>
                    <w:spacing w:line="240" w:lineRule="auto"/>
                    <w:ind w:firstLine="0" w:firstLineChars="0"/>
                    <w:jc w:val="center"/>
                    <w:rPr>
                      <w:rFonts w:hint="eastAsia"/>
                      <w:color w:val="auto"/>
                      <w:sz w:val="21"/>
                      <w:szCs w:val="21"/>
                    </w:rPr>
                  </w:pPr>
                  <w:r>
                    <w:rPr>
                      <w:rFonts w:hint="eastAsia"/>
                      <w:color w:val="auto"/>
                      <w:sz w:val="21"/>
                      <w:szCs w:val="21"/>
                    </w:rPr>
                    <w:t>1</w:t>
                  </w:r>
                  <w:r>
                    <w:rPr>
                      <w:color w:val="auto"/>
                      <w:sz w:val="21"/>
                      <w:szCs w:val="21"/>
                    </w:rPr>
                    <w:t>5</w:t>
                  </w:r>
                </w:p>
              </w:tc>
            </w:tr>
          </w:tbl>
          <w:p w14:paraId="20F68863">
            <w:pPr>
              <w:spacing w:before="240" w:beforeLines="100"/>
              <w:ind w:firstLine="480"/>
              <w:rPr>
                <w:b/>
                <w:bCs/>
                <w:color w:val="auto"/>
              </w:rPr>
            </w:pPr>
            <w:r>
              <w:rPr>
                <w:iCs/>
                <w:color w:val="auto"/>
              </w:rPr>
              <w:t>由上表可知，项目正常情况下</w:t>
            </w:r>
            <w:r>
              <w:rPr>
                <w:rFonts w:hint="eastAsia"/>
                <w:iCs/>
                <w:color w:val="auto"/>
              </w:rPr>
              <w:t>筒仓仓顶排口</w:t>
            </w:r>
            <w:r>
              <w:rPr>
                <w:iCs/>
                <w:color w:val="auto"/>
              </w:rPr>
              <w:t>排放的有组织颗粒物的排放浓度能够达到</w:t>
            </w:r>
            <w:r>
              <w:rPr>
                <w:rFonts w:hint="eastAsia"/>
                <w:iCs/>
                <w:color w:val="auto"/>
              </w:rPr>
              <w:t>《水泥工业大气污染物排放标准》（GB4915-2013）表1现有与新建企业大气污染物排放限值中的“水泥仓及其他通风生产设备颗粒物排放浓度：20mg/m</w:t>
            </w:r>
            <w:r>
              <w:rPr>
                <w:rFonts w:hint="eastAsia"/>
                <w:iCs/>
                <w:color w:val="auto"/>
                <w:vertAlign w:val="superscript"/>
              </w:rPr>
              <w:t>3</w:t>
            </w:r>
            <w:r>
              <w:rPr>
                <w:rFonts w:hint="eastAsia"/>
                <w:iCs/>
                <w:color w:val="auto"/>
              </w:rPr>
              <w:t>的</w:t>
            </w:r>
            <w:r>
              <w:rPr>
                <w:iCs/>
                <w:color w:val="auto"/>
              </w:rPr>
              <w:t>排放限值要求</w:t>
            </w:r>
            <w:r>
              <w:rPr>
                <w:rFonts w:hint="eastAsia"/>
                <w:iCs/>
                <w:color w:val="auto"/>
              </w:rPr>
              <w:t>，</w:t>
            </w:r>
            <w:r>
              <w:rPr>
                <w:iCs/>
                <w:color w:val="auto"/>
              </w:rPr>
              <w:t>正常情况下</w:t>
            </w:r>
            <w:r>
              <w:rPr>
                <w:rFonts w:hint="eastAsia"/>
                <w:iCs/>
                <w:color w:val="auto"/>
              </w:rPr>
              <w:t>排气筒DA00</w:t>
            </w:r>
            <w:r>
              <w:rPr>
                <w:rFonts w:hint="eastAsia"/>
                <w:iCs/>
                <w:color w:val="auto"/>
                <w:lang w:val="en-US" w:eastAsia="zh-CN"/>
              </w:rPr>
              <w:t>1</w:t>
            </w:r>
            <w:r>
              <w:rPr>
                <w:iCs/>
                <w:color w:val="auto"/>
              </w:rPr>
              <w:t>排放的有组织</w:t>
            </w:r>
            <w:r>
              <w:rPr>
                <w:rFonts w:hint="eastAsia"/>
                <w:iCs/>
                <w:color w:val="auto"/>
              </w:rPr>
              <w:t>废气</w:t>
            </w:r>
            <w:r>
              <w:rPr>
                <w:iCs/>
                <w:color w:val="auto"/>
              </w:rPr>
              <w:t>的排放浓度能够达到</w:t>
            </w:r>
            <w:r>
              <w:rPr>
                <w:color w:val="auto"/>
              </w:rPr>
              <w:t>《锅炉大气污染物排放标准》（GB13271-2014）中“表2新建锅炉大气污染物排放浓度限值</w:t>
            </w:r>
            <w:r>
              <w:rPr>
                <w:rFonts w:hint="eastAsia"/>
                <w:color w:val="auto"/>
              </w:rPr>
              <w:t>S</w:t>
            </w:r>
            <w:r>
              <w:rPr>
                <w:color w:val="auto"/>
              </w:rPr>
              <w:t>O</w:t>
            </w:r>
            <w:r>
              <w:rPr>
                <w:color w:val="auto"/>
                <w:vertAlign w:val="subscript"/>
              </w:rPr>
              <w:t>2</w:t>
            </w:r>
            <w:r>
              <w:rPr>
                <w:rFonts w:hint="eastAsia"/>
                <w:b/>
                <w:bCs/>
                <w:color w:val="auto"/>
                <w:vertAlign w:val="baseline"/>
                <w:lang w:eastAsia="zh-CN"/>
              </w:rPr>
              <w:t>:</w:t>
            </w:r>
            <w:r>
              <w:rPr>
                <w:color w:val="auto"/>
              </w:rPr>
              <w:t>300</w:t>
            </w:r>
            <w:r>
              <w:rPr>
                <w:rFonts w:hint="eastAsia"/>
                <w:color w:val="auto"/>
              </w:rPr>
              <w:t>m</w:t>
            </w:r>
            <w:r>
              <w:rPr>
                <w:color w:val="auto"/>
              </w:rPr>
              <w:t>g/m</w:t>
            </w:r>
            <w:r>
              <w:rPr>
                <w:color w:val="auto"/>
                <w:vertAlign w:val="superscript"/>
              </w:rPr>
              <w:t>3</w:t>
            </w:r>
            <w:r>
              <w:rPr>
                <w:rFonts w:hint="eastAsia"/>
                <w:color w:val="auto"/>
              </w:rPr>
              <w:t>，颗粒物50m</w:t>
            </w:r>
            <w:r>
              <w:rPr>
                <w:color w:val="auto"/>
              </w:rPr>
              <w:t>g/m</w:t>
            </w:r>
            <w:r>
              <w:rPr>
                <w:color w:val="auto"/>
                <w:vertAlign w:val="superscript"/>
              </w:rPr>
              <w:t>3</w:t>
            </w:r>
            <w:r>
              <w:rPr>
                <w:color w:val="auto"/>
              </w:rPr>
              <w:t>，</w:t>
            </w:r>
            <w:r>
              <w:rPr>
                <w:rFonts w:hint="eastAsia"/>
                <w:color w:val="auto"/>
              </w:rPr>
              <w:t>N</w:t>
            </w:r>
            <w:r>
              <w:rPr>
                <w:color w:val="auto"/>
              </w:rPr>
              <w:t>O</w:t>
            </w:r>
            <w:r>
              <w:rPr>
                <w:color w:val="auto"/>
                <w:vertAlign w:val="subscript"/>
              </w:rPr>
              <w:t>X</w:t>
            </w:r>
            <w:r>
              <w:rPr>
                <w:rFonts w:hint="eastAsia"/>
                <w:color w:val="auto"/>
                <w:lang w:eastAsia="zh-CN"/>
              </w:rPr>
              <w:t>：</w:t>
            </w:r>
            <w:r>
              <w:rPr>
                <w:color w:val="auto"/>
              </w:rPr>
              <w:t>300</w:t>
            </w:r>
            <w:r>
              <w:rPr>
                <w:rFonts w:hint="eastAsia"/>
                <w:color w:val="auto"/>
              </w:rPr>
              <w:t>m</w:t>
            </w:r>
            <w:r>
              <w:rPr>
                <w:color w:val="auto"/>
              </w:rPr>
              <w:t>g/m</w:t>
            </w:r>
            <w:r>
              <w:rPr>
                <w:color w:val="auto"/>
                <w:vertAlign w:val="superscript"/>
              </w:rPr>
              <w:t>3</w:t>
            </w:r>
            <w:r>
              <w:rPr>
                <w:color w:val="auto"/>
              </w:rPr>
              <w:t>”的要求</w:t>
            </w:r>
            <w:r>
              <w:rPr>
                <w:iCs/>
                <w:color w:val="auto"/>
              </w:rPr>
              <w:t>。</w:t>
            </w:r>
          </w:p>
          <w:p w14:paraId="69A5FEF1">
            <w:pPr>
              <w:snapToGrid w:val="0"/>
              <w:ind w:firstLine="482"/>
              <w:rPr>
                <w:b/>
                <w:bCs/>
                <w:color w:val="auto"/>
              </w:rPr>
            </w:pPr>
            <w:r>
              <w:rPr>
                <w:b/>
                <w:bCs/>
                <w:color w:val="auto"/>
              </w:rPr>
              <w:t>②非正常排放情况</w:t>
            </w:r>
          </w:p>
          <w:p w14:paraId="093DD6E5">
            <w:pPr>
              <w:snapToGrid w:val="0"/>
              <w:ind w:firstLine="480"/>
              <w:rPr>
                <w:color w:val="auto"/>
              </w:rPr>
            </w:pPr>
            <w:r>
              <w:rPr>
                <w:color w:val="auto"/>
              </w:rPr>
              <w:t>非正常排放主要是生产运行过程中，由于环保设施故障等原因，导致污染物的非正常排放或事故性排放，项目有组织废气非正常排放主要与除尘设施有关，本次评价假设除尘设施故障</w:t>
            </w:r>
            <w:r>
              <w:rPr>
                <w:rFonts w:hint="eastAsia"/>
                <w:color w:val="auto"/>
              </w:rPr>
              <w:t>，除尘</w:t>
            </w:r>
            <w:r>
              <w:rPr>
                <w:color w:val="auto"/>
              </w:rPr>
              <w:t>效率降至</w:t>
            </w:r>
            <w:r>
              <w:rPr>
                <w:rFonts w:hint="eastAsia"/>
                <w:color w:val="auto"/>
              </w:rPr>
              <w:t>50</w:t>
            </w:r>
            <w:r>
              <w:rPr>
                <w:color w:val="auto"/>
              </w:rPr>
              <w:t>%</w:t>
            </w:r>
            <w:r>
              <w:rPr>
                <w:rFonts w:hint="eastAsia"/>
                <w:color w:val="auto"/>
              </w:rPr>
              <w:t>或0</w:t>
            </w:r>
            <w:r>
              <w:rPr>
                <w:color w:val="auto"/>
              </w:rPr>
              <w:t>进行估算。</w:t>
            </w:r>
          </w:p>
          <w:p w14:paraId="222B497E">
            <w:pPr>
              <w:pStyle w:val="29"/>
              <w:spacing w:before="24" w:after="24"/>
              <w:rPr>
                <w:color w:val="auto"/>
              </w:rPr>
            </w:pPr>
            <w:r>
              <w:rPr>
                <w:color w:val="auto"/>
              </w:rPr>
              <w:t>表</w:t>
            </w:r>
            <w:r>
              <w:rPr>
                <w:rFonts w:hint="eastAsia"/>
                <w:color w:val="auto"/>
                <w:lang w:val="en-US" w:eastAsia="zh-CN"/>
              </w:rPr>
              <w:t>4-8</w:t>
            </w:r>
            <w:r>
              <w:rPr>
                <w:color w:val="auto"/>
              </w:rPr>
              <w:t xml:space="preserve">  项目有组织颗粒物非正常排放情况一览表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0"/>
              <w:gridCol w:w="1681"/>
              <w:gridCol w:w="962"/>
              <w:gridCol w:w="696"/>
              <w:gridCol w:w="1009"/>
              <w:gridCol w:w="700"/>
              <w:gridCol w:w="870"/>
              <w:gridCol w:w="700"/>
              <w:gridCol w:w="433"/>
              <w:gridCol w:w="433"/>
              <w:gridCol w:w="780"/>
            </w:tblGrid>
            <w:tr w14:paraId="4F4EF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247" w:type="pct"/>
                  <w:vMerge w:val="restart"/>
                  <w:noWrap w:val="0"/>
                  <w:vAlign w:val="center"/>
                </w:tcPr>
                <w:p w14:paraId="1C383AD3">
                  <w:pPr>
                    <w:autoSpaceDN w:val="0"/>
                    <w:spacing w:line="240" w:lineRule="auto"/>
                    <w:ind w:firstLine="0" w:firstLineChars="0"/>
                    <w:jc w:val="center"/>
                    <w:textAlignment w:val="center"/>
                    <w:rPr>
                      <w:b/>
                      <w:color w:val="auto"/>
                      <w:sz w:val="21"/>
                      <w:szCs w:val="21"/>
                    </w:rPr>
                  </w:pPr>
                  <w:r>
                    <w:rPr>
                      <w:b/>
                      <w:color w:val="auto"/>
                      <w:sz w:val="21"/>
                      <w:szCs w:val="21"/>
                    </w:rPr>
                    <w:t>序号</w:t>
                  </w:r>
                </w:p>
              </w:tc>
              <w:tc>
                <w:tcPr>
                  <w:tcW w:w="966" w:type="pct"/>
                  <w:vMerge w:val="restart"/>
                  <w:noWrap w:val="0"/>
                  <w:vAlign w:val="center"/>
                </w:tcPr>
                <w:p w14:paraId="2EEE3881">
                  <w:pPr>
                    <w:autoSpaceDN w:val="0"/>
                    <w:spacing w:line="240" w:lineRule="auto"/>
                    <w:ind w:firstLine="0" w:firstLineChars="0"/>
                    <w:jc w:val="center"/>
                    <w:textAlignment w:val="center"/>
                    <w:rPr>
                      <w:b/>
                      <w:color w:val="auto"/>
                      <w:sz w:val="21"/>
                      <w:szCs w:val="21"/>
                    </w:rPr>
                  </w:pPr>
                  <w:r>
                    <w:rPr>
                      <w:b/>
                      <w:color w:val="auto"/>
                      <w:sz w:val="21"/>
                      <w:szCs w:val="21"/>
                    </w:rPr>
                    <w:t>污染源</w:t>
                  </w:r>
                </w:p>
              </w:tc>
              <w:tc>
                <w:tcPr>
                  <w:tcW w:w="553" w:type="pct"/>
                  <w:vMerge w:val="restart"/>
                  <w:noWrap w:val="0"/>
                  <w:vAlign w:val="center"/>
                </w:tcPr>
                <w:p w14:paraId="5BE95792">
                  <w:pPr>
                    <w:autoSpaceDN w:val="0"/>
                    <w:spacing w:line="240" w:lineRule="auto"/>
                    <w:ind w:firstLine="0" w:firstLineChars="0"/>
                    <w:jc w:val="center"/>
                    <w:textAlignment w:val="center"/>
                    <w:rPr>
                      <w:b/>
                      <w:color w:val="auto"/>
                      <w:sz w:val="21"/>
                      <w:szCs w:val="21"/>
                    </w:rPr>
                  </w:pPr>
                  <w:r>
                    <w:rPr>
                      <w:b/>
                      <w:color w:val="auto"/>
                      <w:sz w:val="21"/>
                      <w:szCs w:val="21"/>
                    </w:rPr>
                    <w:t>非正常排放原因</w:t>
                  </w:r>
                </w:p>
              </w:tc>
              <w:tc>
                <w:tcPr>
                  <w:tcW w:w="400" w:type="pct"/>
                  <w:vMerge w:val="restart"/>
                  <w:noWrap w:val="0"/>
                  <w:vAlign w:val="center"/>
                </w:tcPr>
                <w:p w14:paraId="7A75A965">
                  <w:pPr>
                    <w:autoSpaceDN w:val="0"/>
                    <w:spacing w:line="240" w:lineRule="auto"/>
                    <w:ind w:firstLine="0" w:firstLineChars="0"/>
                    <w:jc w:val="center"/>
                    <w:textAlignment w:val="center"/>
                    <w:rPr>
                      <w:b/>
                      <w:color w:val="auto"/>
                      <w:sz w:val="21"/>
                      <w:szCs w:val="21"/>
                    </w:rPr>
                  </w:pPr>
                  <w:r>
                    <w:rPr>
                      <w:b/>
                      <w:color w:val="auto"/>
                      <w:sz w:val="21"/>
                      <w:szCs w:val="21"/>
                    </w:rPr>
                    <w:t>污染物</w:t>
                  </w:r>
                </w:p>
              </w:tc>
              <w:tc>
                <w:tcPr>
                  <w:tcW w:w="982" w:type="pct"/>
                  <w:gridSpan w:val="2"/>
                  <w:noWrap w:val="0"/>
                  <w:vAlign w:val="center"/>
                </w:tcPr>
                <w:p w14:paraId="60CC38D1">
                  <w:pPr>
                    <w:autoSpaceDN w:val="0"/>
                    <w:spacing w:line="240" w:lineRule="auto"/>
                    <w:ind w:firstLine="0" w:firstLineChars="0"/>
                    <w:jc w:val="center"/>
                    <w:textAlignment w:val="center"/>
                    <w:rPr>
                      <w:b/>
                      <w:bCs/>
                      <w:color w:val="auto"/>
                      <w:sz w:val="21"/>
                      <w:szCs w:val="21"/>
                    </w:rPr>
                  </w:pPr>
                  <w:r>
                    <w:rPr>
                      <w:rFonts w:hint="eastAsia"/>
                      <w:b/>
                      <w:bCs/>
                      <w:color w:val="auto"/>
                      <w:sz w:val="21"/>
                      <w:szCs w:val="21"/>
                    </w:rPr>
                    <w:t>除尘</w:t>
                  </w:r>
                  <w:r>
                    <w:rPr>
                      <w:b/>
                      <w:bCs/>
                      <w:color w:val="auto"/>
                      <w:sz w:val="21"/>
                      <w:szCs w:val="21"/>
                    </w:rPr>
                    <w:t>效率降至</w:t>
                  </w:r>
                  <w:r>
                    <w:rPr>
                      <w:rFonts w:hint="eastAsia"/>
                      <w:b/>
                      <w:bCs/>
                      <w:color w:val="auto"/>
                      <w:sz w:val="21"/>
                      <w:szCs w:val="21"/>
                    </w:rPr>
                    <w:t>50</w:t>
                  </w:r>
                  <w:r>
                    <w:rPr>
                      <w:b/>
                      <w:bCs/>
                      <w:color w:val="auto"/>
                      <w:sz w:val="21"/>
                      <w:szCs w:val="21"/>
                    </w:rPr>
                    <w:t>%</w:t>
                  </w:r>
                </w:p>
              </w:tc>
              <w:tc>
                <w:tcPr>
                  <w:tcW w:w="902" w:type="pct"/>
                  <w:gridSpan w:val="2"/>
                  <w:noWrap w:val="0"/>
                  <w:vAlign w:val="center"/>
                </w:tcPr>
                <w:p w14:paraId="381274F3">
                  <w:pPr>
                    <w:autoSpaceDN w:val="0"/>
                    <w:spacing w:line="240" w:lineRule="auto"/>
                    <w:ind w:firstLine="0" w:firstLineChars="0"/>
                    <w:jc w:val="center"/>
                    <w:textAlignment w:val="center"/>
                    <w:rPr>
                      <w:b/>
                      <w:color w:val="auto"/>
                      <w:sz w:val="21"/>
                      <w:szCs w:val="21"/>
                    </w:rPr>
                  </w:pPr>
                  <w:r>
                    <w:rPr>
                      <w:rFonts w:hint="eastAsia"/>
                      <w:b/>
                      <w:bCs/>
                      <w:color w:val="auto"/>
                      <w:sz w:val="21"/>
                      <w:szCs w:val="21"/>
                    </w:rPr>
                    <w:t>除尘</w:t>
                  </w:r>
                  <w:r>
                    <w:rPr>
                      <w:b/>
                      <w:bCs/>
                      <w:color w:val="auto"/>
                      <w:sz w:val="21"/>
                      <w:szCs w:val="21"/>
                    </w:rPr>
                    <w:t>效率降至</w:t>
                  </w:r>
                  <w:r>
                    <w:rPr>
                      <w:rFonts w:hint="eastAsia"/>
                      <w:b/>
                      <w:bCs/>
                      <w:color w:val="auto"/>
                      <w:sz w:val="21"/>
                      <w:szCs w:val="21"/>
                    </w:rPr>
                    <w:t>0</w:t>
                  </w:r>
                </w:p>
              </w:tc>
              <w:tc>
                <w:tcPr>
                  <w:tcW w:w="249" w:type="pct"/>
                  <w:vMerge w:val="restart"/>
                  <w:noWrap w:val="0"/>
                  <w:vAlign w:val="center"/>
                </w:tcPr>
                <w:p w14:paraId="3F50FB38">
                  <w:pPr>
                    <w:autoSpaceDN w:val="0"/>
                    <w:spacing w:line="240" w:lineRule="auto"/>
                    <w:ind w:firstLine="0" w:firstLineChars="0"/>
                    <w:jc w:val="center"/>
                    <w:textAlignment w:val="center"/>
                    <w:rPr>
                      <w:b/>
                      <w:color w:val="auto"/>
                      <w:sz w:val="21"/>
                      <w:szCs w:val="21"/>
                    </w:rPr>
                  </w:pPr>
                  <w:r>
                    <w:rPr>
                      <w:b/>
                      <w:color w:val="auto"/>
                      <w:sz w:val="21"/>
                      <w:szCs w:val="21"/>
                    </w:rPr>
                    <w:t>单次持续时间/h</w:t>
                  </w:r>
                </w:p>
              </w:tc>
              <w:tc>
                <w:tcPr>
                  <w:tcW w:w="249" w:type="pct"/>
                  <w:vMerge w:val="restart"/>
                  <w:noWrap w:val="0"/>
                  <w:vAlign w:val="center"/>
                </w:tcPr>
                <w:p w14:paraId="6BA8A3D2">
                  <w:pPr>
                    <w:autoSpaceDN w:val="0"/>
                    <w:spacing w:line="240" w:lineRule="auto"/>
                    <w:ind w:firstLine="0" w:firstLineChars="0"/>
                    <w:jc w:val="center"/>
                    <w:textAlignment w:val="center"/>
                    <w:rPr>
                      <w:b/>
                      <w:color w:val="auto"/>
                      <w:sz w:val="21"/>
                      <w:szCs w:val="21"/>
                    </w:rPr>
                  </w:pPr>
                  <w:r>
                    <w:rPr>
                      <w:b/>
                      <w:color w:val="auto"/>
                      <w:sz w:val="21"/>
                      <w:szCs w:val="21"/>
                    </w:rPr>
                    <w:t>年发生频次/次</w:t>
                  </w:r>
                </w:p>
              </w:tc>
              <w:tc>
                <w:tcPr>
                  <w:tcW w:w="448" w:type="pct"/>
                  <w:vMerge w:val="restart"/>
                  <w:noWrap w:val="0"/>
                  <w:vAlign w:val="center"/>
                </w:tcPr>
                <w:p w14:paraId="539226BC">
                  <w:pPr>
                    <w:autoSpaceDN w:val="0"/>
                    <w:spacing w:line="240" w:lineRule="auto"/>
                    <w:ind w:firstLine="0" w:firstLineChars="0"/>
                    <w:jc w:val="center"/>
                    <w:textAlignment w:val="center"/>
                    <w:rPr>
                      <w:b/>
                      <w:color w:val="auto"/>
                      <w:sz w:val="21"/>
                      <w:szCs w:val="21"/>
                    </w:rPr>
                  </w:pPr>
                  <w:r>
                    <w:rPr>
                      <w:b/>
                      <w:color w:val="auto"/>
                      <w:sz w:val="21"/>
                      <w:szCs w:val="21"/>
                    </w:rPr>
                    <w:t>应对措施</w:t>
                  </w:r>
                </w:p>
              </w:tc>
            </w:tr>
            <w:tr w14:paraId="79C73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247" w:type="pct"/>
                  <w:vMerge w:val="continue"/>
                  <w:noWrap w:val="0"/>
                  <w:vAlign w:val="center"/>
                </w:tcPr>
                <w:p w14:paraId="130A7D8F">
                  <w:pPr>
                    <w:autoSpaceDN w:val="0"/>
                    <w:spacing w:line="240" w:lineRule="auto"/>
                    <w:ind w:firstLine="0" w:firstLineChars="0"/>
                    <w:jc w:val="center"/>
                    <w:textAlignment w:val="center"/>
                    <w:rPr>
                      <w:b/>
                      <w:color w:val="auto"/>
                      <w:sz w:val="21"/>
                      <w:szCs w:val="21"/>
                    </w:rPr>
                  </w:pPr>
                </w:p>
              </w:tc>
              <w:tc>
                <w:tcPr>
                  <w:tcW w:w="966" w:type="pct"/>
                  <w:vMerge w:val="continue"/>
                  <w:noWrap w:val="0"/>
                  <w:vAlign w:val="center"/>
                </w:tcPr>
                <w:p w14:paraId="1D8ECD45">
                  <w:pPr>
                    <w:autoSpaceDN w:val="0"/>
                    <w:spacing w:line="240" w:lineRule="auto"/>
                    <w:ind w:firstLine="0" w:firstLineChars="0"/>
                    <w:jc w:val="center"/>
                    <w:textAlignment w:val="center"/>
                    <w:rPr>
                      <w:b/>
                      <w:color w:val="auto"/>
                      <w:sz w:val="21"/>
                      <w:szCs w:val="21"/>
                    </w:rPr>
                  </w:pPr>
                </w:p>
              </w:tc>
              <w:tc>
                <w:tcPr>
                  <w:tcW w:w="553" w:type="pct"/>
                  <w:vMerge w:val="continue"/>
                  <w:noWrap w:val="0"/>
                  <w:vAlign w:val="center"/>
                </w:tcPr>
                <w:p w14:paraId="06BDAC99">
                  <w:pPr>
                    <w:autoSpaceDN w:val="0"/>
                    <w:spacing w:line="240" w:lineRule="auto"/>
                    <w:ind w:firstLine="0" w:firstLineChars="0"/>
                    <w:jc w:val="center"/>
                    <w:textAlignment w:val="center"/>
                    <w:rPr>
                      <w:b/>
                      <w:color w:val="auto"/>
                      <w:sz w:val="21"/>
                      <w:szCs w:val="21"/>
                    </w:rPr>
                  </w:pPr>
                </w:p>
              </w:tc>
              <w:tc>
                <w:tcPr>
                  <w:tcW w:w="400" w:type="pct"/>
                  <w:vMerge w:val="continue"/>
                  <w:noWrap w:val="0"/>
                  <w:vAlign w:val="center"/>
                </w:tcPr>
                <w:p w14:paraId="0A411B65">
                  <w:pPr>
                    <w:autoSpaceDN w:val="0"/>
                    <w:spacing w:line="240" w:lineRule="auto"/>
                    <w:ind w:firstLine="0" w:firstLineChars="0"/>
                    <w:jc w:val="center"/>
                    <w:textAlignment w:val="center"/>
                    <w:rPr>
                      <w:b/>
                      <w:color w:val="auto"/>
                      <w:sz w:val="21"/>
                      <w:szCs w:val="21"/>
                    </w:rPr>
                  </w:pPr>
                </w:p>
              </w:tc>
              <w:tc>
                <w:tcPr>
                  <w:tcW w:w="580" w:type="pct"/>
                  <w:noWrap w:val="0"/>
                  <w:vAlign w:val="center"/>
                </w:tcPr>
                <w:p w14:paraId="627B06A8">
                  <w:pPr>
                    <w:autoSpaceDN w:val="0"/>
                    <w:spacing w:line="240" w:lineRule="auto"/>
                    <w:ind w:firstLine="0" w:firstLineChars="0"/>
                    <w:jc w:val="center"/>
                    <w:textAlignment w:val="center"/>
                    <w:rPr>
                      <w:b/>
                      <w:color w:val="auto"/>
                      <w:sz w:val="21"/>
                      <w:szCs w:val="21"/>
                    </w:rPr>
                  </w:pPr>
                  <w:r>
                    <w:rPr>
                      <w:b/>
                      <w:color w:val="auto"/>
                      <w:sz w:val="21"/>
                      <w:szCs w:val="21"/>
                    </w:rPr>
                    <w:t>非正常排放浓度/mg/m</w:t>
                  </w:r>
                  <w:r>
                    <w:rPr>
                      <w:b/>
                      <w:color w:val="auto"/>
                      <w:sz w:val="21"/>
                      <w:szCs w:val="21"/>
                      <w:vertAlign w:val="superscript"/>
                    </w:rPr>
                    <w:t>3</w:t>
                  </w:r>
                </w:p>
              </w:tc>
              <w:tc>
                <w:tcPr>
                  <w:tcW w:w="402" w:type="pct"/>
                  <w:noWrap w:val="0"/>
                  <w:vAlign w:val="center"/>
                </w:tcPr>
                <w:p w14:paraId="2218172C">
                  <w:pPr>
                    <w:autoSpaceDN w:val="0"/>
                    <w:spacing w:line="240" w:lineRule="auto"/>
                    <w:ind w:firstLine="0" w:firstLineChars="0"/>
                    <w:jc w:val="center"/>
                    <w:textAlignment w:val="center"/>
                    <w:rPr>
                      <w:b/>
                      <w:color w:val="auto"/>
                      <w:sz w:val="21"/>
                      <w:szCs w:val="21"/>
                    </w:rPr>
                  </w:pPr>
                  <w:r>
                    <w:rPr>
                      <w:b/>
                      <w:color w:val="auto"/>
                      <w:sz w:val="21"/>
                      <w:szCs w:val="21"/>
                    </w:rPr>
                    <w:t>非正常排放速率/kg/h</w:t>
                  </w:r>
                </w:p>
              </w:tc>
              <w:tc>
                <w:tcPr>
                  <w:tcW w:w="500" w:type="pct"/>
                  <w:noWrap w:val="0"/>
                  <w:vAlign w:val="center"/>
                </w:tcPr>
                <w:p w14:paraId="3549287D">
                  <w:pPr>
                    <w:autoSpaceDN w:val="0"/>
                    <w:spacing w:line="240" w:lineRule="auto"/>
                    <w:ind w:firstLine="0" w:firstLineChars="0"/>
                    <w:jc w:val="center"/>
                    <w:textAlignment w:val="center"/>
                    <w:rPr>
                      <w:b/>
                      <w:color w:val="auto"/>
                      <w:sz w:val="21"/>
                      <w:szCs w:val="21"/>
                    </w:rPr>
                  </w:pPr>
                  <w:r>
                    <w:rPr>
                      <w:b/>
                      <w:color w:val="auto"/>
                      <w:sz w:val="21"/>
                      <w:szCs w:val="21"/>
                    </w:rPr>
                    <w:t>非正常排放浓度/mg/m</w:t>
                  </w:r>
                  <w:r>
                    <w:rPr>
                      <w:b/>
                      <w:color w:val="auto"/>
                      <w:sz w:val="21"/>
                      <w:szCs w:val="21"/>
                      <w:vertAlign w:val="superscript"/>
                    </w:rPr>
                    <w:t>3</w:t>
                  </w:r>
                </w:p>
              </w:tc>
              <w:tc>
                <w:tcPr>
                  <w:tcW w:w="402" w:type="pct"/>
                  <w:noWrap w:val="0"/>
                  <w:vAlign w:val="center"/>
                </w:tcPr>
                <w:p w14:paraId="07974628">
                  <w:pPr>
                    <w:autoSpaceDN w:val="0"/>
                    <w:spacing w:line="240" w:lineRule="auto"/>
                    <w:ind w:firstLine="0" w:firstLineChars="0"/>
                    <w:jc w:val="center"/>
                    <w:textAlignment w:val="center"/>
                    <w:rPr>
                      <w:b/>
                      <w:color w:val="auto"/>
                      <w:sz w:val="21"/>
                      <w:szCs w:val="21"/>
                    </w:rPr>
                  </w:pPr>
                  <w:r>
                    <w:rPr>
                      <w:b/>
                      <w:color w:val="auto"/>
                      <w:sz w:val="21"/>
                      <w:szCs w:val="21"/>
                    </w:rPr>
                    <w:t>非正常排放速率/kg/h</w:t>
                  </w:r>
                </w:p>
              </w:tc>
              <w:tc>
                <w:tcPr>
                  <w:tcW w:w="249" w:type="pct"/>
                  <w:vMerge w:val="continue"/>
                  <w:noWrap w:val="0"/>
                  <w:vAlign w:val="center"/>
                </w:tcPr>
                <w:p w14:paraId="7280CC79">
                  <w:pPr>
                    <w:autoSpaceDN w:val="0"/>
                    <w:spacing w:line="240" w:lineRule="auto"/>
                    <w:ind w:firstLine="0" w:firstLineChars="0"/>
                    <w:jc w:val="center"/>
                    <w:textAlignment w:val="center"/>
                    <w:rPr>
                      <w:b/>
                      <w:color w:val="auto"/>
                      <w:sz w:val="21"/>
                      <w:szCs w:val="21"/>
                    </w:rPr>
                  </w:pPr>
                </w:p>
              </w:tc>
              <w:tc>
                <w:tcPr>
                  <w:tcW w:w="249" w:type="pct"/>
                  <w:vMerge w:val="continue"/>
                  <w:noWrap w:val="0"/>
                  <w:vAlign w:val="center"/>
                </w:tcPr>
                <w:p w14:paraId="58E6A388">
                  <w:pPr>
                    <w:autoSpaceDN w:val="0"/>
                    <w:spacing w:line="240" w:lineRule="auto"/>
                    <w:ind w:firstLine="0" w:firstLineChars="0"/>
                    <w:jc w:val="center"/>
                    <w:textAlignment w:val="center"/>
                    <w:rPr>
                      <w:b/>
                      <w:color w:val="auto"/>
                      <w:sz w:val="21"/>
                      <w:szCs w:val="21"/>
                    </w:rPr>
                  </w:pPr>
                </w:p>
              </w:tc>
              <w:tc>
                <w:tcPr>
                  <w:tcW w:w="448" w:type="pct"/>
                  <w:vMerge w:val="continue"/>
                  <w:noWrap w:val="0"/>
                  <w:vAlign w:val="center"/>
                </w:tcPr>
                <w:p w14:paraId="20FC3C32">
                  <w:pPr>
                    <w:autoSpaceDN w:val="0"/>
                    <w:spacing w:line="240" w:lineRule="auto"/>
                    <w:ind w:firstLine="0" w:firstLineChars="0"/>
                    <w:jc w:val="center"/>
                    <w:textAlignment w:val="center"/>
                    <w:rPr>
                      <w:b/>
                      <w:color w:val="auto"/>
                      <w:sz w:val="21"/>
                      <w:szCs w:val="21"/>
                    </w:rPr>
                  </w:pPr>
                </w:p>
              </w:tc>
            </w:tr>
            <w:tr w14:paraId="23C02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47" w:type="pct"/>
                  <w:noWrap w:val="0"/>
                  <w:vAlign w:val="center"/>
                </w:tcPr>
                <w:p w14:paraId="5DD9A62C">
                  <w:pPr>
                    <w:widowControl/>
                    <w:spacing w:line="240" w:lineRule="auto"/>
                    <w:ind w:firstLine="0" w:firstLineChars="0"/>
                    <w:jc w:val="center"/>
                    <w:rPr>
                      <w:bCs/>
                      <w:color w:val="auto"/>
                      <w:sz w:val="21"/>
                      <w:szCs w:val="21"/>
                    </w:rPr>
                  </w:pPr>
                  <w:r>
                    <w:rPr>
                      <w:color w:val="auto"/>
                      <w:sz w:val="21"/>
                      <w:szCs w:val="21"/>
                    </w:rPr>
                    <w:t>1</w:t>
                  </w:r>
                </w:p>
              </w:tc>
              <w:tc>
                <w:tcPr>
                  <w:tcW w:w="966" w:type="pct"/>
                  <w:noWrap w:val="0"/>
                  <w:vAlign w:val="center"/>
                </w:tcPr>
                <w:p w14:paraId="33928A69">
                  <w:pPr>
                    <w:widowControl/>
                    <w:spacing w:line="240" w:lineRule="auto"/>
                    <w:ind w:firstLine="0" w:firstLineChars="0"/>
                    <w:jc w:val="center"/>
                    <w:rPr>
                      <w:bCs/>
                      <w:color w:val="auto"/>
                      <w:sz w:val="21"/>
                      <w:szCs w:val="21"/>
                    </w:rPr>
                  </w:pPr>
                  <w:r>
                    <w:rPr>
                      <w:rFonts w:hint="eastAsia"/>
                      <w:color w:val="auto"/>
                      <w:sz w:val="21"/>
                      <w:szCs w:val="21"/>
                    </w:rPr>
                    <w:t>1#水泥筒仓仓顶</w:t>
                  </w:r>
                  <w:r>
                    <w:rPr>
                      <w:color w:val="auto"/>
                      <w:sz w:val="21"/>
                      <w:szCs w:val="21"/>
                    </w:rPr>
                    <w:t>排</w:t>
                  </w:r>
                  <w:r>
                    <w:rPr>
                      <w:rFonts w:hint="eastAsia"/>
                      <w:color w:val="auto"/>
                      <w:sz w:val="21"/>
                      <w:szCs w:val="21"/>
                    </w:rPr>
                    <w:t>口</w:t>
                  </w:r>
                </w:p>
              </w:tc>
              <w:tc>
                <w:tcPr>
                  <w:tcW w:w="553" w:type="pct"/>
                  <w:vMerge w:val="restart"/>
                  <w:noWrap w:val="0"/>
                  <w:vAlign w:val="center"/>
                </w:tcPr>
                <w:p w14:paraId="1FFD64F4">
                  <w:pPr>
                    <w:autoSpaceDN w:val="0"/>
                    <w:spacing w:line="240" w:lineRule="auto"/>
                    <w:ind w:firstLine="0" w:firstLineChars="0"/>
                    <w:jc w:val="center"/>
                    <w:textAlignment w:val="center"/>
                    <w:rPr>
                      <w:bCs/>
                      <w:color w:val="auto"/>
                      <w:sz w:val="21"/>
                      <w:szCs w:val="21"/>
                    </w:rPr>
                  </w:pPr>
                  <w:r>
                    <w:rPr>
                      <w:bCs/>
                      <w:color w:val="auto"/>
                      <w:sz w:val="21"/>
                      <w:szCs w:val="21"/>
                    </w:rPr>
                    <w:t>废气处理设备未及时进行维护、更换或出现故障</w:t>
                  </w:r>
                </w:p>
              </w:tc>
              <w:tc>
                <w:tcPr>
                  <w:tcW w:w="400" w:type="pct"/>
                  <w:noWrap w:val="0"/>
                  <w:vAlign w:val="center"/>
                </w:tcPr>
                <w:p w14:paraId="46079046">
                  <w:pPr>
                    <w:spacing w:line="240" w:lineRule="auto"/>
                    <w:ind w:firstLine="0" w:firstLineChars="0"/>
                    <w:jc w:val="center"/>
                    <w:rPr>
                      <w:bCs/>
                      <w:color w:val="auto"/>
                      <w:sz w:val="21"/>
                      <w:szCs w:val="21"/>
                    </w:rPr>
                  </w:pPr>
                  <w:r>
                    <w:rPr>
                      <w:bCs/>
                      <w:color w:val="auto"/>
                      <w:sz w:val="21"/>
                      <w:szCs w:val="21"/>
                    </w:rPr>
                    <w:t>颗粒物</w:t>
                  </w:r>
                </w:p>
              </w:tc>
              <w:tc>
                <w:tcPr>
                  <w:tcW w:w="580" w:type="pct"/>
                  <w:noWrap w:val="0"/>
                  <w:vAlign w:val="center"/>
                </w:tcPr>
                <w:p w14:paraId="10C5B371">
                  <w:pPr>
                    <w:widowControl/>
                    <w:spacing w:line="240" w:lineRule="auto"/>
                    <w:ind w:firstLine="0" w:firstLineChars="0"/>
                    <w:jc w:val="center"/>
                    <w:textAlignment w:val="center"/>
                    <w:rPr>
                      <w:bCs/>
                      <w:color w:val="auto"/>
                      <w:sz w:val="21"/>
                      <w:szCs w:val="21"/>
                    </w:rPr>
                  </w:pPr>
                  <w:r>
                    <w:rPr>
                      <w:color w:val="auto"/>
                      <w:sz w:val="21"/>
                      <w:szCs w:val="21"/>
                    </w:rPr>
                    <w:t>796.8</w:t>
                  </w:r>
                </w:p>
              </w:tc>
              <w:tc>
                <w:tcPr>
                  <w:tcW w:w="402" w:type="pct"/>
                  <w:noWrap w:val="0"/>
                  <w:vAlign w:val="center"/>
                </w:tcPr>
                <w:p w14:paraId="1E8D70EE">
                  <w:pPr>
                    <w:widowControl/>
                    <w:spacing w:line="240" w:lineRule="auto"/>
                    <w:ind w:firstLine="0" w:firstLineChars="0"/>
                    <w:jc w:val="center"/>
                    <w:textAlignment w:val="center"/>
                    <w:rPr>
                      <w:bCs/>
                      <w:color w:val="auto"/>
                      <w:sz w:val="21"/>
                      <w:szCs w:val="21"/>
                    </w:rPr>
                  </w:pPr>
                  <w:r>
                    <w:rPr>
                      <w:bCs/>
                      <w:color w:val="auto"/>
                      <w:sz w:val="21"/>
                      <w:szCs w:val="21"/>
                    </w:rPr>
                    <w:t>1.595</w:t>
                  </w:r>
                </w:p>
              </w:tc>
              <w:tc>
                <w:tcPr>
                  <w:tcW w:w="500" w:type="pct"/>
                  <w:noWrap w:val="0"/>
                  <w:vAlign w:val="center"/>
                </w:tcPr>
                <w:p w14:paraId="17BA3EA2">
                  <w:pPr>
                    <w:autoSpaceDN w:val="0"/>
                    <w:spacing w:line="240" w:lineRule="auto"/>
                    <w:ind w:firstLine="0" w:firstLineChars="0"/>
                    <w:jc w:val="center"/>
                    <w:textAlignment w:val="center"/>
                    <w:rPr>
                      <w:bCs/>
                      <w:color w:val="auto"/>
                      <w:sz w:val="21"/>
                      <w:szCs w:val="21"/>
                    </w:rPr>
                  </w:pPr>
                  <w:r>
                    <w:rPr>
                      <w:color w:val="auto"/>
                      <w:sz w:val="21"/>
                      <w:szCs w:val="21"/>
                    </w:rPr>
                    <w:t>1593.6</w:t>
                  </w:r>
                </w:p>
              </w:tc>
              <w:tc>
                <w:tcPr>
                  <w:tcW w:w="402" w:type="pct"/>
                  <w:noWrap w:val="0"/>
                  <w:vAlign w:val="center"/>
                </w:tcPr>
                <w:p w14:paraId="22D529DD">
                  <w:pPr>
                    <w:autoSpaceDN w:val="0"/>
                    <w:spacing w:line="240" w:lineRule="auto"/>
                    <w:ind w:firstLine="0" w:firstLineChars="0"/>
                    <w:jc w:val="center"/>
                    <w:textAlignment w:val="center"/>
                    <w:rPr>
                      <w:bCs/>
                      <w:color w:val="auto"/>
                      <w:sz w:val="21"/>
                      <w:szCs w:val="21"/>
                    </w:rPr>
                  </w:pPr>
                  <w:r>
                    <w:rPr>
                      <w:color w:val="auto"/>
                      <w:sz w:val="21"/>
                      <w:szCs w:val="21"/>
                    </w:rPr>
                    <w:t>3.19</w:t>
                  </w:r>
                </w:p>
              </w:tc>
              <w:tc>
                <w:tcPr>
                  <w:tcW w:w="249" w:type="pct"/>
                  <w:noWrap w:val="0"/>
                  <w:vAlign w:val="center"/>
                </w:tcPr>
                <w:p w14:paraId="1444D8F1">
                  <w:pPr>
                    <w:autoSpaceDN w:val="0"/>
                    <w:spacing w:line="240" w:lineRule="auto"/>
                    <w:ind w:firstLine="0" w:firstLineChars="0"/>
                    <w:jc w:val="center"/>
                    <w:textAlignment w:val="center"/>
                    <w:rPr>
                      <w:bCs/>
                      <w:color w:val="auto"/>
                      <w:sz w:val="21"/>
                      <w:szCs w:val="21"/>
                    </w:rPr>
                  </w:pPr>
                  <w:r>
                    <w:rPr>
                      <w:bCs/>
                      <w:color w:val="auto"/>
                      <w:sz w:val="21"/>
                      <w:szCs w:val="21"/>
                    </w:rPr>
                    <w:t>2</w:t>
                  </w:r>
                </w:p>
              </w:tc>
              <w:tc>
                <w:tcPr>
                  <w:tcW w:w="249" w:type="pct"/>
                  <w:noWrap w:val="0"/>
                  <w:vAlign w:val="center"/>
                </w:tcPr>
                <w:p w14:paraId="39474CFF">
                  <w:pPr>
                    <w:autoSpaceDN w:val="0"/>
                    <w:spacing w:line="240" w:lineRule="auto"/>
                    <w:ind w:firstLine="0" w:firstLineChars="0"/>
                    <w:jc w:val="center"/>
                    <w:textAlignment w:val="center"/>
                    <w:rPr>
                      <w:bCs/>
                      <w:color w:val="auto"/>
                      <w:sz w:val="21"/>
                      <w:szCs w:val="21"/>
                    </w:rPr>
                  </w:pPr>
                  <w:r>
                    <w:rPr>
                      <w:bCs/>
                      <w:color w:val="auto"/>
                      <w:sz w:val="21"/>
                      <w:szCs w:val="21"/>
                    </w:rPr>
                    <w:t>1</w:t>
                  </w:r>
                </w:p>
              </w:tc>
              <w:tc>
                <w:tcPr>
                  <w:tcW w:w="448" w:type="pct"/>
                  <w:vMerge w:val="restart"/>
                  <w:noWrap w:val="0"/>
                  <w:vAlign w:val="center"/>
                </w:tcPr>
                <w:p w14:paraId="731CFD98">
                  <w:pPr>
                    <w:autoSpaceDN w:val="0"/>
                    <w:spacing w:line="240" w:lineRule="auto"/>
                    <w:ind w:firstLine="0" w:firstLineChars="0"/>
                    <w:jc w:val="center"/>
                    <w:textAlignment w:val="center"/>
                    <w:rPr>
                      <w:bCs/>
                      <w:color w:val="auto"/>
                      <w:sz w:val="21"/>
                      <w:szCs w:val="21"/>
                    </w:rPr>
                  </w:pPr>
                  <w:r>
                    <w:rPr>
                      <w:bCs/>
                      <w:color w:val="auto"/>
                      <w:sz w:val="21"/>
                      <w:szCs w:val="21"/>
                    </w:rPr>
                    <w:t>及时停止运行，对设备进行检修，待设备更新或修理完毕后再恢复运营</w:t>
                  </w:r>
                </w:p>
              </w:tc>
            </w:tr>
            <w:tr w14:paraId="3DA31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47" w:type="pct"/>
                  <w:noWrap w:val="0"/>
                  <w:vAlign w:val="center"/>
                </w:tcPr>
                <w:p w14:paraId="07057B22">
                  <w:pPr>
                    <w:widowControl/>
                    <w:spacing w:line="240" w:lineRule="auto"/>
                    <w:ind w:firstLine="0" w:firstLineChars="0"/>
                    <w:jc w:val="center"/>
                    <w:rPr>
                      <w:color w:val="auto"/>
                      <w:sz w:val="21"/>
                      <w:szCs w:val="21"/>
                    </w:rPr>
                  </w:pPr>
                  <w:r>
                    <w:rPr>
                      <w:rFonts w:hint="eastAsia"/>
                      <w:color w:val="auto"/>
                      <w:sz w:val="21"/>
                      <w:szCs w:val="21"/>
                    </w:rPr>
                    <w:t>2</w:t>
                  </w:r>
                </w:p>
              </w:tc>
              <w:tc>
                <w:tcPr>
                  <w:tcW w:w="966" w:type="pct"/>
                  <w:noWrap w:val="0"/>
                  <w:vAlign w:val="center"/>
                </w:tcPr>
                <w:p w14:paraId="33773270">
                  <w:pPr>
                    <w:widowControl/>
                    <w:spacing w:line="240" w:lineRule="auto"/>
                    <w:ind w:firstLine="0" w:firstLineChars="0"/>
                    <w:jc w:val="center"/>
                    <w:rPr>
                      <w:rFonts w:hint="eastAsia"/>
                      <w:color w:val="auto"/>
                      <w:sz w:val="21"/>
                      <w:szCs w:val="21"/>
                    </w:rPr>
                  </w:pPr>
                  <w:r>
                    <w:rPr>
                      <w:rFonts w:hint="eastAsia"/>
                      <w:color w:val="auto"/>
                      <w:sz w:val="21"/>
                      <w:szCs w:val="21"/>
                    </w:rPr>
                    <w:t>2#水泥筒仓仓顶</w:t>
                  </w:r>
                  <w:r>
                    <w:rPr>
                      <w:color w:val="auto"/>
                      <w:sz w:val="21"/>
                      <w:szCs w:val="21"/>
                    </w:rPr>
                    <w:t>排</w:t>
                  </w:r>
                  <w:r>
                    <w:rPr>
                      <w:rFonts w:hint="eastAsia"/>
                      <w:color w:val="auto"/>
                      <w:sz w:val="21"/>
                      <w:szCs w:val="21"/>
                    </w:rPr>
                    <w:t>口</w:t>
                  </w:r>
                </w:p>
              </w:tc>
              <w:tc>
                <w:tcPr>
                  <w:tcW w:w="553" w:type="pct"/>
                  <w:vMerge w:val="continue"/>
                  <w:noWrap w:val="0"/>
                  <w:vAlign w:val="center"/>
                </w:tcPr>
                <w:p w14:paraId="13A55FB5">
                  <w:pPr>
                    <w:autoSpaceDN w:val="0"/>
                    <w:spacing w:line="240" w:lineRule="auto"/>
                    <w:ind w:firstLine="0" w:firstLineChars="0"/>
                    <w:jc w:val="center"/>
                    <w:textAlignment w:val="center"/>
                    <w:rPr>
                      <w:bCs/>
                      <w:color w:val="auto"/>
                      <w:sz w:val="21"/>
                      <w:szCs w:val="21"/>
                    </w:rPr>
                  </w:pPr>
                </w:p>
              </w:tc>
              <w:tc>
                <w:tcPr>
                  <w:tcW w:w="400" w:type="pct"/>
                  <w:noWrap w:val="0"/>
                  <w:vAlign w:val="center"/>
                </w:tcPr>
                <w:p w14:paraId="267CC138">
                  <w:pPr>
                    <w:spacing w:line="240" w:lineRule="auto"/>
                    <w:ind w:firstLine="0" w:firstLineChars="0"/>
                    <w:jc w:val="center"/>
                    <w:rPr>
                      <w:bCs/>
                      <w:color w:val="auto"/>
                      <w:sz w:val="21"/>
                      <w:szCs w:val="21"/>
                    </w:rPr>
                  </w:pPr>
                  <w:r>
                    <w:rPr>
                      <w:bCs/>
                      <w:color w:val="auto"/>
                      <w:sz w:val="21"/>
                      <w:szCs w:val="21"/>
                    </w:rPr>
                    <w:t>颗粒物</w:t>
                  </w:r>
                </w:p>
              </w:tc>
              <w:tc>
                <w:tcPr>
                  <w:tcW w:w="580" w:type="pct"/>
                  <w:noWrap w:val="0"/>
                  <w:vAlign w:val="center"/>
                </w:tcPr>
                <w:p w14:paraId="7ADDC0EE">
                  <w:pPr>
                    <w:widowControl/>
                    <w:spacing w:line="240" w:lineRule="auto"/>
                    <w:ind w:firstLine="0" w:firstLineChars="0"/>
                    <w:jc w:val="center"/>
                    <w:textAlignment w:val="center"/>
                    <w:rPr>
                      <w:rFonts w:hint="eastAsia"/>
                      <w:color w:val="auto"/>
                      <w:sz w:val="21"/>
                      <w:szCs w:val="21"/>
                    </w:rPr>
                  </w:pPr>
                  <w:r>
                    <w:rPr>
                      <w:color w:val="auto"/>
                      <w:sz w:val="21"/>
                      <w:szCs w:val="21"/>
                    </w:rPr>
                    <w:t>796.8</w:t>
                  </w:r>
                </w:p>
              </w:tc>
              <w:tc>
                <w:tcPr>
                  <w:tcW w:w="402" w:type="pct"/>
                  <w:noWrap w:val="0"/>
                  <w:vAlign w:val="center"/>
                </w:tcPr>
                <w:p w14:paraId="4C78643C">
                  <w:pPr>
                    <w:widowControl/>
                    <w:spacing w:line="240" w:lineRule="auto"/>
                    <w:ind w:firstLine="0" w:firstLineChars="0"/>
                    <w:jc w:val="center"/>
                    <w:textAlignment w:val="center"/>
                    <w:rPr>
                      <w:rFonts w:hint="eastAsia"/>
                      <w:bCs/>
                      <w:color w:val="auto"/>
                      <w:sz w:val="21"/>
                      <w:szCs w:val="21"/>
                    </w:rPr>
                  </w:pPr>
                  <w:r>
                    <w:rPr>
                      <w:bCs/>
                      <w:color w:val="auto"/>
                      <w:sz w:val="21"/>
                      <w:szCs w:val="21"/>
                    </w:rPr>
                    <w:t>1.595</w:t>
                  </w:r>
                </w:p>
              </w:tc>
              <w:tc>
                <w:tcPr>
                  <w:tcW w:w="500" w:type="pct"/>
                  <w:noWrap w:val="0"/>
                  <w:vAlign w:val="center"/>
                </w:tcPr>
                <w:p w14:paraId="116E92EF">
                  <w:pPr>
                    <w:autoSpaceDN w:val="0"/>
                    <w:spacing w:line="240" w:lineRule="auto"/>
                    <w:ind w:firstLine="0" w:firstLineChars="0"/>
                    <w:jc w:val="center"/>
                    <w:textAlignment w:val="center"/>
                    <w:rPr>
                      <w:rFonts w:hint="eastAsia"/>
                      <w:color w:val="auto"/>
                      <w:sz w:val="21"/>
                      <w:szCs w:val="21"/>
                    </w:rPr>
                  </w:pPr>
                  <w:r>
                    <w:rPr>
                      <w:color w:val="auto"/>
                      <w:sz w:val="21"/>
                      <w:szCs w:val="21"/>
                    </w:rPr>
                    <w:t>1593.6</w:t>
                  </w:r>
                </w:p>
              </w:tc>
              <w:tc>
                <w:tcPr>
                  <w:tcW w:w="402" w:type="pct"/>
                  <w:noWrap w:val="0"/>
                  <w:vAlign w:val="center"/>
                </w:tcPr>
                <w:p w14:paraId="2D0D6334">
                  <w:pPr>
                    <w:autoSpaceDN w:val="0"/>
                    <w:spacing w:line="240" w:lineRule="auto"/>
                    <w:ind w:firstLine="0" w:firstLineChars="0"/>
                    <w:jc w:val="center"/>
                    <w:textAlignment w:val="center"/>
                    <w:rPr>
                      <w:rFonts w:hint="eastAsia"/>
                      <w:color w:val="auto"/>
                      <w:sz w:val="21"/>
                      <w:szCs w:val="21"/>
                    </w:rPr>
                  </w:pPr>
                  <w:r>
                    <w:rPr>
                      <w:color w:val="auto"/>
                      <w:sz w:val="21"/>
                      <w:szCs w:val="21"/>
                    </w:rPr>
                    <w:t>3.19</w:t>
                  </w:r>
                </w:p>
              </w:tc>
              <w:tc>
                <w:tcPr>
                  <w:tcW w:w="249" w:type="pct"/>
                  <w:noWrap w:val="0"/>
                  <w:vAlign w:val="center"/>
                </w:tcPr>
                <w:p w14:paraId="7220DB90">
                  <w:pPr>
                    <w:autoSpaceDN w:val="0"/>
                    <w:spacing w:line="240" w:lineRule="auto"/>
                    <w:ind w:firstLine="0" w:firstLineChars="0"/>
                    <w:jc w:val="center"/>
                    <w:textAlignment w:val="center"/>
                    <w:rPr>
                      <w:bCs/>
                      <w:color w:val="auto"/>
                      <w:sz w:val="21"/>
                      <w:szCs w:val="21"/>
                    </w:rPr>
                  </w:pPr>
                  <w:r>
                    <w:rPr>
                      <w:bCs/>
                      <w:color w:val="auto"/>
                      <w:sz w:val="21"/>
                      <w:szCs w:val="21"/>
                    </w:rPr>
                    <w:t>2</w:t>
                  </w:r>
                </w:p>
              </w:tc>
              <w:tc>
                <w:tcPr>
                  <w:tcW w:w="249" w:type="pct"/>
                  <w:noWrap w:val="0"/>
                  <w:vAlign w:val="center"/>
                </w:tcPr>
                <w:p w14:paraId="0E77D7B8">
                  <w:pPr>
                    <w:autoSpaceDN w:val="0"/>
                    <w:spacing w:line="240" w:lineRule="auto"/>
                    <w:ind w:firstLine="0" w:firstLineChars="0"/>
                    <w:jc w:val="center"/>
                    <w:textAlignment w:val="center"/>
                    <w:rPr>
                      <w:bCs/>
                      <w:color w:val="auto"/>
                      <w:sz w:val="21"/>
                      <w:szCs w:val="21"/>
                    </w:rPr>
                  </w:pPr>
                  <w:r>
                    <w:rPr>
                      <w:bCs/>
                      <w:color w:val="auto"/>
                      <w:sz w:val="21"/>
                      <w:szCs w:val="21"/>
                    </w:rPr>
                    <w:t>1</w:t>
                  </w:r>
                </w:p>
              </w:tc>
              <w:tc>
                <w:tcPr>
                  <w:tcW w:w="448" w:type="pct"/>
                  <w:vMerge w:val="continue"/>
                  <w:noWrap w:val="0"/>
                  <w:vAlign w:val="center"/>
                </w:tcPr>
                <w:p w14:paraId="544A54E9">
                  <w:pPr>
                    <w:autoSpaceDN w:val="0"/>
                    <w:spacing w:line="240" w:lineRule="auto"/>
                    <w:ind w:firstLine="0" w:firstLineChars="0"/>
                    <w:jc w:val="center"/>
                    <w:textAlignment w:val="center"/>
                    <w:rPr>
                      <w:bCs/>
                      <w:color w:val="auto"/>
                      <w:sz w:val="21"/>
                      <w:szCs w:val="21"/>
                    </w:rPr>
                  </w:pPr>
                </w:p>
              </w:tc>
            </w:tr>
            <w:tr w14:paraId="051F3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47" w:type="pct"/>
                  <w:noWrap w:val="0"/>
                  <w:vAlign w:val="center"/>
                </w:tcPr>
                <w:p w14:paraId="4FE182F1">
                  <w:pPr>
                    <w:widowControl/>
                    <w:spacing w:line="240" w:lineRule="auto"/>
                    <w:ind w:firstLine="0" w:firstLineChars="0"/>
                    <w:jc w:val="center"/>
                    <w:rPr>
                      <w:color w:val="auto"/>
                      <w:sz w:val="21"/>
                      <w:szCs w:val="21"/>
                    </w:rPr>
                  </w:pPr>
                  <w:r>
                    <w:rPr>
                      <w:rFonts w:hint="eastAsia"/>
                      <w:color w:val="auto"/>
                      <w:sz w:val="21"/>
                      <w:szCs w:val="21"/>
                    </w:rPr>
                    <w:t>3</w:t>
                  </w:r>
                </w:p>
              </w:tc>
              <w:tc>
                <w:tcPr>
                  <w:tcW w:w="966" w:type="pct"/>
                  <w:noWrap w:val="0"/>
                  <w:vAlign w:val="center"/>
                </w:tcPr>
                <w:p w14:paraId="1A69A101">
                  <w:pPr>
                    <w:widowControl/>
                    <w:spacing w:line="240" w:lineRule="auto"/>
                    <w:ind w:firstLine="0" w:firstLineChars="0"/>
                    <w:jc w:val="center"/>
                    <w:rPr>
                      <w:rFonts w:hint="eastAsia"/>
                      <w:color w:val="auto"/>
                      <w:sz w:val="21"/>
                      <w:szCs w:val="21"/>
                    </w:rPr>
                  </w:pPr>
                  <w:r>
                    <w:rPr>
                      <w:rFonts w:hint="eastAsia"/>
                      <w:color w:val="auto"/>
                      <w:sz w:val="21"/>
                      <w:szCs w:val="21"/>
                    </w:rPr>
                    <w:t>3#水泥筒仓仓顶</w:t>
                  </w:r>
                  <w:r>
                    <w:rPr>
                      <w:color w:val="auto"/>
                      <w:sz w:val="21"/>
                      <w:szCs w:val="21"/>
                    </w:rPr>
                    <w:t>排</w:t>
                  </w:r>
                  <w:r>
                    <w:rPr>
                      <w:rFonts w:hint="eastAsia"/>
                      <w:color w:val="auto"/>
                      <w:sz w:val="21"/>
                      <w:szCs w:val="21"/>
                    </w:rPr>
                    <w:t>口</w:t>
                  </w:r>
                </w:p>
              </w:tc>
              <w:tc>
                <w:tcPr>
                  <w:tcW w:w="553" w:type="pct"/>
                  <w:vMerge w:val="continue"/>
                  <w:noWrap w:val="0"/>
                  <w:vAlign w:val="center"/>
                </w:tcPr>
                <w:p w14:paraId="17DC421F">
                  <w:pPr>
                    <w:autoSpaceDN w:val="0"/>
                    <w:spacing w:line="240" w:lineRule="auto"/>
                    <w:ind w:firstLine="0" w:firstLineChars="0"/>
                    <w:jc w:val="center"/>
                    <w:textAlignment w:val="center"/>
                    <w:rPr>
                      <w:bCs/>
                      <w:color w:val="auto"/>
                      <w:sz w:val="21"/>
                      <w:szCs w:val="21"/>
                    </w:rPr>
                  </w:pPr>
                </w:p>
              </w:tc>
              <w:tc>
                <w:tcPr>
                  <w:tcW w:w="400" w:type="pct"/>
                  <w:noWrap w:val="0"/>
                  <w:vAlign w:val="center"/>
                </w:tcPr>
                <w:p w14:paraId="603E301E">
                  <w:pPr>
                    <w:spacing w:line="240" w:lineRule="auto"/>
                    <w:ind w:firstLine="0" w:firstLineChars="0"/>
                    <w:jc w:val="center"/>
                    <w:rPr>
                      <w:bCs/>
                      <w:color w:val="auto"/>
                      <w:sz w:val="21"/>
                      <w:szCs w:val="21"/>
                    </w:rPr>
                  </w:pPr>
                  <w:r>
                    <w:rPr>
                      <w:bCs/>
                      <w:color w:val="auto"/>
                      <w:sz w:val="21"/>
                      <w:szCs w:val="21"/>
                    </w:rPr>
                    <w:t>颗粒物</w:t>
                  </w:r>
                </w:p>
              </w:tc>
              <w:tc>
                <w:tcPr>
                  <w:tcW w:w="580" w:type="pct"/>
                  <w:noWrap w:val="0"/>
                  <w:vAlign w:val="center"/>
                </w:tcPr>
                <w:p w14:paraId="44DC2683">
                  <w:pPr>
                    <w:widowControl/>
                    <w:spacing w:line="240" w:lineRule="auto"/>
                    <w:ind w:firstLine="0" w:firstLineChars="0"/>
                    <w:jc w:val="center"/>
                    <w:textAlignment w:val="center"/>
                    <w:rPr>
                      <w:rFonts w:hint="eastAsia"/>
                      <w:color w:val="auto"/>
                      <w:sz w:val="21"/>
                      <w:szCs w:val="21"/>
                    </w:rPr>
                  </w:pPr>
                  <w:r>
                    <w:rPr>
                      <w:color w:val="auto"/>
                      <w:sz w:val="21"/>
                      <w:szCs w:val="21"/>
                    </w:rPr>
                    <w:t>796.8</w:t>
                  </w:r>
                </w:p>
              </w:tc>
              <w:tc>
                <w:tcPr>
                  <w:tcW w:w="402" w:type="pct"/>
                  <w:noWrap w:val="0"/>
                  <w:vAlign w:val="center"/>
                </w:tcPr>
                <w:p w14:paraId="34F75839">
                  <w:pPr>
                    <w:widowControl/>
                    <w:spacing w:line="240" w:lineRule="auto"/>
                    <w:ind w:firstLine="0" w:firstLineChars="0"/>
                    <w:jc w:val="center"/>
                    <w:textAlignment w:val="center"/>
                    <w:rPr>
                      <w:rFonts w:hint="eastAsia"/>
                      <w:bCs/>
                      <w:color w:val="auto"/>
                      <w:sz w:val="21"/>
                      <w:szCs w:val="21"/>
                    </w:rPr>
                  </w:pPr>
                  <w:r>
                    <w:rPr>
                      <w:bCs/>
                      <w:color w:val="auto"/>
                      <w:sz w:val="21"/>
                      <w:szCs w:val="21"/>
                    </w:rPr>
                    <w:t>1.595</w:t>
                  </w:r>
                </w:p>
              </w:tc>
              <w:tc>
                <w:tcPr>
                  <w:tcW w:w="500" w:type="pct"/>
                  <w:noWrap w:val="0"/>
                  <w:vAlign w:val="center"/>
                </w:tcPr>
                <w:p w14:paraId="70BD101D">
                  <w:pPr>
                    <w:autoSpaceDN w:val="0"/>
                    <w:spacing w:line="240" w:lineRule="auto"/>
                    <w:ind w:firstLine="0" w:firstLineChars="0"/>
                    <w:jc w:val="center"/>
                    <w:textAlignment w:val="center"/>
                    <w:rPr>
                      <w:rFonts w:hint="eastAsia"/>
                      <w:color w:val="auto"/>
                      <w:sz w:val="21"/>
                      <w:szCs w:val="21"/>
                    </w:rPr>
                  </w:pPr>
                  <w:r>
                    <w:rPr>
                      <w:color w:val="auto"/>
                      <w:sz w:val="21"/>
                      <w:szCs w:val="21"/>
                    </w:rPr>
                    <w:t>1593.6</w:t>
                  </w:r>
                </w:p>
              </w:tc>
              <w:tc>
                <w:tcPr>
                  <w:tcW w:w="402" w:type="pct"/>
                  <w:noWrap w:val="0"/>
                  <w:vAlign w:val="center"/>
                </w:tcPr>
                <w:p w14:paraId="7837D39E">
                  <w:pPr>
                    <w:autoSpaceDN w:val="0"/>
                    <w:spacing w:line="240" w:lineRule="auto"/>
                    <w:ind w:firstLine="0" w:firstLineChars="0"/>
                    <w:jc w:val="center"/>
                    <w:textAlignment w:val="center"/>
                    <w:rPr>
                      <w:rFonts w:hint="eastAsia"/>
                      <w:color w:val="auto"/>
                      <w:sz w:val="21"/>
                      <w:szCs w:val="21"/>
                    </w:rPr>
                  </w:pPr>
                  <w:r>
                    <w:rPr>
                      <w:color w:val="auto"/>
                      <w:sz w:val="21"/>
                      <w:szCs w:val="21"/>
                    </w:rPr>
                    <w:t>3.19</w:t>
                  </w:r>
                </w:p>
              </w:tc>
              <w:tc>
                <w:tcPr>
                  <w:tcW w:w="249" w:type="pct"/>
                  <w:noWrap w:val="0"/>
                  <w:vAlign w:val="center"/>
                </w:tcPr>
                <w:p w14:paraId="796046F0">
                  <w:pPr>
                    <w:autoSpaceDN w:val="0"/>
                    <w:spacing w:line="240" w:lineRule="auto"/>
                    <w:ind w:firstLine="0" w:firstLineChars="0"/>
                    <w:jc w:val="center"/>
                    <w:textAlignment w:val="center"/>
                    <w:rPr>
                      <w:bCs/>
                      <w:color w:val="auto"/>
                      <w:sz w:val="21"/>
                      <w:szCs w:val="21"/>
                    </w:rPr>
                  </w:pPr>
                  <w:r>
                    <w:rPr>
                      <w:bCs/>
                      <w:color w:val="auto"/>
                      <w:sz w:val="21"/>
                      <w:szCs w:val="21"/>
                    </w:rPr>
                    <w:t>2</w:t>
                  </w:r>
                </w:p>
              </w:tc>
              <w:tc>
                <w:tcPr>
                  <w:tcW w:w="249" w:type="pct"/>
                  <w:noWrap w:val="0"/>
                  <w:vAlign w:val="center"/>
                </w:tcPr>
                <w:p w14:paraId="303A603E">
                  <w:pPr>
                    <w:autoSpaceDN w:val="0"/>
                    <w:spacing w:line="240" w:lineRule="auto"/>
                    <w:ind w:firstLine="0" w:firstLineChars="0"/>
                    <w:jc w:val="center"/>
                    <w:textAlignment w:val="center"/>
                    <w:rPr>
                      <w:bCs/>
                      <w:color w:val="auto"/>
                      <w:sz w:val="21"/>
                      <w:szCs w:val="21"/>
                    </w:rPr>
                  </w:pPr>
                  <w:r>
                    <w:rPr>
                      <w:bCs/>
                      <w:color w:val="auto"/>
                      <w:sz w:val="21"/>
                      <w:szCs w:val="21"/>
                    </w:rPr>
                    <w:t>1</w:t>
                  </w:r>
                </w:p>
              </w:tc>
              <w:tc>
                <w:tcPr>
                  <w:tcW w:w="448" w:type="pct"/>
                  <w:vMerge w:val="continue"/>
                  <w:noWrap w:val="0"/>
                  <w:vAlign w:val="center"/>
                </w:tcPr>
                <w:p w14:paraId="39FCDB17">
                  <w:pPr>
                    <w:autoSpaceDN w:val="0"/>
                    <w:spacing w:line="240" w:lineRule="auto"/>
                    <w:ind w:firstLine="0" w:firstLineChars="0"/>
                    <w:jc w:val="center"/>
                    <w:textAlignment w:val="center"/>
                    <w:rPr>
                      <w:bCs/>
                      <w:color w:val="auto"/>
                      <w:sz w:val="21"/>
                      <w:szCs w:val="21"/>
                    </w:rPr>
                  </w:pPr>
                </w:p>
              </w:tc>
            </w:tr>
            <w:tr w14:paraId="74DEA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47" w:type="pct"/>
                  <w:noWrap w:val="0"/>
                  <w:vAlign w:val="center"/>
                </w:tcPr>
                <w:p w14:paraId="70D80361">
                  <w:pPr>
                    <w:widowControl/>
                    <w:spacing w:line="240" w:lineRule="auto"/>
                    <w:ind w:firstLine="0" w:firstLineChars="0"/>
                    <w:jc w:val="center"/>
                    <w:rPr>
                      <w:color w:val="auto"/>
                      <w:sz w:val="21"/>
                      <w:szCs w:val="21"/>
                    </w:rPr>
                  </w:pPr>
                  <w:r>
                    <w:rPr>
                      <w:rFonts w:hint="eastAsia"/>
                      <w:color w:val="auto"/>
                      <w:sz w:val="21"/>
                      <w:szCs w:val="21"/>
                    </w:rPr>
                    <w:t>4</w:t>
                  </w:r>
                </w:p>
              </w:tc>
              <w:tc>
                <w:tcPr>
                  <w:tcW w:w="966" w:type="pct"/>
                  <w:noWrap w:val="0"/>
                  <w:vAlign w:val="center"/>
                </w:tcPr>
                <w:p w14:paraId="779ECF67">
                  <w:pPr>
                    <w:widowControl/>
                    <w:spacing w:line="240" w:lineRule="auto"/>
                    <w:ind w:firstLine="0" w:firstLineChars="0"/>
                    <w:jc w:val="center"/>
                    <w:rPr>
                      <w:rFonts w:hint="eastAsia"/>
                      <w:color w:val="auto"/>
                      <w:sz w:val="21"/>
                      <w:szCs w:val="21"/>
                    </w:rPr>
                  </w:pPr>
                  <w:r>
                    <w:rPr>
                      <w:rFonts w:hint="eastAsia"/>
                      <w:color w:val="auto"/>
                      <w:sz w:val="21"/>
                      <w:szCs w:val="21"/>
                    </w:rPr>
                    <w:t>4#水泥筒仓仓顶</w:t>
                  </w:r>
                  <w:r>
                    <w:rPr>
                      <w:color w:val="auto"/>
                      <w:sz w:val="21"/>
                      <w:szCs w:val="21"/>
                    </w:rPr>
                    <w:t>排</w:t>
                  </w:r>
                  <w:r>
                    <w:rPr>
                      <w:rFonts w:hint="eastAsia"/>
                      <w:color w:val="auto"/>
                      <w:sz w:val="21"/>
                      <w:szCs w:val="21"/>
                    </w:rPr>
                    <w:t>口</w:t>
                  </w:r>
                </w:p>
              </w:tc>
              <w:tc>
                <w:tcPr>
                  <w:tcW w:w="553" w:type="pct"/>
                  <w:vMerge w:val="continue"/>
                  <w:noWrap w:val="0"/>
                  <w:vAlign w:val="center"/>
                </w:tcPr>
                <w:p w14:paraId="6CC0D547">
                  <w:pPr>
                    <w:autoSpaceDN w:val="0"/>
                    <w:spacing w:line="240" w:lineRule="auto"/>
                    <w:ind w:firstLine="0" w:firstLineChars="0"/>
                    <w:jc w:val="center"/>
                    <w:textAlignment w:val="center"/>
                    <w:rPr>
                      <w:bCs/>
                      <w:color w:val="auto"/>
                      <w:sz w:val="21"/>
                      <w:szCs w:val="21"/>
                    </w:rPr>
                  </w:pPr>
                </w:p>
              </w:tc>
              <w:tc>
                <w:tcPr>
                  <w:tcW w:w="400" w:type="pct"/>
                  <w:noWrap w:val="0"/>
                  <w:vAlign w:val="center"/>
                </w:tcPr>
                <w:p w14:paraId="3E0E2D0D">
                  <w:pPr>
                    <w:spacing w:line="240" w:lineRule="auto"/>
                    <w:ind w:firstLine="0" w:firstLineChars="0"/>
                    <w:jc w:val="center"/>
                    <w:rPr>
                      <w:bCs/>
                      <w:color w:val="auto"/>
                      <w:sz w:val="21"/>
                      <w:szCs w:val="21"/>
                    </w:rPr>
                  </w:pPr>
                  <w:r>
                    <w:rPr>
                      <w:bCs/>
                      <w:color w:val="auto"/>
                      <w:sz w:val="21"/>
                      <w:szCs w:val="21"/>
                    </w:rPr>
                    <w:t>颗粒物</w:t>
                  </w:r>
                </w:p>
              </w:tc>
              <w:tc>
                <w:tcPr>
                  <w:tcW w:w="580" w:type="pct"/>
                  <w:noWrap w:val="0"/>
                  <w:vAlign w:val="center"/>
                </w:tcPr>
                <w:p w14:paraId="0C9356FB">
                  <w:pPr>
                    <w:widowControl/>
                    <w:spacing w:line="240" w:lineRule="auto"/>
                    <w:ind w:firstLine="0" w:firstLineChars="0"/>
                    <w:jc w:val="center"/>
                    <w:textAlignment w:val="center"/>
                    <w:rPr>
                      <w:rFonts w:hint="eastAsia"/>
                      <w:color w:val="auto"/>
                      <w:sz w:val="21"/>
                      <w:szCs w:val="21"/>
                    </w:rPr>
                  </w:pPr>
                  <w:r>
                    <w:rPr>
                      <w:color w:val="auto"/>
                      <w:sz w:val="21"/>
                      <w:szCs w:val="21"/>
                    </w:rPr>
                    <w:t>796.8</w:t>
                  </w:r>
                </w:p>
              </w:tc>
              <w:tc>
                <w:tcPr>
                  <w:tcW w:w="402" w:type="pct"/>
                  <w:noWrap w:val="0"/>
                  <w:vAlign w:val="center"/>
                </w:tcPr>
                <w:p w14:paraId="40ECF860">
                  <w:pPr>
                    <w:widowControl/>
                    <w:spacing w:line="240" w:lineRule="auto"/>
                    <w:ind w:firstLine="0" w:firstLineChars="0"/>
                    <w:jc w:val="center"/>
                    <w:textAlignment w:val="center"/>
                    <w:rPr>
                      <w:rFonts w:hint="eastAsia"/>
                      <w:bCs/>
                      <w:color w:val="auto"/>
                      <w:sz w:val="21"/>
                      <w:szCs w:val="21"/>
                    </w:rPr>
                  </w:pPr>
                  <w:r>
                    <w:rPr>
                      <w:bCs/>
                      <w:color w:val="auto"/>
                      <w:sz w:val="21"/>
                      <w:szCs w:val="21"/>
                    </w:rPr>
                    <w:t>1.595</w:t>
                  </w:r>
                </w:p>
              </w:tc>
              <w:tc>
                <w:tcPr>
                  <w:tcW w:w="500" w:type="pct"/>
                  <w:noWrap w:val="0"/>
                  <w:vAlign w:val="center"/>
                </w:tcPr>
                <w:p w14:paraId="7E7832CD">
                  <w:pPr>
                    <w:autoSpaceDN w:val="0"/>
                    <w:spacing w:line="240" w:lineRule="auto"/>
                    <w:ind w:firstLine="0" w:firstLineChars="0"/>
                    <w:jc w:val="center"/>
                    <w:textAlignment w:val="center"/>
                    <w:rPr>
                      <w:rFonts w:hint="eastAsia"/>
                      <w:color w:val="auto"/>
                      <w:sz w:val="21"/>
                      <w:szCs w:val="21"/>
                    </w:rPr>
                  </w:pPr>
                  <w:r>
                    <w:rPr>
                      <w:color w:val="auto"/>
                      <w:sz w:val="21"/>
                      <w:szCs w:val="21"/>
                    </w:rPr>
                    <w:t>1593.6</w:t>
                  </w:r>
                </w:p>
              </w:tc>
              <w:tc>
                <w:tcPr>
                  <w:tcW w:w="402" w:type="pct"/>
                  <w:noWrap w:val="0"/>
                  <w:vAlign w:val="center"/>
                </w:tcPr>
                <w:p w14:paraId="757E9D55">
                  <w:pPr>
                    <w:autoSpaceDN w:val="0"/>
                    <w:spacing w:line="240" w:lineRule="auto"/>
                    <w:ind w:firstLine="0" w:firstLineChars="0"/>
                    <w:jc w:val="center"/>
                    <w:textAlignment w:val="center"/>
                    <w:rPr>
                      <w:rFonts w:hint="eastAsia"/>
                      <w:color w:val="auto"/>
                      <w:sz w:val="21"/>
                      <w:szCs w:val="21"/>
                    </w:rPr>
                  </w:pPr>
                  <w:r>
                    <w:rPr>
                      <w:color w:val="auto"/>
                      <w:sz w:val="21"/>
                      <w:szCs w:val="21"/>
                    </w:rPr>
                    <w:t>3.19</w:t>
                  </w:r>
                </w:p>
              </w:tc>
              <w:tc>
                <w:tcPr>
                  <w:tcW w:w="249" w:type="pct"/>
                  <w:noWrap w:val="0"/>
                  <w:vAlign w:val="center"/>
                </w:tcPr>
                <w:p w14:paraId="0B2418F8">
                  <w:pPr>
                    <w:autoSpaceDN w:val="0"/>
                    <w:spacing w:line="240" w:lineRule="auto"/>
                    <w:ind w:firstLine="0" w:firstLineChars="0"/>
                    <w:jc w:val="center"/>
                    <w:textAlignment w:val="center"/>
                    <w:rPr>
                      <w:bCs/>
                      <w:color w:val="auto"/>
                      <w:sz w:val="21"/>
                      <w:szCs w:val="21"/>
                    </w:rPr>
                  </w:pPr>
                  <w:r>
                    <w:rPr>
                      <w:bCs/>
                      <w:color w:val="auto"/>
                      <w:sz w:val="21"/>
                      <w:szCs w:val="21"/>
                    </w:rPr>
                    <w:t>2</w:t>
                  </w:r>
                </w:p>
              </w:tc>
              <w:tc>
                <w:tcPr>
                  <w:tcW w:w="249" w:type="pct"/>
                  <w:noWrap w:val="0"/>
                  <w:vAlign w:val="center"/>
                </w:tcPr>
                <w:p w14:paraId="01E67CC4">
                  <w:pPr>
                    <w:autoSpaceDN w:val="0"/>
                    <w:spacing w:line="240" w:lineRule="auto"/>
                    <w:ind w:firstLine="0" w:firstLineChars="0"/>
                    <w:jc w:val="center"/>
                    <w:textAlignment w:val="center"/>
                    <w:rPr>
                      <w:bCs/>
                      <w:color w:val="auto"/>
                      <w:sz w:val="21"/>
                      <w:szCs w:val="21"/>
                    </w:rPr>
                  </w:pPr>
                  <w:r>
                    <w:rPr>
                      <w:bCs/>
                      <w:color w:val="auto"/>
                      <w:sz w:val="21"/>
                      <w:szCs w:val="21"/>
                    </w:rPr>
                    <w:t>1</w:t>
                  </w:r>
                </w:p>
              </w:tc>
              <w:tc>
                <w:tcPr>
                  <w:tcW w:w="448" w:type="pct"/>
                  <w:vMerge w:val="continue"/>
                  <w:noWrap w:val="0"/>
                  <w:vAlign w:val="center"/>
                </w:tcPr>
                <w:p w14:paraId="448D9326">
                  <w:pPr>
                    <w:autoSpaceDN w:val="0"/>
                    <w:spacing w:line="240" w:lineRule="auto"/>
                    <w:ind w:firstLine="0" w:firstLineChars="0"/>
                    <w:jc w:val="center"/>
                    <w:textAlignment w:val="center"/>
                    <w:rPr>
                      <w:bCs/>
                      <w:color w:val="auto"/>
                      <w:sz w:val="21"/>
                      <w:szCs w:val="21"/>
                    </w:rPr>
                  </w:pPr>
                </w:p>
              </w:tc>
            </w:tr>
            <w:tr w14:paraId="0DB0F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47" w:type="pct"/>
                  <w:noWrap w:val="0"/>
                  <w:vAlign w:val="center"/>
                </w:tcPr>
                <w:p w14:paraId="57936369">
                  <w:pPr>
                    <w:widowControl/>
                    <w:spacing w:line="240" w:lineRule="auto"/>
                    <w:ind w:firstLine="0" w:firstLineChars="0"/>
                    <w:jc w:val="center"/>
                    <w:rPr>
                      <w:color w:val="auto"/>
                      <w:sz w:val="21"/>
                      <w:szCs w:val="21"/>
                    </w:rPr>
                  </w:pPr>
                  <w:r>
                    <w:rPr>
                      <w:rFonts w:hint="eastAsia"/>
                      <w:color w:val="auto"/>
                      <w:sz w:val="21"/>
                      <w:szCs w:val="21"/>
                    </w:rPr>
                    <w:t>5</w:t>
                  </w:r>
                </w:p>
              </w:tc>
              <w:tc>
                <w:tcPr>
                  <w:tcW w:w="966" w:type="pct"/>
                  <w:noWrap w:val="0"/>
                  <w:vAlign w:val="center"/>
                </w:tcPr>
                <w:p w14:paraId="4CA49EA1">
                  <w:pPr>
                    <w:widowControl/>
                    <w:spacing w:line="240" w:lineRule="auto"/>
                    <w:ind w:firstLine="0" w:firstLineChars="0"/>
                    <w:jc w:val="center"/>
                    <w:rPr>
                      <w:rFonts w:hint="eastAsia"/>
                      <w:color w:val="auto"/>
                      <w:sz w:val="21"/>
                      <w:szCs w:val="21"/>
                    </w:rPr>
                  </w:pPr>
                  <w:r>
                    <w:rPr>
                      <w:rFonts w:hint="eastAsia"/>
                      <w:color w:val="auto"/>
                      <w:sz w:val="21"/>
                      <w:szCs w:val="21"/>
                    </w:rPr>
                    <w:t>1#掺和料筒仓仓顶</w:t>
                  </w:r>
                  <w:r>
                    <w:rPr>
                      <w:color w:val="auto"/>
                      <w:sz w:val="21"/>
                      <w:szCs w:val="21"/>
                    </w:rPr>
                    <w:t>排</w:t>
                  </w:r>
                  <w:r>
                    <w:rPr>
                      <w:rFonts w:hint="eastAsia"/>
                      <w:color w:val="auto"/>
                      <w:sz w:val="21"/>
                      <w:szCs w:val="21"/>
                    </w:rPr>
                    <w:t>口</w:t>
                  </w:r>
                </w:p>
              </w:tc>
              <w:tc>
                <w:tcPr>
                  <w:tcW w:w="553" w:type="pct"/>
                  <w:vMerge w:val="continue"/>
                  <w:noWrap w:val="0"/>
                  <w:vAlign w:val="center"/>
                </w:tcPr>
                <w:p w14:paraId="506269A0">
                  <w:pPr>
                    <w:autoSpaceDN w:val="0"/>
                    <w:spacing w:line="240" w:lineRule="auto"/>
                    <w:ind w:firstLine="0" w:firstLineChars="0"/>
                    <w:jc w:val="center"/>
                    <w:textAlignment w:val="center"/>
                    <w:rPr>
                      <w:bCs/>
                      <w:color w:val="auto"/>
                      <w:sz w:val="21"/>
                      <w:szCs w:val="21"/>
                    </w:rPr>
                  </w:pPr>
                </w:p>
              </w:tc>
              <w:tc>
                <w:tcPr>
                  <w:tcW w:w="400" w:type="pct"/>
                  <w:noWrap w:val="0"/>
                  <w:vAlign w:val="center"/>
                </w:tcPr>
                <w:p w14:paraId="7D91B3FD">
                  <w:pPr>
                    <w:spacing w:line="240" w:lineRule="auto"/>
                    <w:ind w:firstLine="0" w:firstLineChars="0"/>
                    <w:jc w:val="center"/>
                    <w:rPr>
                      <w:bCs/>
                      <w:color w:val="auto"/>
                      <w:sz w:val="21"/>
                      <w:szCs w:val="21"/>
                    </w:rPr>
                  </w:pPr>
                  <w:r>
                    <w:rPr>
                      <w:bCs/>
                      <w:color w:val="auto"/>
                      <w:sz w:val="21"/>
                      <w:szCs w:val="21"/>
                    </w:rPr>
                    <w:t>颗粒物</w:t>
                  </w:r>
                </w:p>
              </w:tc>
              <w:tc>
                <w:tcPr>
                  <w:tcW w:w="580" w:type="pct"/>
                  <w:noWrap w:val="0"/>
                  <w:vAlign w:val="center"/>
                </w:tcPr>
                <w:p w14:paraId="2C151246">
                  <w:pPr>
                    <w:widowControl/>
                    <w:spacing w:line="240" w:lineRule="auto"/>
                    <w:ind w:firstLine="0" w:firstLineChars="0"/>
                    <w:jc w:val="center"/>
                    <w:textAlignment w:val="center"/>
                    <w:rPr>
                      <w:rFonts w:hint="eastAsia"/>
                      <w:color w:val="auto"/>
                      <w:sz w:val="21"/>
                      <w:szCs w:val="21"/>
                    </w:rPr>
                  </w:pPr>
                  <w:r>
                    <w:rPr>
                      <w:rFonts w:hint="eastAsia"/>
                      <w:color w:val="auto"/>
                      <w:sz w:val="21"/>
                      <w:szCs w:val="21"/>
                    </w:rPr>
                    <w:t>7</w:t>
                  </w:r>
                  <w:r>
                    <w:rPr>
                      <w:color w:val="auto"/>
                      <w:sz w:val="21"/>
                      <w:szCs w:val="21"/>
                    </w:rPr>
                    <w:t>92.5</w:t>
                  </w:r>
                </w:p>
              </w:tc>
              <w:tc>
                <w:tcPr>
                  <w:tcW w:w="402" w:type="pct"/>
                  <w:noWrap w:val="0"/>
                  <w:vAlign w:val="center"/>
                </w:tcPr>
                <w:p w14:paraId="6599FD3F">
                  <w:pPr>
                    <w:widowControl/>
                    <w:spacing w:line="240" w:lineRule="auto"/>
                    <w:ind w:firstLine="0" w:firstLineChars="0"/>
                    <w:jc w:val="center"/>
                    <w:textAlignment w:val="center"/>
                    <w:rPr>
                      <w:rFonts w:hint="eastAsia"/>
                      <w:bCs/>
                      <w:color w:val="auto"/>
                      <w:sz w:val="21"/>
                      <w:szCs w:val="21"/>
                    </w:rPr>
                  </w:pPr>
                  <w:r>
                    <w:rPr>
                      <w:rFonts w:hint="eastAsia"/>
                      <w:bCs/>
                      <w:color w:val="auto"/>
                      <w:sz w:val="21"/>
                      <w:szCs w:val="21"/>
                    </w:rPr>
                    <w:t>1</w:t>
                  </w:r>
                  <w:r>
                    <w:rPr>
                      <w:bCs/>
                      <w:color w:val="auto"/>
                      <w:sz w:val="21"/>
                      <w:szCs w:val="21"/>
                    </w:rPr>
                    <w:t>.585</w:t>
                  </w:r>
                </w:p>
              </w:tc>
              <w:tc>
                <w:tcPr>
                  <w:tcW w:w="500" w:type="pct"/>
                  <w:noWrap w:val="0"/>
                  <w:vAlign w:val="center"/>
                </w:tcPr>
                <w:p w14:paraId="0A26FF59">
                  <w:pPr>
                    <w:autoSpaceDN w:val="0"/>
                    <w:spacing w:line="240" w:lineRule="auto"/>
                    <w:ind w:firstLine="0" w:firstLineChars="0"/>
                    <w:jc w:val="center"/>
                    <w:textAlignment w:val="center"/>
                    <w:rPr>
                      <w:rFonts w:hint="eastAsia"/>
                      <w:color w:val="auto"/>
                      <w:sz w:val="21"/>
                      <w:szCs w:val="21"/>
                    </w:rPr>
                  </w:pPr>
                  <w:r>
                    <w:rPr>
                      <w:rFonts w:hint="eastAsia"/>
                      <w:color w:val="auto"/>
                      <w:sz w:val="21"/>
                      <w:szCs w:val="21"/>
                    </w:rPr>
                    <w:t>1</w:t>
                  </w:r>
                  <w:r>
                    <w:rPr>
                      <w:color w:val="auto"/>
                      <w:sz w:val="21"/>
                      <w:szCs w:val="21"/>
                    </w:rPr>
                    <w:t>585</w:t>
                  </w:r>
                </w:p>
              </w:tc>
              <w:tc>
                <w:tcPr>
                  <w:tcW w:w="402" w:type="pct"/>
                  <w:noWrap w:val="0"/>
                  <w:vAlign w:val="center"/>
                </w:tcPr>
                <w:p w14:paraId="6CD3B1D3">
                  <w:pPr>
                    <w:autoSpaceDN w:val="0"/>
                    <w:spacing w:line="240" w:lineRule="auto"/>
                    <w:ind w:firstLine="0" w:firstLineChars="0"/>
                    <w:jc w:val="center"/>
                    <w:textAlignment w:val="center"/>
                    <w:rPr>
                      <w:rFonts w:hint="eastAsia"/>
                      <w:color w:val="auto"/>
                      <w:sz w:val="21"/>
                      <w:szCs w:val="21"/>
                    </w:rPr>
                  </w:pPr>
                  <w:r>
                    <w:rPr>
                      <w:rFonts w:hint="eastAsia"/>
                      <w:color w:val="auto"/>
                      <w:sz w:val="21"/>
                      <w:szCs w:val="21"/>
                    </w:rPr>
                    <w:t>3</w:t>
                  </w:r>
                  <w:r>
                    <w:rPr>
                      <w:color w:val="auto"/>
                      <w:sz w:val="21"/>
                      <w:szCs w:val="21"/>
                    </w:rPr>
                    <w:t>.17</w:t>
                  </w:r>
                </w:p>
              </w:tc>
              <w:tc>
                <w:tcPr>
                  <w:tcW w:w="249" w:type="pct"/>
                  <w:noWrap w:val="0"/>
                  <w:vAlign w:val="center"/>
                </w:tcPr>
                <w:p w14:paraId="33224651">
                  <w:pPr>
                    <w:autoSpaceDN w:val="0"/>
                    <w:spacing w:line="240" w:lineRule="auto"/>
                    <w:ind w:firstLine="0" w:firstLineChars="0"/>
                    <w:jc w:val="center"/>
                    <w:textAlignment w:val="center"/>
                    <w:rPr>
                      <w:bCs/>
                      <w:color w:val="auto"/>
                      <w:sz w:val="21"/>
                      <w:szCs w:val="21"/>
                    </w:rPr>
                  </w:pPr>
                  <w:r>
                    <w:rPr>
                      <w:rFonts w:hint="eastAsia"/>
                      <w:bCs/>
                      <w:color w:val="auto"/>
                      <w:sz w:val="21"/>
                      <w:szCs w:val="21"/>
                    </w:rPr>
                    <w:t>2</w:t>
                  </w:r>
                </w:p>
              </w:tc>
              <w:tc>
                <w:tcPr>
                  <w:tcW w:w="249" w:type="pct"/>
                  <w:noWrap w:val="0"/>
                  <w:vAlign w:val="center"/>
                </w:tcPr>
                <w:p w14:paraId="064E466D">
                  <w:pPr>
                    <w:autoSpaceDN w:val="0"/>
                    <w:spacing w:line="240" w:lineRule="auto"/>
                    <w:ind w:firstLine="0" w:firstLineChars="0"/>
                    <w:jc w:val="center"/>
                    <w:textAlignment w:val="center"/>
                    <w:rPr>
                      <w:bCs/>
                      <w:color w:val="auto"/>
                      <w:sz w:val="21"/>
                      <w:szCs w:val="21"/>
                    </w:rPr>
                  </w:pPr>
                  <w:r>
                    <w:rPr>
                      <w:rFonts w:hint="eastAsia"/>
                      <w:bCs/>
                      <w:color w:val="auto"/>
                      <w:sz w:val="21"/>
                      <w:szCs w:val="21"/>
                    </w:rPr>
                    <w:t>1</w:t>
                  </w:r>
                </w:p>
              </w:tc>
              <w:tc>
                <w:tcPr>
                  <w:tcW w:w="448" w:type="pct"/>
                  <w:vMerge w:val="continue"/>
                  <w:noWrap w:val="0"/>
                  <w:vAlign w:val="center"/>
                </w:tcPr>
                <w:p w14:paraId="75C02E87">
                  <w:pPr>
                    <w:autoSpaceDN w:val="0"/>
                    <w:spacing w:line="240" w:lineRule="auto"/>
                    <w:ind w:firstLine="0" w:firstLineChars="0"/>
                    <w:jc w:val="center"/>
                    <w:textAlignment w:val="center"/>
                    <w:rPr>
                      <w:bCs/>
                      <w:color w:val="auto"/>
                      <w:sz w:val="21"/>
                      <w:szCs w:val="21"/>
                    </w:rPr>
                  </w:pPr>
                </w:p>
              </w:tc>
            </w:tr>
            <w:tr w14:paraId="17096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47" w:type="pct"/>
                  <w:noWrap w:val="0"/>
                  <w:vAlign w:val="center"/>
                </w:tcPr>
                <w:p w14:paraId="3DCE618F">
                  <w:pPr>
                    <w:widowControl/>
                    <w:spacing w:line="240" w:lineRule="auto"/>
                    <w:ind w:firstLine="0" w:firstLineChars="0"/>
                    <w:jc w:val="center"/>
                    <w:rPr>
                      <w:color w:val="auto"/>
                      <w:sz w:val="21"/>
                      <w:szCs w:val="21"/>
                    </w:rPr>
                  </w:pPr>
                  <w:r>
                    <w:rPr>
                      <w:rFonts w:hint="eastAsia"/>
                      <w:color w:val="auto"/>
                      <w:sz w:val="21"/>
                      <w:szCs w:val="21"/>
                    </w:rPr>
                    <w:t>6</w:t>
                  </w:r>
                </w:p>
              </w:tc>
              <w:tc>
                <w:tcPr>
                  <w:tcW w:w="966" w:type="pct"/>
                  <w:noWrap w:val="0"/>
                  <w:vAlign w:val="center"/>
                </w:tcPr>
                <w:p w14:paraId="5CB8E90C">
                  <w:pPr>
                    <w:widowControl/>
                    <w:spacing w:line="240" w:lineRule="auto"/>
                    <w:ind w:firstLine="0" w:firstLineChars="0"/>
                    <w:jc w:val="center"/>
                    <w:rPr>
                      <w:rFonts w:hint="eastAsia"/>
                      <w:color w:val="auto"/>
                      <w:sz w:val="21"/>
                      <w:szCs w:val="21"/>
                    </w:rPr>
                  </w:pPr>
                  <w:r>
                    <w:rPr>
                      <w:rFonts w:hint="eastAsia"/>
                      <w:color w:val="auto"/>
                      <w:sz w:val="21"/>
                      <w:szCs w:val="21"/>
                    </w:rPr>
                    <w:t>2#掺和料筒仓仓顶</w:t>
                  </w:r>
                  <w:r>
                    <w:rPr>
                      <w:color w:val="auto"/>
                      <w:sz w:val="21"/>
                      <w:szCs w:val="21"/>
                    </w:rPr>
                    <w:t>排</w:t>
                  </w:r>
                  <w:r>
                    <w:rPr>
                      <w:rFonts w:hint="eastAsia"/>
                      <w:color w:val="auto"/>
                      <w:sz w:val="21"/>
                      <w:szCs w:val="21"/>
                    </w:rPr>
                    <w:t>口</w:t>
                  </w:r>
                </w:p>
              </w:tc>
              <w:tc>
                <w:tcPr>
                  <w:tcW w:w="553" w:type="pct"/>
                  <w:vMerge w:val="continue"/>
                  <w:noWrap w:val="0"/>
                  <w:vAlign w:val="center"/>
                </w:tcPr>
                <w:p w14:paraId="0478ED1B">
                  <w:pPr>
                    <w:autoSpaceDN w:val="0"/>
                    <w:spacing w:line="240" w:lineRule="auto"/>
                    <w:ind w:firstLine="0" w:firstLineChars="0"/>
                    <w:jc w:val="center"/>
                    <w:textAlignment w:val="center"/>
                    <w:rPr>
                      <w:bCs/>
                      <w:color w:val="auto"/>
                      <w:sz w:val="21"/>
                      <w:szCs w:val="21"/>
                    </w:rPr>
                  </w:pPr>
                </w:p>
              </w:tc>
              <w:tc>
                <w:tcPr>
                  <w:tcW w:w="400" w:type="pct"/>
                  <w:noWrap w:val="0"/>
                  <w:vAlign w:val="center"/>
                </w:tcPr>
                <w:p w14:paraId="3AAC15A7">
                  <w:pPr>
                    <w:spacing w:line="240" w:lineRule="auto"/>
                    <w:ind w:firstLine="0" w:firstLineChars="0"/>
                    <w:jc w:val="center"/>
                    <w:rPr>
                      <w:bCs/>
                      <w:color w:val="auto"/>
                      <w:sz w:val="21"/>
                      <w:szCs w:val="21"/>
                    </w:rPr>
                  </w:pPr>
                  <w:r>
                    <w:rPr>
                      <w:bCs/>
                      <w:color w:val="auto"/>
                      <w:sz w:val="21"/>
                      <w:szCs w:val="21"/>
                    </w:rPr>
                    <w:t>颗粒物</w:t>
                  </w:r>
                </w:p>
              </w:tc>
              <w:tc>
                <w:tcPr>
                  <w:tcW w:w="580" w:type="pct"/>
                  <w:noWrap w:val="0"/>
                  <w:vAlign w:val="center"/>
                </w:tcPr>
                <w:p w14:paraId="38030CB1">
                  <w:pPr>
                    <w:widowControl/>
                    <w:spacing w:line="240" w:lineRule="auto"/>
                    <w:ind w:firstLine="0" w:firstLineChars="0"/>
                    <w:jc w:val="center"/>
                    <w:textAlignment w:val="center"/>
                    <w:rPr>
                      <w:rFonts w:hint="eastAsia"/>
                      <w:color w:val="auto"/>
                      <w:sz w:val="21"/>
                      <w:szCs w:val="21"/>
                    </w:rPr>
                  </w:pPr>
                  <w:r>
                    <w:rPr>
                      <w:rFonts w:hint="eastAsia"/>
                      <w:color w:val="auto"/>
                      <w:sz w:val="21"/>
                      <w:szCs w:val="21"/>
                    </w:rPr>
                    <w:t>7</w:t>
                  </w:r>
                  <w:r>
                    <w:rPr>
                      <w:color w:val="auto"/>
                      <w:sz w:val="21"/>
                      <w:szCs w:val="21"/>
                    </w:rPr>
                    <w:t>92.5</w:t>
                  </w:r>
                </w:p>
              </w:tc>
              <w:tc>
                <w:tcPr>
                  <w:tcW w:w="402" w:type="pct"/>
                  <w:noWrap w:val="0"/>
                  <w:vAlign w:val="center"/>
                </w:tcPr>
                <w:p w14:paraId="7CEF790F">
                  <w:pPr>
                    <w:widowControl/>
                    <w:spacing w:line="240" w:lineRule="auto"/>
                    <w:ind w:firstLine="0" w:firstLineChars="0"/>
                    <w:jc w:val="center"/>
                    <w:textAlignment w:val="center"/>
                    <w:rPr>
                      <w:rFonts w:hint="eastAsia"/>
                      <w:bCs/>
                      <w:color w:val="auto"/>
                      <w:sz w:val="21"/>
                      <w:szCs w:val="21"/>
                    </w:rPr>
                  </w:pPr>
                  <w:r>
                    <w:rPr>
                      <w:rFonts w:hint="eastAsia"/>
                      <w:bCs/>
                      <w:color w:val="auto"/>
                      <w:sz w:val="21"/>
                      <w:szCs w:val="21"/>
                    </w:rPr>
                    <w:t>1</w:t>
                  </w:r>
                  <w:r>
                    <w:rPr>
                      <w:bCs/>
                      <w:color w:val="auto"/>
                      <w:sz w:val="21"/>
                      <w:szCs w:val="21"/>
                    </w:rPr>
                    <w:t>.585</w:t>
                  </w:r>
                </w:p>
              </w:tc>
              <w:tc>
                <w:tcPr>
                  <w:tcW w:w="500" w:type="pct"/>
                  <w:noWrap w:val="0"/>
                  <w:vAlign w:val="center"/>
                </w:tcPr>
                <w:p w14:paraId="551E1865">
                  <w:pPr>
                    <w:autoSpaceDN w:val="0"/>
                    <w:spacing w:line="240" w:lineRule="auto"/>
                    <w:ind w:firstLine="0" w:firstLineChars="0"/>
                    <w:jc w:val="center"/>
                    <w:textAlignment w:val="center"/>
                    <w:rPr>
                      <w:rFonts w:hint="eastAsia"/>
                      <w:color w:val="auto"/>
                      <w:sz w:val="21"/>
                      <w:szCs w:val="21"/>
                    </w:rPr>
                  </w:pPr>
                  <w:r>
                    <w:rPr>
                      <w:rFonts w:hint="eastAsia"/>
                      <w:color w:val="auto"/>
                      <w:sz w:val="21"/>
                      <w:szCs w:val="21"/>
                    </w:rPr>
                    <w:t>1</w:t>
                  </w:r>
                  <w:r>
                    <w:rPr>
                      <w:color w:val="auto"/>
                      <w:sz w:val="21"/>
                      <w:szCs w:val="21"/>
                    </w:rPr>
                    <w:t>585</w:t>
                  </w:r>
                </w:p>
              </w:tc>
              <w:tc>
                <w:tcPr>
                  <w:tcW w:w="402" w:type="pct"/>
                  <w:noWrap w:val="0"/>
                  <w:vAlign w:val="center"/>
                </w:tcPr>
                <w:p w14:paraId="13B26BE5">
                  <w:pPr>
                    <w:autoSpaceDN w:val="0"/>
                    <w:spacing w:line="240" w:lineRule="auto"/>
                    <w:ind w:firstLine="0" w:firstLineChars="0"/>
                    <w:jc w:val="center"/>
                    <w:textAlignment w:val="center"/>
                    <w:rPr>
                      <w:rFonts w:hint="eastAsia"/>
                      <w:color w:val="auto"/>
                      <w:sz w:val="21"/>
                      <w:szCs w:val="21"/>
                    </w:rPr>
                  </w:pPr>
                  <w:r>
                    <w:rPr>
                      <w:rFonts w:hint="eastAsia"/>
                      <w:color w:val="auto"/>
                      <w:sz w:val="21"/>
                      <w:szCs w:val="21"/>
                    </w:rPr>
                    <w:t>3</w:t>
                  </w:r>
                  <w:r>
                    <w:rPr>
                      <w:color w:val="auto"/>
                      <w:sz w:val="21"/>
                      <w:szCs w:val="21"/>
                    </w:rPr>
                    <w:t>.17</w:t>
                  </w:r>
                </w:p>
              </w:tc>
              <w:tc>
                <w:tcPr>
                  <w:tcW w:w="249" w:type="pct"/>
                  <w:noWrap w:val="0"/>
                  <w:vAlign w:val="center"/>
                </w:tcPr>
                <w:p w14:paraId="2851B390">
                  <w:pPr>
                    <w:autoSpaceDN w:val="0"/>
                    <w:spacing w:line="240" w:lineRule="auto"/>
                    <w:ind w:firstLine="0" w:firstLineChars="0"/>
                    <w:jc w:val="center"/>
                    <w:textAlignment w:val="center"/>
                    <w:rPr>
                      <w:bCs/>
                      <w:color w:val="auto"/>
                      <w:sz w:val="21"/>
                      <w:szCs w:val="21"/>
                    </w:rPr>
                  </w:pPr>
                  <w:r>
                    <w:rPr>
                      <w:rFonts w:hint="eastAsia"/>
                      <w:bCs/>
                      <w:color w:val="auto"/>
                      <w:sz w:val="21"/>
                      <w:szCs w:val="21"/>
                    </w:rPr>
                    <w:t>2</w:t>
                  </w:r>
                </w:p>
              </w:tc>
              <w:tc>
                <w:tcPr>
                  <w:tcW w:w="249" w:type="pct"/>
                  <w:noWrap w:val="0"/>
                  <w:vAlign w:val="center"/>
                </w:tcPr>
                <w:p w14:paraId="51B47DB3">
                  <w:pPr>
                    <w:autoSpaceDN w:val="0"/>
                    <w:spacing w:line="240" w:lineRule="auto"/>
                    <w:ind w:firstLine="0" w:firstLineChars="0"/>
                    <w:jc w:val="center"/>
                    <w:textAlignment w:val="center"/>
                    <w:rPr>
                      <w:bCs/>
                      <w:color w:val="auto"/>
                      <w:sz w:val="21"/>
                      <w:szCs w:val="21"/>
                    </w:rPr>
                  </w:pPr>
                  <w:r>
                    <w:rPr>
                      <w:rFonts w:hint="eastAsia"/>
                      <w:bCs/>
                      <w:color w:val="auto"/>
                      <w:sz w:val="21"/>
                      <w:szCs w:val="21"/>
                    </w:rPr>
                    <w:t>1</w:t>
                  </w:r>
                </w:p>
              </w:tc>
              <w:tc>
                <w:tcPr>
                  <w:tcW w:w="448" w:type="pct"/>
                  <w:vMerge w:val="continue"/>
                  <w:noWrap w:val="0"/>
                  <w:vAlign w:val="center"/>
                </w:tcPr>
                <w:p w14:paraId="3CA605F6">
                  <w:pPr>
                    <w:autoSpaceDN w:val="0"/>
                    <w:spacing w:line="240" w:lineRule="auto"/>
                    <w:ind w:firstLine="0" w:firstLineChars="0"/>
                    <w:jc w:val="center"/>
                    <w:textAlignment w:val="center"/>
                    <w:rPr>
                      <w:bCs/>
                      <w:color w:val="auto"/>
                      <w:sz w:val="21"/>
                      <w:szCs w:val="21"/>
                    </w:rPr>
                  </w:pPr>
                </w:p>
              </w:tc>
            </w:tr>
            <w:tr w14:paraId="78C9F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47" w:type="pct"/>
                  <w:vMerge w:val="restart"/>
                  <w:noWrap w:val="0"/>
                  <w:vAlign w:val="center"/>
                </w:tcPr>
                <w:p w14:paraId="50862093">
                  <w:pPr>
                    <w:widowControl/>
                    <w:spacing w:line="240" w:lineRule="auto"/>
                    <w:ind w:firstLine="0" w:firstLineChars="0"/>
                    <w:jc w:val="center"/>
                    <w:rPr>
                      <w:rFonts w:hint="eastAsia" w:eastAsia="宋体"/>
                      <w:color w:val="auto"/>
                      <w:sz w:val="21"/>
                      <w:szCs w:val="21"/>
                      <w:lang w:eastAsia="zh-CN"/>
                    </w:rPr>
                  </w:pPr>
                  <w:r>
                    <w:rPr>
                      <w:rFonts w:hint="eastAsia"/>
                      <w:color w:val="auto"/>
                      <w:sz w:val="21"/>
                      <w:szCs w:val="21"/>
                      <w:lang w:val="en-US" w:eastAsia="zh-CN"/>
                    </w:rPr>
                    <w:t>7</w:t>
                  </w:r>
                </w:p>
              </w:tc>
              <w:tc>
                <w:tcPr>
                  <w:tcW w:w="966" w:type="pct"/>
                  <w:vMerge w:val="restart"/>
                  <w:noWrap w:val="0"/>
                  <w:vAlign w:val="center"/>
                </w:tcPr>
                <w:p w14:paraId="1C84EF66">
                  <w:pPr>
                    <w:widowControl/>
                    <w:spacing w:line="240" w:lineRule="auto"/>
                    <w:ind w:firstLine="0" w:firstLineChars="0"/>
                    <w:jc w:val="center"/>
                    <w:rPr>
                      <w:color w:val="auto"/>
                      <w:sz w:val="21"/>
                      <w:szCs w:val="21"/>
                    </w:rPr>
                  </w:pPr>
                  <w:r>
                    <w:rPr>
                      <w:rFonts w:hint="eastAsia"/>
                      <w:color w:val="auto"/>
                      <w:sz w:val="21"/>
                      <w:szCs w:val="21"/>
                    </w:rPr>
                    <w:t>生物质锅炉排气筒（DA00</w:t>
                  </w:r>
                  <w:r>
                    <w:rPr>
                      <w:rFonts w:hint="eastAsia"/>
                      <w:color w:val="auto"/>
                      <w:sz w:val="21"/>
                      <w:szCs w:val="21"/>
                      <w:lang w:val="en-US" w:eastAsia="zh-CN"/>
                    </w:rPr>
                    <w:t>1</w:t>
                  </w:r>
                  <w:r>
                    <w:rPr>
                      <w:rFonts w:hint="eastAsia"/>
                      <w:color w:val="auto"/>
                      <w:sz w:val="21"/>
                      <w:szCs w:val="21"/>
                    </w:rPr>
                    <w:t>）</w:t>
                  </w:r>
                </w:p>
              </w:tc>
              <w:tc>
                <w:tcPr>
                  <w:tcW w:w="553" w:type="pct"/>
                  <w:vMerge w:val="continue"/>
                  <w:noWrap w:val="0"/>
                  <w:vAlign w:val="center"/>
                </w:tcPr>
                <w:p w14:paraId="3F903FBC">
                  <w:pPr>
                    <w:autoSpaceDN w:val="0"/>
                    <w:spacing w:line="240" w:lineRule="auto"/>
                    <w:ind w:firstLine="0" w:firstLineChars="0"/>
                    <w:jc w:val="center"/>
                    <w:textAlignment w:val="center"/>
                    <w:rPr>
                      <w:bCs/>
                      <w:color w:val="auto"/>
                      <w:sz w:val="21"/>
                      <w:szCs w:val="21"/>
                    </w:rPr>
                  </w:pPr>
                </w:p>
              </w:tc>
              <w:tc>
                <w:tcPr>
                  <w:tcW w:w="400" w:type="pct"/>
                  <w:noWrap w:val="0"/>
                  <w:vAlign w:val="center"/>
                </w:tcPr>
                <w:p w14:paraId="415E8107">
                  <w:pPr>
                    <w:spacing w:line="240" w:lineRule="auto"/>
                    <w:ind w:firstLine="0" w:firstLineChars="0"/>
                    <w:jc w:val="center"/>
                    <w:rPr>
                      <w:bCs/>
                      <w:color w:val="auto"/>
                      <w:sz w:val="21"/>
                      <w:szCs w:val="21"/>
                    </w:rPr>
                  </w:pPr>
                  <w:r>
                    <w:rPr>
                      <w:rFonts w:hint="eastAsia"/>
                      <w:color w:val="auto"/>
                      <w:sz w:val="21"/>
                      <w:szCs w:val="21"/>
                    </w:rPr>
                    <w:t>S</w:t>
                  </w:r>
                  <w:r>
                    <w:rPr>
                      <w:color w:val="auto"/>
                      <w:sz w:val="21"/>
                      <w:szCs w:val="21"/>
                    </w:rPr>
                    <w:t>O</w:t>
                  </w:r>
                  <w:r>
                    <w:rPr>
                      <w:color w:val="auto"/>
                      <w:sz w:val="21"/>
                      <w:szCs w:val="21"/>
                      <w:vertAlign w:val="subscript"/>
                    </w:rPr>
                    <w:t>2</w:t>
                  </w:r>
                </w:p>
              </w:tc>
              <w:tc>
                <w:tcPr>
                  <w:tcW w:w="580" w:type="pct"/>
                  <w:noWrap w:val="0"/>
                  <w:vAlign w:val="center"/>
                </w:tcPr>
                <w:p w14:paraId="55808320">
                  <w:pPr>
                    <w:widowControl/>
                    <w:spacing w:line="240" w:lineRule="auto"/>
                    <w:ind w:firstLine="0" w:firstLineChars="0"/>
                    <w:jc w:val="center"/>
                    <w:textAlignment w:val="center"/>
                    <w:rPr>
                      <w:rFonts w:hint="eastAsia"/>
                      <w:color w:val="auto"/>
                      <w:sz w:val="21"/>
                      <w:szCs w:val="21"/>
                    </w:rPr>
                  </w:pPr>
                  <w:r>
                    <w:rPr>
                      <w:rFonts w:hint="eastAsia"/>
                      <w:color w:val="auto"/>
                      <w:sz w:val="21"/>
                      <w:szCs w:val="21"/>
                    </w:rPr>
                    <w:t>149.77</w:t>
                  </w:r>
                </w:p>
              </w:tc>
              <w:tc>
                <w:tcPr>
                  <w:tcW w:w="402" w:type="pct"/>
                  <w:noWrap w:val="0"/>
                  <w:vAlign w:val="center"/>
                </w:tcPr>
                <w:p w14:paraId="1D19728E">
                  <w:pPr>
                    <w:widowControl/>
                    <w:spacing w:line="240" w:lineRule="auto"/>
                    <w:ind w:firstLine="0" w:firstLineChars="0"/>
                    <w:jc w:val="center"/>
                    <w:textAlignment w:val="center"/>
                    <w:rPr>
                      <w:rFonts w:hint="eastAsia"/>
                      <w:bCs/>
                      <w:color w:val="auto"/>
                      <w:sz w:val="21"/>
                      <w:szCs w:val="21"/>
                    </w:rPr>
                  </w:pPr>
                  <w:r>
                    <w:rPr>
                      <w:rFonts w:hint="eastAsia"/>
                      <w:bCs/>
                      <w:color w:val="auto"/>
                      <w:sz w:val="21"/>
                      <w:szCs w:val="21"/>
                    </w:rPr>
                    <w:t>1.18</w:t>
                  </w:r>
                </w:p>
              </w:tc>
              <w:tc>
                <w:tcPr>
                  <w:tcW w:w="500" w:type="pct"/>
                  <w:noWrap w:val="0"/>
                  <w:vAlign w:val="center"/>
                </w:tcPr>
                <w:p w14:paraId="4088271E">
                  <w:pPr>
                    <w:autoSpaceDN w:val="0"/>
                    <w:spacing w:line="240" w:lineRule="auto"/>
                    <w:ind w:firstLine="0" w:firstLineChars="0"/>
                    <w:jc w:val="center"/>
                    <w:textAlignment w:val="center"/>
                    <w:rPr>
                      <w:rFonts w:hint="eastAsia"/>
                      <w:color w:val="auto"/>
                      <w:sz w:val="21"/>
                      <w:szCs w:val="21"/>
                    </w:rPr>
                  </w:pPr>
                  <w:r>
                    <w:rPr>
                      <w:rFonts w:hint="eastAsia"/>
                      <w:color w:val="auto"/>
                      <w:sz w:val="21"/>
                      <w:szCs w:val="21"/>
                    </w:rPr>
                    <w:t>299.04</w:t>
                  </w:r>
                </w:p>
              </w:tc>
              <w:tc>
                <w:tcPr>
                  <w:tcW w:w="402" w:type="pct"/>
                  <w:noWrap w:val="0"/>
                  <w:vAlign w:val="center"/>
                </w:tcPr>
                <w:p w14:paraId="06C0C77B">
                  <w:pPr>
                    <w:autoSpaceDN w:val="0"/>
                    <w:spacing w:line="240" w:lineRule="auto"/>
                    <w:ind w:firstLine="0" w:firstLineChars="0"/>
                    <w:jc w:val="center"/>
                    <w:textAlignment w:val="center"/>
                    <w:rPr>
                      <w:rFonts w:hint="eastAsia"/>
                      <w:color w:val="auto"/>
                      <w:sz w:val="21"/>
                      <w:szCs w:val="21"/>
                    </w:rPr>
                  </w:pPr>
                  <w:r>
                    <w:rPr>
                      <w:rFonts w:hint="eastAsia"/>
                      <w:color w:val="auto"/>
                      <w:sz w:val="21"/>
                      <w:szCs w:val="21"/>
                    </w:rPr>
                    <w:t>2.36</w:t>
                  </w:r>
                </w:p>
              </w:tc>
              <w:tc>
                <w:tcPr>
                  <w:tcW w:w="249" w:type="pct"/>
                  <w:vMerge w:val="restart"/>
                  <w:noWrap w:val="0"/>
                  <w:vAlign w:val="center"/>
                </w:tcPr>
                <w:p w14:paraId="46EC0928">
                  <w:pPr>
                    <w:autoSpaceDN w:val="0"/>
                    <w:spacing w:line="240" w:lineRule="auto"/>
                    <w:ind w:firstLine="0" w:firstLineChars="0"/>
                    <w:textAlignment w:val="center"/>
                    <w:rPr>
                      <w:bCs/>
                      <w:color w:val="auto"/>
                      <w:sz w:val="21"/>
                      <w:szCs w:val="21"/>
                    </w:rPr>
                  </w:pPr>
                  <w:r>
                    <w:rPr>
                      <w:rFonts w:hint="eastAsia"/>
                      <w:bCs/>
                      <w:color w:val="auto"/>
                      <w:sz w:val="21"/>
                      <w:szCs w:val="21"/>
                    </w:rPr>
                    <w:t>2</w:t>
                  </w:r>
                </w:p>
              </w:tc>
              <w:tc>
                <w:tcPr>
                  <w:tcW w:w="249" w:type="pct"/>
                  <w:vMerge w:val="restart"/>
                  <w:noWrap w:val="0"/>
                  <w:vAlign w:val="center"/>
                </w:tcPr>
                <w:p w14:paraId="184CCA6B">
                  <w:pPr>
                    <w:autoSpaceDN w:val="0"/>
                    <w:spacing w:line="240" w:lineRule="auto"/>
                    <w:ind w:firstLine="0" w:firstLineChars="0"/>
                    <w:jc w:val="center"/>
                    <w:textAlignment w:val="center"/>
                    <w:rPr>
                      <w:bCs/>
                      <w:color w:val="auto"/>
                      <w:sz w:val="21"/>
                      <w:szCs w:val="21"/>
                    </w:rPr>
                  </w:pPr>
                  <w:r>
                    <w:rPr>
                      <w:rFonts w:hint="eastAsia"/>
                      <w:bCs/>
                      <w:color w:val="auto"/>
                      <w:sz w:val="21"/>
                      <w:szCs w:val="21"/>
                    </w:rPr>
                    <w:t>1</w:t>
                  </w:r>
                </w:p>
              </w:tc>
              <w:tc>
                <w:tcPr>
                  <w:tcW w:w="448" w:type="pct"/>
                  <w:vMerge w:val="continue"/>
                  <w:noWrap w:val="0"/>
                  <w:vAlign w:val="center"/>
                </w:tcPr>
                <w:p w14:paraId="1D51BBFB">
                  <w:pPr>
                    <w:autoSpaceDN w:val="0"/>
                    <w:spacing w:line="240" w:lineRule="auto"/>
                    <w:ind w:firstLine="0" w:firstLineChars="0"/>
                    <w:jc w:val="center"/>
                    <w:textAlignment w:val="center"/>
                    <w:rPr>
                      <w:bCs/>
                      <w:color w:val="auto"/>
                      <w:sz w:val="21"/>
                      <w:szCs w:val="21"/>
                    </w:rPr>
                  </w:pPr>
                </w:p>
              </w:tc>
            </w:tr>
            <w:tr w14:paraId="0B49F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47" w:type="pct"/>
                  <w:vMerge w:val="continue"/>
                  <w:noWrap w:val="0"/>
                  <w:vAlign w:val="center"/>
                </w:tcPr>
                <w:p w14:paraId="6EF90EC5">
                  <w:pPr>
                    <w:widowControl/>
                    <w:spacing w:line="240" w:lineRule="auto"/>
                    <w:ind w:firstLine="0" w:firstLineChars="0"/>
                    <w:jc w:val="center"/>
                    <w:rPr>
                      <w:color w:val="auto"/>
                      <w:sz w:val="21"/>
                      <w:szCs w:val="21"/>
                    </w:rPr>
                  </w:pPr>
                </w:p>
              </w:tc>
              <w:tc>
                <w:tcPr>
                  <w:tcW w:w="966" w:type="pct"/>
                  <w:vMerge w:val="continue"/>
                  <w:noWrap w:val="0"/>
                  <w:vAlign w:val="center"/>
                </w:tcPr>
                <w:p w14:paraId="66AFAD72">
                  <w:pPr>
                    <w:widowControl/>
                    <w:spacing w:line="240" w:lineRule="auto"/>
                    <w:ind w:firstLine="0" w:firstLineChars="0"/>
                    <w:jc w:val="center"/>
                    <w:rPr>
                      <w:rFonts w:hint="eastAsia"/>
                      <w:color w:val="auto"/>
                      <w:sz w:val="21"/>
                      <w:szCs w:val="21"/>
                    </w:rPr>
                  </w:pPr>
                </w:p>
              </w:tc>
              <w:tc>
                <w:tcPr>
                  <w:tcW w:w="553" w:type="pct"/>
                  <w:vMerge w:val="continue"/>
                  <w:noWrap w:val="0"/>
                  <w:vAlign w:val="center"/>
                </w:tcPr>
                <w:p w14:paraId="71EF1195">
                  <w:pPr>
                    <w:autoSpaceDN w:val="0"/>
                    <w:spacing w:line="240" w:lineRule="auto"/>
                    <w:ind w:firstLine="0" w:firstLineChars="0"/>
                    <w:jc w:val="center"/>
                    <w:textAlignment w:val="center"/>
                    <w:rPr>
                      <w:bCs/>
                      <w:color w:val="auto"/>
                      <w:sz w:val="21"/>
                      <w:szCs w:val="21"/>
                    </w:rPr>
                  </w:pPr>
                </w:p>
              </w:tc>
              <w:tc>
                <w:tcPr>
                  <w:tcW w:w="400" w:type="pct"/>
                  <w:noWrap w:val="0"/>
                  <w:vAlign w:val="center"/>
                </w:tcPr>
                <w:p w14:paraId="5CB656FE">
                  <w:pPr>
                    <w:spacing w:line="240" w:lineRule="auto"/>
                    <w:ind w:firstLine="0" w:firstLineChars="0"/>
                    <w:jc w:val="center"/>
                    <w:rPr>
                      <w:bCs/>
                      <w:color w:val="auto"/>
                      <w:sz w:val="21"/>
                      <w:szCs w:val="21"/>
                    </w:rPr>
                  </w:pPr>
                  <w:r>
                    <w:rPr>
                      <w:rFonts w:hint="eastAsia"/>
                      <w:color w:val="auto"/>
                      <w:sz w:val="21"/>
                      <w:szCs w:val="21"/>
                    </w:rPr>
                    <w:t>颗粒物</w:t>
                  </w:r>
                </w:p>
              </w:tc>
              <w:tc>
                <w:tcPr>
                  <w:tcW w:w="580" w:type="pct"/>
                  <w:noWrap w:val="0"/>
                  <w:vAlign w:val="center"/>
                </w:tcPr>
                <w:p w14:paraId="2A53FDD4">
                  <w:pPr>
                    <w:widowControl/>
                    <w:spacing w:line="240" w:lineRule="auto"/>
                    <w:ind w:firstLine="0" w:firstLineChars="0"/>
                    <w:jc w:val="center"/>
                    <w:textAlignment w:val="center"/>
                    <w:rPr>
                      <w:rFonts w:hint="eastAsia"/>
                      <w:color w:val="auto"/>
                      <w:sz w:val="21"/>
                      <w:szCs w:val="21"/>
                    </w:rPr>
                  </w:pPr>
                  <w:r>
                    <w:rPr>
                      <w:color w:val="auto"/>
                      <w:sz w:val="21"/>
                      <w:szCs w:val="21"/>
                    </w:rPr>
                    <w:t>43.785</w:t>
                  </w:r>
                </w:p>
              </w:tc>
              <w:tc>
                <w:tcPr>
                  <w:tcW w:w="402" w:type="pct"/>
                  <w:noWrap w:val="0"/>
                  <w:vAlign w:val="center"/>
                </w:tcPr>
                <w:p w14:paraId="2FA4DF20">
                  <w:pPr>
                    <w:widowControl/>
                    <w:spacing w:line="240" w:lineRule="auto"/>
                    <w:ind w:firstLine="0" w:firstLineChars="0"/>
                    <w:jc w:val="center"/>
                    <w:textAlignment w:val="center"/>
                    <w:rPr>
                      <w:rFonts w:hint="eastAsia"/>
                      <w:bCs/>
                      <w:color w:val="auto"/>
                      <w:sz w:val="21"/>
                      <w:szCs w:val="21"/>
                    </w:rPr>
                  </w:pPr>
                  <w:r>
                    <w:rPr>
                      <w:rFonts w:hint="eastAsia"/>
                      <w:bCs/>
                      <w:color w:val="auto"/>
                      <w:sz w:val="21"/>
                      <w:szCs w:val="21"/>
                    </w:rPr>
                    <w:t>0.345</w:t>
                  </w:r>
                </w:p>
              </w:tc>
              <w:tc>
                <w:tcPr>
                  <w:tcW w:w="500" w:type="pct"/>
                  <w:noWrap w:val="0"/>
                  <w:vAlign w:val="center"/>
                </w:tcPr>
                <w:p w14:paraId="381B1529">
                  <w:pPr>
                    <w:autoSpaceDN w:val="0"/>
                    <w:spacing w:line="240" w:lineRule="auto"/>
                    <w:ind w:firstLine="0" w:firstLineChars="0"/>
                    <w:jc w:val="center"/>
                    <w:textAlignment w:val="center"/>
                    <w:rPr>
                      <w:rFonts w:hint="eastAsia"/>
                      <w:color w:val="auto"/>
                      <w:sz w:val="21"/>
                      <w:szCs w:val="21"/>
                    </w:rPr>
                  </w:pPr>
                  <w:r>
                    <w:rPr>
                      <w:color w:val="auto"/>
                      <w:sz w:val="21"/>
                      <w:szCs w:val="21"/>
                    </w:rPr>
                    <w:t>87.57</w:t>
                  </w:r>
                </w:p>
              </w:tc>
              <w:tc>
                <w:tcPr>
                  <w:tcW w:w="402" w:type="pct"/>
                  <w:noWrap w:val="0"/>
                  <w:vAlign w:val="center"/>
                </w:tcPr>
                <w:p w14:paraId="1011975C">
                  <w:pPr>
                    <w:autoSpaceDN w:val="0"/>
                    <w:spacing w:line="240" w:lineRule="auto"/>
                    <w:ind w:firstLine="0" w:firstLineChars="0"/>
                    <w:jc w:val="center"/>
                    <w:textAlignment w:val="center"/>
                    <w:rPr>
                      <w:rFonts w:hint="eastAsia"/>
                      <w:color w:val="auto"/>
                      <w:sz w:val="21"/>
                      <w:szCs w:val="21"/>
                    </w:rPr>
                  </w:pPr>
                  <w:r>
                    <w:rPr>
                      <w:rFonts w:hint="eastAsia"/>
                      <w:color w:val="auto"/>
                      <w:sz w:val="21"/>
                      <w:szCs w:val="21"/>
                    </w:rPr>
                    <w:t>0</w:t>
                  </w:r>
                  <w:r>
                    <w:rPr>
                      <w:color w:val="auto"/>
                      <w:sz w:val="21"/>
                      <w:szCs w:val="21"/>
                    </w:rPr>
                    <w:t>.69</w:t>
                  </w:r>
                </w:p>
              </w:tc>
              <w:tc>
                <w:tcPr>
                  <w:tcW w:w="249" w:type="pct"/>
                  <w:vMerge w:val="continue"/>
                  <w:noWrap w:val="0"/>
                  <w:vAlign w:val="center"/>
                </w:tcPr>
                <w:p w14:paraId="0C9D1E88">
                  <w:pPr>
                    <w:autoSpaceDN w:val="0"/>
                    <w:spacing w:line="240" w:lineRule="auto"/>
                    <w:ind w:firstLine="0" w:firstLineChars="0"/>
                    <w:jc w:val="center"/>
                    <w:textAlignment w:val="center"/>
                    <w:rPr>
                      <w:bCs/>
                      <w:color w:val="auto"/>
                      <w:sz w:val="21"/>
                      <w:szCs w:val="21"/>
                    </w:rPr>
                  </w:pPr>
                </w:p>
              </w:tc>
              <w:tc>
                <w:tcPr>
                  <w:tcW w:w="249" w:type="pct"/>
                  <w:vMerge w:val="continue"/>
                  <w:noWrap w:val="0"/>
                  <w:vAlign w:val="center"/>
                </w:tcPr>
                <w:p w14:paraId="4438FAFE">
                  <w:pPr>
                    <w:autoSpaceDN w:val="0"/>
                    <w:spacing w:line="240" w:lineRule="auto"/>
                    <w:ind w:firstLine="0" w:firstLineChars="0"/>
                    <w:jc w:val="center"/>
                    <w:textAlignment w:val="center"/>
                    <w:rPr>
                      <w:bCs/>
                      <w:color w:val="auto"/>
                      <w:sz w:val="21"/>
                      <w:szCs w:val="21"/>
                    </w:rPr>
                  </w:pPr>
                </w:p>
              </w:tc>
              <w:tc>
                <w:tcPr>
                  <w:tcW w:w="448" w:type="pct"/>
                  <w:vMerge w:val="continue"/>
                  <w:noWrap w:val="0"/>
                  <w:vAlign w:val="center"/>
                </w:tcPr>
                <w:p w14:paraId="16F7AF36">
                  <w:pPr>
                    <w:autoSpaceDN w:val="0"/>
                    <w:spacing w:line="240" w:lineRule="auto"/>
                    <w:ind w:firstLine="0" w:firstLineChars="0"/>
                    <w:jc w:val="center"/>
                    <w:textAlignment w:val="center"/>
                    <w:rPr>
                      <w:bCs/>
                      <w:color w:val="auto"/>
                      <w:sz w:val="21"/>
                      <w:szCs w:val="21"/>
                    </w:rPr>
                  </w:pPr>
                </w:p>
              </w:tc>
            </w:tr>
            <w:tr w14:paraId="30C54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47" w:type="pct"/>
                  <w:vMerge w:val="continue"/>
                  <w:noWrap w:val="0"/>
                  <w:vAlign w:val="center"/>
                </w:tcPr>
                <w:p w14:paraId="3A82B59D">
                  <w:pPr>
                    <w:widowControl/>
                    <w:spacing w:line="240" w:lineRule="auto"/>
                    <w:ind w:firstLine="0" w:firstLineChars="0"/>
                    <w:jc w:val="center"/>
                    <w:rPr>
                      <w:color w:val="auto"/>
                      <w:sz w:val="21"/>
                      <w:szCs w:val="21"/>
                    </w:rPr>
                  </w:pPr>
                </w:p>
              </w:tc>
              <w:tc>
                <w:tcPr>
                  <w:tcW w:w="966" w:type="pct"/>
                  <w:vMerge w:val="continue"/>
                  <w:noWrap w:val="0"/>
                  <w:vAlign w:val="center"/>
                </w:tcPr>
                <w:p w14:paraId="7F148A57">
                  <w:pPr>
                    <w:widowControl/>
                    <w:spacing w:line="240" w:lineRule="auto"/>
                    <w:ind w:firstLine="0" w:firstLineChars="0"/>
                    <w:jc w:val="center"/>
                    <w:rPr>
                      <w:rFonts w:hint="eastAsia"/>
                      <w:color w:val="auto"/>
                      <w:sz w:val="21"/>
                      <w:szCs w:val="21"/>
                    </w:rPr>
                  </w:pPr>
                </w:p>
              </w:tc>
              <w:tc>
                <w:tcPr>
                  <w:tcW w:w="553" w:type="pct"/>
                  <w:vMerge w:val="continue"/>
                  <w:noWrap w:val="0"/>
                  <w:vAlign w:val="center"/>
                </w:tcPr>
                <w:p w14:paraId="15EAF646">
                  <w:pPr>
                    <w:autoSpaceDN w:val="0"/>
                    <w:spacing w:line="240" w:lineRule="auto"/>
                    <w:ind w:firstLine="0" w:firstLineChars="0"/>
                    <w:jc w:val="center"/>
                    <w:textAlignment w:val="center"/>
                    <w:rPr>
                      <w:bCs/>
                      <w:color w:val="auto"/>
                      <w:sz w:val="21"/>
                      <w:szCs w:val="21"/>
                    </w:rPr>
                  </w:pPr>
                </w:p>
              </w:tc>
              <w:tc>
                <w:tcPr>
                  <w:tcW w:w="400" w:type="pct"/>
                  <w:noWrap w:val="0"/>
                  <w:vAlign w:val="center"/>
                </w:tcPr>
                <w:p w14:paraId="3CA946A0">
                  <w:pPr>
                    <w:spacing w:line="240" w:lineRule="auto"/>
                    <w:ind w:firstLine="0" w:firstLineChars="0"/>
                    <w:jc w:val="center"/>
                    <w:rPr>
                      <w:bCs/>
                      <w:color w:val="auto"/>
                      <w:sz w:val="21"/>
                      <w:szCs w:val="21"/>
                    </w:rPr>
                  </w:pPr>
                  <w:r>
                    <w:rPr>
                      <w:rFonts w:hint="eastAsia"/>
                      <w:color w:val="auto"/>
                      <w:sz w:val="21"/>
                      <w:szCs w:val="21"/>
                    </w:rPr>
                    <w:t>N</w:t>
                  </w:r>
                  <w:r>
                    <w:rPr>
                      <w:color w:val="auto"/>
                      <w:sz w:val="21"/>
                      <w:szCs w:val="21"/>
                    </w:rPr>
                    <w:t>O</w:t>
                  </w:r>
                  <w:r>
                    <w:rPr>
                      <w:color w:val="auto"/>
                      <w:sz w:val="21"/>
                      <w:szCs w:val="21"/>
                      <w:vertAlign w:val="subscript"/>
                    </w:rPr>
                    <w:t>X</w:t>
                  </w:r>
                </w:p>
              </w:tc>
              <w:tc>
                <w:tcPr>
                  <w:tcW w:w="580" w:type="pct"/>
                  <w:noWrap w:val="0"/>
                  <w:vAlign w:val="center"/>
                </w:tcPr>
                <w:p w14:paraId="45F5DE79">
                  <w:pPr>
                    <w:widowControl/>
                    <w:spacing w:line="240" w:lineRule="auto"/>
                    <w:ind w:firstLine="0" w:firstLineChars="0"/>
                    <w:jc w:val="center"/>
                    <w:textAlignment w:val="center"/>
                    <w:rPr>
                      <w:rFonts w:hint="eastAsia"/>
                      <w:color w:val="auto"/>
                      <w:sz w:val="21"/>
                      <w:szCs w:val="21"/>
                    </w:rPr>
                  </w:pPr>
                  <w:r>
                    <w:rPr>
                      <w:color w:val="auto"/>
                      <w:sz w:val="21"/>
                      <w:szCs w:val="21"/>
                    </w:rPr>
                    <w:t>90.115</w:t>
                  </w:r>
                </w:p>
              </w:tc>
              <w:tc>
                <w:tcPr>
                  <w:tcW w:w="402" w:type="pct"/>
                  <w:noWrap w:val="0"/>
                  <w:vAlign w:val="center"/>
                </w:tcPr>
                <w:p w14:paraId="67541716">
                  <w:pPr>
                    <w:widowControl/>
                    <w:spacing w:line="240" w:lineRule="auto"/>
                    <w:ind w:firstLine="0" w:firstLineChars="0"/>
                    <w:jc w:val="center"/>
                    <w:textAlignment w:val="center"/>
                    <w:rPr>
                      <w:rFonts w:hint="eastAsia"/>
                      <w:bCs/>
                      <w:color w:val="auto"/>
                      <w:sz w:val="21"/>
                      <w:szCs w:val="21"/>
                    </w:rPr>
                  </w:pPr>
                  <w:r>
                    <w:rPr>
                      <w:rFonts w:hint="eastAsia"/>
                      <w:bCs/>
                      <w:color w:val="auto"/>
                      <w:sz w:val="21"/>
                      <w:szCs w:val="21"/>
                    </w:rPr>
                    <w:t>0.71</w:t>
                  </w:r>
                </w:p>
              </w:tc>
              <w:tc>
                <w:tcPr>
                  <w:tcW w:w="500" w:type="pct"/>
                  <w:noWrap w:val="0"/>
                  <w:vAlign w:val="center"/>
                </w:tcPr>
                <w:p w14:paraId="612E0E5D">
                  <w:pPr>
                    <w:autoSpaceDN w:val="0"/>
                    <w:spacing w:line="240" w:lineRule="auto"/>
                    <w:ind w:firstLine="0" w:firstLineChars="0"/>
                    <w:jc w:val="center"/>
                    <w:textAlignment w:val="center"/>
                    <w:rPr>
                      <w:rFonts w:hint="eastAsia"/>
                      <w:color w:val="auto"/>
                      <w:sz w:val="21"/>
                      <w:szCs w:val="21"/>
                    </w:rPr>
                  </w:pPr>
                  <w:r>
                    <w:rPr>
                      <w:color w:val="auto"/>
                      <w:sz w:val="21"/>
                      <w:szCs w:val="21"/>
                    </w:rPr>
                    <w:t>180.23</w:t>
                  </w:r>
                </w:p>
              </w:tc>
              <w:tc>
                <w:tcPr>
                  <w:tcW w:w="402" w:type="pct"/>
                  <w:noWrap w:val="0"/>
                  <w:vAlign w:val="center"/>
                </w:tcPr>
                <w:p w14:paraId="44748F68">
                  <w:pPr>
                    <w:autoSpaceDN w:val="0"/>
                    <w:spacing w:line="240" w:lineRule="auto"/>
                    <w:ind w:firstLine="0" w:firstLineChars="0"/>
                    <w:jc w:val="center"/>
                    <w:textAlignment w:val="center"/>
                    <w:rPr>
                      <w:rFonts w:hint="eastAsia"/>
                      <w:color w:val="auto"/>
                      <w:sz w:val="21"/>
                      <w:szCs w:val="21"/>
                    </w:rPr>
                  </w:pPr>
                  <w:r>
                    <w:rPr>
                      <w:rFonts w:hint="eastAsia"/>
                      <w:color w:val="auto"/>
                      <w:sz w:val="21"/>
                      <w:szCs w:val="21"/>
                    </w:rPr>
                    <w:t>1</w:t>
                  </w:r>
                  <w:r>
                    <w:rPr>
                      <w:color w:val="auto"/>
                      <w:sz w:val="21"/>
                      <w:szCs w:val="21"/>
                    </w:rPr>
                    <w:t>.42</w:t>
                  </w:r>
                </w:p>
              </w:tc>
              <w:tc>
                <w:tcPr>
                  <w:tcW w:w="249" w:type="pct"/>
                  <w:vMerge w:val="continue"/>
                  <w:noWrap w:val="0"/>
                  <w:vAlign w:val="center"/>
                </w:tcPr>
                <w:p w14:paraId="1A115B36">
                  <w:pPr>
                    <w:autoSpaceDN w:val="0"/>
                    <w:spacing w:line="240" w:lineRule="auto"/>
                    <w:ind w:firstLine="0" w:firstLineChars="0"/>
                    <w:jc w:val="center"/>
                    <w:textAlignment w:val="center"/>
                    <w:rPr>
                      <w:bCs/>
                      <w:color w:val="auto"/>
                      <w:sz w:val="21"/>
                      <w:szCs w:val="21"/>
                    </w:rPr>
                  </w:pPr>
                </w:p>
              </w:tc>
              <w:tc>
                <w:tcPr>
                  <w:tcW w:w="249" w:type="pct"/>
                  <w:vMerge w:val="continue"/>
                  <w:noWrap w:val="0"/>
                  <w:vAlign w:val="center"/>
                </w:tcPr>
                <w:p w14:paraId="7CA0FBC2">
                  <w:pPr>
                    <w:autoSpaceDN w:val="0"/>
                    <w:spacing w:line="240" w:lineRule="auto"/>
                    <w:ind w:firstLine="0" w:firstLineChars="0"/>
                    <w:jc w:val="center"/>
                    <w:textAlignment w:val="center"/>
                    <w:rPr>
                      <w:bCs/>
                      <w:color w:val="auto"/>
                      <w:sz w:val="21"/>
                      <w:szCs w:val="21"/>
                    </w:rPr>
                  </w:pPr>
                </w:p>
              </w:tc>
              <w:tc>
                <w:tcPr>
                  <w:tcW w:w="448" w:type="pct"/>
                  <w:vMerge w:val="continue"/>
                  <w:noWrap w:val="0"/>
                  <w:vAlign w:val="center"/>
                </w:tcPr>
                <w:p w14:paraId="1C91FECB">
                  <w:pPr>
                    <w:autoSpaceDN w:val="0"/>
                    <w:spacing w:line="240" w:lineRule="auto"/>
                    <w:ind w:firstLine="0" w:firstLineChars="0"/>
                    <w:jc w:val="center"/>
                    <w:textAlignment w:val="center"/>
                    <w:rPr>
                      <w:bCs/>
                      <w:color w:val="auto"/>
                      <w:sz w:val="21"/>
                      <w:szCs w:val="21"/>
                    </w:rPr>
                  </w:pPr>
                </w:p>
              </w:tc>
            </w:tr>
          </w:tbl>
          <w:p w14:paraId="74DCDA78">
            <w:pPr>
              <w:ind w:firstLine="480"/>
              <w:rPr>
                <w:color w:val="auto"/>
              </w:rPr>
            </w:pPr>
            <w:r>
              <w:rPr>
                <w:rFonts w:hint="eastAsia"/>
                <w:color w:val="auto"/>
              </w:rPr>
              <w:t>由上表可知，</w:t>
            </w:r>
            <w:r>
              <w:rPr>
                <w:iCs/>
                <w:color w:val="auto"/>
              </w:rPr>
              <w:t>项目</w:t>
            </w:r>
            <w:r>
              <w:rPr>
                <w:rFonts w:hint="eastAsia"/>
                <w:iCs/>
                <w:color w:val="auto"/>
              </w:rPr>
              <w:t>非</w:t>
            </w:r>
            <w:r>
              <w:rPr>
                <w:iCs/>
                <w:color w:val="auto"/>
              </w:rPr>
              <w:t>正常情况下</w:t>
            </w:r>
            <w:r>
              <w:rPr>
                <w:rFonts w:hint="eastAsia"/>
                <w:iCs/>
                <w:color w:val="auto"/>
              </w:rPr>
              <w:t>筒仓仓顶排口</w:t>
            </w:r>
            <w:r>
              <w:rPr>
                <w:iCs/>
                <w:color w:val="auto"/>
              </w:rPr>
              <w:t>排放的有组织颗粒物的排放浓度</w:t>
            </w:r>
            <w:r>
              <w:rPr>
                <w:rFonts w:hint="eastAsia"/>
                <w:iCs/>
                <w:color w:val="auto"/>
              </w:rPr>
              <w:t>均不</w:t>
            </w:r>
            <w:r>
              <w:rPr>
                <w:iCs/>
                <w:color w:val="auto"/>
              </w:rPr>
              <w:t>能达到</w:t>
            </w:r>
            <w:r>
              <w:rPr>
                <w:rFonts w:hint="eastAsia"/>
                <w:iCs/>
                <w:color w:val="auto"/>
              </w:rPr>
              <w:t>《水泥工业大气污染物排放标准》（GB4915-2013）表1现有与新建企业大气污染物排放限值中的“水泥仓及其他通风生产设备颗粒物排放浓度：20mg/m</w:t>
            </w:r>
            <w:r>
              <w:rPr>
                <w:rFonts w:hint="eastAsia"/>
                <w:iCs/>
                <w:color w:val="auto"/>
                <w:vertAlign w:val="superscript"/>
              </w:rPr>
              <w:t>3</w:t>
            </w:r>
            <w:r>
              <w:rPr>
                <w:rFonts w:hint="eastAsia"/>
                <w:iCs/>
                <w:color w:val="auto"/>
              </w:rPr>
              <w:t>的</w:t>
            </w:r>
            <w:r>
              <w:rPr>
                <w:iCs/>
                <w:color w:val="auto"/>
              </w:rPr>
              <w:t>排放限值要求</w:t>
            </w:r>
            <w:r>
              <w:rPr>
                <w:rFonts w:hint="eastAsia"/>
                <w:iCs/>
                <w:color w:val="auto"/>
              </w:rPr>
              <w:t>，排气筒DA001</w:t>
            </w:r>
            <w:r>
              <w:rPr>
                <w:iCs/>
                <w:color w:val="auto"/>
              </w:rPr>
              <w:t>排放的有组织</w:t>
            </w:r>
            <w:r>
              <w:rPr>
                <w:rFonts w:hint="eastAsia"/>
                <w:iCs/>
                <w:color w:val="auto"/>
              </w:rPr>
              <w:t>废气</w:t>
            </w:r>
            <w:r>
              <w:rPr>
                <w:iCs/>
                <w:color w:val="auto"/>
              </w:rPr>
              <w:t>的</w:t>
            </w:r>
            <w:r>
              <w:rPr>
                <w:rFonts w:hint="eastAsia"/>
                <w:color w:val="auto"/>
              </w:rPr>
              <w:t>S</w:t>
            </w:r>
            <w:r>
              <w:rPr>
                <w:color w:val="auto"/>
              </w:rPr>
              <w:t>O</w:t>
            </w:r>
            <w:r>
              <w:rPr>
                <w:color w:val="auto"/>
                <w:vertAlign w:val="subscript"/>
              </w:rPr>
              <w:t>2</w:t>
            </w:r>
            <w:r>
              <w:rPr>
                <w:rFonts w:hint="eastAsia"/>
                <w:color w:val="auto"/>
              </w:rPr>
              <w:t>和N</w:t>
            </w:r>
            <w:r>
              <w:rPr>
                <w:color w:val="auto"/>
              </w:rPr>
              <w:t>O</w:t>
            </w:r>
            <w:r>
              <w:rPr>
                <w:color w:val="auto"/>
                <w:vertAlign w:val="subscript"/>
              </w:rPr>
              <w:t>X</w:t>
            </w:r>
            <w:r>
              <w:rPr>
                <w:iCs/>
                <w:color w:val="auto"/>
              </w:rPr>
              <w:t>排放浓度</w:t>
            </w:r>
            <w:r>
              <w:rPr>
                <w:rFonts w:hint="eastAsia"/>
                <w:iCs/>
                <w:color w:val="auto"/>
              </w:rPr>
              <w:t>均</w:t>
            </w:r>
            <w:r>
              <w:rPr>
                <w:iCs/>
                <w:color w:val="auto"/>
              </w:rPr>
              <w:t>能</w:t>
            </w:r>
            <w:r>
              <w:rPr>
                <w:rFonts w:hint="eastAsia"/>
                <w:iCs/>
                <w:color w:val="auto"/>
              </w:rPr>
              <w:t>够</w:t>
            </w:r>
            <w:r>
              <w:rPr>
                <w:iCs/>
                <w:color w:val="auto"/>
              </w:rPr>
              <w:t>达到</w:t>
            </w:r>
            <w:r>
              <w:rPr>
                <w:color w:val="auto"/>
              </w:rPr>
              <w:t>《锅炉大气污染物排放标准》（GB13271-2014）中“表2新建锅炉大气污染物排放浓度限值</w:t>
            </w:r>
            <w:r>
              <w:rPr>
                <w:rFonts w:hint="eastAsia"/>
                <w:color w:val="auto"/>
              </w:rPr>
              <w:t>S</w:t>
            </w:r>
            <w:r>
              <w:rPr>
                <w:color w:val="auto"/>
              </w:rPr>
              <w:t>O</w:t>
            </w:r>
            <w:r>
              <w:rPr>
                <w:color w:val="auto"/>
                <w:vertAlign w:val="subscript"/>
              </w:rPr>
              <w:t>2</w:t>
            </w:r>
            <w:r>
              <w:rPr>
                <w:rFonts w:hint="eastAsia"/>
                <w:color w:val="auto"/>
              </w:rPr>
              <w:t>：</w:t>
            </w:r>
            <w:r>
              <w:rPr>
                <w:color w:val="auto"/>
              </w:rPr>
              <w:t>300</w:t>
            </w:r>
            <w:r>
              <w:rPr>
                <w:rFonts w:hint="eastAsia"/>
                <w:color w:val="auto"/>
              </w:rPr>
              <w:t>m</w:t>
            </w:r>
            <w:r>
              <w:rPr>
                <w:color w:val="auto"/>
              </w:rPr>
              <w:t>g/m</w:t>
            </w:r>
            <w:r>
              <w:rPr>
                <w:color w:val="auto"/>
                <w:vertAlign w:val="superscript"/>
              </w:rPr>
              <w:t>3</w:t>
            </w:r>
            <w:r>
              <w:rPr>
                <w:rFonts w:hint="eastAsia"/>
                <w:color w:val="auto"/>
              </w:rPr>
              <w:t>，颗粒物50m</w:t>
            </w:r>
            <w:r>
              <w:rPr>
                <w:color w:val="auto"/>
              </w:rPr>
              <w:t>g/m</w:t>
            </w:r>
            <w:r>
              <w:rPr>
                <w:color w:val="auto"/>
                <w:vertAlign w:val="superscript"/>
              </w:rPr>
              <w:t>3</w:t>
            </w:r>
            <w:r>
              <w:rPr>
                <w:color w:val="auto"/>
              </w:rPr>
              <w:t>，</w:t>
            </w:r>
            <w:r>
              <w:rPr>
                <w:rFonts w:hint="eastAsia"/>
                <w:color w:val="auto"/>
              </w:rPr>
              <w:t>N</w:t>
            </w:r>
            <w:r>
              <w:rPr>
                <w:color w:val="auto"/>
              </w:rPr>
              <w:t>O</w:t>
            </w:r>
            <w:r>
              <w:rPr>
                <w:color w:val="auto"/>
                <w:vertAlign w:val="subscript"/>
              </w:rPr>
              <w:t>X</w:t>
            </w:r>
            <w:r>
              <w:rPr>
                <w:rFonts w:hint="eastAsia"/>
                <w:color w:val="auto"/>
              </w:rPr>
              <w:t>：</w:t>
            </w:r>
            <w:r>
              <w:rPr>
                <w:color w:val="auto"/>
              </w:rPr>
              <w:t>300</w:t>
            </w:r>
            <w:r>
              <w:rPr>
                <w:rFonts w:hint="eastAsia"/>
                <w:color w:val="auto"/>
              </w:rPr>
              <w:t>m</w:t>
            </w:r>
            <w:r>
              <w:rPr>
                <w:color w:val="auto"/>
              </w:rPr>
              <w:t>g/m</w:t>
            </w:r>
            <w:r>
              <w:rPr>
                <w:color w:val="auto"/>
                <w:vertAlign w:val="superscript"/>
              </w:rPr>
              <w:t>3</w:t>
            </w:r>
            <w:r>
              <w:rPr>
                <w:color w:val="auto"/>
              </w:rPr>
              <w:t>”的要求</w:t>
            </w:r>
            <w:r>
              <w:rPr>
                <w:rFonts w:hint="eastAsia"/>
                <w:color w:val="auto"/>
              </w:rPr>
              <w:t>。颗粒物的排放浓度在除尘效率降至50%时能够达标排放，降至0%时不能达标排放。</w:t>
            </w:r>
          </w:p>
          <w:p w14:paraId="30DE3092">
            <w:pPr>
              <w:ind w:firstLine="480"/>
              <w:rPr>
                <w:color w:val="auto"/>
                <w:kern w:val="0"/>
              </w:rPr>
            </w:pPr>
            <w:r>
              <w:rPr>
                <w:rFonts w:hint="eastAsia"/>
                <w:color w:val="auto"/>
              </w:rPr>
              <w:t>综上，</w:t>
            </w:r>
            <w:r>
              <w:rPr>
                <w:color w:val="auto"/>
              </w:rPr>
              <w:t>非正常情况下污染物浓度明显增大，大大增加了环境负担，所以本项目应加强废气处理装置的日常管理，避免非正常情况的排放。</w:t>
            </w:r>
            <w:r>
              <w:rPr>
                <w:color w:val="auto"/>
                <w:kern w:val="0"/>
              </w:rPr>
              <w:t>同时加强</w:t>
            </w:r>
            <w:r>
              <w:rPr>
                <w:rFonts w:hint="eastAsia"/>
                <w:color w:val="auto"/>
                <w:kern w:val="0"/>
              </w:rPr>
              <w:t>日常</w:t>
            </w:r>
            <w:r>
              <w:rPr>
                <w:color w:val="auto"/>
                <w:kern w:val="0"/>
              </w:rPr>
              <w:t>管理</w:t>
            </w:r>
            <w:r>
              <w:rPr>
                <w:rFonts w:hint="eastAsia"/>
                <w:color w:val="auto"/>
                <w:kern w:val="0"/>
              </w:rPr>
              <w:t>，安排专人负责，</w:t>
            </w:r>
            <w:r>
              <w:rPr>
                <w:color w:val="auto"/>
                <w:kern w:val="0"/>
              </w:rPr>
              <w:t>定期</w:t>
            </w:r>
            <w:r>
              <w:rPr>
                <w:rFonts w:hint="eastAsia"/>
                <w:color w:val="auto"/>
                <w:kern w:val="0"/>
              </w:rPr>
              <w:t>对各设备及处理设施进行</w:t>
            </w:r>
            <w:r>
              <w:rPr>
                <w:color w:val="auto"/>
                <w:kern w:val="0"/>
              </w:rPr>
              <w:t>检查、维修、保养</w:t>
            </w:r>
            <w:r>
              <w:rPr>
                <w:rFonts w:hint="eastAsia"/>
                <w:color w:val="auto"/>
                <w:kern w:val="0"/>
              </w:rPr>
              <w:t>，</w:t>
            </w:r>
            <w:r>
              <w:rPr>
                <w:color w:val="auto"/>
                <w:kern w:val="0"/>
              </w:rPr>
              <w:t>确保各种工艺、设备的正常运转</w:t>
            </w:r>
            <w:r>
              <w:rPr>
                <w:rFonts w:hint="eastAsia"/>
                <w:color w:val="auto"/>
                <w:kern w:val="0"/>
              </w:rPr>
              <w:t>；若发现</w:t>
            </w:r>
            <w:r>
              <w:rPr>
                <w:color w:val="auto"/>
                <w:kern w:val="0"/>
              </w:rPr>
              <w:t>废气处理设施</w:t>
            </w:r>
            <w:r>
              <w:rPr>
                <w:rFonts w:hint="eastAsia"/>
                <w:color w:val="auto"/>
                <w:kern w:val="0"/>
              </w:rPr>
              <w:t>等发生故障，</w:t>
            </w:r>
            <w:r>
              <w:rPr>
                <w:color w:val="auto"/>
                <w:kern w:val="0"/>
              </w:rPr>
              <w:t>应</w:t>
            </w:r>
            <w:r>
              <w:rPr>
                <w:rFonts w:hint="eastAsia"/>
                <w:color w:val="auto"/>
                <w:kern w:val="0"/>
              </w:rPr>
              <w:t>停止生产</w:t>
            </w:r>
            <w:r>
              <w:rPr>
                <w:color w:val="auto"/>
                <w:kern w:val="0"/>
              </w:rPr>
              <w:t>，及时</w:t>
            </w:r>
            <w:r>
              <w:rPr>
                <w:rFonts w:hint="eastAsia"/>
                <w:color w:val="auto"/>
                <w:kern w:val="0"/>
              </w:rPr>
              <w:t>进行设施、设备维修，</w:t>
            </w:r>
            <w:r>
              <w:rPr>
                <w:color w:val="auto"/>
                <w:kern w:val="0"/>
              </w:rPr>
              <w:t>待处理设施正常</w:t>
            </w:r>
            <w:r>
              <w:rPr>
                <w:rFonts w:hint="eastAsia"/>
                <w:color w:val="auto"/>
                <w:kern w:val="0"/>
              </w:rPr>
              <w:t>运行后再进行生产</w:t>
            </w:r>
            <w:r>
              <w:rPr>
                <w:color w:val="auto"/>
                <w:kern w:val="0"/>
              </w:rPr>
              <w:t>。</w:t>
            </w:r>
          </w:p>
          <w:p w14:paraId="744B29DD">
            <w:pPr>
              <w:adjustRightInd w:val="0"/>
              <w:snapToGrid w:val="0"/>
              <w:ind w:right="157" w:firstLine="482"/>
              <w:rPr>
                <w:b/>
                <w:bCs/>
                <w:color w:val="auto"/>
              </w:rPr>
            </w:pPr>
            <w:r>
              <w:rPr>
                <w:b/>
                <w:bCs/>
                <w:color w:val="auto"/>
              </w:rPr>
              <w:fldChar w:fldCharType="begin"/>
            </w:r>
            <w:r>
              <w:rPr>
                <w:b/>
                <w:bCs/>
                <w:color w:val="auto"/>
              </w:rPr>
              <w:instrText xml:space="preserve"> </w:instrText>
            </w:r>
            <w:r>
              <w:rPr>
                <w:rFonts w:hint="eastAsia"/>
                <w:b/>
                <w:bCs/>
                <w:color w:val="auto"/>
              </w:rPr>
              <w:instrText xml:space="preserve">= 3 \* GB3</w:instrText>
            </w:r>
            <w:r>
              <w:rPr>
                <w:b/>
                <w:bCs/>
                <w:color w:val="auto"/>
              </w:rPr>
              <w:instrText xml:space="preserve"> </w:instrText>
            </w:r>
            <w:r>
              <w:rPr>
                <w:b/>
                <w:bCs/>
                <w:color w:val="auto"/>
              </w:rPr>
              <w:fldChar w:fldCharType="separate"/>
            </w:r>
            <w:r>
              <w:rPr>
                <w:rFonts w:hint="eastAsia"/>
                <w:b/>
                <w:bCs/>
                <w:color w:val="auto"/>
              </w:rPr>
              <w:t>③</w:t>
            </w:r>
            <w:r>
              <w:rPr>
                <w:b/>
                <w:bCs/>
                <w:color w:val="auto"/>
              </w:rPr>
              <w:fldChar w:fldCharType="end"/>
            </w:r>
            <w:r>
              <w:rPr>
                <w:b/>
                <w:bCs/>
                <w:color w:val="auto"/>
              </w:rPr>
              <w:t>食堂油烟影响分析</w:t>
            </w:r>
          </w:p>
          <w:p w14:paraId="633EBCB4">
            <w:pPr>
              <w:snapToGrid w:val="0"/>
              <w:ind w:firstLine="480"/>
              <w:rPr>
                <w:color w:val="auto"/>
              </w:rPr>
            </w:pPr>
            <w:r>
              <w:rPr>
                <w:color w:val="auto"/>
              </w:rPr>
              <w:t>项目食堂油烟经油烟净化装置处理后可达到《饮食业油烟排放标准》（GB18483-2001）</w:t>
            </w:r>
            <w:r>
              <w:rPr>
                <w:rFonts w:hint="eastAsia"/>
                <w:color w:val="auto"/>
                <w:lang w:eastAsia="zh-CN"/>
              </w:rPr>
              <w:t>（</w:t>
            </w:r>
            <w:r>
              <w:rPr>
                <w:color w:val="auto"/>
              </w:rPr>
              <w:t>试行</w:t>
            </w:r>
            <w:r>
              <w:rPr>
                <w:rFonts w:hint="eastAsia"/>
                <w:color w:val="auto"/>
                <w:lang w:eastAsia="zh-CN"/>
              </w:rPr>
              <w:t>）</w:t>
            </w:r>
            <w:r>
              <w:rPr>
                <w:color w:val="auto"/>
              </w:rPr>
              <w:t>中油烟的最高允许排放浓度2.0mg/m</w:t>
            </w:r>
            <w:r>
              <w:rPr>
                <w:color w:val="auto"/>
                <w:vertAlign w:val="superscript"/>
              </w:rPr>
              <w:t>3</w:t>
            </w:r>
            <w:r>
              <w:rPr>
                <w:color w:val="auto"/>
              </w:rPr>
              <w:t>的标准限值要求，对环境影响较小。</w:t>
            </w:r>
          </w:p>
          <w:p w14:paraId="519DE518">
            <w:pPr>
              <w:adjustRightInd w:val="0"/>
              <w:snapToGrid w:val="0"/>
              <w:spacing w:before="120" w:beforeLines="50"/>
              <w:ind w:firstLine="482"/>
              <w:rPr>
                <w:rFonts w:ascii="宋体" w:hAnsi="宋体" w:cs="宋体"/>
                <w:b/>
                <w:bCs/>
                <w:color w:val="auto"/>
                <w:spacing w:val="-10"/>
              </w:rPr>
            </w:pPr>
            <w:r>
              <w:rPr>
                <w:rFonts w:hint="eastAsia"/>
                <w:b/>
                <w:bCs/>
                <w:color w:val="auto"/>
              </w:rPr>
              <w:t>2、</w:t>
            </w:r>
            <w:r>
              <w:rPr>
                <w:rFonts w:hint="eastAsia" w:ascii="宋体" w:hAnsi="宋体" w:cs="宋体"/>
                <w:b/>
                <w:bCs/>
                <w:color w:val="auto"/>
                <w:spacing w:val="-10"/>
              </w:rPr>
              <w:t>无组织粉尘排放情况分析</w:t>
            </w:r>
          </w:p>
          <w:p w14:paraId="2D14EF27">
            <w:pPr>
              <w:pStyle w:val="38"/>
              <w:ind w:firstLine="480"/>
              <w:rPr>
                <w:rFonts w:hint="eastAsia"/>
                <w:color w:val="auto"/>
              </w:rPr>
            </w:pPr>
            <w:r>
              <w:rPr>
                <w:rFonts w:hint="eastAsia"/>
                <w:color w:val="auto"/>
              </w:rPr>
              <w:t>项目无组织废气为砂石料装卸粉尘、运输粉尘、砂石料堆场扬尘、投料工序无组织粉尘、钢筋焊接烟尘及切割金属粉尘，无组织粉尘排放情况见下表：</w:t>
            </w:r>
          </w:p>
          <w:p w14:paraId="13030FB7">
            <w:pPr>
              <w:pStyle w:val="29"/>
              <w:spacing w:before="24" w:after="24"/>
              <w:rPr>
                <w:color w:val="auto"/>
              </w:rPr>
            </w:pPr>
            <w:r>
              <w:rPr>
                <w:color w:val="auto"/>
              </w:rPr>
              <w:t>表</w:t>
            </w:r>
            <w:r>
              <w:rPr>
                <w:rFonts w:hint="eastAsia"/>
                <w:color w:val="auto"/>
                <w:lang w:val="en-US" w:eastAsia="zh-CN"/>
              </w:rPr>
              <w:t xml:space="preserve">4-9 </w:t>
            </w:r>
            <w:r>
              <w:rPr>
                <w:color w:val="auto"/>
              </w:rPr>
              <w:t xml:space="preserve"> 大气污染物无组织排放量核算表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427"/>
              <w:gridCol w:w="427"/>
              <w:gridCol w:w="738"/>
              <w:gridCol w:w="1366"/>
              <w:gridCol w:w="1943"/>
              <w:gridCol w:w="1220"/>
              <w:gridCol w:w="1036"/>
              <w:gridCol w:w="1110"/>
            </w:tblGrid>
            <w:tr w14:paraId="32313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5" w:type="pct"/>
                  <w:vMerge w:val="restart"/>
                  <w:noWrap w:val="0"/>
                  <w:vAlign w:val="center"/>
                </w:tcPr>
                <w:p w14:paraId="234E41B0">
                  <w:pPr>
                    <w:widowControl/>
                    <w:spacing w:line="240" w:lineRule="auto"/>
                    <w:ind w:firstLine="0" w:firstLineChars="0"/>
                    <w:jc w:val="center"/>
                    <w:rPr>
                      <w:b/>
                      <w:bCs/>
                      <w:color w:val="auto"/>
                      <w:sz w:val="21"/>
                      <w:szCs w:val="21"/>
                    </w:rPr>
                  </w:pPr>
                  <w:r>
                    <w:rPr>
                      <w:b/>
                      <w:bCs/>
                      <w:color w:val="auto"/>
                      <w:sz w:val="21"/>
                      <w:szCs w:val="21"/>
                    </w:rPr>
                    <w:t>序号</w:t>
                  </w:r>
                </w:p>
              </w:tc>
              <w:tc>
                <w:tcPr>
                  <w:tcW w:w="245" w:type="pct"/>
                  <w:vMerge w:val="restart"/>
                  <w:noWrap w:val="0"/>
                  <w:vAlign w:val="center"/>
                </w:tcPr>
                <w:p w14:paraId="4504FF89">
                  <w:pPr>
                    <w:widowControl/>
                    <w:spacing w:line="240" w:lineRule="auto"/>
                    <w:ind w:firstLine="0" w:firstLineChars="0"/>
                    <w:jc w:val="center"/>
                    <w:rPr>
                      <w:b/>
                      <w:bCs/>
                      <w:color w:val="auto"/>
                      <w:sz w:val="21"/>
                      <w:szCs w:val="21"/>
                    </w:rPr>
                  </w:pPr>
                  <w:r>
                    <w:rPr>
                      <w:b/>
                      <w:bCs/>
                      <w:color w:val="auto"/>
                      <w:sz w:val="21"/>
                      <w:szCs w:val="21"/>
                    </w:rPr>
                    <w:t>排放口编号</w:t>
                  </w:r>
                </w:p>
              </w:tc>
              <w:tc>
                <w:tcPr>
                  <w:tcW w:w="245" w:type="pct"/>
                  <w:vMerge w:val="restart"/>
                  <w:noWrap w:val="0"/>
                  <w:vAlign w:val="center"/>
                </w:tcPr>
                <w:p w14:paraId="170E228E">
                  <w:pPr>
                    <w:widowControl/>
                    <w:spacing w:line="240" w:lineRule="auto"/>
                    <w:ind w:firstLine="0" w:firstLineChars="0"/>
                    <w:jc w:val="center"/>
                    <w:rPr>
                      <w:b/>
                      <w:bCs/>
                      <w:color w:val="auto"/>
                      <w:sz w:val="21"/>
                      <w:szCs w:val="21"/>
                    </w:rPr>
                  </w:pPr>
                  <w:r>
                    <w:rPr>
                      <w:b/>
                      <w:bCs/>
                      <w:color w:val="auto"/>
                      <w:sz w:val="21"/>
                      <w:szCs w:val="21"/>
                    </w:rPr>
                    <w:t>产污环节</w:t>
                  </w:r>
                </w:p>
              </w:tc>
              <w:tc>
                <w:tcPr>
                  <w:tcW w:w="423" w:type="pct"/>
                  <w:vMerge w:val="restart"/>
                  <w:noWrap w:val="0"/>
                  <w:vAlign w:val="center"/>
                </w:tcPr>
                <w:p w14:paraId="112A3CC5">
                  <w:pPr>
                    <w:widowControl/>
                    <w:spacing w:line="240" w:lineRule="auto"/>
                    <w:ind w:firstLine="0" w:firstLineChars="0"/>
                    <w:jc w:val="center"/>
                    <w:rPr>
                      <w:b/>
                      <w:bCs/>
                      <w:color w:val="auto"/>
                      <w:sz w:val="21"/>
                      <w:szCs w:val="21"/>
                    </w:rPr>
                  </w:pPr>
                  <w:r>
                    <w:rPr>
                      <w:b/>
                      <w:bCs/>
                      <w:color w:val="auto"/>
                      <w:sz w:val="21"/>
                      <w:szCs w:val="21"/>
                    </w:rPr>
                    <w:t>污染物</w:t>
                  </w:r>
                </w:p>
              </w:tc>
              <w:tc>
                <w:tcPr>
                  <w:tcW w:w="786" w:type="pct"/>
                  <w:vMerge w:val="restart"/>
                  <w:noWrap w:val="0"/>
                  <w:vAlign w:val="center"/>
                </w:tcPr>
                <w:p w14:paraId="067B5EA8">
                  <w:pPr>
                    <w:widowControl/>
                    <w:spacing w:line="240" w:lineRule="auto"/>
                    <w:ind w:firstLine="0" w:firstLineChars="0"/>
                    <w:jc w:val="center"/>
                    <w:rPr>
                      <w:b/>
                      <w:bCs/>
                      <w:color w:val="auto"/>
                      <w:sz w:val="21"/>
                      <w:szCs w:val="21"/>
                    </w:rPr>
                  </w:pPr>
                  <w:r>
                    <w:rPr>
                      <w:b/>
                      <w:bCs/>
                      <w:color w:val="auto"/>
                      <w:sz w:val="21"/>
                      <w:szCs w:val="21"/>
                    </w:rPr>
                    <w:t>主要污染防治措施</w:t>
                  </w:r>
                </w:p>
              </w:tc>
              <w:tc>
                <w:tcPr>
                  <w:tcW w:w="1819" w:type="pct"/>
                  <w:gridSpan w:val="2"/>
                  <w:noWrap w:val="0"/>
                  <w:vAlign w:val="center"/>
                </w:tcPr>
                <w:p w14:paraId="4F6F4870">
                  <w:pPr>
                    <w:widowControl/>
                    <w:spacing w:line="240" w:lineRule="auto"/>
                    <w:ind w:firstLine="0" w:firstLineChars="0"/>
                    <w:jc w:val="center"/>
                    <w:rPr>
                      <w:b/>
                      <w:bCs/>
                      <w:color w:val="auto"/>
                      <w:sz w:val="21"/>
                      <w:szCs w:val="21"/>
                    </w:rPr>
                  </w:pPr>
                  <w:r>
                    <w:rPr>
                      <w:b/>
                      <w:bCs/>
                      <w:color w:val="auto"/>
                      <w:sz w:val="21"/>
                      <w:szCs w:val="21"/>
                    </w:rPr>
                    <w:t>国家或地方污染物排放标准</w:t>
                  </w:r>
                </w:p>
              </w:tc>
              <w:tc>
                <w:tcPr>
                  <w:tcW w:w="595" w:type="pct"/>
                  <w:vMerge w:val="restart"/>
                  <w:noWrap w:val="0"/>
                  <w:vAlign w:val="center"/>
                </w:tcPr>
                <w:p w14:paraId="43891AC6">
                  <w:pPr>
                    <w:widowControl/>
                    <w:spacing w:line="240" w:lineRule="auto"/>
                    <w:ind w:firstLine="0" w:firstLineChars="0"/>
                    <w:jc w:val="center"/>
                    <w:rPr>
                      <w:b/>
                      <w:bCs/>
                      <w:color w:val="auto"/>
                      <w:sz w:val="21"/>
                      <w:szCs w:val="21"/>
                    </w:rPr>
                  </w:pPr>
                  <w:r>
                    <w:rPr>
                      <w:rFonts w:hint="eastAsia"/>
                      <w:b/>
                      <w:bCs/>
                      <w:color w:val="auto"/>
                      <w:sz w:val="21"/>
                      <w:szCs w:val="21"/>
                    </w:rPr>
                    <w:t>排放速率（kg/h）</w:t>
                  </w:r>
                </w:p>
              </w:tc>
              <w:tc>
                <w:tcPr>
                  <w:tcW w:w="638" w:type="pct"/>
                  <w:vMerge w:val="restart"/>
                  <w:noWrap w:val="0"/>
                  <w:vAlign w:val="center"/>
                </w:tcPr>
                <w:p w14:paraId="3E8C1E4A">
                  <w:pPr>
                    <w:widowControl/>
                    <w:spacing w:line="240" w:lineRule="auto"/>
                    <w:ind w:firstLine="0" w:firstLineChars="0"/>
                    <w:jc w:val="center"/>
                    <w:rPr>
                      <w:b/>
                      <w:bCs/>
                      <w:color w:val="auto"/>
                      <w:sz w:val="21"/>
                      <w:szCs w:val="21"/>
                    </w:rPr>
                  </w:pPr>
                  <w:r>
                    <w:rPr>
                      <w:b/>
                      <w:bCs/>
                      <w:color w:val="auto"/>
                      <w:sz w:val="21"/>
                      <w:szCs w:val="21"/>
                    </w:rPr>
                    <w:t>年排放量（t/a）</w:t>
                  </w:r>
                </w:p>
              </w:tc>
            </w:tr>
            <w:tr w14:paraId="7ECD4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5" w:type="pct"/>
                  <w:vMerge w:val="continue"/>
                  <w:noWrap w:val="0"/>
                  <w:vAlign w:val="center"/>
                </w:tcPr>
                <w:p w14:paraId="7F5D06C8">
                  <w:pPr>
                    <w:widowControl/>
                    <w:spacing w:line="240" w:lineRule="auto"/>
                    <w:ind w:firstLine="0" w:firstLineChars="0"/>
                    <w:jc w:val="center"/>
                    <w:rPr>
                      <w:b/>
                      <w:bCs/>
                      <w:color w:val="auto"/>
                      <w:sz w:val="21"/>
                      <w:szCs w:val="21"/>
                    </w:rPr>
                  </w:pPr>
                </w:p>
              </w:tc>
              <w:tc>
                <w:tcPr>
                  <w:tcW w:w="245" w:type="pct"/>
                  <w:vMerge w:val="continue"/>
                  <w:noWrap w:val="0"/>
                  <w:vAlign w:val="center"/>
                </w:tcPr>
                <w:p w14:paraId="564105F7">
                  <w:pPr>
                    <w:widowControl/>
                    <w:spacing w:line="240" w:lineRule="auto"/>
                    <w:ind w:firstLine="0" w:firstLineChars="0"/>
                    <w:jc w:val="center"/>
                    <w:rPr>
                      <w:b/>
                      <w:bCs/>
                      <w:color w:val="auto"/>
                      <w:sz w:val="21"/>
                      <w:szCs w:val="21"/>
                    </w:rPr>
                  </w:pPr>
                </w:p>
              </w:tc>
              <w:tc>
                <w:tcPr>
                  <w:tcW w:w="245" w:type="pct"/>
                  <w:vMerge w:val="continue"/>
                  <w:noWrap w:val="0"/>
                  <w:vAlign w:val="center"/>
                </w:tcPr>
                <w:p w14:paraId="3D397320">
                  <w:pPr>
                    <w:widowControl/>
                    <w:spacing w:line="240" w:lineRule="auto"/>
                    <w:ind w:firstLine="0" w:firstLineChars="0"/>
                    <w:jc w:val="center"/>
                    <w:rPr>
                      <w:b/>
                      <w:bCs/>
                      <w:color w:val="auto"/>
                      <w:sz w:val="21"/>
                      <w:szCs w:val="21"/>
                    </w:rPr>
                  </w:pPr>
                </w:p>
              </w:tc>
              <w:tc>
                <w:tcPr>
                  <w:tcW w:w="423" w:type="pct"/>
                  <w:vMerge w:val="continue"/>
                  <w:noWrap w:val="0"/>
                  <w:vAlign w:val="center"/>
                </w:tcPr>
                <w:p w14:paraId="0D10C48F">
                  <w:pPr>
                    <w:widowControl/>
                    <w:spacing w:line="240" w:lineRule="auto"/>
                    <w:ind w:firstLine="0" w:firstLineChars="0"/>
                    <w:jc w:val="center"/>
                    <w:rPr>
                      <w:b/>
                      <w:bCs/>
                      <w:color w:val="auto"/>
                      <w:sz w:val="21"/>
                      <w:szCs w:val="21"/>
                    </w:rPr>
                  </w:pPr>
                </w:p>
              </w:tc>
              <w:tc>
                <w:tcPr>
                  <w:tcW w:w="786" w:type="pct"/>
                  <w:vMerge w:val="continue"/>
                  <w:noWrap w:val="0"/>
                  <w:vAlign w:val="center"/>
                </w:tcPr>
                <w:p w14:paraId="0B709955">
                  <w:pPr>
                    <w:widowControl/>
                    <w:spacing w:line="240" w:lineRule="auto"/>
                    <w:ind w:firstLine="0" w:firstLineChars="0"/>
                    <w:jc w:val="center"/>
                    <w:rPr>
                      <w:b/>
                      <w:bCs/>
                      <w:color w:val="auto"/>
                      <w:sz w:val="21"/>
                      <w:szCs w:val="21"/>
                    </w:rPr>
                  </w:pPr>
                </w:p>
              </w:tc>
              <w:tc>
                <w:tcPr>
                  <w:tcW w:w="1117" w:type="pct"/>
                  <w:noWrap w:val="0"/>
                  <w:vAlign w:val="center"/>
                </w:tcPr>
                <w:p w14:paraId="78417A5C">
                  <w:pPr>
                    <w:widowControl/>
                    <w:spacing w:line="240" w:lineRule="auto"/>
                    <w:ind w:firstLine="0" w:firstLineChars="0"/>
                    <w:jc w:val="center"/>
                    <w:rPr>
                      <w:b/>
                      <w:bCs/>
                      <w:color w:val="auto"/>
                      <w:sz w:val="21"/>
                      <w:szCs w:val="21"/>
                    </w:rPr>
                  </w:pPr>
                  <w:r>
                    <w:rPr>
                      <w:b/>
                      <w:bCs/>
                      <w:color w:val="auto"/>
                      <w:sz w:val="21"/>
                      <w:szCs w:val="21"/>
                    </w:rPr>
                    <w:t>标准名称</w:t>
                  </w:r>
                </w:p>
              </w:tc>
              <w:tc>
                <w:tcPr>
                  <w:tcW w:w="701" w:type="pct"/>
                  <w:noWrap w:val="0"/>
                  <w:vAlign w:val="center"/>
                </w:tcPr>
                <w:p w14:paraId="101B2597">
                  <w:pPr>
                    <w:widowControl/>
                    <w:spacing w:line="240" w:lineRule="auto"/>
                    <w:ind w:firstLine="0" w:firstLineChars="0"/>
                    <w:jc w:val="center"/>
                    <w:rPr>
                      <w:b/>
                      <w:bCs/>
                      <w:color w:val="auto"/>
                      <w:sz w:val="21"/>
                      <w:szCs w:val="21"/>
                    </w:rPr>
                  </w:pPr>
                  <w:r>
                    <w:rPr>
                      <w:b/>
                      <w:bCs/>
                      <w:color w:val="auto"/>
                      <w:sz w:val="21"/>
                      <w:szCs w:val="21"/>
                    </w:rPr>
                    <w:t>浓度限值（mg/m</w:t>
                  </w:r>
                  <w:r>
                    <w:rPr>
                      <w:b/>
                      <w:bCs/>
                      <w:color w:val="auto"/>
                      <w:sz w:val="21"/>
                      <w:szCs w:val="21"/>
                      <w:vertAlign w:val="superscript"/>
                    </w:rPr>
                    <w:t>3</w:t>
                  </w:r>
                  <w:r>
                    <w:rPr>
                      <w:b/>
                      <w:bCs/>
                      <w:color w:val="auto"/>
                      <w:sz w:val="21"/>
                      <w:szCs w:val="21"/>
                    </w:rPr>
                    <w:t>）</w:t>
                  </w:r>
                </w:p>
              </w:tc>
              <w:tc>
                <w:tcPr>
                  <w:tcW w:w="595" w:type="pct"/>
                  <w:vMerge w:val="continue"/>
                  <w:noWrap w:val="0"/>
                  <w:vAlign w:val="center"/>
                </w:tcPr>
                <w:p w14:paraId="583D9171">
                  <w:pPr>
                    <w:widowControl/>
                    <w:spacing w:line="240" w:lineRule="auto"/>
                    <w:ind w:firstLine="0" w:firstLineChars="0"/>
                    <w:jc w:val="center"/>
                    <w:rPr>
                      <w:color w:val="auto"/>
                      <w:sz w:val="21"/>
                      <w:szCs w:val="21"/>
                    </w:rPr>
                  </w:pPr>
                </w:p>
              </w:tc>
              <w:tc>
                <w:tcPr>
                  <w:tcW w:w="638" w:type="pct"/>
                  <w:vMerge w:val="continue"/>
                  <w:noWrap w:val="0"/>
                  <w:vAlign w:val="center"/>
                </w:tcPr>
                <w:p w14:paraId="55ECD673">
                  <w:pPr>
                    <w:widowControl/>
                    <w:spacing w:line="240" w:lineRule="auto"/>
                    <w:ind w:firstLine="0" w:firstLineChars="0"/>
                    <w:jc w:val="center"/>
                    <w:rPr>
                      <w:color w:val="auto"/>
                      <w:sz w:val="21"/>
                      <w:szCs w:val="21"/>
                    </w:rPr>
                  </w:pPr>
                </w:p>
              </w:tc>
            </w:tr>
            <w:tr w14:paraId="37993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5" w:type="pct"/>
                  <w:vMerge w:val="restart"/>
                  <w:noWrap w:val="0"/>
                  <w:vAlign w:val="center"/>
                </w:tcPr>
                <w:p w14:paraId="47DA86B4">
                  <w:pPr>
                    <w:widowControl/>
                    <w:spacing w:line="240" w:lineRule="auto"/>
                    <w:ind w:firstLine="0" w:firstLineChars="0"/>
                    <w:jc w:val="center"/>
                    <w:rPr>
                      <w:color w:val="auto"/>
                      <w:sz w:val="21"/>
                      <w:szCs w:val="21"/>
                    </w:rPr>
                  </w:pPr>
                  <w:r>
                    <w:rPr>
                      <w:color w:val="auto"/>
                      <w:sz w:val="21"/>
                      <w:szCs w:val="21"/>
                    </w:rPr>
                    <w:t>1</w:t>
                  </w:r>
                </w:p>
              </w:tc>
              <w:tc>
                <w:tcPr>
                  <w:tcW w:w="245" w:type="pct"/>
                  <w:vMerge w:val="restart"/>
                  <w:noWrap w:val="0"/>
                  <w:vAlign w:val="center"/>
                </w:tcPr>
                <w:p w14:paraId="559A4B3C">
                  <w:pPr>
                    <w:spacing w:line="240" w:lineRule="auto"/>
                    <w:ind w:firstLine="0" w:firstLineChars="0"/>
                    <w:jc w:val="center"/>
                    <w:rPr>
                      <w:rFonts w:hint="eastAsia"/>
                      <w:color w:val="auto"/>
                      <w:sz w:val="21"/>
                      <w:szCs w:val="21"/>
                    </w:rPr>
                  </w:pPr>
                  <w:r>
                    <w:rPr>
                      <w:rFonts w:hint="eastAsia"/>
                      <w:color w:val="auto"/>
                      <w:sz w:val="21"/>
                      <w:szCs w:val="21"/>
                    </w:rPr>
                    <w:t>储料仓</w:t>
                  </w:r>
                </w:p>
              </w:tc>
              <w:tc>
                <w:tcPr>
                  <w:tcW w:w="245" w:type="pct"/>
                  <w:noWrap w:val="0"/>
                  <w:vAlign w:val="center"/>
                </w:tcPr>
                <w:p w14:paraId="7D418251">
                  <w:pPr>
                    <w:widowControl/>
                    <w:spacing w:line="240" w:lineRule="auto"/>
                    <w:ind w:firstLine="0" w:firstLineChars="0"/>
                    <w:jc w:val="center"/>
                    <w:rPr>
                      <w:color w:val="auto"/>
                      <w:sz w:val="21"/>
                      <w:szCs w:val="21"/>
                    </w:rPr>
                  </w:pPr>
                  <w:r>
                    <w:rPr>
                      <w:rFonts w:hint="eastAsia"/>
                      <w:color w:val="auto"/>
                      <w:sz w:val="21"/>
                      <w:szCs w:val="21"/>
                    </w:rPr>
                    <w:t>砂石料装卸</w:t>
                  </w:r>
                </w:p>
              </w:tc>
              <w:tc>
                <w:tcPr>
                  <w:tcW w:w="423" w:type="pct"/>
                  <w:vMerge w:val="restart"/>
                  <w:noWrap w:val="0"/>
                  <w:vAlign w:val="center"/>
                </w:tcPr>
                <w:p w14:paraId="0B498146">
                  <w:pPr>
                    <w:widowControl/>
                    <w:spacing w:line="240" w:lineRule="auto"/>
                    <w:ind w:firstLine="0" w:firstLineChars="0"/>
                    <w:jc w:val="center"/>
                    <w:rPr>
                      <w:color w:val="auto"/>
                      <w:sz w:val="21"/>
                      <w:szCs w:val="21"/>
                    </w:rPr>
                  </w:pPr>
                  <w:r>
                    <w:rPr>
                      <w:color w:val="auto"/>
                      <w:sz w:val="21"/>
                      <w:szCs w:val="21"/>
                    </w:rPr>
                    <w:t>颗粒物</w:t>
                  </w:r>
                </w:p>
              </w:tc>
              <w:tc>
                <w:tcPr>
                  <w:tcW w:w="786" w:type="pct"/>
                  <w:noWrap w:val="0"/>
                  <w:vAlign w:val="center"/>
                </w:tcPr>
                <w:p w14:paraId="79239D6D">
                  <w:pPr>
                    <w:spacing w:line="240" w:lineRule="auto"/>
                    <w:ind w:firstLine="0" w:firstLineChars="0"/>
                    <w:jc w:val="center"/>
                    <w:rPr>
                      <w:color w:val="auto"/>
                      <w:sz w:val="21"/>
                      <w:szCs w:val="21"/>
                    </w:rPr>
                  </w:pPr>
                  <w:r>
                    <w:rPr>
                      <w:rFonts w:hint="eastAsia"/>
                      <w:color w:val="auto"/>
                      <w:sz w:val="21"/>
                      <w:szCs w:val="21"/>
                    </w:rPr>
                    <w:t>水雾喷淋、三面围挡+顶棚和降低物料装卸过程高度差，除尘效率60%</w:t>
                  </w:r>
                </w:p>
              </w:tc>
              <w:tc>
                <w:tcPr>
                  <w:tcW w:w="1117" w:type="pct"/>
                  <w:vMerge w:val="restart"/>
                  <w:noWrap w:val="0"/>
                  <w:vAlign w:val="center"/>
                </w:tcPr>
                <w:p w14:paraId="6260E463">
                  <w:pPr>
                    <w:widowControl/>
                    <w:spacing w:line="240" w:lineRule="auto"/>
                    <w:ind w:firstLine="0" w:firstLineChars="0"/>
                    <w:jc w:val="center"/>
                    <w:rPr>
                      <w:color w:val="auto"/>
                      <w:sz w:val="21"/>
                      <w:szCs w:val="21"/>
                    </w:rPr>
                  </w:pPr>
                  <w:r>
                    <w:rPr>
                      <w:color w:val="auto"/>
                      <w:sz w:val="21"/>
                      <w:szCs w:val="21"/>
                    </w:rPr>
                    <w:t>《大气污染物综合排放标准》（GB16297-1996）</w:t>
                  </w:r>
                </w:p>
              </w:tc>
              <w:tc>
                <w:tcPr>
                  <w:tcW w:w="701" w:type="pct"/>
                  <w:vMerge w:val="restart"/>
                  <w:noWrap w:val="0"/>
                  <w:vAlign w:val="center"/>
                </w:tcPr>
                <w:p w14:paraId="3DCA707A">
                  <w:pPr>
                    <w:widowControl/>
                    <w:spacing w:line="240" w:lineRule="auto"/>
                    <w:ind w:firstLine="0" w:firstLineChars="0"/>
                    <w:jc w:val="center"/>
                    <w:rPr>
                      <w:color w:val="auto"/>
                      <w:sz w:val="21"/>
                      <w:szCs w:val="21"/>
                    </w:rPr>
                  </w:pPr>
                  <w:r>
                    <w:rPr>
                      <w:color w:val="auto"/>
                      <w:sz w:val="21"/>
                      <w:szCs w:val="21"/>
                    </w:rPr>
                    <w:t>1.0</w:t>
                  </w:r>
                </w:p>
              </w:tc>
              <w:tc>
                <w:tcPr>
                  <w:tcW w:w="595" w:type="pct"/>
                  <w:noWrap w:val="0"/>
                  <w:vAlign w:val="center"/>
                </w:tcPr>
                <w:p w14:paraId="3EEB4221">
                  <w:pPr>
                    <w:spacing w:line="240" w:lineRule="auto"/>
                    <w:ind w:firstLine="0" w:firstLineChars="0"/>
                    <w:jc w:val="center"/>
                    <w:rPr>
                      <w:color w:val="auto"/>
                      <w:sz w:val="21"/>
                      <w:szCs w:val="21"/>
                    </w:rPr>
                  </w:pPr>
                  <w:r>
                    <w:rPr>
                      <w:rFonts w:hint="eastAsia"/>
                      <w:color w:val="auto"/>
                      <w:sz w:val="21"/>
                      <w:szCs w:val="21"/>
                    </w:rPr>
                    <w:t>0.0033</w:t>
                  </w:r>
                </w:p>
              </w:tc>
              <w:tc>
                <w:tcPr>
                  <w:tcW w:w="638" w:type="pct"/>
                  <w:noWrap w:val="0"/>
                  <w:vAlign w:val="center"/>
                </w:tcPr>
                <w:p w14:paraId="3E50CB1F">
                  <w:pPr>
                    <w:spacing w:line="240" w:lineRule="auto"/>
                    <w:ind w:firstLine="0" w:firstLineChars="0"/>
                    <w:jc w:val="center"/>
                    <w:rPr>
                      <w:color w:val="auto"/>
                      <w:sz w:val="21"/>
                      <w:szCs w:val="21"/>
                    </w:rPr>
                  </w:pPr>
                  <w:r>
                    <w:rPr>
                      <w:rFonts w:hint="eastAsia"/>
                      <w:color w:val="auto"/>
                      <w:sz w:val="21"/>
                      <w:szCs w:val="21"/>
                    </w:rPr>
                    <w:t>0.0084</w:t>
                  </w:r>
                </w:p>
              </w:tc>
            </w:tr>
            <w:tr w14:paraId="29986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5" w:type="pct"/>
                  <w:vMerge w:val="continue"/>
                  <w:noWrap w:val="0"/>
                  <w:vAlign w:val="center"/>
                </w:tcPr>
                <w:p w14:paraId="7F5E9B8B">
                  <w:pPr>
                    <w:widowControl/>
                    <w:spacing w:line="240" w:lineRule="auto"/>
                    <w:ind w:firstLine="0" w:firstLineChars="0"/>
                    <w:jc w:val="center"/>
                    <w:rPr>
                      <w:color w:val="auto"/>
                      <w:sz w:val="21"/>
                      <w:szCs w:val="21"/>
                    </w:rPr>
                  </w:pPr>
                </w:p>
              </w:tc>
              <w:tc>
                <w:tcPr>
                  <w:tcW w:w="245" w:type="pct"/>
                  <w:vMerge w:val="continue"/>
                  <w:noWrap w:val="0"/>
                  <w:vAlign w:val="center"/>
                </w:tcPr>
                <w:p w14:paraId="0D2C101B">
                  <w:pPr>
                    <w:spacing w:line="240" w:lineRule="auto"/>
                    <w:ind w:firstLine="0" w:firstLineChars="0"/>
                    <w:jc w:val="center"/>
                    <w:rPr>
                      <w:rFonts w:hint="eastAsia"/>
                      <w:color w:val="auto"/>
                      <w:sz w:val="21"/>
                      <w:szCs w:val="21"/>
                    </w:rPr>
                  </w:pPr>
                </w:p>
              </w:tc>
              <w:tc>
                <w:tcPr>
                  <w:tcW w:w="245" w:type="pct"/>
                  <w:noWrap w:val="0"/>
                  <w:vAlign w:val="center"/>
                </w:tcPr>
                <w:p w14:paraId="47273408">
                  <w:pPr>
                    <w:widowControl/>
                    <w:spacing w:line="240" w:lineRule="auto"/>
                    <w:ind w:firstLine="0" w:firstLineChars="0"/>
                    <w:jc w:val="center"/>
                    <w:rPr>
                      <w:rFonts w:hint="eastAsia"/>
                      <w:color w:val="auto"/>
                      <w:sz w:val="21"/>
                      <w:szCs w:val="21"/>
                    </w:rPr>
                  </w:pPr>
                  <w:r>
                    <w:rPr>
                      <w:rFonts w:hint="eastAsia"/>
                      <w:color w:val="auto"/>
                      <w:sz w:val="21"/>
                      <w:szCs w:val="21"/>
                    </w:rPr>
                    <w:t>砂石料堆放</w:t>
                  </w:r>
                </w:p>
              </w:tc>
              <w:tc>
                <w:tcPr>
                  <w:tcW w:w="423" w:type="pct"/>
                  <w:vMerge w:val="continue"/>
                  <w:noWrap w:val="0"/>
                  <w:vAlign w:val="center"/>
                </w:tcPr>
                <w:p w14:paraId="584992B8">
                  <w:pPr>
                    <w:widowControl/>
                    <w:spacing w:line="240" w:lineRule="auto"/>
                    <w:ind w:firstLine="0" w:firstLineChars="0"/>
                    <w:jc w:val="center"/>
                    <w:rPr>
                      <w:color w:val="auto"/>
                      <w:sz w:val="21"/>
                      <w:szCs w:val="21"/>
                    </w:rPr>
                  </w:pPr>
                </w:p>
              </w:tc>
              <w:tc>
                <w:tcPr>
                  <w:tcW w:w="786" w:type="pct"/>
                  <w:noWrap w:val="0"/>
                  <w:vAlign w:val="center"/>
                </w:tcPr>
                <w:p w14:paraId="0DE032E1">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位于厂房内，对TSP控制效率为95%</w:t>
                  </w:r>
                </w:p>
              </w:tc>
              <w:tc>
                <w:tcPr>
                  <w:tcW w:w="1117" w:type="pct"/>
                  <w:vMerge w:val="continue"/>
                  <w:noWrap w:val="0"/>
                  <w:vAlign w:val="center"/>
                </w:tcPr>
                <w:p w14:paraId="120CAE5E">
                  <w:pPr>
                    <w:widowControl/>
                    <w:spacing w:line="240" w:lineRule="auto"/>
                    <w:ind w:firstLine="0" w:firstLineChars="0"/>
                    <w:jc w:val="center"/>
                    <w:rPr>
                      <w:color w:val="auto"/>
                      <w:sz w:val="21"/>
                      <w:szCs w:val="21"/>
                    </w:rPr>
                  </w:pPr>
                </w:p>
              </w:tc>
              <w:tc>
                <w:tcPr>
                  <w:tcW w:w="701" w:type="pct"/>
                  <w:vMerge w:val="continue"/>
                  <w:noWrap w:val="0"/>
                  <w:vAlign w:val="center"/>
                </w:tcPr>
                <w:p w14:paraId="1E6772AD">
                  <w:pPr>
                    <w:widowControl/>
                    <w:spacing w:line="240" w:lineRule="auto"/>
                    <w:ind w:firstLine="0" w:firstLineChars="0"/>
                    <w:jc w:val="center"/>
                    <w:rPr>
                      <w:color w:val="auto"/>
                      <w:sz w:val="21"/>
                      <w:szCs w:val="21"/>
                    </w:rPr>
                  </w:pPr>
                </w:p>
              </w:tc>
              <w:tc>
                <w:tcPr>
                  <w:tcW w:w="595" w:type="pct"/>
                  <w:noWrap w:val="0"/>
                  <w:vAlign w:val="center"/>
                </w:tcPr>
                <w:p w14:paraId="71588B6A">
                  <w:pPr>
                    <w:spacing w:line="240" w:lineRule="auto"/>
                    <w:ind w:firstLine="0" w:firstLineChars="0"/>
                    <w:jc w:val="center"/>
                    <w:rPr>
                      <w:color w:val="auto"/>
                      <w:sz w:val="21"/>
                      <w:szCs w:val="21"/>
                    </w:rPr>
                  </w:pPr>
                  <w:r>
                    <w:rPr>
                      <w:rFonts w:hint="eastAsia"/>
                      <w:color w:val="auto"/>
                      <w:sz w:val="21"/>
                      <w:szCs w:val="21"/>
                      <w:lang w:val="en-US" w:eastAsia="zh-CN"/>
                    </w:rPr>
                    <w:t>0.000016</w:t>
                  </w:r>
                </w:p>
              </w:tc>
              <w:tc>
                <w:tcPr>
                  <w:tcW w:w="638" w:type="pct"/>
                  <w:noWrap w:val="0"/>
                  <w:vAlign w:val="center"/>
                </w:tcPr>
                <w:p w14:paraId="4BB07C11">
                  <w:pPr>
                    <w:spacing w:line="240" w:lineRule="auto"/>
                    <w:ind w:firstLine="0" w:firstLineChars="0"/>
                    <w:jc w:val="center"/>
                    <w:rPr>
                      <w:color w:val="auto"/>
                      <w:sz w:val="21"/>
                      <w:szCs w:val="21"/>
                    </w:rPr>
                  </w:pPr>
                  <w:r>
                    <w:rPr>
                      <w:rFonts w:hint="eastAsia"/>
                      <w:color w:val="auto"/>
                      <w:sz w:val="21"/>
                      <w:szCs w:val="21"/>
                      <w:lang w:val="en-US" w:eastAsia="zh-CN"/>
                    </w:rPr>
                    <w:t>0.000014</w:t>
                  </w:r>
                </w:p>
              </w:tc>
            </w:tr>
            <w:tr w14:paraId="1243A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5" w:type="pct"/>
                  <w:noWrap w:val="0"/>
                  <w:vAlign w:val="center"/>
                </w:tcPr>
                <w:p w14:paraId="1A540BBB">
                  <w:pPr>
                    <w:widowControl/>
                    <w:spacing w:line="240" w:lineRule="auto"/>
                    <w:ind w:firstLine="0" w:firstLineChars="0"/>
                    <w:jc w:val="center"/>
                    <w:rPr>
                      <w:color w:val="auto"/>
                      <w:sz w:val="21"/>
                      <w:szCs w:val="21"/>
                    </w:rPr>
                  </w:pPr>
                  <w:r>
                    <w:rPr>
                      <w:color w:val="auto"/>
                      <w:sz w:val="21"/>
                      <w:szCs w:val="21"/>
                    </w:rPr>
                    <w:t>2</w:t>
                  </w:r>
                </w:p>
              </w:tc>
              <w:tc>
                <w:tcPr>
                  <w:tcW w:w="245" w:type="pct"/>
                  <w:noWrap w:val="0"/>
                  <w:vAlign w:val="center"/>
                </w:tcPr>
                <w:p w14:paraId="12B11679">
                  <w:pPr>
                    <w:spacing w:line="240" w:lineRule="auto"/>
                    <w:ind w:firstLine="0" w:firstLineChars="0"/>
                    <w:jc w:val="center"/>
                    <w:rPr>
                      <w:color w:val="auto"/>
                      <w:sz w:val="21"/>
                      <w:szCs w:val="21"/>
                    </w:rPr>
                  </w:pPr>
                  <w:r>
                    <w:rPr>
                      <w:color w:val="auto"/>
                      <w:sz w:val="21"/>
                      <w:szCs w:val="21"/>
                    </w:rPr>
                    <w:t>运输车辆</w:t>
                  </w:r>
                </w:p>
              </w:tc>
              <w:tc>
                <w:tcPr>
                  <w:tcW w:w="245" w:type="pct"/>
                  <w:noWrap w:val="0"/>
                  <w:vAlign w:val="center"/>
                </w:tcPr>
                <w:p w14:paraId="7E934654">
                  <w:pPr>
                    <w:widowControl/>
                    <w:spacing w:line="240" w:lineRule="auto"/>
                    <w:ind w:firstLine="0" w:firstLineChars="0"/>
                    <w:jc w:val="center"/>
                    <w:rPr>
                      <w:color w:val="auto"/>
                      <w:sz w:val="21"/>
                      <w:szCs w:val="21"/>
                    </w:rPr>
                  </w:pPr>
                  <w:r>
                    <w:rPr>
                      <w:color w:val="auto"/>
                      <w:sz w:val="21"/>
                      <w:szCs w:val="21"/>
                    </w:rPr>
                    <w:t>运输</w:t>
                  </w:r>
                </w:p>
              </w:tc>
              <w:tc>
                <w:tcPr>
                  <w:tcW w:w="423" w:type="pct"/>
                  <w:noWrap w:val="0"/>
                  <w:vAlign w:val="center"/>
                </w:tcPr>
                <w:p w14:paraId="5F5490D2">
                  <w:pPr>
                    <w:widowControl/>
                    <w:spacing w:line="240" w:lineRule="auto"/>
                    <w:ind w:firstLine="0" w:firstLineChars="0"/>
                    <w:jc w:val="center"/>
                    <w:rPr>
                      <w:color w:val="auto"/>
                      <w:sz w:val="21"/>
                      <w:szCs w:val="21"/>
                    </w:rPr>
                  </w:pPr>
                  <w:r>
                    <w:rPr>
                      <w:color w:val="auto"/>
                      <w:sz w:val="21"/>
                      <w:szCs w:val="21"/>
                    </w:rPr>
                    <w:t>颗粒物</w:t>
                  </w:r>
                </w:p>
              </w:tc>
              <w:tc>
                <w:tcPr>
                  <w:tcW w:w="786" w:type="pct"/>
                  <w:noWrap w:val="0"/>
                  <w:vAlign w:val="center"/>
                </w:tcPr>
                <w:p w14:paraId="33417DFE">
                  <w:pPr>
                    <w:spacing w:line="240" w:lineRule="auto"/>
                    <w:ind w:firstLine="0" w:firstLineChars="0"/>
                    <w:jc w:val="center"/>
                    <w:rPr>
                      <w:color w:val="auto"/>
                      <w:sz w:val="21"/>
                      <w:szCs w:val="21"/>
                    </w:rPr>
                  </w:pPr>
                  <w:r>
                    <w:rPr>
                      <w:rFonts w:hint="eastAsia"/>
                      <w:color w:val="auto"/>
                      <w:sz w:val="21"/>
                      <w:szCs w:val="21"/>
                    </w:rPr>
                    <w:t>洒水降尘，物料覆盖运输，除尘效率60%</w:t>
                  </w:r>
                </w:p>
              </w:tc>
              <w:tc>
                <w:tcPr>
                  <w:tcW w:w="1117" w:type="pct"/>
                  <w:vMerge w:val="continue"/>
                  <w:noWrap w:val="0"/>
                  <w:vAlign w:val="center"/>
                </w:tcPr>
                <w:p w14:paraId="26A2B919">
                  <w:pPr>
                    <w:widowControl/>
                    <w:spacing w:line="240" w:lineRule="auto"/>
                    <w:ind w:firstLine="0" w:firstLineChars="0"/>
                    <w:jc w:val="center"/>
                    <w:rPr>
                      <w:color w:val="auto"/>
                      <w:sz w:val="21"/>
                      <w:szCs w:val="21"/>
                    </w:rPr>
                  </w:pPr>
                </w:p>
              </w:tc>
              <w:tc>
                <w:tcPr>
                  <w:tcW w:w="701" w:type="pct"/>
                  <w:vMerge w:val="continue"/>
                  <w:noWrap w:val="0"/>
                  <w:vAlign w:val="center"/>
                </w:tcPr>
                <w:p w14:paraId="51B8369F">
                  <w:pPr>
                    <w:widowControl/>
                    <w:spacing w:line="240" w:lineRule="auto"/>
                    <w:ind w:firstLine="0" w:firstLineChars="0"/>
                    <w:jc w:val="center"/>
                    <w:rPr>
                      <w:color w:val="auto"/>
                      <w:sz w:val="21"/>
                      <w:szCs w:val="21"/>
                    </w:rPr>
                  </w:pPr>
                </w:p>
              </w:tc>
              <w:tc>
                <w:tcPr>
                  <w:tcW w:w="595" w:type="pct"/>
                  <w:noWrap w:val="0"/>
                  <w:vAlign w:val="center"/>
                </w:tcPr>
                <w:p w14:paraId="21E7849F">
                  <w:pPr>
                    <w:spacing w:line="240" w:lineRule="auto"/>
                    <w:ind w:firstLine="0" w:firstLineChars="0"/>
                    <w:jc w:val="center"/>
                    <w:rPr>
                      <w:color w:val="auto"/>
                      <w:sz w:val="21"/>
                      <w:szCs w:val="21"/>
                    </w:rPr>
                  </w:pPr>
                  <w:r>
                    <w:rPr>
                      <w:rFonts w:hint="eastAsia"/>
                      <w:color w:val="auto"/>
                      <w:sz w:val="21"/>
                      <w:szCs w:val="21"/>
                    </w:rPr>
                    <w:t>0.44</w:t>
                  </w:r>
                </w:p>
              </w:tc>
              <w:tc>
                <w:tcPr>
                  <w:tcW w:w="638" w:type="pct"/>
                  <w:noWrap w:val="0"/>
                  <w:vAlign w:val="center"/>
                </w:tcPr>
                <w:p w14:paraId="3367E2DD">
                  <w:pPr>
                    <w:spacing w:line="240" w:lineRule="auto"/>
                    <w:ind w:firstLine="0" w:firstLineChars="0"/>
                    <w:jc w:val="center"/>
                    <w:rPr>
                      <w:color w:val="auto"/>
                      <w:sz w:val="21"/>
                      <w:szCs w:val="21"/>
                    </w:rPr>
                  </w:pPr>
                  <w:r>
                    <w:rPr>
                      <w:rFonts w:hint="eastAsia"/>
                      <w:color w:val="auto"/>
                      <w:sz w:val="21"/>
                      <w:szCs w:val="21"/>
                    </w:rPr>
                    <w:t>0.19</w:t>
                  </w:r>
                </w:p>
              </w:tc>
            </w:tr>
            <w:tr w14:paraId="46030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5" w:type="pct"/>
                  <w:noWrap w:val="0"/>
                  <w:vAlign w:val="center"/>
                </w:tcPr>
                <w:p w14:paraId="2AD18AC0">
                  <w:pPr>
                    <w:widowControl/>
                    <w:spacing w:line="240" w:lineRule="auto"/>
                    <w:ind w:firstLine="0" w:firstLineChars="0"/>
                    <w:jc w:val="center"/>
                    <w:rPr>
                      <w:color w:val="auto"/>
                      <w:sz w:val="21"/>
                      <w:szCs w:val="21"/>
                    </w:rPr>
                  </w:pPr>
                  <w:r>
                    <w:rPr>
                      <w:color w:val="auto"/>
                      <w:sz w:val="21"/>
                      <w:szCs w:val="21"/>
                    </w:rPr>
                    <w:t>3</w:t>
                  </w:r>
                </w:p>
              </w:tc>
              <w:tc>
                <w:tcPr>
                  <w:tcW w:w="245" w:type="pct"/>
                  <w:vMerge w:val="restart"/>
                  <w:noWrap w:val="0"/>
                  <w:vAlign w:val="center"/>
                </w:tcPr>
                <w:p w14:paraId="44B805E2">
                  <w:pPr>
                    <w:spacing w:line="240" w:lineRule="auto"/>
                    <w:ind w:firstLine="0" w:firstLineChars="0"/>
                    <w:jc w:val="center"/>
                    <w:rPr>
                      <w:color w:val="auto"/>
                      <w:sz w:val="21"/>
                      <w:szCs w:val="21"/>
                    </w:rPr>
                  </w:pPr>
                  <w:r>
                    <w:rPr>
                      <w:rFonts w:hint="eastAsia"/>
                      <w:color w:val="auto"/>
                      <w:sz w:val="21"/>
                      <w:szCs w:val="21"/>
                    </w:rPr>
                    <w:t>搅拌区</w:t>
                  </w:r>
                </w:p>
              </w:tc>
              <w:tc>
                <w:tcPr>
                  <w:tcW w:w="245" w:type="pct"/>
                  <w:vMerge w:val="restart"/>
                  <w:noWrap w:val="0"/>
                  <w:vAlign w:val="center"/>
                </w:tcPr>
                <w:p w14:paraId="1BE39510">
                  <w:pPr>
                    <w:spacing w:line="240" w:lineRule="auto"/>
                    <w:ind w:firstLine="0" w:firstLineChars="0"/>
                    <w:jc w:val="center"/>
                    <w:rPr>
                      <w:color w:val="auto"/>
                      <w:sz w:val="21"/>
                      <w:szCs w:val="21"/>
                    </w:rPr>
                  </w:pPr>
                  <w:r>
                    <w:rPr>
                      <w:color w:val="auto"/>
                      <w:sz w:val="21"/>
                      <w:szCs w:val="21"/>
                    </w:rPr>
                    <w:t>投料</w:t>
                  </w:r>
                </w:p>
              </w:tc>
              <w:tc>
                <w:tcPr>
                  <w:tcW w:w="423" w:type="pct"/>
                  <w:vMerge w:val="restart"/>
                  <w:noWrap w:val="0"/>
                  <w:vAlign w:val="center"/>
                </w:tcPr>
                <w:p w14:paraId="090742BC">
                  <w:pPr>
                    <w:widowControl/>
                    <w:spacing w:line="240" w:lineRule="auto"/>
                    <w:ind w:firstLine="0" w:firstLineChars="0"/>
                    <w:jc w:val="center"/>
                    <w:rPr>
                      <w:color w:val="auto"/>
                      <w:sz w:val="21"/>
                      <w:szCs w:val="21"/>
                    </w:rPr>
                  </w:pPr>
                  <w:r>
                    <w:rPr>
                      <w:color w:val="auto"/>
                      <w:sz w:val="21"/>
                      <w:szCs w:val="21"/>
                    </w:rPr>
                    <w:t>颗粒物</w:t>
                  </w:r>
                </w:p>
              </w:tc>
              <w:tc>
                <w:tcPr>
                  <w:tcW w:w="786" w:type="pct"/>
                  <w:vMerge w:val="restart"/>
                  <w:noWrap w:val="0"/>
                  <w:vAlign w:val="center"/>
                </w:tcPr>
                <w:p w14:paraId="5D5AFC40">
                  <w:pPr>
                    <w:pStyle w:val="28"/>
                    <w:rPr>
                      <w:rFonts w:hint="default" w:eastAsia="宋体"/>
                      <w:color w:val="auto"/>
                      <w:szCs w:val="21"/>
                      <w:lang w:val="en-US" w:eastAsia="zh-CN"/>
                    </w:rPr>
                  </w:pPr>
                  <w:r>
                    <w:rPr>
                      <w:rFonts w:hint="eastAsia"/>
                      <w:color w:val="auto"/>
                      <w:szCs w:val="21"/>
                      <w:lang w:val="en-US" w:eastAsia="zh-CN"/>
                    </w:rPr>
                    <w:t>封闭车间+喷淋系统，除尘效率60%</w:t>
                  </w:r>
                </w:p>
              </w:tc>
              <w:tc>
                <w:tcPr>
                  <w:tcW w:w="1117" w:type="pct"/>
                  <w:vMerge w:val="continue"/>
                  <w:noWrap w:val="0"/>
                  <w:vAlign w:val="center"/>
                </w:tcPr>
                <w:p w14:paraId="0878F867">
                  <w:pPr>
                    <w:widowControl/>
                    <w:spacing w:line="240" w:lineRule="auto"/>
                    <w:ind w:firstLine="0" w:firstLineChars="0"/>
                    <w:jc w:val="center"/>
                    <w:rPr>
                      <w:color w:val="auto"/>
                      <w:sz w:val="21"/>
                      <w:szCs w:val="21"/>
                    </w:rPr>
                  </w:pPr>
                </w:p>
              </w:tc>
              <w:tc>
                <w:tcPr>
                  <w:tcW w:w="701" w:type="pct"/>
                  <w:vMerge w:val="continue"/>
                  <w:noWrap w:val="0"/>
                  <w:vAlign w:val="center"/>
                </w:tcPr>
                <w:p w14:paraId="6B53C2E5">
                  <w:pPr>
                    <w:widowControl/>
                    <w:spacing w:line="240" w:lineRule="auto"/>
                    <w:ind w:firstLine="0" w:firstLineChars="0"/>
                    <w:jc w:val="center"/>
                    <w:rPr>
                      <w:color w:val="auto"/>
                      <w:sz w:val="21"/>
                      <w:szCs w:val="21"/>
                    </w:rPr>
                  </w:pPr>
                </w:p>
              </w:tc>
              <w:tc>
                <w:tcPr>
                  <w:tcW w:w="595" w:type="pct"/>
                  <w:vMerge w:val="restart"/>
                  <w:noWrap w:val="0"/>
                  <w:vAlign w:val="center"/>
                </w:tcPr>
                <w:p w14:paraId="25D228EB">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rPr>
                    <w:t>0.05</w:t>
                  </w:r>
                  <w:r>
                    <w:rPr>
                      <w:rFonts w:hint="eastAsia"/>
                      <w:color w:val="auto"/>
                      <w:sz w:val="21"/>
                      <w:szCs w:val="21"/>
                      <w:lang w:val="en-US" w:eastAsia="zh-CN"/>
                    </w:rPr>
                    <w:t>3</w:t>
                  </w:r>
                </w:p>
              </w:tc>
              <w:tc>
                <w:tcPr>
                  <w:tcW w:w="638" w:type="pct"/>
                  <w:vMerge w:val="restart"/>
                  <w:noWrap w:val="0"/>
                  <w:vAlign w:val="center"/>
                </w:tcPr>
                <w:p w14:paraId="617DA2E2">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rPr>
                    <w:t>0.38</w:t>
                  </w:r>
                  <w:r>
                    <w:rPr>
                      <w:rFonts w:hint="eastAsia"/>
                      <w:color w:val="auto"/>
                      <w:sz w:val="21"/>
                      <w:szCs w:val="21"/>
                      <w:lang w:val="en-US" w:eastAsia="zh-CN"/>
                    </w:rPr>
                    <w:t>5</w:t>
                  </w:r>
                </w:p>
              </w:tc>
            </w:tr>
            <w:tr w14:paraId="70B62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5" w:type="pct"/>
                  <w:noWrap w:val="0"/>
                  <w:vAlign w:val="center"/>
                </w:tcPr>
                <w:p w14:paraId="42067162">
                  <w:pPr>
                    <w:widowControl/>
                    <w:spacing w:line="240" w:lineRule="auto"/>
                    <w:ind w:firstLine="0" w:firstLineChars="0"/>
                    <w:jc w:val="center"/>
                    <w:rPr>
                      <w:color w:val="auto"/>
                      <w:sz w:val="21"/>
                      <w:szCs w:val="21"/>
                    </w:rPr>
                  </w:pPr>
                  <w:r>
                    <w:rPr>
                      <w:color w:val="auto"/>
                      <w:sz w:val="21"/>
                      <w:szCs w:val="21"/>
                    </w:rPr>
                    <w:t>4</w:t>
                  </w:r>
                </w:p>
              </w:tc>
              <w:tc>
                <w:tcPr>
                  <w:tcW w:w="245" w:type="pct"/>
                  <w:vMerge w:val="continue"/>
                  <w:noWrap w:val="0"/>
                  <w:vAlign w:val="center"/>
                </w:tcPr>
                <w:p w14:paraId="09BD7AEC">
                  <w:pPr>
                    <w:spacing w:line="240" w:lineRule="auto"/>
                    <w:ind w:firstLine="0" w:firstLineChars="0"/>
                    <w:jc w:val="center"/>
                    <w:rPr>
                      <w:color w:val="auto"/>
                      <w:sz w:val="21"/>
                      <w:szCs w:val="21"/>
                    </w:rPr>
                  </w:pPr>
                </w:p>
              </w:tc>
              <w:tc>
                <w:tcPr>
                  <w:tcW w:w="245" w:type="pct"/>
                  <w:vMerge w:val="continue"/>
                  <w:noWrap w:val="0"/>
                  <w:vAlign w:val="center"/>
                </w:tcPr>
                <w:p w14:paraId="673778C3">
                  <w:pPr>
                    <w:spacing w:line="240" w:lineRule="auto"/>
                    <w:ind w:firstLine="0" w:firstLineChars="0"/>
                    <w:jc w:val="center"/>
                    <w:rPr>
                      <w:color w:val="auto"/>
                      <w:sz w:val="21"/>
                      <w:szCs w:val="21"/>
                    </w:rPr>
                  </w:pPr>
                </w:p>
              </w:tc>
              <w:tc>
                <w:tcPr>
                  <w:tcW w:w="423" w:type="pct"/>
                  <w:vMerge w:val="continue"/>
                  <w:noWrap w:val="0"/>
                  <w:vAlign w:val="center"/>
                </w:tcPr>
                <w:p w14:paraId="09B46230">
                  <w:pPr>
                    <w:widowControl/>
                    <w:spacing w:line="240" w:lineRule="auto"/>
                    <w:ind w:firstLine="0" w:firstLineChars="0"/>
                    <w:jc w:val="center"/>
                    <w:rPr>
                      <w:color w:val="auto"/>
                      <w:sz w:val="21"/>
                      <w:szCs w:val="21"/>
                    </w:rPr>
                  </w:pPr>
                </w:p>
              </w:tc>
              <w:tc>
                <w:tcPr>
                  <w:tcW w:w="786" w:type="pct"/>
                  <w:vMerge w:val="continue"/>
                  <w:noWrap w:val="0"/>
                  <w:vAlign w:val="center"/>
                </w:tcPr>
                <w:p w14:paraId="3185DC08">
                  <w:pPr>
                    <w:spacing w:line="240" w:lineRule="auto"/>
                    <w:ind w:firstLine="0" w:firstLineChars="0"/>
                    <w:jc w:val="center"/>
                    <w:rPr>
                      <w:color w:val="auto"/>
                      <w:sz w:val="21"/>
                      <w:szCs w:val="21"/>
                    </w:rPr>
                  </w:pPr>
                </w:p>
              </w:tc>
              <w:tc>
                <w:tcPr>
                  <w:tcW w:w="1117" w:type="pct"/>
                  <w:vMerge w:val="continue"/>
                  <w:noWrap w:val="0"/>
                  <w:vAlign w:val="center"/>
                </w:tcPr>
                <w:p w14:paraId="6DD5CAEE">
                  <w:pPr>
                    <w:widowControl/>
                    <w:spacing w:line="240" w:lineRule="auto"/>
                    <w:ind w:firstLine="0" w:firstLineChars="0"/>
                    <w:jc w:val="center"/>
                    <w:rPr>
                      <w:color w:val="auto"/>
                      <w:sz w:val="21"/>
                      <w:szCs w:val="21"/>
                    </w:rPr>
                  </w:pPr>
                </w:p>
              </w:tc>
              <w:tc>
                <w:tcPr>
                  <w:tcW w:w="701" w:type="pct"/>
                  <w:vMerge w:val="continue"/>
                  <w:noWrap w:val="0"/>
                  <w:vAlign w:val="center"/>
                </w:tcPr>
                <w:p w14:paraId="09375F93">
                  <w:pPr>
                    <w:widowControl/>
                    <w:spacing w:line="240" w:lineRule="auto"/>
                    <w:ind w:firstLine="0" w:firstLineChars="0"/>
                    <w:jc w:val="center"/>
                    <w:rPr>
                      <w:color w:val="auto"/>
                      <w:sz w:val="21"/>
                      <w:szCs w:val="21"/>
                    </w:rPr>
                  </w:pPr>
                </w:p>
              </w:tc>
              <w:tc>
                <w:tcPr>
                  <w:tcW w:w="595" w:type="pct"/>
                  <w:vMerge w:val="continue"/>
                  <w:noWrap w:val="0"/>
                  <w:vAlign w:val="center"/>
                </w:tcPr>
                <w:p w14:paraId="18BD5D04">
                  <w:pPr>
                    <w:spacing w:line="240" w:lineRule="auto"/>
                    <w:ind w:firstLine="0" w:firstLineChars="0"/>
                    <w:jc w:val="center"/>
                    <w:rPr>
                      <w:color w:val="auto"/>
                      <w:sz w:val="21"/>
                      <w:szCs w:val="21"/>
                    </w:rPr>
                  </w:pPr>
                </w:p>
              </w:tc>
              <w:tc>
                <w:tcPr>
                  <w:tcW w:w="638" w:type="pct"/>
                  <w:vMerge w:val="continue"/>
                  <w:noWrap w:val="0"/>
                  <w:vAlign w:val="center"/>
                </w:tcPr>
                <w:p w14:paraId="5D8C1E2D">
                  <w:pPr>
                    <w:spacing w:line="240" w:lineRule="auto"/>
                    <w:ind w:firstLine="0" w:firstLineChars="0"/>
                    <w:jc w:val="center"/>
                    <w:rPr>
                      <w:color w:val="auto"/>
                      <w:sz w:val="21"/>
                      <w:szCs w:val="21"/>
                    </w:rPr>
                  </w:pPr>
                </w:p>
              </w:tc>
            </w:tr>
            <w:tr w14:paraId="349AF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5" w:type="pct"/>
                  <w:vMerge w:val="restart"/>
                  <w:noWrap w:val="0"/>
                  <w:vAlign w:val="center"/>
                </w:tcPr>
                <w:p w14:paraId="33A211F5">
                  <w:pPr>
                    <w:widowControl/>
                    <w:spacing w:line="240" w:lineRule="auto"/>
                    <w:ind w:firstLine="0" w:firstLineChars="0"/>
                    <w:jc w:val="center"/>
                    <w:rPr>
                      <w:rFonts w:hint="eastAsia" w:eastAsia="宋体"/>
                      <w:color w:val="auto"/>
                      <w:sz w:val="21"/>
                      <w:szCs w:val="21"/>
                      <w:lang w:eastAsia="zh-CN"/>
                    </w:rPr>
                  </w:pPr>
                  <w:r>
                    <w:rPr>
                      <w:rFonts w:hint="eastAsia"/>
                      <w:color w:val="auto"/>
                      <w:sz w:val="21"/>
                      <w:szCs w:val="21"/>
                      <w:lang w:val="en-US" w:eastAsia="zh-CN"/>
                    </w:rPr>
                    <w:t>5</w:t>
                  </w:r>
                </w:p>
              </w:tc>
              <w:tc>
                <w:tcPr>
                  <w:tcW w:w="245" w:type="pct"/>
                  <w:vMerge w:val="restart"/>
                  <w:noWrap w:val="0"/>
                  <w:vAlign w:val="center"/>
                </w:tcPr>
                <w:p w14:paraId="6328BD89">
                  <w:pPr>
                    <w:spacing w:line="240" w:lineRule="auto"/>
                    <w:ind w:firstLine="0" w:firstLineChars="0"/>
                    <w:jc w:val="center"/>
                    <w:rPr>
                      <w:color w:val="auto"/>
                      <w:sz w:val="21"/>
                      <w:szCs w:val="21"/>
                    </w:rPr>
                  </w:pPr>
                  <w:r>
                    <w:rPr>
                      <w:rFonts w:hint="eastAsia"/>
                      <w:color w:val="auto"/>
                      <w:sz w:val="21"/>
                      <w:szCs w:val="21"/>
                    </w:rPr>
                    <w:t>桁架车间</w:t>
                  </w:r>
                </w:p>
              </w:tc>
              <w:tc>
                <w:tcPr>
                  <w:tcW w:w="245" w:type="pct"/>
                  <w:noWrap w:val="0"/>
                  <w:vAlign w:val="center"/>
                </w:tcPr>
                <w:p w14:paraId="1203F1EF">
                  <w:pPr>
                    <w:widowControl/>
                    <w:spacing w:line="240" w:lineRule="auto"/>
                    <w:ind w:firstLine="0" w:firstLineChars="0"/>
                    <w:jc w:val="center"/>
                    <w:rPr>
                      <w:rFonts w:hint="eastAsia" w:eastAsia="宋体"/>
                      <w:color w:val="auto"/>
                      <w:sz w:val="21"/>
                      <w:szCs w:val="21"/>
                      <w:lang w:val="en-US" w:eastAsia="zh-CN"/>
                    </w:rPr>
                  </w:pPr>
                  <w:r>
                    <w:rPr>
                      <w:rFonts w:hint="eastAsia"/>
                      <w:color w:val="auto"/>
                      <w:sz w:val="21"/>
                      <w:szCs w:val="21"/>
                    </w:rPr>
                    <w:t>钢筋焊接烟尘</w:t>
                  </w:r>
                </w:p>
              </w:tc>
              <w:tc>
                <w:tcPr>
                  <w:tcW w:w="423" w:type="pct"/>
                  <w:vMerge w:val="restart"/>
                  <w:noWrap w:val="0"/>
                  <w:vAlign w:val="center"/>
                </w:tcPr>
                <w:p w14:paraId="00F8634E">
                  <w:pPr>
                    <w:widowControl/>
                    <w:spacing w:line="240" w:lineRule="auto"/>
                    <w:ind w:firstLine="0" w:firstLineChars="0"/>
                    <w:jc w:val="center"/>
                    <w:rPr>
                      <w:color w:val="auto"/>
                      <w:sz w:val="21"/>
                      <w:szCs w:val="21"/>
                    </w:rPr>
                  </w:pPr>
                  <w:r>
                    <w:rPr>
                      <w:rFonts w:hint="eastAsia"/>
                      <w:color w:val="auto"/>
                      <w:sz w:val="21"/>
                      <w:szCs w:val="21"/>
                    </w:rPr>
                    <w:t>烟尘</w:t>
                  </w:r>
                </w:p>
              </w:tc>
              <w:tc>
                <w:tcPr>
                  <w:tcW w:w="786" w:type="pct"/>
                  <w:noWrap w:val="0"/>
                  <w:vAlign w:val="center"/>
                </w:tcPr>
                <w:p w14:paraId="6860B926">
                  <w:pPr>
                    <w:widowControl/>
                    <w:spacing w:line="240" w:lineRule="auto"/>
                    <w:ind w:firstLine="0" w:firstLineChars="0"/>
                    <w:jc w:val="center"/>
                    <w:rPr>
                      <w:rFonts w:hint="eastAsia"/>
                      <w:color w:val="auto"/>
                      <w:sz w:val="21"/>
                      <w:szCs w:val="21"/>
                    </w:rPr>
                  </w:pPr>
                  <w:r>
                    <w:rPr>
                      <w:color w:val="auto"/>
                      <w:sz w:val="21"/>
                      <w:szCs w:val="21"/>
                    </w:rPr>
                    <w:t>厂房封闭</w:t>
                  </w:r>
                </w:p>
              </w:tc>
              <w:tc>
                <w:tcPr>
                  <w:tcW w:w="1117" w:type="pct"/>
                  <w:vMerge w:val="continue"/>
                  <w:noWrap w:val="0"/>
                  <w:vAlign w:val="center"/>
                </w:tcPr>
                <w:p w14:paraId="0E951279">
                  <w:pPr>
                    <w:widowControl/>
                    <w:spacing w:line="240" w:lineRule="auto"/>
                    <w:ind w:firstLine="0" w:firstLineChars="0"/>
                    <w:jc w:val="center"/>
                    <w:rPr>
                      <w:color w:val="auto"/>
                      <w:sz w:val="21"/>
                      <w:szCs w:val="21"/>
                    </w:rPr>
                  </w:pPr>
                </w:p>
              </w:tc>
              <w:tc>
                <w:tcPr>
                  <w:tcW w:w="701" w:type="pct"/>
                  <w:vMerge w:val="continue"/>
                  <w:noWrap w:val="0"/>
                  <w:vAlign w:val="center"/>
                </w:tcPr>
                <w:p w14:paraId="15A26F98">
                  <w:pPr>
                    <w:widowControl/>
                    <w:spacing w:line="240" w:lineRule="auto"/>
                    <w:ind w:firstLine="0" w:firstLineChars="0"/>
                    <w:jc w:val="center"/>
                    <w:rPr>
                      <w:color w:val="auto"/>
                      <w:sz w:val="21"/>
                      <w:szCs w:val="21"/>
                    </w:rPr>
                  </w:pPr>
                </w:p>
              </w:tc>
              <w:tc>
                <w:tcPr>
                  <w:tcW w:w="595" w:type="pct"/>
                  <w:noWrap w:val="0"/>
                  <w:vAlign w:val="center"/>
                </w:tcPr>
                <w:p w14:paraId="018DE836">
                  <w:pPr>
                    <w:spacing w:line="240" w:lineRule="auto"/>
                    <w:ind w:firstLine="0" w:firstLineChars="0"/>
                    <w:jc w:val="center"/>
                    <w:rPr>
                      <w:color w:val="auto"/>
                      <w:sz w:val="21"/>
                      <w:szCs w:val="21"/>
                    </w:rPr>
                  </w:pPr>
                  <w:r>
                    <w:rPr>
                      <w:rFonts w:hint="eastAsia"/>
                      <w:color w:val="auto"/>
                      <w:sz w:val="21"/>
                      <w:szCs w:val="21"/>
                    </w:rPr>
                    <w:t>0.01</w:t>
                  </w:r>
                </w:p>
              </w:tc>
              <w:tc>
                <w:tcPr>
                  <w:tcW w:w="638" w:type="pct"/>
                  <w:noWrap w:val="0"/>
                  <w:vAlign w:val="center"/>
                </w:tcPr>
                <w:p w14:paraId="5F7519F0">
                  <w:pPr>
                    <w:spacing w:line="240" w:lineRule="auto"/>
                    <w:ind w:firstLine="0" w:firstLineChars="0"/>
                    <w:jc w:val="center"/>
                    <w:rPr>
                      <w:rFonts w:hint="default" w:eastAsia="宋体"/>
                      <w:color w:val="auto"/>
                      <w:sz w:val="21"/>
                      <w:szCs w:val="21"/>
                      <w:lang w:val="en-US" w:eastAsia="zh-CN"/>
                    </w:rPr>
                  </w:pPr>
                  <w:r>
                    <w:rPr>
                      <w:rFonts w:hint="eastAsia"/>
                      <w:color w:val="auto"/>
                      <w:sz w:val="21"/>
                      <w:szCs w:val="21"/>
                    </w:rPr>
                    <w:t>0.0</w:t>
                  </w:r>
                  <w:r>
                    <w:rPr>
                      <w:rFonts w:hint="eastAsia"/>
                      <w:color w:val="auto"/>
                      <w:sz w:val="21"/>
                      <w:szCs w:val="21"/>
                      <w:lang w:val="en-US" w:eastAsia="zh-CN"/>
                    </w:rPr>
                    <w:t>8</w:t>
                  </w:r>
                </w:p>
              </w:tc>
            </w:tr>
            <w:tr w14:paraId="6F64B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5" w:type="pct"/>
                  <w:vMerge w:val="continue"/>
                  <w:noWrap w:val="0"/>
                  <w:vAlign w:val="center"/>
                </w:tcPr>
                <w:p w14:paraId="033C941C">
                  <w:pPr>
                    <w:widowControl/>
                    <w:spacing w:line="240" w:lineRule="auto"/>
                    <w:ind w:firstLine="0" w:firstLineChars="0"/>
                    <w:jc w:val="center"/>
                    <w:rPr>
                      <w:color w:val="auto"/>
                      <w:sz w:val="21"/>
                      <w:szCs w:val="21"/>
                    </w:rPr>
                  </w:pPr>
                </w:p>
              </w:tc>
              <w:tc>
                <w:tcPr>
                  <w:tcW w:w="245" w:type="pct"/>
                  <w:vMerge w:val="continue"/>
                  <w:noWrap w:val="0"/>
                  <w:vAlign w:val="center"/>
                </w:tcPr>
                <w:p w14:paraId="5F9D9560">
                  <w:pPr>
                    <w:spacing w:line="240" w:lineRule="auto"/>
                    <w:ind w:firstLine="0" w:firstLineChars="0"/>
                    <w:jc w:val="center"/>
                    <w:rPr>
                      <w:rFonts w:hint="eastAsia"/>
                      <w:color w:val="auto"/>
                      <w:sz w:val="21"/>
                      <w:szCs w:val="21"/>
                    </w:rPr>
                  </w:pPr>
                </w:p>
              </w:tc>
              <w:tc>
                <w:tcPr>
                  <w:tcW w:w="245" w:type="pct"/>
                  <w:noWrap w:val="0"/>
                  <w:vAlign w:val="center"/>
                </w:tcPr>
                <w:p w14:paraId="25C83ECB">
                  <w:pPr>
                    <w:widowControl/>
                    <w:spacing w:line="240" w:lineRule="auto"/>
                    <w:ind w:firstLine="0" w:firstLineChars="0"/>
                    <w:jc w:val="center"/>
                    <w:rPr>
                      <w:rFonts w:hint="eastAsia"/>
                      <w:color w:val="auto"/>
                      <w:sz w:val="21"/>
                      <w:szCs w:val="21"/>
                    </w:rPr>
                  </w:pPr>
                  <w:r>
                    <w:rPr>
                      <w:rFonts w:hint="eastAsia"/>
                      <w:color w:val="auto"/>
                      <w:sz w:val="21"/>
                      <w:szCs w:val="21"/>
                    </w:rPr>
                    <w:t>切割粉尘</w:t>
                  </w:r>
                </w:p>
              </w:tc>
              <w:tc>
                <w:tcPr>
                  <w:tcW w:w="423" w:type="pct"/>
                  <w:vMerge w:val="continue"/>
                  <w:noWrap w:val="0"/>
                  <w:vAlign w:val="center"/>
                </w:tcPr>
                <w:p w14:paraId="3D9474AB">
                  <w:pPr>
                    <w:widowControl/>
                    <w:spacing w:line="240" w:lineRule="auto"/>
                    <w:ind w:firstLine="0" w:firstLineChars="0"/>
                    <w:jc w:val="center"/>
                    <w:rPr>
                      <w:color w:val="auto"/>
                      <w:sz w:val="21"/>
                      <w:szCs w:val="21"/>
                    </w:rPr>
                  </w:pPr>
                </w:p>
              </w:tc>
              <w:tc>
                <w:tcPr>
                  <w:tcW w:w="786" w:type="pct"/>
                  <w:noWrap w:val="0"/>
                  <w:vAlign w:val="center"/>
                </w:tcPr>
                <w:p w14:paraId="47C17863">
                  <w:pPr>
                    <w:widowControl/>
                    <w:spacing w:line="240" w:lineRule="auto"/>
                    <w:ind w:firstLine="0" w:firstLineChars="0"/>
                    <w:jc w:val="center"/>
                    <w:rPr>
                      <w:rFonts w:hint="eastAsia"/>
                      <w:color w:val="auto"/>
                      <w:sz w:val="21"/>
                      <w:szCs w:val="21"/>
                    </w:rPr>
                  </w:pPr>
                  <w:r>
                    <w:rPr>
                      <w:color w:val="auto"/>
                      <w:sz w:val="21"/>
                      <w:szCs w:val="21"/>
                    </w:rPr>
                    <w:t>厂房封闭</w:t>
                  </w:r>
                </w:p>
              </w:tc>
              <w:tc>
                <w:tcPr>
                  <w:tcW w:w="1117" w:type="pct"/>
                  <w:vMerge w:val="continue"/>
                  <w:noWrap w:val="0"/>
                  <w:vAlign w:val="center"/>
                </w:tcPr>
                <w:p w14:paraId="0E76F5EE">
                  <w:pPr>
                    <w:widowControl/>
                    <w:spacing w:line="240" w:lineRule="auto"/>
                    <w:ind w:firstLine="0" w:firstLineChars="0"/>
                    <w:jc w:val="center"/>
                    <w:rPr>
                      <w:color w:val="auto"/>
                      <w:sz w:val="21"/>
                      <w:szCs w:val="21"/>
                    </w:rPr>
                  </w:pPr>
                </w:p>
              </w:tc>
              <w:tc>
                <w:tcPr>
                  <w:tcW w:w="701" w:type="pct"/>
                  <w:vMerge w:val="continue"/>
                  <w:noWrap w:val="0"/>
                  <w:vAlign w:val="center"/>
                </w:tcPr>
                <w:p w14:paraId="0166F168">
                  <w:pPr>
                    <w:widowControl/>
                    <w:spacing w:line="240" w:lineRule="auto"/>
                    <w:ind w:firstLine="0" w:firstLineChars="0"/>
                    <w:jc w:val="center"/>
                    <w:rPr>
                      <w:color w:val="auto"/>
                      <w:sz w:val="21"/>
                      <w:szCs w:val="21"/>
                    </w:rPr>
                  </w:pPr>
                </w:p>
              </w:tc>
              <w:tc>
                <w:tcPr>
                  <w:tcW w:w="595" w:type="pct"/>
                  <w:noWrap w:val="0"/>
                  <w:vAlign w:val="center"/>
                </w:tcPr>
                <w:p w14:paraId="185E4904">
                  <w:pPr>
                    <w:spacing w:line="240" w:lineRule="auto"/>
                    <w:ind w:firstLine="0" w:firstLineChars="0"/>
                    <w:jc w:val="center"/>
                    <w:rPr>
                      <w:color w:val="auto"/>
                      <w:sz w:val="21"/>
                      <w:szCs w:val="21"/>
                    </w:rPr>
                  </w:pPr>
                  <w:r>
                    <w:rPr>
                      <w:color w:val="auto"/>
                      <w:sz w:val="21"/>
                      <w:szCs w:val="21"/>
                    </w:rPr>
                    <w:t>少量</w:t>
                  </w:r>
                </w:p>
              </w:tc>
              <w:tc>
                <w:tcPr>
                  <w:tcW w:w="638" w:type="pct"/>
                  <w:noWrap w:val="0"/>
                  <w:vAlign w:val="center"/>
                </w:tcPr>
                <w:p w14:paraId="38C015D8">
                  <w:pPr>
                    <w:spacing w:line="240" w:lineRule="auto"/>
                    <w:ind w:firstLine="0" w:firstLineChars="0"/>
                    <w:jc w:val="center"/>
                    <w:rPr>
                      <w:color w:val="auto"/>
                      <w:sz w:val="21"/>
                      <w:szCs w:val="21"/>
                    </w:rPr>
                  </w:pPr>
                  <w:r>
                    <w:rPr>
                      <w:color w:val="auto"/>
                      <w:sz w:val="21"/>
                      <w:szCs w:val="21"/>
                    </w:rPr>
                    <w:t>少量</w:t>
                  </w:r>
                </w:p>
              </w:tc>
            </w:tr>
            <w:tr w14:paraId="7354C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60" w:type="pct"/>
                  <w:gridSpan w:val="4"/>
                  <w:noWrap w:val="0"/>
                  <w:vAlign w:val="center"/>
                </w:tcPr>
                <w:p w14:paraId="6472FCBE">
                  <w:pPr>
                    <w:widowControl/>
                    <w:spacing w:line="240" w:lineRule="auto"/>
                    <w:ind w:firstLine="0" w:firstLineChars="0"/>
                    <w:jc w:val="center"/>
                    <w:rPr>
                      <w:color w:val="auto"/>
                      <w:sz w:val="21"/>
                      <w:szCs w:val="21"/>
                    </w:rPr>
                  </w:pPr>
                  <w:r>
                    <w:rPr>
                      <w:color w:val="auto"/>
                      <w:sz w:val="21"/>
                      <w:szCs w:val="21"/>
                    </w:rPr>
                    <w:t>无组织排放总计</w:t>
                  </w:r>
                </w:p>
              </w:tc>
              <w:tc>
                <w:tcPr>
                  <w:tcW w:w="2605" w:type="pct"/>
                  <w:gridSpan w:val="3"/>
                  <w:noWrap w:val="0"/>
                  <w:vAlign w:val="center"/>
                </w:tcPr>
                <w:p w14:paraId="688A8569">
                  <w:pPr>
                    <w:widowControl/>
                    <w:spacing w:line="240" w:lineRule="auto"/>
                    <w:ind w:firstLine="0" w:firstLineChars="0"/>
                    <w:jc w:val="center"/>
                    <w:rPr>
                      <w:color w:val="auto"/>
                      <w:sz w:val="21"/>
                      <w:szCs w:val="21"/>
                    </w:rPr>
                  </w:pPr>
                  <w:r>
                    <w:rPr>
                      <w:color w:val="auto"/>
                      <w:sz w:val="21"/>
                      <w:szCs w:val="21"/>
                    </w:rPr>
                    <w:t>颗粒物</w:t>
                  </w:r>
                </w:p>
              </w:tc>
              <w:tc>
                <w:tcPr>
                  <w:tcW w:w="595" w:type="pct"/>
                  <w:noWrap w:val="0"/>
                  <w:vAlign w:val="center"/>
                </w:tcPr>
                <w:p w14:paraId="00295ABE">
                  <w:pPr>
                    <w:spacing w:line="240" w:lineRule="auto"/>
                    <w:ind w:firstLine="0" w:firstLineChars="0"/>
                    <w:jc w:val="center"/>
                    <w:rPr>
                      <w:color w:val="auto"/>
                      <w:sz w:val="21"/>
                      <w:szCs w:val="21"/>
                    </w:rPr>
                  </w:pPr>
                  <w:r>
                    <w:rPr>
                      <w:color w:val="auto"/>
                      <w:sz w:val="21"/>
                      <w:szCs w:val="21"/>
                    </w:rPr>
                    <w:t>0.53</w:t>
                  </w:r>
                  <w:r>
                    <w:rPr>
                      <w:rFonts w:hint="eastAsia"/>
                      <w:color w:val="auto"/>
                      <w:sz w:val="21"/>
                      <w:szCs w:val="21"/>
                    </w:rPr>
                    <w:t>3</w:t>
                  </w:r>
                </w:p>
              </w:tc>
              <w:tc>
                <w:tcPr>
                  <w:tcW w:w="638" w:type="pct"/>
                  <w:noWrap w:val="0"/>
                  <w:vAlign w:val="center"/>
                </w:tcPr>
                <w:p w14:paraId="6CF4845E">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0.6634</w:t>
                  </w:r>
                </w:p>
              </w:tc>
            </w:tr>
          </w:tbl>
          <w:p w14:paraId="7309765A">
            <w:pPr>
              <w:snapToGrid w:val="0"/>
              <w:ind w:firstLine="482"/>
              <w:rPr>
                <w:b/>
                <w:bCs/>
                <w:color w:val="auto"/>
              </w:rPr>
            </w:pPr>
            <w:r>
              <w:rPr>
                <w:rFonts w:hint="eastAsia"/>
                <w:b/>
                <w:bCs/>
                <w:color w:val="auto"/>
                <w:lang w:bidi="ar"/>
              </w:rPr>
              <w:t>3、</w:t>
            </w:r>
            <w:r>
              <w:rPr>
                <w:rFonts w:hint="eastAsia"/>
                <w:b/>
                <w:bCs/>
                <w:color w:val="auto"/>
              </w:rPr>
              <w:t>汽车尾气</w:t>
            </w:r>
            <w:r>
              <w:rPr>
                <w:b/>
                <w:bCs/>
                <w:color w:val="auto"/>
              </w:rPr>
              <w:t>影响分析</w:t>
            </w:r>
          </w:p>
          <w:p w14:paraId="3796CB63">
            <w:pPr>
              <w:snapToGrid w:val="0"/>
              <w:ind w:firstLine="480"/>
              <w:rPr>
                <w:b/>
                <w:bCs/>
                <w:color w:val="auto"/>
              </w:rPr>
            </w:pPr>
            <w:r>
              <w:rPr>
                <w:color w:val="auto"/>
              </w:rPr>
              <w:t>项目</w:t>
            </w:r>
            <w:r>
              <w:rPr>
                <w:rFonts w:hint="eastAsia"/>
                <w:color w:val="auto"/>
              </w:rPr>
              <w:t>物料</w:t>
            </w:r>
            <w:r>
              <w:rPr>
                <w:color w:val="auto"/>
              </w:rPr>
              <w:t>运输时，使用</w:t>
            </w:r>
            <w:r>
              <w:rPr>
                <w:rFonts w:hint="eastAsia"/>
                <w:color w:val="auto"/>
              </w:rPr>
              <w:t>装载机</w:t>
            </w:r>
            <w:r>
              <w:rPr>
                <w:color w:val="auto"/>
              </w:rPr>
              <w:t>、汽车等机械设备，运行过程中排放少量燃油废气，项目所在区域地势较为空旷，机械及运输车辆燃油废气经自然扩散后对环境影响较小。</w:t>
            </w:r>
          </w:p>
          <w:p w14:paraId="64752E98">
            <w:pPr>
              <w:ind w:firstLine="480"/>
              <w:rPr>
                <w:color w:val="auto"/>
              </w:rPr>
            </w:pPr>
            <w:r>
              <w:rPr>
                <w:rFonts w:hint="eastAsia"/>
                <w:color w:val="auto"/>
              </w:rPr>
              <w:t>综上，</w:t>
            </w:r>
            <w:r>
              <w:rPr>
                <w:color w:val="auto"/>
              </w:rPr>
              <w:t>本项目</w:t>
            </w:r>
            <w:r>
              <w:rPr>
                <w:rFonts w:hint="eastAsia"/>
                <w:color w:val="auto"/>
              </w:rPr>
              <w:t>无组织废气</w:t>
            </w:r>
            <w:r>
              <w:rPr>
                <w:color w:val="auto"/>
              </w:rPr>
              <w:t>总最大排放速率为</w:t>
            </w:r>
            <w:r>
              <w:rPr>
                <w:rFonts w:hint="eastAsia"/>
                <w:color w:val="auto"/>
              </w:rPr>
              <w:t>0.533</w:t>
            </w:r>
            <w:r>
              <w:rPr>
                <w:color w:val="auto"/>
              </w:rPr>
              <w:t>kg/h</w:t>
            </w:r>
            <w:r>
              <w:rPr>
                <w:rFonts w:hint="eastAsia"/>
                <w:color w:val="auto"/>
              </w:rPr>
              <w:t>，年排放</w:t>
            </w:r>
            <w:r>
              <w:rPr>
                <w:rFonts w:hint="eastAsia"/>
                <w:color w:val="auto"/>
                <w:lang w:eastAsia="zh-CN"/>
              </w:rPr>
              <w:t>总量为</w:t>
            </w:r>
            <w:r>
              <w:rPr>
                <w:rFonts w:hint="eastAsia"/>
                <w:color w:val="auto"/>
              </w:rPr>
              <w:t>0.773t/a</w:t>
            </w:r>
            <w:r>
              <w:rPr>
                <w:color w:val="auto"/>
              </w:rPr>
              <w:t>。项目</w:t>
            </w:r>
            <w:r>
              <w:rPr>
                <w:rFonts w:hint="eastAsia"/>
                <w:color w:val="auto"/>
                <w:lang w:eastAsia="zh-CN"/>
              </w:rPr>
              <w:t>污染源</w:t>
            </w:r>
            <w:r>
              <w:rPr>
                <w:color w:val="auto"/>
              </w:rPr>
              <w:t>相对强弱，在采取控制措施后，不会对周边的大气环境造成明显影响</w:t>
            </w:r>
          </w:p>
          <w:p w14:paraId="2CB9D0BA">
            <w:pPr>
              <w:pStyle w:val="31"/>
              <w:ind w:firstLine="482"/>
              <w:rPr>
                <w:color w:val="auto"/>
              </w:rPr>
            </w:pPr>
            <w:r>
              <w:rPr>
                <w:rFonts w:hint="eastAsia"/>
                <w:b/>
                <w:bCs/>
                <w:color w:val="auto"/>
                <w:kern w:val="0"/>
                <w:szCs w:val="24"/>
              </w:rPr>
              <w:t>4.2.3</w:t>
            </w:r>
            <w:r>
              <w:rPr>
                <w:b/>
                <w:bCs/>
                <w:color w:val="auto"/>
              </w:rPr>
              <w:t>大气环境防护距离</w:t>
            </w:r>
          </w:p>
          <w:p w14:paraId="0FD5AD1F">
            <w:pPr>
              <w:ind w:firstLine="480"/>
              <w:rPr>
                <w:rFonts w:hint="eastAsia"/>
                <w:b/>
                <w:bCs/>
                <w:color w:val="auto"/>
              </w:rPr>
            </w:pPr>
            <w:r>
              <w:rPr>
                <w:color w:val="auto"/>
              </w:rPr>
              <w:t>按照《环境影响评价技术导则</w:t>
            </w:r>
            <w:r>
              <w:rPr>
                <w:rFonts w:hint="eastAsia"/>
                <w:color w:val="auto"/>
              </w:rPr>
              <w:t xml:space="preserve"> </w:t>
            </w:r>
            <w:r>
              <w:rPr>
                <w:color w:val="auto"/>
              </w:rPr>
              <w:t>大气环境》（HJ2.2-2018）规定8.7.5要求“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根据上述结果可知，本项目外排废气污染物在正常排放情况下，污染在厂界无超标点，故本项目无</w:t>
            </w:r>
            <w:r>
              <w:rPr>
                <w:rFonts w:hint="eastAsia"/>
                <w:color w:val="auto"/>
                <w:lang w:val="en-US" w:eastAsia="zh-CN"/>
              </w:rPr>
              <w:t>须</w:t>
            </w:r>
            <w:r>
              <w:rPr>
                <w:color w:val="auto"/>
              </w:rPr>
              <w:t>设置大气防护距离。</w:t>
            </w:r>
          </w:p>
          <w:p w14:paraId="11FDFDA4">
            <w:pPr>
              <w:widowControl/>
              <w:ind w:firstLine="482"/>
              <w:rPr>
                <w:b/>
                <w:bCs/>
                <w:color w:val="auto"/>
              </w:rPr>
            </w:pPr>
            <w:r>
              <w:rPr>
                <w:rFonts w:hint="eastAsia"/>
                <w:b/>
                <w:bCs/>
                <w:color w:val="auto"/>
              </w:rPr>
              <w:t>4.2.4</w:t>
            </w:r>
            <w:r>
              <w:rPr>
                <w:rFonts w:hAnsi="宋体"/>
                <w:b/>
                <w:bCs/>
                <w:color w:val="auto"/>
              </w:rPr>
              <w:t>防治措施可行性及达标排放分析</w:t>
            </w:r>
          </w:p>
          <w:p w14:paraId="7EF10C85">
            <w:pPr>
              <w:ind w:firstLine="482"/>
              <w:rPr>
                <w:b/>
                <w:bCs/>
                <w:color w:val="auto"/>
                <w:kern w:val="0"/>
              </w:rPr>
            </w:pPr>
            <w:r>
              <w:rPr>
                <w:rFonts w:hint="eastAsia" w:hAnsi="宋体"/>
                <w:b/>
                <w:bCs/>
                <w:color w:val="auto"/>
                <w:kern w:val="0"/>
              </w:rPr>
              <w:t>1、</w:t>
            </w:r>
            <w:r>
              <w:rPr>
                <w:rFonts w:hAnsi="宋体"/>
                <w:b/>
                <w:bCs/>
                <w:color w:val="auto"/>
                <w:kern w:val="0"/>
              </w:rPr>
              <w:t>工艺废气防治对策</w:t>
            </w:r>
          </w:p>
          <w:p w14:paraId="1BF358E7">
            <w:pPr>
              <w:ind w:firstLine="480"/>
              <w:rPr>
                <w:bCs/>
                <w:color w:val="auto"/>
                <w:kern w:val="0"/>
              </w:rPr>
            </w:pPr>
            <w:r>
              <w:rPr>
                <w:rFonts w:hint="eastAsia"/>
                <w:color w:val="auto"/>
              </w:rPr>
              <w:t>本项目产生的废气主要分为有组织废气和无组织废气，其中有组织废气包括粉料筒仓粉尘、投料粉尘、食堂油烟和锅炉废气；无组织粉尘有砂石料装卸粉尘、运输扬尘、砂石料堆场扬尘、投料工序无组织粉尘、钢筋焊接烟尘及切割金属粉尘和汽车尾气等</w:t>
            </w:r>
            <w:r>
              <w:rPr>
                <w:color w:val="auto"/>
              </w:rPr>
              <w:t>。</w:t>
            </w:r>
            <w:r>
              <w:rPr>
                <w:rFonts w:hAnsi="宋体"/>
                <w:bCs/>
                <w:color w:val="auto"/>
                <w:kern w:val="0"/>
              </w:rPr>
              <w:t>废气的污染防治措施如下：</w:t>
            </w:r>
          </w:p>
          <w:p w14:paraId="5DA99A68">
            <w:pPr>
              <w:ind w:firstLine="480"/>
              <w:rPr>
                <w:color w:val="auto"/>
              </w:rPr>
            </w:pPr>
            <w:r>
              <w:rPr>
                <w:rFonts w:hint="eastAsia"/>
                <w:color w:val="auto"/>
              </w:rPr>
              <w:t>（1）有组织粉尘</w:t>
            </w:r>
          </w:p>
          <w:p w14:paraId="372FF08C">
            <w:pPr>
              <w:ind w:firstLine="480"/>
              <w:rPr>
                <w:color w:val="auto"/>
              </w:rPr>
            </w:pPr>
            <w:r>
              <w:rPr>
                <w:rFonts w:hint="eastAsia"/>
                <w:color w:val="auto"/>
              </w:rPr>
              <w:t>①粉料</w:t>
            </w:r>
            <w:r>
              <w:rPr>
                <w:color w:val="auto"/>
              </w:rPr>
              <w:t>筒仓粉尘</w:t>
            </w:r>
          </w:p>
          <w:p w14:paraId="3631D977">
            <w:pPr>
              <w:ind w:firstLine="480"/>
              <w:rPr>
                <w:rFonts w:hint="eastAsia" w:eastAsia="宋体"/>
                <w:color w:val="auto"/>
                <w:lang w:eastAsia="zh-CN"/>
              </w:rPr>
            </w:pPr>
            <w:r>
              <w:rPr>
                <w:rFonts w:hint="eastAsia"/>
                <w:color w:val="auto"/>
              </w:rPr>
              <w:t>筒仓顶部安装有仓顶除尘器，在往筒仓中输送水泥时筒仓内空气排放时均经过仓顶除尘器过滤后由仓顶排口进行达标排放，据向设备供应单位了解，仓顶除尘器的除尘效率可在99.9%以上，本次评价除尘效率按99.8%考虑</w:t>
            </w:r>
            <w:r>
              <w:rPr>
                <w:rFonts w:hint="eastAsia"/>
                <w:color w:val="auto"/>
                <w:lang w:eastAsia="zh-CN"/>
              </w:rPr>
              <w:t>。</w:t>
            </w:r>
          </w:p>
          <w:p w14:paraId="04998AC3">
            <w:pPr>
              <w:ind w:firstLine="480"/>
              <w:rPr>
                <w:color w:val="auto"/>
              </w:rPr>
            </w:pPr>
            <w:r>
              <w:rPr>
                <w:rFonts w:hint="eastAsia"/>
                <w:color w:val="auto"/>
              </w:rPr>
              <w:t>④锅炉废气</w:t>
            </w:r>
          </w:p>
          <w:p w14:paraId="0ACD1922">
            <w:pPr>
              <w:ind w:firstLine="480"/>
              <w:rPr>
                <w:color w:val="auto"/>
              </w:rPr>
            </w:pPr>
            <w:r>
              <w:rPr>
                <w:rFonts w:hint="eastAsia"/>
                <w:color w:val="auto"/>
              </w:rPr>
              <w:t>锅炉废气处理工艺为“布袋除尘+</w:t>
            </w:r>
            <w:r>
              <w:rPr>
                <w:rFonts w:hint="eastAsia"/>
                <w:color w:val="auto"/>
                <w:lang w:val="en-US" w:eastAsia="zh-CN"/>
              </w:rPr>
              <w:t>30m</w:t>
            </w:r>
            <w:r>
              <w:rPr>
                <w:rFonts w:hint="eastAsia"/>
                <w:color w:val="auto"/>
              </w:rPr>
              <w:t>排气筒（自编号DA00</w:t>
            </w:r>
            <w:r>
              <w:rPr>
                <w:rFonts w:hint="eastAsia"/>
                <w:color w:val="auto"/>
                <w:lang w:val="en-US" w:eastAsia="zh-CN"/>
              </w:rPr>
              <w:t>1</w:t>
            </w:r>
            <w:r>
              <w:rPr>
                <w:rFonts w:hint="eastAsia"/>
                <w:color w:val="auto"/>
              </w:rPr>
              <w:t>）”</w:t>
            </w:r>
          </w:p>
          <w:p w14:paraId="66E56E69">
            <w:pPr>
              <w:ind w:firstLine="480"/>
              <w:rPr>
                <w:color w:val="auto"/>
              </w:rPr>
            </w:pPr>
            <w:r>
              <w:rPr>
                <w:rFonts w:hint="eastAsia"/>
                <w:color w:val="auto"/>
              </w:rPr>
              <w:t>⑤食堂油烟</w:t>
            </w:r>
          </w:p>
          <w:p w14:paraId="0BEC4EF9">
            <w:pPr>
              <w:ind w:firstLine="480"/>
              <w:rPr>
                <w:rFonts w:hint="eastAsia"/>
                <w:color w:val="auto"/>
              </w:rPr>
            </w:pPr>
            <w:r>
              <w:rPr>
                <w:rFonts w:hint="eastAsia"/>
                <w:color w:val="auto"/>
              </w:rPr>
              <w:t>安装一套油烟净化装置，风量为3000m</w:t>
            </w:r>
            <w:r>
              <w:rPr>
                <w:rFonts w:hint="eastAsia"/>
                <w:color w:val="auto"/>
                <w:vertAlign w:val="superscript"/>
              </w:rPr>
              <w:t>3</w:t>
            </w:r>
            <w:r>
              <w:rPr>
                <w:rFonts w:hint="eastAsia"/>
                <w:color w:val="auto"/>
              </w:rPr>
              <w:t>/h，净化效率约70%，经净化后的油烟由油烟排气管外排。</w:t>
            </w:r>
          </w:p>
          <w:p w14:paraId="2E58BCBB">
            <w:pPr>
              <w:ind w:firstLine="480"/>
              <w:rPr>
                <w:color w:val="auto"/>
              </w:rPr>
            </w:pPr>
            <w:r>
              <w:rPr>
                <w:rFonts w:hint="eastAsia"/>
                <w:color w:val="auto"/>
              </w:rPr>
              <w:t>2、无组织粉尘</w:t>
            </w:r>
          </w:p>
          <w:p w14:paraId="57DE38B7">
            <w:pPr>
              <w:ind w:firstLine="480"/>
              <w:rPr>
                <w:color w:val="auto"/>
              </w:rPr>
            </w:pPr>
            <w:r>
              <w:rPr>
                <w:color w:val="auto"/>
              </w:rPr>
              <w:fldChar w:fldCharType="begin"/>
            </w:r>
            <w:r>
              <w:rPr>
                <w:color w:val="auto"/>
              </w:rPr>
              <w:instrText xml:space="preserve"> </w:instrText>
            </w:r>
            <w:r>
              <w:rPr>
                <w:rFonts w:hint="eastAsia"/>
                <w:color w:val="auto"/>
              </w:rPr>
              <w:instrText xml:space="preserve">= 1 \* GB3</w:instrText>
            </w:r>
            <w:r>
              <w:rPr>
                <w:color w:val="auto"/>
              </w:rPr>
              <w:instrText xml:space="preserve"> </w:instrText>
            </w:r>
            <w:r>
              <w:rPr>
                <w:color w:val="auto"/>
              </w:rPr>
              <w:fldChar w:fldCharType="separate"/>
            </w:r>
            <w:r>
              <w:rPr>
                <w:rFonts w:hint="eastAsia"/>
                <w:color w:val="auto"/>
              </w:rPr>
              <w:t>①</w:t>
            </w:r>
            <w:r>
              <w:rPr>
                <w:color w:val="auto"/>
              </w:rPr>
              <w:fldChar w:fldCharType="end"/>
            </w:r>
            <w:r>
              <w:rPr>
                <w:color w:val="auto"/>
              </w:rPr>
              <w:t>砂石料装卸粉尘</w:t>
            </w:r>
          </w:p>
          <w:p w14:paraId="5DEDF423">
            <w:pPr>
              <w:ind w:firstLine="480"/>
              <w:rPr>
                <w:color w:val="auto"/>
              </w:rPr>
            </w:pPr>
            <w:r>
              <w:rPr>
                <w:rFonts w:hint="eastAsia"/>
                <w:color w:val="auto"/>
              </w:rPr>
              <w:t>项目采取水雾喷淋、三面围挡+顶棚和降低物料装卸过程高度差等降尘防治措施，降尘率可达60%。</w:t>
            </w:r>
          </w:p>
          <w:p w14:paraId="337735C1">
            <w:pPr>
              <w:ind w:firstLine="480"/>
              <w:rPr>
                <w:color w:val="auto"/>
              </w:rPr>
            </w:pPr>
            <w:r>
              <w:rPr>
                <w:rFonts w:hint="eastAsia"/>
                <w:color w:val="auto"/>
              </w:rPr>
              <w:t>②运输扬尘</w:t>
            </w:r>
          </w:p>
          <w:p w14:paraId="0803782F">
            <w:pPr>
              <w:ind w:firstLine="480"/>
              <w:rPr>
                <w:color w:val="auto"/>
              </w:rPr>
            </w:pPr>
            <w:r>
              <w:rPr>
                <w:rFonts w:hint="eastAsia"/>
                <w:color w:val="auto"/>
              </w:rPr>
              <w:t>厂区路面进行硬化，运输车辆均减速慢行，按时清扫，按时洒水降尘，排放量可降低60%。</w:t>
            </w:r>
          </w:p>
          <w:p w14:paraId="3F247BDC">
            <w:pPr>
              <w:ind w:firstLine="480"/>
              <w:rPr>
                <w:color w:val="auto"/>
              </w:rPr>
            </w:pPr>
            <w:r>
              <w:rPr>
                <w:color w:val="auto"/>
              </w:rPr>
              <w:fldChar w:fldCharType="begin"/>
            </w:r>
            <w:r>
              <w:rPr>
                <w:color w:val="auto"/>
              </w:rPr>
              <w:instrText xml:space="preserve"> = 3 \* GB3 </w:instrText>
            </w:r>
            <w:r>
              <w:rPr>
                <w:color w:val="auto"/>
              </w:rPr>
              <w:fldChar w:fldCharType="separate"/>
            </w:r>
            <w:r>
              <w:rPr>
                <w:rFonts w:hint="eastAsia" w:ascii="宋体" w:cs="宋体"/>
                <w:color w:val="auto"/>
              </w:rPr>
              <w:t>③</w:t>
            </w:r>
            <w:r>
              <w:rPr>
                <w:color w:val="auto"/>
              </w:rPr>
              <w:fldChar w:fldCharType="end"/>
            </w:r>
            <w:r>
              <w:rPr>
                <w:color w:val="auto"/>
              </w:rPr>
              <w:t>砂石料堆场扬尘</w:t>
            </w:r>
          </w:p>
          <w:p w14:paraId="4A5A4244">
            <w:pPr>
              <w:ind w:firstLine="480"/>
              <w:rPr>
                <w:color w:val="auto"/>
              </w:rPr>
            </w:pPr>
            <w:r>
              <w:rPr>
                <w:rFonts w:hint="eastAsia"/>
                <w:color w:val="auto"/>
              </w:rPr>
              <w:t>砂石料堆场</w:t>
            </w:r>
            <w:r>
              <w:rPr>
                <w:rFonts w:hint="eastAsia"/>
                <w:color w:val="auto"/>
                <w:lang w:val="en-US" w:eastAsia="zh-CN"/>
              </w:rPr>
              <w:t>位于厂房内</w:t>
            </w:r>
            <w:r>
              <w:rPr>
                <w:rFonts w:hint="eastAsia"/>
                <w:color w:val="auto"/>
              </w:rPr>
              <w:t>，对TSP的控制效率为</w:t>
            </w:r>
            <w:r>
              <w:rPr>
                <w:rFonts w:hint="eastAsia"/>
                <w:color w:val="auto"/>
                <w:lang w:val="en-US" w:eastAsia="zh-CN"/>
              </w:rPr>
              <w:t>95%</w:t>
            </w:r>
            <w:r>
              <w:rPr>
                <w:rFonts w:hint="eastAsia"/>
                <w:color w:val="auto"/>
              </w:rPr>
              <w:t>。</w:t>
            </w:r>
          </w:p>
          <w:p w14:paraId="60D74C46">
            <w:pPr>
              <w:ind w:firstLine="480"/>
              <w:rPr>
                <w:color w:val="auto"/>
              </w:rPr>
            </w:pPr>
            <w:r>
              <w:rPr>
                <w:color w:val="auto"/>
              </w:rPr>
              <w:fldChar w:fldCharType="begin"/>
            </w:r>
            <w:r>
              <w:rPr>
                <w:color w:val="auto"/>
              </w:rPr>
              <w:instrText xml:space="preserve"> </w:instrText>
            </w:r>
            <w:r>
              <w:rPr>
                <w:rFonts w:hint="eastAsia"/>
                <w:color w:val="auto"/>
              </w:rPr>
              <w:instrText xml:space="preserve">= 4 \* GB3</w:instrText>
            </w:r>
            <w:r>
              <w:rPr>
                <w:color w:val="auto"/>
              </w:rPr>
              <w:instrText xml:space="preserve"> </w:instrText>
            </w:r>
            <w:r>
              <w:rPr>
                <w:color w:val="auto"/>
              </w:rPr>
              <w:fldChar w:fldCharType="separate"/>
            </w:r>
            <w:r>
              <w:rPr>
                <w:rFonts w:hint="eastAsia"/>
                <w:color w:val="auto"/>
              </w:rPr>
              <w:t>④</w:t>
            </w:r>
            <w:r>
              <w:rPr>
                <w:color w:val="auto"/>
              </w:rPr>
              <w:fldChar w:fldCharType="end"/>
            </w:r>
            <w:r>
              <w:rPr>
                <w:rFonts w:hint="eastAsia"/>
                <w:color w:val="auto"/>
              </w:rPr>
              <w:t>投料工序无组织粉尘</w:t>
            </w:r>
          </w:p>
          <w:p w14:paraId="166160D0">
            <w:pPr>
              <w:ind w:firstLine="480"/>
              <w:rPr>
                <w:color w:val="auto"/>
              </w:rPr>
            </w:pPr>
            <w:r>
              <w:rPr>
                <w:rFonts w:hint="eastAsia"/>
                <w:color w:val="auto"/>
              </w:rPr>
              <w:t>厂房三面围挡+顶棚，投料</w:t>
            </w:r>
            <w:r>
              <w:rPr>
                <w:color w:val="auto"/>
              </w:rPr>
              <w:t>工序</w:t>
            </w:r>
            <w:r>
              <w:rPr>
                <w:rFonts w:hint="eastAsia"/>
                <w:color w:val="auto"/>
              </w:rPr>
              <w:t>上方</w:t>
            </w:r>
            <w:r>
              <w:rPr>
                <w:color w:val="auto"/>
              </w:rPr>
              <w:t>均安装喷雾降尘喷头进行高压喷雾降尘</w:t>
            </w:r>
            <w:r>
              <w:rPr>
                <w:rFonts w:hint="eastAsia"/>
                <w:color w:val="auto"/>
              </w:rPr>
              <w:t>，</w:t>
            </w:r>
            <w:r>
              <w:rPr>
                <w:color w:val="auto"/>
              </w:rPr>
              <w:t>综合降尘效率可达</w:t>
            </w:r>
            <w:r>
              <w:rPr>
                <w:rFonts w:hint="eastAsia"/>
                <w:color w:val="auto"/>
              </w:rPr>
              <w:t>60</w:t>
            </w:r>
            <w:r>
              <w:rPr>
                <w:color w:val="auto"/>
              </w:rPr>
              <w:t>%</w:t>
            </w:r>
          </w:p>
          <w:p w14:paraId="0510A303">
            <w:pPr>
              <w:ind w:firstLine="480"/>
              <w:rPr>
                <w:color w:val="auto"/>
              </w:rPr>
            </w:pPr>
            <w:r>
              <w:rPr>
                <w:rFonts w:hint="eastAsia" w:ascii="GWZT-EN" w:hAnsi="GWZT-EN" w:eastAsia="GWZT-EN" w:cs="GWZT-EN"/>
                <w:color w:val="auto"/>
              </w:rPr>
              <w:t>⑤</w:t>
            </w:r>
            <w:r>
              <w:rPr>
                <w:color w:val="auto"/>
              </w:rPr>
              <w:t>钢筋焊接烟尘及切割金属粉尘</w:t>
            </w:r>
          </w:p>
          <w:p w14:paraId="3AF681D8">
            <w:pPr>
              <w:ind w:firstLine="480"/>
              <w:rPr>
                <w:color w:val="auto"/>
              </w:rPr>
            </w:pPr>
            <w:r>
              <w:rPr>
                <w:rFonts w:hint="eastAsia"/>
                <w:color w:val="auto"/>
              </w:rPr>
              <w:t>厂房通风，自然沉降。</w:t>
            </w:r>
          </w:p>
          <w:p w14:paraId="6CF933AF">
            <w:pPr>
              <w:ind w:firstLine="480"/>
              <w:rPr>
                <w:color w:val="auto"/>
              </w:rPr>
            </w:pPr>
            <w:r>
              <w:rPr>
                <w:rFonts w:hint="eastAsia" w:ascii="微软雅黑" w:hAnsi="微软雅黑" w:eastAsia="微软雅黑" w:cs="微软雅黑"/>
                <w:color w:val="auto"/>
              </w:rPr>
              <w:t>⑥</w:t>
            </w:r>
            <w:r>
              <w:rPr>
                <w:color w:val="auto"/>
              </w:rPr>
              <w:t>汽车尾气</w:t>
            </w:r>
          </w:p>
          <w:p w14:paraId="154EF1D4">
            <w:pPr>
              <w:ind w:firstLine="480"/>
              <w:rPr>
                <w:color w:val="auto"/>
              </w:rPr>
            </w:pPr>
            <w:r>
              <w:rPr>
                <w:color w:val="auto"/>
              </w:rPr>
              <w:t>在大气环境中自然稀释扩散</w:t>
            </w:r>
          </w:p>
          <w:p w14:paraId="4437EFD2">
            <w:pPr>
              <w:ind w:firstLine="482"/>
              <w:rPr>
                <w:rFonts w:hint="eastAsia" w:hAnsi="宋体"/>
                <w:snapToGrid w:val="0"/>
                <w:color w:val="auto"/>
                <w:kern w:val="0"/>
              </w:rPr>
            </w:pPr>
            <w:r>
              <w:rPr>
                <w:rFonts w:hint="eastAsia"/>
                <w:b/>
                <w:bCs/>
                <w:color w:val="auto"/>
              </w:rPr>
              <w:t>2、污染防治措施可行性分析</w:t>
            </w:r>
          </w:p>
          <w:p w14:paraId="1B4A74FA">
            <w:pPr>
              <w:pStyle w:val="31"/>
              <w:ind w:firstLine="480"/>
              <w:rPr>
                <w:color w:val="auto"/>
                <w:szCs w:val="24"/>
              </w:rPr>
            </w:pPr>
            <w:r>
              <w:rPr>
                <w:rFonts w:hint="eastAsia"/>
                <w:color w:val="auto"/>
                <w:szCs w:val="24"/>
              </w:rPr>
              <w:t>根据</w:t>
            </w:r>
            <w:r>
              <w:rPr>
                <w:color w:val="auto"/>
              </w:rPr>
              <w:t>《排污许可证申请与核发技术规范</w:t>
            </w:r>
            <w:r>
              <w:rPr>
                <w:rFonts w:hint="eastAsia"/>
                <w:color w:val="auto"/>
              </w:rPr>
              <w:t xml:space="preserve"> </w:t>
            </w:r>
            <w:r>
              <w:rPr>
                <w:color w:val="auto"/>
              </w:rPr>
              <w:t>水泥工业》（HJ847-2017）</w:t>
            </w:r>
            <w:r>
              <w:rPr>
                <w:rFonts w:hint="eastAsia"/>
                <w:color w:val="auto"/>
              </w:rPr>
              <w:t>中附录B中的污染防治措施，推荐采用</w:t>
            </w:r>
            <w:r>
              <w:rPr>
                <w:rFonts w:hint="eastAsia" w:ascii="宋体" w:cs="宋体"/>
                <w:color w:val="auto"/>
                <w:kern w:val="0"/>
                <w:szCs w:val="24"/>
              </w:rPr>
              <w:t>袋式除尘器、电除尘器、电袋复合除尘器等措施，项目采用的是布袋除尘器处理粉料仓粉尘，为可行性技术，粉尘经处理后经排气筒排放，</w:t>
            </w:r>
            <w:r>
              <w:rPr>
                <w:rFonts w:hint="eastAsia"/>
                <w:color w:val="auto"/>
                <w:szCs w:val="24"/>
              </w:rPr>
              <w:t>其主要污染物为颗粒物，排放浓度均可满足</w:t>
            </w:r>
            <w:r>
              <w:rPr>
                <w:rFonts w:hint="eastAsia"/>
                <w:iCs/>
                <w:color w:val="auto"/>
              </w:rPr>
              <w:t>《水泥工业大气污染物排放标准》（GB4915-2013）表1现有与新建企业大气污染物排放限值中的水泥仓及其他通风生产设备颗粒物排放浓度：20mg/m</w:t>
            </w:r>
            <w:r>
              <w:rPr>
                <w:rFonts w:hint="eastAsia"/>
                <w:iCs/>
                <w:color w:val="auto"/>
                <w:vertAlign w:val="superscript"/>
              </w:rPr>
              <w:t>3</w:t>
            </w:r>
            <w:r>
              <w:rPr>
                <w:rFonts w:hint="eastAsia"/>
                <w:iCs/>
                <w:color w:val="auto"/>
              </w:rPr>
              <w:t>的</w:t>
            </w:r>
            <w:r>
              <w:rPr>
                <w:iCs/>
                <w:color w:val="auto"/>
              </w:rPr>
              <w:t>排放限值要求</w:t>
            </w:r>
            <w:r>
              <w:rPr>
                <w:rFonts w:hint="eastAsia"/>
                <w:color w:val="auto"/>
                <w:szCs w:val="24"/>
              </w:rPr>
              <w:t>，处理措施可行。</w:t>
            </w:r>
          </w:p>
          <w:p w14:paraId="55D1C5B2">
            <w:pPr>
              <w:pStyle w:val="31"/>
              <w:ind w:firstLine="480"/>
              <w:rPr>
                <w:color w:val="auto"/>
                <w:szCs w:val="24"/>
              </w:rPr>
            </w:pPr>
            <w:r>
              <w:rPr>
                <w:rFonts w:hint="eastAsia"/>
                <w:color w:val="auto"/>
                <w:szCs w:val="24"/>
              </w:rPr>
              <w:t>根据《排污许可证申请与核发技术规范</w:t>
            </w:r>
            <w:r>
              <w:rPr>
                <w:color w:val="auto"/>
                <w:szCs w:val="24"/>
              </w:rPr>
              <w:t xml:space="preserve"> </w:t>
            </w:r>
            <w:r>
              <w:rPr>
                <w:rFonts w:hint="eastAsia"/>
                <w:color w:val="auto"/>
                <w:szCs w:val="24"/>
              </w:rPr>
              <w:t>锅炉》（</w:t>
            </w:r>
            <w:r>
              <w:rPr>
                <w:color w:val="auto"/>
                <w:szCs w:val="24"/>
              </w:rPr>
              <w:t>HJ953-2018</w:t>
            </w:r>
            <w:r>
              <w:rPr>
                <w:rFonts w:hint="eastAsia"/>
                <w:color w:val="auto"/>
                <w:szCs w:val="24"/>
              </w:rPr>
              <w:t>）表</w:t>
            </w:r>
            <w:r>
              <w:rPr>
                <w:color w:val="auto"/>
                <w:szCs w:val="24"/>
              </w:rPr>
              <w:t>3</w:t>
            </w:r>
            <w:r>
              <w:rPr>
                <w:rFonts w:hint="eastAsia"/>
                <w:color w:val="auto"/>
                <w:szCs w:val="24"/>
              </w:rPr>
              <w:t>中燃生物质锅炉烟气的污染防治设施，推荐采用袋式除尘器、旋风除尘器、旋风除尘器</w:t>
            </w:r>
            <w:r>
              <w:rPr>
                <w:color w:val="auto"/>
                <w:szCs w:val="24"/>
              </w:rPr>
              <w:t>+</w:t>
            </w:r>
            <w:r>
              <w:rPr>
                <w:rFonts w:hint="eastAsia"/>
                <w:color w:val="auto"/>
                <w:szCs w:val="24"/>
              </w:rPr>
              <w:t>袋式除尘器等措施，项目采用布袋除尘器处理锅炉烟气，为可行技术，烟气经处理后通过</w:t>
            </w:r>
            <w:r>
              <w:rPr>
                <w:color w:val="auto"/>
                <w:szCs w:val="24"/>
              </w:rPr>
              <w:t xml:space="preserve">1 </w:t>
            </w:r>
            <w:r>
              <w:rPr>
                <w:rFonts w:hint="eastAsia"/>
                <w:color w:val="auto"/>
                <w:szCs w:val="24"/>
              </w:rPr>
              <w:t>根</w:t>
            </w:r>
            <w:r>
              <w:rPr>
                <w:rFonts w:hint="eastAsia"/>
                <w:color w:val="auto"/>
                <w:szCs w:val="24"/>
                <w:lang w:val="en-US" w:eastAsia="zh-CN"/>
              </w:rPr>
              <w:t>30</w:t>
            </w:r>
            <w:r>
              <w:rPr>
                <w:color w:val="auto"/>
                <w:szCs w:val="24"/>
              </w:rPr>
              <w:t>m</w:t>
            </w:r>
            <w:r>
              <w:rPr>
                <w:rFonts w:hint="eastAsia"/>
                <w:color w:val="auto"/>
                <w:szCs w:val="24"/>
              </w:rPr>
              <w:t>高的排气筒（</w:t>
            </w:r>
            <w:r>
              <w:rPr>
                <w:color w:val="auto"/>
                <w:szCs w:val="24"/>
              </w:rPr>
              <w:t>DA00</w:t>
            </w:r>
            <w:r>
              <w:rPr>
                <w:rFonts w:hint="eastAsia"/>
                <w:color w:val="auto"/>
                <w:szCs w:val="24"/>
                <w:lang w:val="en-US" w:eastAsia="zh-CN"/>
              </w:rPr>
              <w:t>1</w:t>
            </w:r>
            <w:r>
              <w:rPr>
                <w:rFonts w:hint="eastAsia"/>
                <w:color w:val="auto"/>
                <w:szCs w:val="24"/>
              </w:rPr>
              <w:t>）排放，其主要污染物烟尘、</w:t>
            </w:r>
            <w:r>
              <w:rPr>
                <w:color w:val="auto"/>
                <w:szCs w:val="24"/>
              </w:rPr>
              <w:t>SO</w:t>
            </w:r>
            <w:r>
              <w:rPr>
                <w:color w:val="auto"/>
                <w:szCs w:val="24"/>
                <w:vertAlign w:val="subscript"/>
              </w:rPr>
              <w:t>2</w:t>
            </w:r>
            <w:r>
              <w:rPr>
                <w:rFonts w:hint="eastAsia"/>
                <w:color w:val="auto"/>
                <w:szCs w:val="24"/>
              </w:rPr>
              <w:t>、</w:t>
            </w:r>
            <w:r>
              <w:rPr>
                <w:color w:val="auto"/>
                <w:szCs w:val="24"/>
              </w:rPr>
              <w:t>NO</w:t>
            </w:r>
            <w:r>
              <w:rPr>
                <w:color w:val="auto"/>
                <w:szCs w:val="24"/>
                <w:vertAlign w:val="subscript"/>
              </w:rPr>
              <w:t>x</w:t>
            </w:r>
            <w:r>
              <w:rPr>
                <w:rFonts w:hint="eastAsia"/>
                <w:color w:val="auto"/>
                <w:szCs w:val="24"/>
              </w:rPr>
              <w:t>排放浓度均可满足《锅炉大气污染物排放标准》（</w:t>
            </w:r>
            <w:r>
              <w:rPr>
                <w:color w:val="auto"/>
                <w:szCs w:val="24"/>
              </w:rPr>
              <w:t>GB13271-2014</w:t>
            </w:r>
            <w:r>
              <w:rPr>
                <w:rFonts w:hint="eastAsia"/>
                <w:color w:val="auto"/>
                <w:szCs w:val="24"/>
              </w:rPr>
              <w:t>）表</w:t>
            </w:r>
            <w:r>
              <w:rPr>
                <w:color w:val="auto"/>
                <w:szCs w:val="24"/>
              </w:rPr>
              <w:t>3</w:t>
            </w:r>
            <w:r>
              <w:rPr>
                <w:rFonts w:hint="eastAsia"/>
                <w:color w:val="auto"/>
                <w:szCs w:val="24"/>
              </w:rPr>
              <w:t>燃煤锅炉特别排放限值要求（颗粒物</w:t>
            </w:r>
            <w:r>
              <w:rPr>
                <w:color w:val="auto"/>
                <w:szCs w:val="24"/>
              </w:rPr>
              <w:t>30mg/m</w:t>
            </w:r>
            <w:r>
              <w:rPr>
                <w:color w:val="auto"/>
                <w:szCs w:val="24"/>
                <w:vertAlign w:val="superscript"/>
              </w:rPr>
              <w:t>3</w:t>
            </w:r>
            <w:r>
              <w:rPr>
                <w:rFonts w:hint="eastAsia"/>
                <w:color w:val="auto"/>
                <w:szCs w:val="24"/>
              </w:rPr>
              <w:t>、</w:t>
            </w:r>
            <w:r>
              <w:rPr>
                <w:color w:val="auto"/>
                <w:szCs w:val="24"/>
              </w:rPr>
              <w:t>SO</w:t>
            </w:r>
            <w:r>
              <w:rPr>
                <w:color w:val="auto"/>
                <w:szCs w:val="24"/>
                <w:vertAlign w:val="subscript"/>
              </w:rPr>
              <w:t>2</w:t>
            </w:r>
            <w:r>
              <w:rPr>
                <w:color w:val="auto"/>
                <w:szCs w:val="24"/>
              </w:rPr>
              <w:t>200mg/m</w:t>
            </w:r>
            <w:r>
              <w:rPr>
                <w:color w:val="auto"/>
                <w:szCs w:val="24"/>
                <w:vertAlign w:val="superscript"/>
              </w:rPr>
              <w:t>3</w:t>
            </w:r>
            <w:r>
              <w:rPr>
                <w:rFonts w:hint="eastAsia"/>
                <w:color w:val="auto"/>
                <w:szCs w:val="24"/>
              </w:rPr>
              <w:t>、</w:t>
            </w:r>
            <w:r>
              <w:rPr>
                <w:color w:val="auto"/>
                <w:szCs w:val="24"/>
              </w:rPr>
              <w:t>NO</w:t>
            </w:r>
            <w:r>
              <w:rPr>
                <w:color w:val="auto"/>
                <w:szCs w:val="24"/>
                <w:vertAlign w:val="subscript"/>
              </w:rPr>
              <w:t>x</w:t>
            </w:r>
            <w:r>
              <w:rPr>
                <w:color w:val="auto"/>
                <w:szCs w:val="24"/>
              </w:rPr>
              <w:t>200mg/m</w:t>
            </w:r>
            <w:r>
              <w:rPr>
                <w:color w:val="auto"/>
                <w:szCs w:val="24"/>
                <w:vertAlign w:val="superscript"/>
              </w:rPr>
              <w:t>3</w:t>
            </w:r>
            <w:r>
              <w:rPr>
                <w:rFonts w:hint="eastAsia"/>
                <w:color w:val="auto"/>
                <w:szCs w:val="24"/>
              </w:rPr>
              <w:t>），处理措施可行。参照《锅炉大气污染物排放标准》（</w:t>
            </w:r>
            <w:r>
              <w:rPr>
                <w:color w:val="auto"/>
                <w:szCs w:val="24"/>
              </w:rPr>
              <w:t>GB13271-2014</w:t>
            </w:r>
            <w:r>
              <w:rPr>
                <w:rFonts w:hint="eastAsia"/>
                <w:color w:val="auto"/>
                <w:szCs w:val="24"/>
              </w:rPr>
              <w:t>）表</w:t>
            </w:r>
            <w:r>
              <w:rPr>
                <w:color w:val="auto"/>
                <w:szCs w:val="24"/>
              </w:rPr>
              <w:t>4</w:t>
            </w:r>
            <w:r>
              <w:rPr>
                <w:rFonts w:hint="eastAsia"/>
                <w:color w:val="auto"/>
                <w:szCs w:val="24"/>
              </w:rPr>
              <w:t>燃煤锅炉房排气筒最低允许高度要求：生物质锅炉排气筒高度应不低于</w:t>
            </w:r>
            <w:r>
              <w:rPr>
                <w:rFonts w:hint="eastAsia"/>
                <w:color w:val="auto"/>
                <w:szCs w:val="24"/>
                <w:lang w:val="en-US" w:eastAsia="zh-CN"/>
              </w:rPr>
              <w:t>30</w:t>
            </w:r>
            <w:r>
              <w:rPr>
                <w:color w:val="auto"/>
                <w:szCs w:val="24"/>
              </w:rPr>
              <w:t>m。</w:t>
            </w:r>
          </w:p>
          <w:p w14:paraId="51F3088D">
            <w:pPr>
              <w:ind w:firstLine="480"/>
              <w:rPr>
                <w:color w:val="auto"/>
              </w:rPr>
            </w:pPr>
            <w:r>
              <w:rPr>
                <w:rFonts w:hint="eastAsia"/>
                <w:color w:val="auto"/>
              </w:rPr>
              <w:t>砂石料装卸粉尘采取水雾喷淋、三面围挡+顶棚和降低物料装卸过程高度差等降尘防治措施，运输扬尘进行厂区路面进行硬化，运输车辆均减速慢行，按时清扫，按时洒水降尘，砂石料堆场</w:t>
            </w:r>
            <w:r>
              <w:rPr>
                <w:rFonts w:hint="eastAsia"/>
                <w:color w:val="auto"/>
                <w:lang w:val="en-US" w:eastAsia="zh-CN"/>
              </w:rPr>
              <w:t>位于厂房内</w:t>
            </w:r>
            <w:r>
              <w:rPr>
                <w:rFonts w:hint="eastAsia"/>
                <w:color w:val="auto"/>
              </w:rPr>
              <w:t>，</w:t>
            </w:r>
            <w:r>
              <w:rPr>
                <w:rFonts w:hint="eastAsia"/>
                <w:color w:val="auto"/>
                <w:lang w:val="en-US" w:eastAsia="zh-CN"/>
              </w:rPr>
              <w:t>投</w:t>
            </w:r>
            <w:r>
              <w:rPr>
                <w:rFonts w:hint="eastAsia"/>
                <w:color w:val="auto"/>
              </w:rPr>
              <w:t>料工序无组织粉尘采用三面围挡+顶棚，投料工序上方均安装喷雾降尘喷头进行高压喷雾降尘，投料工序上方均安装喷雾降尘喷头进行高压喷雾降尘</w:t>
            </w:r>
            <w:r>
              <w:rPr>
                <w:color w:val="auto"/>
              </w:rPr>
              <w:t>，焊接烟气通过加强车间通风等方式确保过滤后的焊接烟气无组织排放</w:t>
            </w:r>
            <w:r>
              <w:rPr>
                <w:rFonts w:hint="eastAsia"/>
                <w:color w:val="auto"/>
              </w:rPr>
              <w:t>。</w:t>
            </w:r>
            <w:r>
              <w:rPr>
                <w:color w:val="auto"/>
              </w:rPr>
              <w:t>项目所采用的环保设施符合《排污许可证申请与核发技术规范水泥工业》（HJ847-2017）的技术规范要求，因此，本项目废气处置方式可行。</w:t>
            </w:r>
          </w:p>
          <w:p w14:paraId="6751C10F">
            <w:pPr>
              <w:ind w:firstLine="482"/>
              <w:rPr>
                <w:b/>
                <w:bCs/>
                <w:color w:val="auto"/>
              </w:rPr>
            </w:pPr>
            <w:r>
              <w:rPr>
                <w:rFonts w:hint="eastAsia"/>
                <w:b/>
                <w:bCs/>
                <w:color w:val="auto"/>
              </w:rPr>
              <w:t>4.2.5</w:t>
            </w:r>
            <w:r>
              <w:rPr>
                <w:b/>
                <w:bCs/>
                <w:color w:val="auto"/>
              </w:rPr>
              <w:t>废气监测计划</w:t>
            </w:r>
          </w:p>
          <w:p w14:paraId="32189A79">
            <w:pPr>
              <w:ind w:firstLine="480"/>
              <w:rPr>
                <w:color w:val="auto"/>
              </w:rPr>
            </w:pPr>
            <w:r>
              <w:rPr>
                <w:color w:val="auto"/>
              </w:rPr>
              <w:t xml:space="preserve">按照《排污单位自行监测技术指南 </w:t>
            </w:r>
            <w:r>
              <w:rPr>
                <w:rFonts w:hint="eastAsia"/>
                <w:color w:val="auto"/>
              </w:rPr>
              <w:t>水泥工业</w:t>
            </w:r>
            <w:r>
              <w:rPr>
                <w:color w:val="auto"/>
              </w:rPr>
              <w:t>》（</w:t>
            </w:r>
            <w:r>
              <w:rPr>
                <w:rFonts w:hint="eastAsia"/>
                <w:color w:val="auto"/>
              </w:rPr>
              <w:t>HJ848-2017</w:t>
            </w:r>
            <w:r>
              <w:rPr>
                <w:color w:val="auto"/>
              </w:rPr>
              <w:t>）</w:t>
            </w:r>
            <w:r>
              <w:rPr>
                <w:rFonts w:hint="eastAsia"/>
                <w:color w:val="auto"/>
              </w:rPr>
              <w:t>以及</w:t>
            </w:r>
            <w:r>
              <w:rPr>
                <w:color w:val="auto"/>
              </w:rPr>
              <w:t xml:space="preserve">《排污单位自行监测技术指南 </w:t>
            </w:r>
            <w:r>
              <w:rPr>
                <w:rFonts w:hint="eastAsia"/>
                <w:color w:val="auto"/>
              </w:rPr>
              <w:t>火力发电及锅炉</w:t>
            </w:r>
            <w:r>
              <w:rPr>
                <w:color w:val="auto"/>
              </w:rPr>
              <w:t>》（</w:t>
            </w:r>
            <w:r>
              <w:rPr>
                <w:rFonts w:hint="eastAsia"/>
                <w:color w:val="auto"/>
              </w:rPr>
              <w:t>HJ820-2017</w:t>
            </w:r>
            <w:r>
              <w:rPr>
                <w:color w:val="auto"/>
              </w:rPr>
              <w:t>）</w:t>
            </w:r>
            <w:r>
              <w:rPr>
                <w:rFonts w:hint="eastAsia"/>
                <w:color w:val="auto"/>
              </w:rPr>
              <w:t>中相关监测要求制定运营期监测计划</w:t>
            </w:r>
            <w:r>
              <w:rPr>
                <w:color w:val="auto"/>
              </w:rPr>
              <w:t>，监测计划如下：</w:t>
            </w:r>
          </w:p>
          <w:p w14:paraId="48BCFCA0">
            <w:pPr>
              <w:pStyle w:val="29"/>
              <w:spacing w:before="24" w:after="24"/>
              <w:rPr>
                <w:color w:val="auto"/>
              </w:rPr>
            </w:pPr>
            <w:r>
              <w:rPr>
                <w:color w:val="auto"/>
              </w:rPr>
              <w:t>表</w:t>
            </w:r>
            <w:r>
              <w:rPr>
                <w:rFonts w:hint="eastAsia"/>
                <w:color w:val="auto"/>
                <w:lang w:val="en-US" w:eastAsia="zh-CN"/>
              </w:rPr>
              <w:t>4-10</w:t>
            </w:r>
            <w:r>
              <w:rPr>
                <w:color w:val="auto"/>
              </w:rPr>
              <w:t xml:space="preserve">  营运期监测计划</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830"/>
              <w:gridCol w:w="934"/>
              <w:gridCol w:w="1064"/>
              <w:gridCol w:w="1179"/>
              <w:gridCol w:w="689"/>
              <w:gridCol w:w="2287"/>
              <w:gridCol w:w="990"/>
            </w:tblGrid>
            <w:tr w14:paraId="62C79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413" w:type="pct"/>
                  <w:noWrap w:val="0"/>
                  <w:vAlign w:val="center"/>
                </w:tcPr>
                <w:p w14:paraId="7654278A">
                  <w:pPr>
                    <w:pStyle w:val="28"/>
                    <w:rPr>
                      <w:b/>
                      <w:bCs/>
                      <w:color w:val="auto"/>
                    </w:rPr>
                  </w:pPr>
                  <w:r>
                    <w:rPr>
                      <w:b/>
                      <w:bCs/>
                      <w:color w:val="auto"/>
                    </w:rPr>
                    <w:t>监测类别</w:t>
                  </w:r>
                </w:p>
              </w:tc>
              <w:tc>
                <w:tcPr>
                  <w:tcW w:w="1014" w:type="pct"/>
                  <w:gridSpan w:val="2"/>
                  <w:noWrap w:val="0"/>
                  <w:vAlign w:val="center"/>
                </w:tcPr>
                <w:p w14:paraId="0C8F6321">
                  <w:pPr>
                    <w:pStyle w:val="28"/>
                    <w:rPr>
                      <w:b/>
                      <w:bCs/>
                      <w:color w:val="auto"/>
                    </w:rPr>
                  </w:pPr>
                  <w:r>
                    <w:rPr>
                      <w:b/>
                      <w:bCs/>
                      <w:color w:val="auto"/>
                    </w:rPr>
                    <w:t>监测项目</w:t>
                  </w:r>
                </w:p>
              </w:tc>
              <w:tc>
                <w:tcPr>
                  <w:tcW w:w="612" w:type="pct"/>
                  <w:noWrap w:val="0"/>
                  <w:vAlign w:val="center"/>
                </w:tcPr>
                <w:p w14:paraId="6B063031">
                  <w:pPr>
                    <w:pStyle w:val="28"/>
                    <w:rPr>
                      <w:b/>
                      <w:bCs/>
                      <w:color w:val="auto"/>
                    </w:rPr>
                  </w:pPr>
                  <w:r>
                    <w:rPr>
                      <w:b/>
                      <w:bCs/>
                      <w:color w:val="auto"/>
                    </w:rPr>
                    <w:t>监测点位</w:t>
                  </w:r>
                </w:p>
              </w:tc>
              <w:tc>
                <w:tcPr>
                  <w:tcW w:w="678" w:type="pct"/>
                  <w:noWrap w:val="0"/>
                  <w:vAlign w:val="center"/>
                </w:tcPr>
                <w:p w14:paraId="49EDCF17">
                  <w:pPr>
                    <w:pStyle w:val="28"/>
                    <w:rPr>
                      <w:b/>
                      <w:bCs/>
                      <w:color w:val="auto"/>
                    </w:rPr>
                  </w:pPr>
                  <w:r>
                    <w:rPr>
                      <w:b/>
                      <w:bCs/>
                      <w:color w:val="auto"/>
                    </w:rPr>
                    <w:t>监测频次</w:t>
                  </w:r>
                </w:p>
              </w:tc>
              <w:tc>
                <w:tcPr>
                  <w:tcW w:w="396" w:type="pct"/>
                  <w:noWrap w:val="0"/>
                  <w:vAlign w:val="center"/>
                </w:tcPr>
                <w:p w14:paraId="697B47EF">
                  <w:pPr>
                    <w:pStyle w:val="28"/>
                    <w:rPr>
                      <w:b/>
                      <w:bCs/>
                      <w:color w:val="auto"/>
                    </w:rPr>
                  </w:pPr>
                  <w:r>
                    <w:rPr>
                      <w:b/>
                      <w:bCs/>
                      <w:color w:val="auto"/>
                    </w:rPr>
                    <w:t>监测方法</w:t>
                  </w:r>
                </w:p>
              </w:tc>
              <w:tc>
                <w:tcPr>
                  <w:tcW w:w="1315" w:type="pct"/>
                  <w:noWrap w:val="0"/>
                  <w:vAlign w:val="center"/>
                </w:tcPr>
                <w:p w14:paraId="04EE36E3">
                  <w:pPr>
                    <w:pStyle w:val="28"/>
                    <w:rPr>
                      <w:b/>
                      <w:bCs/>
                      <w:color w:val="auto"/>
                    </w:rPr>
                  </w:pPr>
                  <w:r>
                    <w:rPr>
                      <w:b/>
                      <w:bCs/>
                      <w:color w:val="auto"/>
                    </w:rPr>
                    <w:t>监测分析方法</w:t>
                  </w:r>
                </w:p>
              </w:tc>
              <w:tc>
                <w:tcPr>
                  <w:tcW w:w="569" w:type="pct"/>
                  <w:noWrap w:val="0"/>
                  <w:vAlign w:val="center"/>
                </w:tcPr>
                <w:p w14:paraId="1C5C5F44">
                  <w:pPr>
                    <w:pStyle w:val="28"/>
                    <w:rPr>
                      <w:b/>
                      <w:bCs/>
                      <w:color w:val="auto"/>
                    </w:rPr>
                  </w:pPr>
                  <w:r>
                    <w:rPr>
                      <w:b/>
                      <w:bCs/>
                      <w:color w:val="auto"/>
                    </w:rPr>
                    <w:t>监测要求</w:t>
                  </w:r>
                </w:p>
              </w:tc>
            </w:tr>
            <w:tr w14:paraId="5B855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413" w:type="pct"/>
                  <w:vMerge w:val="restart"/>
                  <w:noWrap w:val="0"/>
                  <w:vAlign w:val="center"/>
                </w:tcPr>
                <w:p w14:paraId="3DCC826B">
                  <w:pPr>
                    <w:pStyle w:val="28"/>
                    <w:rPr>
                      <w:color w:val="auto"/>
                    </w:rPr>
                  </w:pPr>
                  <w:r>
                    <w:rPr>
                      <w:color w:val="auto"/>
                    </w:rPr>
                    <w:t>废气监测</w:t>
                  </w:r>
                </w:p>
              </w:tc>
              <w:tc>
                <w:tcPr>
                  <w:tcW w:w="477" w:type="pct"/>
                  <w:vMerge w:val="restart"/>
                  <w:noWrap w:val="0"/>
                  <w:vAlign w:val="center"/>
                </w:tcPr>
                <w:p w14:paraId="1E81032E">
                  <w:pPr>
                    <w:pStyle w:val="28"/>
                    <w:rPr>
                      <w:color w:val="auto"/>
                    </w:rPr>
                  </w:pPr>
                  <w:r>
                    <w:rPr>
                      <w:color w:val="auto"/>
                    </w:rPr>
                    <w:t>有组织</w:t>
                  </w:r>
                </w:p>
              </w:tc>
              <w:tc>
                <w:tcPr>
                  <w:tcW w:w="537" w:type="pct"/>
                  <w:noWrap w:val="0"/>
                  <w:vAlign w:val="center"/>
                </w:tcPr>
                <w:p w14:paraId="697DAE74">
                  <w:pPr>
                    <w:pStyle w:val="28"/>
                    <w:rPr>
                      <w:rFonts w:hint="eastAsia"/>
                      <w:color w:val="auto"/>
                    </w:rPr>
                  </w:pPr>
                  <w:r>
                    <w:rPr>
                      <w:rFonts w:hint="eastAsia"/>
                      <w:color w:val="auto"/>
                    </w:rPr>
                    <w:t>筒仓</w:t>
                  </w:r>
                </w:p>
                <w:p w14:paraId="5447486C">
                  <w:pPr>
                    <w:pStyle w:val="28"/>
                    <w:rPr>
                      <w:color w:val="auto"/>
                    </w:rPr>
                  </w:pPr>
                  <w:r>
                    <w:rPr>
                      <w:rFonts w:hint="eastAsia"/>
                      <w:color w:val="auto"/>
                    </w:rPr>
                    <w:t>粉尘</w:t>
                  </w:r>
                </w:p>
              </w:tc>
              <w:tc>
                <w:tcPr>
                  <w:tcW w:w="612" w:type="pct"/>
                  <w:noWrap w:val="0"/>
                  <w:vAlign w:val="center"/>
                </w:tcPr>
                <w:p w14:paraId="24DD4D58">
                  <w:pPr>
                    <w:pStyle w:val="28"/>
                    <w:rPr>
                      <w:color w:val="auto"/>
                    </w:rPr>
                  </w:pPr>
                  <w:r>
                    <w:rPr>
                      <w:rFonts w:hint="eastAsia"/>
                      <w:color w:val="auto"/>
                    </w:rPr>
                    <w:t>筒仓仓顶排口</w:t>
                  </w:r>
                </w:p>
              </w:tc>
              <w:tc>
                <w:tcPr>
                  <w:tcW w:w="678" w:type="pct"/>
                  <w:noWrap w:val="0"/>
                  <w:vAlign w:val="center"/>
                </w:tcPr>
                <w:p w14:paraId="1BF713E9">
                  <w:pPr>
                    <w:pStyle w:val="28"/>
                    <w:rPr>
                      <w:color w:val="auto"/>
                    </w:rPr>
                  </w:pPr>
                  <w:r>
                    <w:rPr>
                      <w:rFonts w:hint="eastAsia"/>
                      <w:color w:val="auto"/>
                      <w:lang w:val="en-US" w:eastAsia="zh-CN"/>
                    </w:rPr>
                    <w:t>两年</w:t>
                  </w:r>
                  <w:r>
                    <w:rPr>
                      <w:rFonts w:hint="eastAsia"/>
                      <w:color w:val="auto"/>
                    </w:rPr>
                    <w:t>监测一次</w:t>
                  </w:r>
                </w:p>
              </w:tc>
              <w:tc>
                <w:tcPr>
                  <w:tcW w:w="396" w:type="pct"/>
                  <w:vMerge w:val="restart"/>
                  <w:noWrap w:val="0"/>
                  <w:vAlign w:val="center"/>
                </w:tcPr>
                <w:p w14:paraId="0C6221E9">
                  <w:pPr>
                    <w:pStyle w:val="28"/>
                    <w:rPr>
                      <w:color w:val="auto"/>
                    </w:rPr>
                  </w:pPr>
                  <w:r>
                    <w:rPr>
                      <w:color w:val="auto"/>
                    </w:rPr>
                    <w:t>按环境监测技术规范要求</w:t>
                  </w:r>
                </w:p>
              </w:tc>
              <w:tc>
                <w:tcPr>
                  <w:tcW w:w="1315" w:type="pct"/>
                  <w:vMerge w:val="restart"/>
                  <w:noWrap w:val="0"/>
                  <w:vAlign w:val="center"/>
                </w:tcPr>
                <w:p w14:paraId="241FD50D">
                  <w:pPr>
                    <w:pStyle w:val="28"/>
                    <w:rPr>
                      <w:color w:val="auto"/>
                    </w:rPr>
                  </w:pPr>
                  <w:r>
                    <w:rPr>
                      <w:rFonts w:hint="eastAsia"/>
                      <w:color w:val="auto"/>
                    </w:rPr>
                    <w:t>《锅炉大气污染物排放标准》（GB13271-2014）、《水泥工业大气污染物排放标准》（DB34/3576-2020）中相关分析方法</w:t>
                  </w:r>
                </w:p>
              </w:tc>
              <w:tc>
                <w:tcPr>
                  <w:tcW w:w="569" w:type="pct"/>
                  <w:vMerge w:val="restart"/>
                  <w:noWrap w:val="0"/>
                  <w:vAlign w:val="center"/>
                </w:tcPr>
                <w:p w14:paraId="5899780B">
                  <w:pPr>
                    <w:pStyle w:val="28"/>
                    <w:rPr>
                      <w:color w:val="auto"/>
                    </w:rPr>
                  </w:pPr>
                  <w:r>
                    <w:rPr>
                      <w:color w:val="auto"/>
                    </w:rPr>
                    <w:t>委托有资质单位监测，建立监测数据库，记录存档</w:t>
                  </w:r>
                </w:p>
              </w:tc>
            </w:tr>
            <w:tr w14:paraId="4A486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3" w:type="pct"/>
                  <w:vMerge w:val="continue"/>
                  <w:noWrap w:val="0"/>
                  <w:vAlign w:val="center"/>
                </w:tcPr>
                <w:p w14:paraId="435F86DB">
                  <w:pPr>
                    <w:pStyle w:val="28"/>
                    <w:rPr>
                      <w:color w:val="auto"/>
                    </w:rPr>
                  </w:pPr>
                </w:p>
              </w:tc>
              <w:tc>
                <w:tcPr>
                  <w:tcW w:w="477" w:type="pct"/>
                  <w:vMerge w:val="continue"/>
                  <w:noWrap w:val="0"/>
                  <w:vAlign w:val="center"/>
                </w:tcPr>
                <w:p w14:paraId="5834C100">
                  <w:pPr>
                    <w:pStyle w:val="28"/>
                    <w:rPr>
                      <w:color w:val="auto"/>
                    </w:rPr>
                  </w:pPr>
                </w:p>
              </w:tc>
              <w:tc>
                <w:tcPr>
                  <w:tcW w:w="537" w:type="pct"/>
                  <w:noWrap w:val="0"/>
                  <w:vAlign w:val="center"/>
                </w:tcPr>
                <w:p w14:paraId="204ED8FA">
                  <w:pPr>
                    <w:pStyle w:val="28"/>
                    <w:rPr>
                      <w:bCs/>
                      <w:color w:val="auto"/>
                    </w:rPr>
                  </w:pPr>
                  <w:r>
                    <w:rPr>
                      <w:rFonts w:hint="eastAsia"/>
                      <w:bCs/>
                      <w:color w:val="auto"/>
                    </w:rPr>
                    <w:t>SO</w:t>
                  </w:r>
                  <w:r>
                    <w:rPr>
                      <w:rFonts w:hint="eastAsia"/>
                      <w:bCs/>
                      <w:color w:val="auto"/>
                      <w:vertAlign w:val="subscript"/>
                    </w:rPr>
                    <w:t>2</w:t>
                  </w:r>
                </w:p>
              </w:tc>
              <w:tc>
                <w:tcPr>
                  <w:tcW w:w="612" w:type="pct"/>
                  <w:vMerge w:val="restart"/>
                  <w:noWrap w:val="0"/>
                  <w:vAlign w:val="center"/>
                </w:tcPr>
                <w:p w14:paraId="1817BC72">
                  <w:pPr>
                    <w:pStyle w:val="28"/>
                    <w:rPr>
                      <w:rFonts w:hint="eastAsia" w:eastAsia="宋体"/>
                      <w:color w:val="auto"/>
                      <w:lang w:eastAsia="zh-CN"/>
                    </w:rPr>
                  </w:pPr>
                  <w:r>
                    <w:rPr>
                      <w:rFonts w:hint="eastAsia"/>
                      <w:color w:val="auto"/>
                    </w:rPr>
                    <w:t>DA00</w:t>
                  </w:r>
                  <w:r>
                    <w:rPr>
                      <w:rFonts w:hint="eastAsia"/>
                      <w:color w:val="auto"/>
                      <w:lang w:val="en-US" w:eastAsia="zh-CN"/>
                    </w:rPr>
                    <w:t>1</w:t>
                  </w:r>
                </w:p>
              </w:tc>
              <w:tc>
                <w:tcPr>
                  <w:tcW w:w="678" w:type="pct"/>
                  <w:vMerge w:val="restart"/>
                  <w:noWrap w:val="0"/>
                  <w:vAlign w:val="center"/>
                </w:tcPr>
                <w:p w14:paraId="304643EB">
                  <w:pPr>
                    <w:pStyle w:val="28"/>
                    <w:rPr>
                      <w:color w:val="auto"/>
                    </w:rPr>
                  </w:pPr>
                  <w:r>
                    <w:rPr>
                      <w:rFonts w:hint="eastAsia"/>
                      <w:color w:val="auto"/>
                    </w:rPr>
                    <w:t>每月监测一次</w:t>
                  </w:r>
                </w:p>
              </w:tc>
              <w:tc>
                <w:tcPr>
                  <w:tcW w:w="396" w:type="pct"/>
                  <w:vMerge w:val="continue"/>
                  <w:noWrap w:val="0"/>
                  <w:vAlign w:val="center"/>
                </w:tcPr>
                <w:p w14:paraId="0F19B652">
                  <w:pPr>
                    <w:pStyle w:val="28"/>
                    <w:rPr>
                      <w:color w:val="auto"/>
                    </w:rPr>
                  </w:pPr>
                </w:p>
              </w:tc>
              <w:tc>
                <w:tcPr>
                  <w:tcW w:w="1315" w:type="pct"/>
                  <w:vMerge w:val="continue"/>
                  <w:noWrap w:val="0"/>
                  <w:vAlign w:val="center"/>
                </w:tcPr>
                <w:p w14:paraId="1E4B474E">
                  <w:pPr>
                    <w:pStyle w:val="28"/>
                    <w:rPr>
                      <w:color w:val="auto"/>
                    </w:rPr>
                  </w:pPr>
                </w:p>
              </w:tc>
              <w:tc>
                <w:tcPr>
                  <w:tcW w:w="569" w:type="pct"/>
                  <w:vMerge w:val="continue"/>
                  <w:noWrap w:val="0"/>
                  <w:vAlign w:val="center"/>
                </w:tcPr>
                <w:p w14:paraId="1E80E984">
                  <w:pPr>
                    <w:pStyle w:val="28"/>
                    <w:rPr>
                      <w:color w:val="auto"/>
                    </w:rPr>
                  </w:pPr>
                </w:p>
              </w:tc>
            </w:tr>
            <w:tr w14:paraId="338DE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3" w:type="pct"/>
                  <w:vMerge w:val="continue"/>
                  <w:noWrap w:val="0"/>
                  <w:vAlign w:val="center"/>
                </w:tcPr>
                <w:p w14:paraId="6362929B">
                  <w:pPr>
                    <w:pStyle w:val="28"/>
                    <w:rPr>
                      <w:color w:val="auto"/>
                    </w:rPr>
                  </w:pPr>
                </w:p>
              </w:tc>
              <w:tc>
                <w:tcPr>
                  <w:tcW w:w="477" w:type="pct"/>
                  <w:vMerge w:val="continue"/>
                  <w:noWrap w:val="0"/>
                  <w:vAlign w:val="center"/>
                </w:tcPr>
                <w:p w14:paraId="7F9BF334">
                  <w:pPr>
                    <w:pStyle w:val="28"/>
                    <w:rPr>
                      <w:color w:val="auto"/>
                    </w:rPr>
                  </w:pPr>
                </w:p>
              </w:tc>
              <w:tc>
                <w:tcPr>
                  <w:tcW w:w="537" w:type="pct"/>
                  <w:noWrap w:val="0"/>
                  <w:vAlign w:val="center"/>
                </w:tcPr>
                <w:p w14:paraId="4BE1990F">
                  <w:pPr>
                    <w:pStyle w:val="28"/>
                    <w:rPr>
                      <w:bCs/>
                      <w:color w:val="auto"/>
                    </w:rPr>
                  </w:pPr>
                  <w:r>
                    <w:rPr>
                      <w:rFonts w:hint="eastAsia"/>
                      <w:bCs/>
                      <w:color w:val="auto"/>
                    </w:rPr>
                    <w:t>烟尘</w:t>
                  </w:r>
                </w:p>
              </w:tc>
              <w:tc>
                <w:tcPr>
                  <w:tcW w:w="612" w:type="pct"/>
                  <w:vMerge w:val="continue"/>
                  <w:noWrap w:val="0"/>
                  <w:vAlign w:val="center"/>
                </w:tcPr>
                <w:p w14:paraId="4FBFED4D">
                  <w:pPr>
                    <w:pStyle w:val="28"/>
                    <w:rPr>
                      <w:color w:val="auto"/>
                    </w:rPr>
                  </w:pPr>
                </w:p>
              </w:tc>
              <w:tc>
                <w:tcPr>
                  <w:tcW w:w="678" w:type="pct"/>
                  <w:vMerge w:val="continue"/>
                  <w:noWrap w:val="0"/>
                  <w:vAlign w:val="center"/>
                </w:tcPr>
                <w:p w14:paraId="3F518E60">
                  <w:pPr>
                    <w:pStyle w:val="28"/>
                    <w:rPr>
                      <w:color w:val="auto"/>
                    </w:rPr>
                  </w:pPr>
                </w:p>
              </w:tc>
              <w:tc>
                <w:tcPr>
                  <w:tcW w:w="396" w:type="pct"/>
                  <w:vMerge w:val="continue"/>
                  <w:noWrap w:val="0"/>
                  <w:vAlign w:val="center"/>
                </w:tcPr>
                <w:p w14:paraId="541CBB8E">
                  <w:pPr>
                    <w:pStyle w:val="28"/>
                    <w:rPr>
                      <w:color w:val="auto"/>
                    </w:rPr>
                  </w:pPr>
                </w:p>
              </w:tc>
              <w:tc>
                <w:tcPr>
                  <w:tcW w:w="1315" w:type="pct"/>
                  <w:vMerge w:val="continue"/>
                  <w:noWrap w:val="0"/>
                  <w:vAlign w:val="center"/>
                </w:tcPr>
                <w:p w14:paraId="439942A8">
                  <w:pPr>
                    <w:pStyle w:val="28"/>
                    <w:rPr>
                      <w:color w:val="auto"/>
                    </w:rPr>
                  </w:pPr>
                </w:p>
              </w:tc>
              <w:tc>
                <w:tcPr>
                  <w:tcW w:w="569" w:type="pct"/>
                  <w:vMerge w:val="continue"/>
                  <w:noWrap w:val="0"/>
                  <w:vAlign w:val="center"/>
                </w:tcPr>
                <w:p w14:paraId="5556946C">
                  <w:pPr>
                    <w:pStyle w:val="28"/>
                    <w:rPr>
                      <w:color w:val="auto"/>
                    </w:rPr>
                  </w:pPr>
                </w:p>
              </w:tc>
            </w:tr>
            <w:tr w14:paraId="5F633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13" w:type="pct"/>
                  <w:vMerge w:val="continue"/>
                  <w:noWrap w:val="0"/>
                  <w:vAlign w:val="center"/>
                </w:tcPr>
                <w:p w14:paraId="77D7E307">
                  <w:pPr>
                    <w:pStyle w:val="28"/>
                    <w:rPr>
                      <w:color w:val="auto"/>
                    </w:rPr>
                  </w:pPr>
                </w:p>
              </w:tc>
              <w:tc>
                <w:tcPr>
                  <w:tcW w:w="477" w:type="pct"/>
                  <w:vMerge w:val="continue"/>
                  <w:noWrap w:val="0"/>
                  <w:vAlign w:val="center"/>
                </w:tcPr>
                <w:p w14:paraId="39C1D7A1">
                  <w:pPr>
                    <w:pStyle w:val="28"/>
                    <w:rPr>
                      <w:color w:val="auto"/>
                    </w:rPr>
                  </w:pPr>
                </w:p>
              </w:tc>
              <w:tc>
                <w:tcPr>
                  <w:tcW w:w="537" w:type="pct"/>
                  <w:noWrap w:val="0"/>
                  <w:vAlign w:val="center"/>
                </w:tcPr>
                <w:p w14:paraId="6326DA47">
                  <w:pPr>
                    <w:pStyle w:val="28"/>
                    <w:rPr>
                      <w:rFonts w:hint="eastAsia"/>
                      <w:bCs/>
                      <w:color w:val="auto"/>
                    </w:rPr>
                  </w:pPr>
                  <w:r>
                    <w:rPr>
                      <w:rFonts w:hint="eastAsia"/>
                      <w:bCs/>
                      <w:color w:val="auto"/>
                    </w:rPr>
                    <w:t>NO</w:t>
                  </w:r>
                  <w:r>
                    <w:rPr>
                      <w:rFonts w:hint="eastAsia"/>
                      <w:bCs/>
                      <w:color w:val="auto"/>
                      <w:vertAlign w:val="subscript"/>
                    </w:rPr>
                    <w:t>x</w:t>
                  </w:r>
                </w:p>
              </w:tc>
              <w:tc>
                <w:tcPr>
                  <w:tcW w:w="612" w:type="pct"/>
                  <w:vMerge w:val="continue"/>
                  <w:noWrap w:val="0"/>
                  <w:vAlign w:val="center"/>
                </w:tcPr>
                <w:p w14:paraId="7FABC986">
                  <w:pPr>
                    <w:pStyle w:val="28"/>
                    <w:rPr>
                      <w:rFonts w:hint="eastAsia"/>
                      <w:color w:val="auto"/>
                    </w:rPr>
                  </w:pPr>
                </w:p>
              </w:tc>
              <w:tc>
                <w:tcPr>
                  <w:tcW w:w="678" w:type="pct"/>
                  <w:vMerge w:val="continue"/>
                  <w:noWrap w:val="0"/>
                  <w:vAlign w:val="center"/>
                </w:tcPr>
                <w:p w14:paraId="1F60B955">
                  <w:pPr>
                    <w:pStyle w:val="28"/>
                    <w:rPr>
                      <w:color w:val="auto"/>
                    </w:rPr>
                  </w:pPr>
                </w:p>
              </w:tc>
              <w:tc>
                <w:tcPr>
                  <w:tcW w:w="396" w:type="pct"/>
                  <w:vMerge w:val="continue"/>
                  <w:noWrap w:val="0"/>
                  <w:vAlign w:val="center"/>
                </w:tcPr>
                <w:p w14:paraId="001B2A3E">
                  <w:pPr>
                    <w:pStyle w:val="28"/>
                    <w:rPr>
                      <w:color w:val="auto"/>
                    </w:rPr>
                  </w:pPr>
                </w:p>
              </w:tc>
              <w:tc>
                <w:tcPr>
                  <w:tcW w:w="1315" w:type="pct"/>
                  <w:vMerge w:val="continue"/>
                  <w:noWrap w:val="0"/>
                  <w:vAlign w:val="center"/>
                </w:tcPr>
                <w:p w14:paraId="022926D3">
                  <w:pPr>
                    <w:pStyle w:val="28"/>
                    <w:rPr>
                      <w:color w:val="auto"/>
                    </w:rPr>
                  </w:pPr>
                </w:p>
              </w:tc>
              <w:tc>
                <w:tcPr>
                  <w:tcW w:w="569" w:type="pct"/>
                  <w:vMerge w:val="continue"/>
                  <w:noWrap w:val="0"/>
                  <w:vAlign w:val="center"/>
                </w:tcPr>
                <w:p w14:paraId="515E7C9E">
                  <w:pPr>
                    <w:pStyle w:val="28"/>
                    <w:rPr>
                      <w:color w:val="auto"/>
                    </w:rPr>
                  </w:pPr>
                </w:p>
              </w:tc>
            </w:tr>
            <w:tr w14:paraId="5F413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413" w:type="pct"/>
                  <w:vMerge w:val="continue"/>
                  <w:noWrap w:val="0"/>
                  <w:vAlign w:val="center"/>
                </w:tcPr>
                <w:p w14:paraId="4B4A4668">
                  <w:pPr>
                    <w:pStyle w:val="28"/>
                    <w:rPr>
                      <w:color w:val="auto"/>
                    </w:rPr>
                  </w:pPr>
                </w:p>
              </w:tc>
              <w:tc>
                <w:tcPr>
                  <w:tcW w:w="477" w:type="pct"/>
                  <w:noWrap w:val="0"/>
                  <w:vAlign w:val="center"/>
                </w:tcPr>
                <w:p w14:paraId="5ED3D548">
                  <w:pPr>
                    <w:pStyle w:val="28"/>
                    <w:rPr>
                      <w:color w:val="auto"/>
                    </w:rPr>
                  </w:pPr>
                  <w:r>
                    <w:rPr>
                      <w:color w:val="auto"/>
                    </w:rPr>
                    <w:t>无组织</w:t>
                  </w:r>
                </w:p>
              </w:tc>
              <w:tc>
                <w:tcPr>
                  <w:tcW w:w="537" w:type="pct"/>
                  <w:noWrap w:val="0"/>
                  <w:vAlign w:val="center"/>
                </w:tcPr>
                <w:p w14:paraId="73C22BE6">
                  <w:pPr>
                    <w:pStyle w:val="28"/>
                    <w:rPr>
                      <w:color w:val="auto"/>
                    </w:rPr>
                  </w:pPr>
                  <w:r>
                    <w:rPr>
                      <w:rFonts w:hint="eastAsia"/>
                      <w:color w:val="auto"/>
                    </w:rPr>
                    <w:t>颗粒物</w:t>
                  </w:r>
                </w:p>
              </w:tc>
              <w:tc>
                <w:tcPr>
                  <w:tcW w:w="612" w:type="pct"/>
                  <w:noWrap w:val="0"/>
                  <w:vAlign w:val="center"/>
                </w:tcPr>
                <w:p w14:paraId="4F6F6D74">
                  <w:pPr>
                    <w:pStyle w:val="28"/>
                    <w:rPr>
                      <w:rFonts w:hint="eastAsia"/>
                      <w:color w:val="auto"/>
                    </w:rPr>
                  </w:pPr>
                  <w:r>
                    <w:rPr>
                      <w:rFonts w:hint="eastAsia"/>
                      <w:color w:val="auto"/>
                    </w:rPr>
                    <w:t>厂界</w:t>
                  </w:r>
                </w:p>
              </w:tc>
              <w:tc>
                <w:tcPr>
                  <w:tcW w:w="678" w:type="pct"/>
                  <w:noWrap w:val="0"/>
                  <w:vAlign w:val="center"/>
                </w:tcPr>
                <w:p w14:paraId="5DD81323">
                  <w:pPr>
                    <w:pStyle w:val="28"/>
                    <w:rPr>
                      <w:color w:val="auto"/>
                    </w:rPr>
                  </w:pPr>
                  <w:r>
                    <w:rPr>
                      <w:rFonts w:hint="eastAsia"/>
                      <w:color w:val="auto"/>
                    </w:rPr>
                    <w:t>每季度监测一次</w:t>
                  </w:r>
                </w:p>
              </w:tc>
              <w:tc>
                <w:tcPr>
                  <w:tcW w:w="396" w:type="pct"/>
                  <w:vMerge w:val="continue"/>
                  <w:noWrap w:val="0"/>
                  <w:vAlign w:val="center"/>
                </w:tcPr>
                <w:p w14:paraId="4078EB16">
                  <w:pPr>
                    <w:pStyle w:val="28"/>
                    <w:rPr>
                      <w:color w:val="auto"/>
                    </w:rPr>
                  </w:pPr>
                </w:p>
              </w:tc>
              <w:tc>
                <w:tcPr>
                  <w:tcW w:w="1315" w:type="pct"/>
                  <w:vMerge w:val="continue"/>
                  <w:noWrap w:val="0"/>
                  <w:vAlign w:val="center"/>
                </w:tcPr>
                <w:p w14:paraId="778ACC0B">
                  <w:pPr>
                    <w:pStyle w:val="28"/>
                    <w:rPr>
                      <w:color w:val="auto"/>
                    </w:rPr>
                  </w:pPr>
                </w:p>
              </w:tc>
              <w:tc>
                <w:tcPr>
                  <w:tcW w:w="569" w:type="pct"/>
                  <w:vMerge w:val="continue"/>
                  <w:noWrap w:val="0"/>
                  <w:vAlign w:val="center"/>
                </w:tcPr>
                <w:p w14:paraId="52E8295D">
                  <w:pPr>
                    <w:pStyle w:val="28"/>
                    <w:rPr>
                      <w:color w:val="auto"/>
                    </w:rPr>
                  </w:pPr>
                </w:p>
              </w:tc>
            </w:tr>
          </w:tbl>
          <w:p w14:paraId="60558FEE">
            <w:pPr>
              <w:pStyle w:val="18"/>
              <w:ind w:firstLine="211"/>
              <w:rPr>
                <w:b/>
                <w:bCs/>
                <w:color w:val="auto"/>
                <w:szCs w:val="21"/>
              </w:rPr>
            </w:pPr>
            <w:r>
              <w:rPr>
                <w:rFonts w:hint="eastAsia"/>
                <w:b/>
                <w:bCs/>
                <w:color w:val="auto"/>
                <w:szCs w:val="21"/>
              </w:rPr>
              <w:t>注：本项目位于重点控制区，根据《排污单位自行监测技术指南 水泥工业》（HJ848-2017）可根据管理需要适当增加监测频次，因此本次环评要求颗粒物监测频次增加至每年一次；</w:t>
            </w:r>
          </w:p>
          <w:p w14:paraId="4F0F6B8B">
            <w:pPr>
              <w:pStyle w:val="39"/>
              <w:ind w:firstLine="482"/>
              <w:rPr>
                <w:b/>
                <w:bCs/>
                <w:color w:val="auto"/>
              </w:rPr>
            </w:pPr>
            <w:r>
              <w:rPr>
                <w:rFonts w:hint="eastAsia"/>
                <w:b/>
                <w:bCs/>
                <w:color w:val="auto"/>
              </w:rPr>
              <w:t>4.2.5大气环境影响分析结论</w:t>
            </w:r>
          </w:p>
          <w:p w14:paraId="6CB7CD21">
            <w:pPr>
              <w:ind w:firstLine="480"/>
              <w:rPr>
                <w:rFonts w:hint="eastAsia"/>
                <w:color w:val="auto"/>
              </w:rPr>
            </w:pPr>
            <w:r>
              <w:rPr>
                <w:rFonts w:hint="eastAsia"/>
                <w:color w:val="auto"/>
              </w:rPr>
              <w:t>本项目在运营期产生的废气主要为粉尘，可能受影响的主要为周边村民和环境。在未采取防治措施的情况下，影响范围约200m左右。因此本环评提出：项目在运营期要严格按照防治措施作业，做好洒水降尘，易起扬尘的场地应使用防尘布遮盖，储料仓应加装三面围挡；汽车尾气产生量较少，经自然扩散排放。</w:t>
            </w:r>
          </w:p>
          <w:p w14:paraId="5EE90291">
            <w:pPr>
              <w:ind w:firstLine="480"/>
              <w:rPr>
                <w:color w:val="auto"/>
              </w:rPr>
            </w:pPr>
            <w:r>
              <w:rPr>
                <w:rFonts w:hint="eastAsia"/>
                <w:color w:val="auto"/>
              </w:rPr>
              <w:t>综上，运营期大气污染物在采</w:t>
            </w:r>
            <w:r>
              <w:rPr>
                <w:rFonts w:hint="eastAsia"/>
                <w:color w:val="auto"/>
                <w:lang w:eastAsia="zh-CN"/>
              </w:rPr>
              <w:t>取</w:t>
            </w:r>
            <w:r>
              <w:rPr>
                <w:rFonts w:hint="eastAsia"/>
                <w:color w:val="auto"/>
              </w:rPr>
              <w:t>相应措施后，能够达标排放，对周边环境及居民影响较小。</w:t>
            </w:r>
          </w:p>
          <w:p w14:paraId="3C3B8E7A">
            <w:pPr>
              <w:pStyle w:val="33"/>
              <w:ind w:firstLine="480"/>
              <w:rPr>
                <w:b/>
                <w:color w:val="auto"/>
                <w:spacing w:val="-10"/>
                <w:szCs w:val="24"/>
              </w:rPr>
            </w:pPr>
            <w:r>
              <w:rPr>
                <w:b/>
                <w:bCs/>
                <w:color w:val="auto"/>
                <w:szCs w:val="24"/>
              </w:rPr>
              <w:t>4.</w:t>
            </w:r>
            <w:r>
              <w:rPr>
                <w:rFonts w:hint="eastAsia"/>
                <w:b/>
                <w:bCs/>
                <w:color w:val="auto"/>
                <w:szCs w:val="24"/>
              </w:rPr>
              <w:t>3</w:t>
            </w:r>
            <w:r>
              <w:rPr>
                <w:b/>
                <w:color w:val="auto"/>
                <w:spacing w:val="-10"/>
                <w:szCs w:val="24"/>
              </w:rPr>
              <w:t>运营期废水环境影响和保护措施</w:t>
            </w:r>
          </w:p>
          <w:p w14:paraId="21D16350">
            <w:pPr>
              <w:pStyle w:val="33"/>
              <w:ind w:firstLine="480"/>
              <w:rPr>
                <w:b/>
                <w:bCs/>
                <w:color w:val="auto"/>
                <w:szCs w:val="24"/>
              </w:rPr>
            </w:pPr>
            <w:r>
              <w:rPr>
                <w:b/>
                <w:bCs/>
                <w:color w:val="auto"/>
                <w:szCs w:val="24"/>
              </w:rPr>
              <w:t>4.</w:t>
            </w:r>
            <w:r>
              <w:rPr>
                <w:rFonts w:hint="eastAsia"/>
                <w:b/>
                <w:bCs/>
                <w:color w:val="auto"/>
                <w:szCs w:val="24"/>
              </w:rPr>
              <w:t>3.</w:t>
            </w:r>
            <w:r>
              <w:rPr>
                <w:b/>
                <w:bCs/>
                <w:color w:val="auto"/>
                <w:szCs w:val="24"/>
              </w:rPr>
              <w:t>1项目运营期废水产生排放情况</w:t>
            </w:r>
          </w:p>
          <w:p w14:paraId="4D1A1BBC">
            <w:pPr>
              <w:ind w:firstLine="480"/>
              <w:rPr>
                <w:color w:val="auto"/>
              </w:rPr>
            </w:pPr>
            <w:r>
              <w:rPr>
                <w:color w:val="auto"/>
              </w:rPr>
              <w:t>运营期间的用水为生活用水、混凝土搅拌用水、搅拌机清洗废水、锅炉</w:t>
            </w:r>
            <w:r>
              <w:rPr>
                <w:rFonts w:hint="eastAsia"/>
                <w:color w:val="auto"/>
              </w:rPr>
              <w:t>清净下水</w:t>
            </w:r>
            <w:r>
              <w:rPr>
                <w:color w:val="auto"/>
              </w:rPr>
              <w:t>、</w:t>
            </w:r>
            <w:r>
              <w:rPr>
                <w:rFonts w:hint="eastAsia"/>
                <w:color w:val="auto"/>
                <w:lang w:val="en-US" w:eastAsia="zh-CN"/>
              </w:rPr>
              <w:t>罐车清洗用水</w:t>
            </w:r>
            <w:r>
              <w:rPr>
                <w:color w:val="auto"/>
              </w:rPr>
              <w:t>、</w:t>
            </w:r>
            <w:r>
              <w:rPr>
                <w:rFonts w:hint="eastAsia"/>
                <w:color w:val="auto"/>
              </w:rPr>
              <w:t>绿化用水、</w:t>
            </w:r>
            <w:r>
              <w:rPr>
                <w:color w:val="auto"/>
              </w:rPr>
              <w:t>洒水降尘用水，产生的废水主要为生活污水、</w:t>
            </w:r>
            <w:r>
              <w:rPr>
                <w:rFonts w:hint="eastAsia"/>
                <w:color w:val="auto"/>
                <w:lang w:val="en-US" w:eastAsia="zh-CN"/>
              </w:rPr>
              <w:t>罐车清洗废水</w:t>
            </w:r>
            <w:r>
              <w:rPr>
                <w:color w:val="auto"/>
              </w:rPr>
              <w:t>。项目废水均不外排，雨水经收集后回用。</w:t>
            </w:r>
          </w:p>
          <w:p w14:paraId="7DB86846">
            <w:pPr>
              <w:pStyle w:val="10"/>
              <w:spacing w:after="0" w:line="360" w:lineRule="auto"/>
              <w:ind w:left="0" w:leftChars="0" w:firstLine="480"/>
              <w:rPr>
                <w:color w:val="auto"/>
              </w:rPr>
            </w:pPr>
            <w:r>
              <w:rPr>
                <w:color w:val="auto"/>
              </w:rPr>
              <w:t>（1）生活用水</w:t>
            </w:r>
          </w:p>
          <w:p w14:paraId="37579B6E">
            <w:pPr>
              <w:pStyle w:val="10"/>
              <w:spacing w:after="0" w:line="360" w:lineRule="auto"/>
              <w:ind w:left="0" w:leftChars="0" w:firstLine="480"/>
              <w:rPr>
                <w:color w:val="auto"/>
              </w:rPr>
            </w:pPr>
            <w:r>
              <w:rPr>
                <w:color w:val="auto"/>
              </w:rPr>
              <w:t>生活污水包括基本生活污水和食堂废水。根据本项目劳动定员，项目区运营期间员工</w:t>
            </w:r>
            <w:r>
              <w:rPr>
                <w:rFonts w:hint="eastAsia"/>
                <w:color w:val="auto"/>
              </w:rPr>
              <w:t>78</w:t>
            </w:r>
            <w:r>
              <w:rPr>
                <w:color w:val="auto"/>
              </w:rPr>
              <w:t>名，均在项目区食宿。</w:t>
            </w:r>
          </w:p>
          <w:p w14:paraId="10CF0C79">
            <w:pPr>
              <w:pStyle w:val="10"/>
              <w:numPr>
                <w:ilvl w:val="0"/>
                <w:numId w:val="0"/>
              </w:numPr>
              <w:adjustRightInd w:val="0"/>
              <w:spacing w:after="0" w:line="360" w:lineRule="auto"/>
              <w:ind w:left="840" w:leftChars="0" w:hanging="360" w:firstLineChars="0"/>
              <w:textAlignment w:val="baseline"/>
              <w:rPr>
                <w:color w:val="auto"/>
              </w:rPr>
            </w:pPr>
            <w:r>
              <w:rPr>
                <w:rFonts w:hint="default" w:ascii="Times New Roman" w:hAnsi="Times New Roman" w:eastAsia="宋体" w:cs="Times New Roman"/>
                <w:color w:val="auto"/>
                <w:kern w:val="2"/>
                <w:sz w:val="24"/>
                <w:szCs w:val="24"/>
                <w:lang w:val="en-US" w:eastAsia="zh-CN" w:bidi="ar-SA"/>
              </w:rPr>
              <w:t>①</w:t>
            </w:r>
            <w:r>
              <w:rPr>
                <w:color w:val="auto"/>
              </w:rPr>
              <w:t>基本生活污水</w:t>
            </w:r>
          </w:p>
          <w:p w14:paraId="1DB3A8D4">
            <w:pPr>
              <w:pStyle w:val="4"/>
              <w:ind w:firstLine="480"/>
              <w:rPr>
                <w:color w:val="auto"/>
              </w:rPr>
            </w:pPr>
            <w:r>
              <w:rPr>
                <w:color w:val="auto"/>
              </w:rPr>
              <w:t>项目所处区域为农村，参考《云南省地方标准 用水定额》（DB53/T-2019）中农村居民生活用水定额，</w:t>
            </w:r>
            <w:r>
              <w:rPr>
                <w:rFonts w:hint="eastAsia"/>
                <w:color w:val="auto"/>
              </w:rPr>
              <w:t>城镇居民生活用水定额</w:t>
            </w:r>
            <w:r>
              <w:rPr>
                <w:color w:val="auto"/>
              </w:rPr>
              <w:t>为100L/（人•d）。本项目</w:t>
            </w:r>
            <w:r>
              <w:rPr>
                <w:rFonts w:hint="eastAsia"/>
                <w:color w:val="auto"/>
              </w:rPr>
              <w:t>基本</w:t>
            </w:r>
            <w:r>
              <w:rPr>
                <w:color w:val="auto"/>
              </w:rPr>
              <w:t>用水量按80L/（人•d）计</w:t>
            </w:r>
            <w:r>
              <w:rPr>
                <w:rFonts w:hint="eastAsia"/>
                <w:color w:val="auto"/>
              </w:rPr>
              <w:t>，</w:t>
            </w:r>
            <w:r>
              <w:rPr>
                <w:color w:val="auto"/>
              </w:rPr>
              <w:t>员工</w:t>
            </w:r>
            <w:r>
              <w:rPr>
                <w:rFonts w:hint="eastAsia"/>
                <w:color w:val="auto"/>
              </w:rPr>
              <w:t>78人</w:t>
            </w:r>
            <w:r>
              <w:rPr>
                <w:color w:val="auto"/>
              </w:rPr>
              <w:t>，排污系数0.8，则总用水量为</w:t>
            </w:r>
            <w:r>
              <w:rPr>
                <w:rFonts w:hint="eastAsia"/>
                <w:color w:val="auto"/>
              </w:rPr>
              <w:t>6.24</w:t>
            </w:r>
            <w:r>
              <w:rPr>
                <w:color w:val="auto"/>
              </w:rPr>
              <w:t>m</w:t>
            </w:r>
            <w:r>
              <w:rPr>
                <w:color w:val="auto"/>
                <w:vertAlign w:val="superscript"/>
              </w:rPr>
              <w:t>3</w:t>
            </w:r>
            <w:r>
              <w:rPr>
                <w:color w:val="auto"/>
              </w:rPr>
              <w:t>/d，</w:t>
            </w:r>
            <w:r>
              <w:rPr>
                <w:rFonts w:hint="eastAsia"/>
                <w:color w:val="auto"/>
              </w:rPr>
              <w:t>1872</w:t>
            </w:r>
            <w:r>
              <w:rPr>
                <w:color w:val="auto"/>
              </w:rPr>
              <w:t>m</w:t>
            </w:r>
            <w:r>
              <w:rPr>
                <w:color w:val="auto"/>
                <w:vertAlign w:val="superscript"/>
              </w:rPr>
              <w:t>3</w:t>
            </w:r>
            <w:r>
              <w:rPr>
                <w:color w:val="auto"/>
              </w:rPr>
              <w:t>/a，废水产生量为</w:t>
            </w:r>
            <w:r>
              <w:rPr>
                <w:rFonts w:hint="eastAsia"/>
                <w:color w:val="auto"/>
              </w:rPr>
              <w:t>4.992</w:t>
            </w:r>
            <w:r>
              <w:rPr>
                <w:color w:val="auto"/>
              </w:rPr>
              <w:t>m</w:t>
            </w:r>
            <w:r>
              <w:rPr>
                <w:color w:val="auto"/>
                <w:vertAlign w:val="superscript"/>
              </w:rPr>
              <w:t>3</w:t>
            </w:r>
            <w:r>
              <w:rPr>
                <w:color w:val="auto"/>
              </w:rPr>
              <w:t>/d，</w:t>
            </w:r>
            <w:r>
              <w:rPr>
                <w:rFonts w:hint="eastAsia"/>
                <w:color w:val="auto"/>
              </w:rPr>
              <w:t>1497.6</w:t>
            </w:r>
            <w:r>
              <w:rPr>
                <w:color w:val="auto"/>
              </w:rPr>
              <w:t>m</w:t>
            </w:r>
            <w:r>
              <w:rPr>
                <w:color w:val="auto"/>
                <w:vertAlign w:val="superscript"/>
              </w:rPr>
              <w:t>3</w:t>
            </w:r>
            <w:r>
              <w:rPr>
                <w:color w:val="auto"/>
              </w:rPr>
              <w:t>/a。</w:t>
            </w:r>
          </w:p>
          <w:p w14:paraId="442D580E">
            <w:pPr>
              <w:pStyle w:val="10"/>
              <w:numPr>
                <w:ilvl w:val="0"/>
                <w:numId w:val="0"/>
              </w:numPr>
              <w:adjustRightInd w:val="0"/>
              <w:spacing w:after="0" w:line="360" w:lineRule="auto"/>
              <w:ind w:left="840" w:leftChars="0" w:hanging="360" w:firstLineChars="0"/>
              <w:textAlignment w:val="baseline"/>
              <w:rPr>
                <w:color w:val="auto"/>
              </w:rPr>
            </w:pPr>
            <w:r>
              <w:rPr>
                <w:rFonts w:hint="default" w:ascii="Times New Roman" w:hAnsi="Times New Roman" w:eastAsia="宋体" w:cs="Times New Roman"/>
                <w:color w:val="auto"/>
                <w:kern w:val="2"/>
                <w:sz w:val="24"/>
                <w:szCs w:val="24"/>
                <w:lang w:val="en-US" w:eastAsia="zh-CN" w:bidi="ar-SA"/>
              </w:rPr>
              <w:t>②</w:t>
            </w:r>
            <w:r>
              <w:rPr>
                <w:color w:val="auto"/>
              </w:rPr>
              <w:t>食堂废水</w:t>
            </w:r>
          </w:p>
          <w:p w14:paraId="2E83E5C5">
            <w:pPr>
              <w:pStyle w:val="10"/>
              <w:spacing w:after="0" w:line="360" w:lineRule="auto"/>
              <w:ind w:left="0" w:leftChars="0" w:firstLine="480"/>
              <w:rPr>
                <w:color w:val="auto"/>
              </w:rPr>
            </w:pPr>
            <w:r>
              <w:rPr>
                <w:color w:val="auto"/>
              </w:rPr>
              <w:t>项目设有1个食堂，主要解决员工就餐问题，项目区</w:t>
            </w:r>
            <w:r>
              <w:rPr>
                <w:rFonts w:hint="eastAsia"/>
                <w:color w:val="auto"/>
                <w:lang w:val="en-US" w:eastAsia="zh-CN"/>
              </w:rPr>
              <w:t>50</w:t>
            </w:r>
            <w:r>
              <w:rPr>
                <w:color w:val="auto"/>
              </w:rPr>
              <w:t>人在食堂吃饭，按每人用水为20L/d计，污水产生系数按0.8计。则总用水量为</w:t>
            </w:r>
            <w:r>
              <w:rPr>
                <w:rFonts w:hint="eastAsia"/>
                <w:color w:val="auto"/>
              </w:rPr>
              <w:t>1.</w:t>
            </w:r>
            <w:r>
              <w:rPr>
                <w:rFonts w:hint="eastAsia"/>
                <w:color w:val="auto"/>
                <w:lang w:val="en-US" w:eastAsia="zh-CN"/>
              </w:rPr>
              <w:t>0</w:t>
            </w:r>
            <w:r>
              <w:rPr>
                <w:color w:val="auto"/>
              </w:rPr>
              <w:t>m</w:t>
            </w:r>
            <w:r>
              <w:rPr>
                <w:color w:val="auto"/>
                <w:vertAlign w:val="superscript"/>
              </w:rPr>
              <w:t>3</w:t>
            </w:r>
            <w:r>
              <w:rPr>
                <w:color w:val="auto"/>
              </w:rPr>
              <w:t>/d、</w:t>
            </w:r>
            <w:r>
              <w:rPr>
                <w:rFonts w:hint="eastAsia"/>
                <w:color w:val="auto"/>
                <w:lang w:val="en-US" w:eastAsia="zh-CN"/>
              </w:rPr>
              <w:t>300</w:t>
            </w:r>
            <w:r>
              <w:rPr>
                <w:color w:val="auto"/>
              </w:rPr>
              <w:t>m</w:t>
            </w:r>
            <w:r>
              <w:rPr>
                <w:color w:val="auto"/>
                <w:vertAlign w:val="superscript"/>
              </w:rPr>
              <w:t>3</w:t>
            </w:r>
            <w:r>
              <w:rPr>
                <w:color w:val="auto"/>
              </w:rPr>
              <w:t>/a，污水产生量为</w:t>
            </w:r>
            <w:r>
              <w:rPr>
                <w:rFonts w:hint="eastAsia"/>
                <w:color w:val="auto"/>
                <w:lang w:val="en-US" w:eastAsia="zh-CN"/>
              </w:rPr>
              <w:t>0.8</w:t>
            </w:r>
            <w:r>
              <w:rPr>
                <w:color w:val="auto"/>
              </w:rPr>
              <w:t>m</w:t>
            </w:r>
            <w:r>
              <w:rPr>
                <w:color w:val="auto"/>
                <w:vertAlign w:val="superscript"/>
              </w:rPr>
              <w:t>3</w:t>
            </w:r>
            <w:r>
              <w:rPr>
                <w:color w:val="auto"/>
              </w:rPr>
              <w:t>/d，</w:t>
            </w:r>
            <w:r>
              <w:rPr>
                <w:rFonts w:hint="eastAsia"/>
                <w:color w:val="auto"/>
                <w:lang w:val="en-US" w:eastAsia="zh-CN"/>
              </w:rPr>
              <w:t>240</w:t>
            </w:r>
            <w:r>
              <w:rPr>
                <w:color w:val="auto"/>
              </w:rPr>
              <w:t>m</w:t>
            </w:r>
            <w:r>
              <w:rPr>
                <w:color w:val="auto"/>
                <w:vertAlign w:val="superscript"/>
              </w:rPr>
              <w:t>3</w:t>
            </w:r>
            <w:r>
              <w:rPr>
                <w:color w:val="auto"/>
              </w:rPr>
              <w:t>/a。</w:t>
            </w:r>
          </w:p>
          <w:p w14:paraId="61019C90">
            <w:pPr>
              <w:pStyle w:val="10"/>
              <w:spacing w:after="0" w:line="360" w:lineRule="auto"/>
              <w:ind w:left="0" w:leftChars="0" w:firstLine="480"/>
              <w:rPr>
                <w:rFonts w:hint="eastAsia" w:eastAsia="宋体"/>
                <w:color w:val="auto"/>
                <w:lang w:eastAsia="zh-CN"/>
              </w:rPr>
            </w:pPr>
            <w:r>
              <w:rPr>
                <w:color w:val="auto"/>
              </w:rPr>
              <w:t>综上，基本生活用水量为</w:t>
            </w:r>
            <w:r>
              <w:rPr>
                <w:rFonts w:hint="eastAsia"/>
                <w:color w:val="auto"/>
              </w:rPr>
              <w:t>6.24</w:t>
            </w:r>
            <w:r>
              <w:rPr>
                <w:color w:val="auto"/>
              </w:rPr>
              <w:t>m</w:t>
            </w:r>
            <w:r>
              <w:rPr>
                <w:color w:val="auto"/>
                <w:vertAlign w:val="superscript"/>
              </w:rPr>
              <w:t>3</w:t>
            </w:r>
            <w:r>
              <w:rPr>
                <w:color w:val="auto"/>
              </w:rPr>
              <w:t>/d，</w:t>
            </w:r>
            <w:r>
              <w:rPr>
                <w:rFonts w:hint="eastAsia"/>
                <w:color w:val="auto"/>
              </w:rPr>
              <w:t>1872</w:t>
            </w:r>
            <w:r>
              <w:rPr>
                <w:color w:val="auto"/>
              </w:rPr>
              <w:t>m</w:t>
            </w:r>
            <w:r>
              <w:rPr>
                <w:color w:val="auto"/>
                <w:vertAlign w:val="superscript"/>
              </w:rPr>
              <w:t>3</w:t>
            </w:r>
            <w:r>
              <w:rPr>
                <w:color w:val="auto"/>
              </w:rPr>
              <w:t>/a，废水产生量为</w:t>
            </w:r>
            <w:r>
              <w:rPr>
                <w:rFonts w:hint="eastAsia"/>
                <w:color w:val="auto"/>
              </w:rPr>
              <w:t>4.992</w:t>
            </w:r>
            <w:r>
              <w:rPr>
                <w:color w:val="auto"/>
              </w:rPr>
              <w:t>m</w:t>
            </w:r>
            <w:r>
              <w:rPr>
                <w:color w:val="auto"/>
                <w:vertAlign w:val="superscript"/>
              </w:rPr>
              <w:t>3</w:t>
            </w:r>
            <w:r>
              <w:rPr>
                <w:color w:val="auto"/>
              </w:rPr>
              <w:t>/d，</w:t>
            </w:r>
            <w:r>
              <w:rPr>
                <w:rFonts w:hint="eastAsia"/>
                <w:color w:val="auto"/>
              </w:rPr>
              <w:t>1497.6</w:t>
            </w:r>
            <w:r>
              <w:rPr>
                <w:color w:val="auto"/>
              </w:rPr>
              <w:t>m</w:t>
            </w:r>
            <w:r>
              <w:rPr>
                <w:color w:val="auto"/>
                <w:vertAlign w:val="superscript"/>
              </w:rPr>
              <w:t>3</w:t>
            </w:r>
            <w:r>
              <w:rPr>
                <w:color w:val="auto"/>
              </w:rPr>
              <w:t>/a；食堂用水量为</w:t>
            </w:r>
            <w:r>
              <w:rPr>
                <w:rFonts w:hint="eastAsia"/>
                <w:color w:val="auto"/>
                <w:lang w:val="en-US" w:eastAsia="zh-CN"/>
              </w:rPr>
              <w:t>1.0</w:t>
            </w:r>
            <w:r>
              <w:rPr>
                <w:color w:val="auto"/>
              </w:rPr>
              <w:t>m</w:t>
            </w:r>
            <w:r>
              <w:rPr>
                <w:color w:val="auto"/>
                <w:vertAlign w:val="superscript"/>
              </w:rPr>
              <w:t>3</w:t>
            </w:r>
            <w:r>
              <w:rPr>
                <w:color w:val="auto"/>
              </w:rPr>
              <w:t>/d、</w:t>
            </w:r>
            <w:r>
              <w:rPr>
                <w:rFonts w:hint="eastAsia"/>
                <w:color w:val="auto"/>
                <w:lang w:val="en-US" w:eastAsia="zh-CN"/>
              </w:rPr>
              <w:t>300</w:t>
            </w:r>
            <w:r>
              <w:rPr>
                <w:color w:val="auto"/>
              </w:rPr>
              <w:t>m</w:t>
            </w:r>
            <w:r>
              <w:rPr>
                <w:color w:val="auto"/>
                <w:vertAlign w:val="superscript"/>
              </w:rPr>
              <w:t>3</w:t>
            </w:r>
            <w:r>
              <w:rPr>
                <w:color w:val="auto"/>
              </w:rPr>
              <w:t>/a，污水产生量为</w:t>
            </w:r>
            <w:r>
              <w:rPr>
                <w:rFonts w:hint="eastAsia"/>
                <w:color w:val="auto"/>
                <w:lang w:val="en-US" w:eastAsia="zh-CN"/>
              </w:rPr>
              <w:t>0.8</w:t>
            </w:r>
            <w:r>
              <w:rPr>
                <w:color w:val="auto"/>
              </w:rPr>
              <w:t>m</w:t>
            </w:r>
            <w:r>
              <w:rPr>
                <w:color w:val="auto"/>
                <w:vertAlign w:val="superscript"/>
              </w:rPr>
              <w:t>3</w:t>
            </w:r>
            <w:r>
              <w:rPr>
                <w:color w:val="auto"/>
              </w:rPr>
              <w:t>/d，</w:t>
            </w:r>
            <w:r>
              <w:rPr>
                <w:rFonts w:hint="eastAsia"/>
                <w:color w:val="auto"/>
                <w:lang w:val="en-US" w:eastAsia="zh-CN"/>
              </w:rPr>
              <w:t>240</w:t>
            </w:r>
            <w:r>
              <w:rPr>
                <w:color w:val="auto"/>
              </w:rPr>
              <w:t>m</w:t>
            </w:r>
            <w:r>
              <w:rPr>
                <w:color w:val="auto"/>
                <w:vertAlign w:val="superscript"/>
              </w:rPr>
              <w:t>3</w:t>
            </w:r>
            <w:r>
              <w:rPr>
                <w:color w:val="auto"/>
              </w:rPr>
              <w:t>/a。基本生活污水中主要污染物为COD、BOD</w:t>
            </w:r>
            <w:r>
              <w:rPr>
                <w:color w:val="auto"/>
                <w:vertAlign w:val="subscript"/>
              </w:rPr>
              <w:t>5</w:t>
            </w:r>
            <w:r>
              <w:rPr>
                <w:color w:val="auto"/>
              </w:rPr>
              <w:t>、SS、NH</w:t>
            </w:r>
            <w:r>
              <w:rPr>
                <w:color w:val="auto"/>
                <w:vertAlign w:val="subscript"/>
              </w:rPr>
              <w:t>3</w:t>
            </w:r>
            <w:r>
              <w:rPr>
                <w:color w:val="auto"/>
              </w:rPr>
              <w:t>-N和动植物油，产生浓度为COD：350mg/L、BOD</w:t>
            </w:r>
            <w:r>
              <w:rPr>
                <w:color w:val="auto"/>
                <w:vertAlign w:val="subscript"/>
              </w:rPr>
              <w:t>5</w:t>
            </w:r>
            <w:r>
              <w:rPr>
                <w:color w:val="auto"/>
              </w:rPr>
              <w:t>：250mg/L、SS：200mg/L、NH</w:t>
            </w:r>
            <w:r>
              <w:rPr>
                <w:color w:val="auto"/>
                <w:vertAlign w:val="subscript"/>
              </w:rPr>
              <w:t>3</w:t>
            </w:r>
            <w:r>
              <w:rPr>
                <w:color w:val="auto"/>
              </w:rPr>
              <w:t>-N：37mg/L、动植物油：30mg/L，</w:t>
            </w:r>
            <w:r>
              <w:rPr>
                <w:rFonts w:hint="eastAsia"/>
                <w:color w:val="auto"/>
              </w:rPr>
              <w:t>基本生活用水</w:t>
            </w:r>
            <w:r>
              <w:rPr>
                <w:rFonts w:hint="eastAsia"/>
                <w:color w:val="auto"/>
                <w:lang w:val="en-US" w:eastAsia="zh-CN"/>
              </w:rPr>
              <w:t>及食堂用水</w:t>
            </w:r>
            <w:r>
              <w:rPr>
                <w:rFonts w:hint="eastAsia"/>
                <w:b w:val="0"/>
                <w:bCs w:val="0"/>
                <w:color w:val="auto"/>
                <w:kern w:val="44"/>
                <w:sz w:val="24"/>
                <w:szCs w:val="24"/>
              </w:rPr>
              <w:t>经</w:t>
            </w:r>
            <w:r>
              <w:rPr>
                <w:rFonts w:hint="eastAsia"/>
                <w:b w:val="0"/>
                <w:bCs w:val="0"/>
                <w:color w:val="auto"/>
                <w:kern w:val="44"/>
                <w:sz w:val="24"/>
                <w:szCs w:val="24"/>
                <w:lang w:val="en-US" w:eastAsia="zh-CN"/>
              </w:rPr>
              <w:t>化粪池处理后委托</w:t>
            </w:r>
            <w:r>
              <w:rPr>
                <w:rFonts w:hint="eastAsia"/>
                <w:color w:val="auto"/>
                <w:szCs w:val="21"/>
                <w:lang w:val="en-US" w:eastAsia="zh-CN"/>
              </w:rPr>
              <w:t>昆明洁龙保洁服务有限公司</w:t>
            </w:r>
            <w:r>
              <w:rPr>
                <w:color w:val="auto"/>
                <w:szCs w:val="21"/>
              </w:rPr>
              <w:t>定期</w:t>
            </w:r>
            <w:r>
              <w:rPr>
                <w:rFonts w:hint="eastAsia"/>
                <w:color w:val="auto"/>
                <w:szCs w:val="21"/>
              </w:rPr>
              <w:t>清掏</w:t>
            </w:r>
            <w:r>
              <w:rPr>
                <w:rFonts w:hint="eastAsia"/>
                <w:color w:val="auto"/>
                <w:szCs w:val="21"/>
                <w:lang w:val="en-US" w:eastAsia="zh-CN"/>
              </w:rPr>
              <w:t>处置</w:t>
            </w:r>
            <w:r>
              <w:rPr>
                <w:rFonts w:hint="eastAsia"/>
                <w:color w:val="auto"/>
                <w:szCs w:val="21"/>
                <w:lang w:eastAsia="zh-CN"/>
              </w:rPr>
              <w:t>。</w:t>
            </w:r>
          </w:p>
          <w:p w14:paraId="542C049B">
            <w:pPr>
              <w:pStyle w:val="32"/>
              <w:ind w:firstLine="480"/>
              <w:rPr>
                <w:color w:val="auto"/>
              </w:rPr>
            </w:pPr>
            <w:r>
              <w:rPr>
                <w:color w:val="auto"/>
              </w:rPr>
              <w:t>（2）混凝土搅拌用水</w:t>
            </w:r>
          </w:p>
          <w:p w14:paraId="6C064AC6">
            <w:pPr>
              <w:pStyle w:val="32"/>
              <w:ind w:firstLine="480"/>
              <w:rPr>
                <w:color w:val="auto"/>
              </w:rPr>
            </w:pPr>
            <w:r>
              <w:rPr>
                <w:color w:val="auto"/>
              </w:rPr>
              <w:t>根据建设单位提供资料，项目混凝土搅拌需用水量为</w:t>
            </w:r>
            <w:r>
              <w:rPr>
                <w:rFonts w:hint="eastAsia"/>
                <w:color w:val="auto"/>
              </w:rPr>
              <w:t>90</w:t>
            </w:r>
            <w:r>
              <w:rPr>
                <w:color w:val="auto"/>
              </w:rPr>
              <w:t>m</w:t>
            </w:r>
            <w:r>
              <w:rPr>
                <w:color w:val="auto"/>
                <w:vertAlign w:val="superscript"/>
              </w:rPr>
              <w:t>3</w:t>
            </w:r>
            <w:r>
              <w:rPr>
                <w:color w:val="auto"/>
              </w:rPr>
              <w:t>/d，</w:t>
            </w:r>
            <w:r>
              <w:rPr>
                <w:rFonts w:hint="eastAsia"/>
                <w:color w:val="auto"/>
              </w:rPr>
              <w:t>27000</w:t>
            </w:r>
            <w:r>
              <w:rPr>
                <w:color w:val="auto"/>
              </w:rPr>
              <w:t>m</w:t>
            </w:r>
            <w:r>
              <w:rPr>
                <w:color w:val="auto"/>
                <w:vertAlign w:val="superscript"/>
              </w:rPr>
              <w:t>3</w:t>
            </w:r>
            <w:r>
              <w:rPr>
                <w:color w:val="auto"/>
              </w:rPr>
              <w:t>/a，混凝土搅拌用水进入半成品，其大部分在自然晾晒过程中挥发，少部分留存</w:t>
            </w:r>
            <w:r>
              <w:rPr>
                <w:rFonts w:hint="eastAsia"/>
                <w:color w:val="auto"/>
              </w:rPr>
              <w:t>于轨枕</w:t>
            </w:r>
            <w:r>
              <w:rPr>
                <w:color w:val="auto"/>
              </w:rPr>
              <w:t>，无废水产生。</w:t>
            </w:r>
          </w:p>
          <w:p w14:paraId="769B8F62">
            <w:pPr>
              <w:pStyle w:val="32"/>
              <w:ind w:firstLine="480"/>
              <w:rPr>
                <w:color w:val="auto"/>
              </w:rPr>
            </w:pPr>
            <w:r>
              <w:rPr>
                <w:color w:val="auto"/>
              </w:rPr>
              <w:t>（3）搅拌机清洗废水</w:t>
            </w:r>
          </w:p>
          <w:p w14:paraId="28DE838D">
            <w:pPr>
              <w:pStyle w:val="32"/>
              <w:ind w:firstLine="480"/>
              <w:rPr>
                <w:color w:val="auto"/>
              </w:rPr>
            </w:pPr>
            <w:r>
              <w:rPr>
                <w:color w:val="auto"/>
              </w:rPr>
              <w:t>项目搅拌机在暂时停止生产时须进行冲洗。根据建设单位提供资料，搅拌机冲洗用水按</w:t>
            </w:r>
            <w:r>
              <w:rPr>
                <w:rFonts w:hint="eastAsia"/>
                <w:color w:val="auto"/>
              </w:rPr>
              <w:t>2</w:t>
            </w:r>
            <w:r>
              <w:rPr>
                <w:color w:val="auto"/>
              </w:rPr>
              <w:t>.0m</w:t>
            </w:r>
            <w:r>
              <w:rPr>
                <w:color w:val="auto"/>
                <w:vertAlign w:val="superscript"/>
              </w:rPr>
              <w:t>3</w:t>
            </w:r>
            <w:r>
              <w:rPr>
                <w:color w:val="auto"/>
              </w:rPr>
              <w:t>/次计，每两天进行冲洗一次，</w:t>
            </w:r>
            <w:r>
              <w:rPr>
                <w:rFonts w:hint="eastAsia"/>
                <w:color w:val="auto"/>
              </w:rPr>
              <w:t>一年清洗150次，</w:t>
            </w:r>
            <w:r>
              <w:rPr>
                <w:color w:val="auto"/>
              </w:rPr>
              <w:t>则项目搅拌机冲洗用水量为</w:t>
            </w:r>
            <w:r>
              <w:rPr>
                <w:rFonts w:hint="eastAsia"/>
                <w:color w:val="auto"/>
              </w:rPr>
              <w:t>300</w:t>
            </w:r>
            <w:r>
              <w:rPr>
                <w:color w:val="auto"/>
              </w:rPr>
              <w:t>m</w:t>
            </w:r>
            <w:r>
              <w:rPr>
                <w:color w:val="auto"/>
                <w:vertAlign w:val="superscript"/>
              </w:rPr>
              <w:t>3</w:t>
            </w:r>
            <w:r>
              <w:rPr>
                <w:color w:val="auto"/>
              </w:rPr>
              <w:t>/a。污水产生系数按0.8计，则预计项目运营期搅拌机冲洗废水产生量为</w:t>
            </w:r>
            <w:r>
              <w:rPr>
                <w:rFonts w:hint="eastAsia"/>
                <w:color w:val="auto"/>
              </w:rPr>
              <w:t>240</w:t>
            </w:r>
            <w:r>
              <w:rPr>
                <w:color w:val="auto"/>
              </w:rPr>
              <w:t>m</w:t>
            </w:r>
            <w:r>
              <w:rPr>
                <w:color w:val="auto"/>
                <w:vertAlign w:val="superscript"/>
              </w:rPr>
              <w:t>3</w:t>
            </w:r>
            <w:r>
              <w:rPr>
                <w:color w:val="auto"/>
              </w:rPr>
              <w:t>/a</w:t>
            </w:r>
            <w:r>
              <w:rPr>
                <w:rFonts w:hint="eastAsia"/>
                <w:color w:val="auto"/>
              </w:rPr>
              <w:t>，0.8m</w:t>
            </w:r>
            <w:r>
              <w:rPr>
                <w:rFonts w:hint="eastAsia"/>
                <w:color w:val="auto"/>
                <w:vertAlign w:val="superscript"/>
              </w:rPr>
              <w:t>3</w:t>
            </w:r>
            <w:r>
              <w:rPr>
                <w:rFonts w:hint="eastAsia"/>
                <w:color w:val="auto"/>
              </w:rPr>
              <w:t>/d</w:t>
            </w:r>
            <w:r>
              <w:rPr>
                <w:color w:val="auto"/>
              </w:rPr>
              <w:t>。项目搅拌机冲洗废水</w:t>
            </w:r>
            <w:r>
              <w:rPr>
                <w:rFonts w:hint="eastAsia"/>
                <w:color w:val="auto"/>
              </w:rPr>
              <w:t>由截排水沟</w:t>
            </w:r>
            <w:r>
              <w:rPr>
                <w:color w:val="auto"/>
              </w:rPr>
              <w:t>排入</w:t>
            </w:r>
            <w:r>
              <w:rPr>
                <w:rFonts w:hint="eastAsia"/>
                <w:color w:val="auto"/>
              </w:rPr>
              <w:t>四级</w:t>
            </w:r>
            <w:r>
              <w:rPr>
                <w:color w:val="auto"/>
              </w:rPr>
              <w:t>沉淀池，经</w:t>
            </w:r>
            <w:r>
              <w:rPr>
                <w:rFonts w:hint="eastAsia"/>
                <w:color w:val="auto"/>
              </w:rPr>
              <w:t>四级</w:t>
            </w:r>
            <w:r>
              <w:rPr>
                <w:color w:val="auto"/>
              </w:rPr>
              <w:t>沉淀后上清液回用于混凝土搅拌工序，不外排。</w:t>
            </w:r>
          </w:p>
          <w:p w14:paraId="3C2890FD">
            <w:pPr>
              <w:ind w:firstLine="480"/>
              <w:rPr>
                <w:rFonts w:hint="default" w:eastAsia="宋体"/>
                <w:color w:val="auto"/>
                <w:lang w:val="en-US" w:eastAsia="zh-CN"/>
              </w:rPr>
            </w:pPr>
            <w:r>
              <w:rPr>
                <w:color w:val="auto"/>
              </w:rPr>
              <w:t>（4）</w:t>
            </w:r>
            <w:r>
              <w:rPr>
                <w:rFonts w:hint="eastAsia"/>
                <w:color w:val="auto"/>
                <w:lang w:val="en-US" w:eastAsia="zh-CN"/>
              </w:rPr>
              <w:t>试验区混凝土养护废水</w:t>
            </w:r>
          </w:p>
          <w:p w14:paraId="2805058D">
            <w:pPr>
              <w:ind w:firstLine="480"/>
              <w:rPr>
                <w:rFonts w:hint="default" w:eastAsia="宋体"/>
                <w:color w:val="auto"/>
                <w:lang w:val="en-US" w:eastAsia="zh-CN"/>
              </w:rPr>
            </w:pPr>
            <w:r>
              <w:rPr>
                <w:color w:val="auto"/>
              </w:rPr>
              <w:t>根据建设单位提供资料，</w:t>
            </w:r>
            <w:r>
              <w:rPr>
                <w:rFonts w:hint="eastAsia"/>
                <w:color w:val="auto"/>
                <w:lang w:val="en-US" w:eastAsia="zh-CN"/>
              </w:rPr>
              <w:t>项目试验区混凝土养护用水量为0.78m</w:t>
            </w:r>
            <w:r>
              <w:rPr>
                <w:rFonts w:hint="eastAsia"/>
                <w:color w:val="auto"/>
                <w:vertAlign w:val="superscript"/>
                <w:lang w:val="en-US" w:eastAsia="zh-CN"/>
              </w:rPr>
              <w:t>3</w:t>
            </w:r>
            <w:r>
              <w:rPr>
                <w:rFonts w:hint="eastAsia"/>
                <w:color w:val="auto"/>
                <w:lang w:val="en-US" w:eastAsia="zh-CN"/>
              </w:rPr>
              <w:t>/d，234m</w:t>
            </w:r>
            <w:r>
              <w:rPr>
                <w:rFonts w:hint="eastAsia"/>
                <w:color w:val="auto"/>
                <w:vertAlign w:val="superscript"/>
                <w:lang w:val="en-US" w:eastAsia="zh-CN"/>
              </w:rPr>
              <w:t>3</w:t>
            </w:r>
            <w:r>
              <w:rPr>
                <w:rFonts w:hint="eastAsia"/>
                <w:color w:val="auto"/>
                <w:lang w:val="en-US" w:eastAsia="zh-CN"/>
              </w:rPr>
              <w:t>/a，污水产生系数按0.8计，则项目试验区混凝土养护废水为0.624m</w:t>
            </w:r>
            <w:r>
              <w:rPr>
                <w:rFonts w:hint="eastAsia"/>
                <w:color w:val="auto"/>
                <w:vertAlign w:val="superscript"/>
                <w:lang w:val="en-US" w:eastAsia="zh-CN"/>
              </w:rPr>
              <w:t>2</w:t>
            </w:r>
            <w:r>
              <w:rPr>
                <w:rFonts w:hint="eastAsia"/>
                <w:color w:val="auto"/>
                <w:lang w:val="en-US" w:eastAsia="zh-CN"/>
              </w:rPr>
              <w:t>/d，187.2m</w:t>
            </w:r>
            <w:r>
              <w:rPr>
                <w:rFonts w:hint="eastAsia"/>
                <w:color w:val="auto"/>
                <w:vertAlign w:val="superscript"/>
                <w:lang w:val="en-US" w:eastAsia="zh-CN"/>
              </w:rPr>
              <w:t>3</w:t>
            </w:r>
            <w:r>
              <w:rPr>
                <w:rFonts w:hint="eastAsia"/>
                <w:color w:val="auto"/>
                <w:lang w:val="en-US" w:eastAsia="zh-CN"/>
              </w:rPr>
              <w:t>/a。此部分废水排至三级沉淀池，经沉淀后回用于混凝土搅拌，不外排。</w:t>
            </w:r>
          </w:p>
          <w:p w14:paraId="5C9AAFBB">
            <w:pPr>
              <w:ind w:firstLine="480"/>
              <w:rPr>
                <w:color w:val="auto"/>
              </w:rPr>
            </w:pPr>
            <w:r>
              <w:rPr>
                <w:color w:val="auto"/>
              </w:rPr>
              <w:t>（</w:t>
            </w:r>
            <w:r>
              <w:rPr>
                <w:rFonts w:hint="eastAsia"/>
                <w:color w:val="auto"/>
                <w:lang w:val="en-US" w:eastAsia="zh-CN"/>
              </w:rPr>
              <w:t>5</w:t>
            </w:r>
            <w:r>
              <w:rPr>
                <w:color w:val="auto"/>
              </w:rPr>
              <w:t>）锅炉废水</w:t>
            </w:r>
          </w:p>
          <w:p w14:paraId="2409C355">
            <w:pPr>
              <w:pStyle w:val="32"/>
              <w:ind w:firstLine="480"/>
              <w:rPr>
                <w:color w:val="auto"/>
              </w:rPr>
            </w:pPr>
            <w:r>
              <w:rPr>
                <w:rFonts w:hint="eastAsia" w:ascii="GWZT-EN" w:hAnsi="GWZT-EN" w:eastAsia="GWZT-EN" w:cs="GWZT-EN"/>
                <w:color w:val="auto"/>
              </w:rPr>
              <w:t>①</w:t>
            </w:r>
            <w:r>
              <w:rPr>
                <w:color w:val="auto"/>
              </w:rPr>
              <w:t>锅炉清净水</w:t>
            </w:r>
          </w:p>
          <w:p w14:paraId="79E186E8">
            <w:pPr>
              <w:pStyle w:val="32"/>
              <w:ind w:firstLine="480"/>
              <w:rPr>
                <w:rFonts w:hint="default" w:eastAsia="宋体"/>
                <w:color w:val="auto"/>
                <w:lang w:val="en-US" w:eastAsia="zh-CN"/>
              </w:rPr>
            </w:pPr>
            <w:r>
              <w:rPr>
                <w:rFonts w:hint="eastAsia"/>
                <w:color w:val="auto"/>
                <w:lang w:val="en-US" w:eastAsia="zh-CN"/>
              </w:rPr>
              <w:t>根据建设单位提供资料，项目锅炉每天需要清洗一次，用水量为0.62m</w:t>
            </w:r>
            <w:r>
              <w:rPr>
                <w:rFonts w:hint="eastAsia"/>
                <w:color w:val="auto"/>
                <w:vertAlign w:val="superscript"/>
                <w:lang w:val="en-US" w:eastAsia="zh-CN"/>
              </w:rPr>
              <w:t>3</w:t>
            </w:r>
            <w:r>
              <w:rPr>
                <w:rFonts w:hint="eastAsia"/>
                <w:color w:val="auto"/>
                <w:vertAlign w:val="baseline"/>
                <w:lang w:val="en-US" w:eastAsia="zh-CN"/>
              </w:rPr>
              <w:t>/d，186m</w:t>
            </w:r>
            <w:r>
              <w:rPr>
                <w:rFonts w:hint="eastAsia"/>
                <w:color w:val="auto"/>
                <w:vertAlign w:val="superscript"/>
                <w:lang w:val="en-US" w:eastAsia="zh-CN"/>
              </w:rPr>
              <w:t>3</w:t>
            </w:r>
            <w:r>
              <w:rPr>
                <w:rFonts w:hint="eastAsia"/>
                <w:color w:val="auto"/>
                <w:vertAlign w:val="baseline"/>
                <w:lang w:val="en-US" w:eastAsia="zh-CN"/>
              </w:rPr>
              <w:t>/a。</w:t>
            </w:r>
            <w:r>
              <w:rPr>
                <w:color w:val="auto"/>
              </w:rPr>
              <w:t>本评价参照《工业源产排污核算方法和系数</w:t>
            </w:r>
            <w:r>
              <w:rPr>
                <w:rFonts w:hint="eastAsia"/>
                <w:color w:val="auto"/>
                <w:lang w:eastAsia="zh-CN"/>
              </w:rPr>
              <w:t>手册</w:t>
            </w:r>
            <w:r>
              <w:rPr>
                <w:color w:val="auto"/>
              </w:rPr>
              <w:t>》（2021年版）中的“4430工业锅炉（热力生产和供应行业）产污系数表－工业废水量和化学需氧量”，燃生物质锅炉排污水的废水量产污系数为0.259t/t－原料，则预计项目运营期锅炉排污水产生量为</w:t>
            </w:r>
            <w:r>
              <w:rPr>
                <w:rFonts w:hint="eastAsia"/>
                <w:color w:val="auto"/>
                <w:lang w:val="en-US" w:eastAsia="zh-CN"/>
              </w:rPr>
              <w:t>48.2</w:t>
            </w:r>
            <w:r>
              <w:rPr>
                <w:rFonts w:hint="eastAsia"/>
                <w:color w:val="auto"/>
              </w:rPr>
              <w:t>t</w:t>
            </w:r>
            <w:r>
              <w:rPr>
                <w:color w:val="auto"/>
              </w:rPr>
              <w:t>/a</w:t>
            </w:r>
            <w:r>
              <w:rPr>
                <w:rFonts w:hint="eastAsia"/>
                <w:color w:val="auto"/>
                <w:lang w:eastAsia="zh-CN"/>
              </w:rPr>
              <w:t>，</w:t>
            </w:r>
            <w:r>
              <w:rPr>
                <w:rFonts w:hint="eastAsia"/>
                <w:color w:val="auto"/>
                <w:lang w:val="en-US" w:eastAsia="zh-CN"/>
              </w:rPr>
              <w:t>0.16t/d。锅炉清净水排入四级沉淀池处理后回用于混凝土搅拌，不外排。</w:t>
            </w:r>
          </w:p>
          <w:p w14:paraId="259396A5">
            <w:pPr>
              <w:pStyle w:val="32"/>
              <w:ind w:firstLine="480"/>
              <w:rPr>
                <w:rFonts w:hint="default" w:eastAsia="宋体"/>
                <w:color w:val="auto"/>
                <w:lang w:val="en-US" w:eastAsia="zh-CN"/>
              </w:rPr>
            </w:pPr>
            <w:r>
              <w:rPr>
                <w:color w:val="auto"/>
              </w:rPr>
              <w:t>（6）</w:t>
            </w:r>
            <w:r>
              <w:rPr>
                <w:rFonts w:hint="eastAsia"/>
                <w:color w:val="auto"/>
                <w:lang w:val="en-US" w:eastAsia="zh-CN"/>
              </w:rPr>
              <w:t>罐车清洗用水</w:t>
            </w:r>
          </w:p>
          <w:p w14:paraId="565BF93B">
            <w:pPr>
              <w:ind w:firstLine="480"/>
              <w:rPr>
                <w:color w:val="auto"/>
                <w:kern w:val="0"/>
              </w:rPr>
            </w:pPr>
            <w:r>
              <w:rPr>
                <w:color w:val="auto"/>
                <w:kern w:val="0"/>
              </w:rPr>
              <w:t>为保证车辆出场清洁，减少运输扬尘产生，本项目于汽车出口处设置</w:t>
            </w:r>
            <w:r>
              <w:rPr>
                <w:rFonts w:hint="eastAsia"/>
                <w:color w:val="auto"/>
                <w:kern w:val="0"/>
                <w:lang w:val="en-US" w:eastAsia="zh-CN"/>
              </w:rPr>
              <w:t>罐车</w:t>
            </w:r>
            <w:r>
              <w:rPr>
                <w:color w:val="auto"/>
                <w:kern w:val="0"/>
              </w:rPr>
              <w:t>清洗平台，主要对运输</w:t>
            </w:r>
            <w:r>
              <w:rPr>
                <w:rFonts w:hint="eastAsia"/>
                <w:color w:val="auto"/>
                <w:kern w:val="0"/>
                <w:lang w:val="en-US" w:eastAsia="zh-CN"/>
              </w:rPr>
              <w:t>罐车</w:t>
            </w:r>
            <w:r>
              <w:rPr>
                <w:color w:val="auto"/>
                <w:kern w:val="0"/>
              </w:rPr>
              <w:t>进行冲洗，根据《云南省地方标准一用水定额》（DB53/T168-2019），清洁服务（洗车）高压水枪冲洗用水量为0.04</w:t>
            </w:r>
            <w:r>
              <w:rPr>
                <w:color w:val="auto"/>
              </w:rPr>
              <w:t>m</w:t>
            </w:r>
            <w:r>
              <w:rPr>
                <w:color w:val="auto"/>
                <w:vertAlign w:val="superscript"/>
              </w:rPr>
              <w:t>3</w:t>
            </w:r>
            <w:r>
              <w:rPr>
                <w:color w:val="auto"/>
                <w:kern w:val="0"/>
              </w:rPr>
              <w:t>/（车.次），项目车辆运输出场次数为</w:t>
            </w:r>
            <w:r>
              <w:rPr>
                <w:rFonts w:hint="eastAsia"/>
                <w:color w:val="auto"/>
                <w:kern w:val="0"/>
              </w:rPr>
              <w:t>5147</w:t>
            </w:r>
            <w:r>
              <w:rPr>
                <w:color w:val="auto"/>
                <w:kern w:val="0"/>
              </w:rPr>
              <w:t>次/a，则车辆冲洗用水量为</w:t>
            </w:r>
            <w:r>
              <w:rPr>
                <w:rFonts w:hint="eastAsia"/>
                <w:color w:val="auto"/>
                <w:kern w:val="0"/>
              </w:rPr>
              <w:t>205.88</w:t>
            </w:r>
            <w:r>
              <w:rPr>
                <w:color w:val="auto"/>
              </w:rPr>
              <w:t>m</w:t>
            </w:r>
            <w:r>
              <w:rPr>
                <w:color w:val="auto"/>
                <w:vertAlign w:val="superscript"/>
              </w:rPr>
              <w:t>3</w:t>
            </w:r>
            <w:r>
              <w:rPr>
                <w:color w:val="auto"/>
                <w:kern w:val="0"/>
              </w:rPr>
              <w:t>/a，</w:t>
            </w:r>
            <w:r>
              <w:rPr>
                <w:rFonts w:hint="eastAsia"/>
                <w:color w:val="auto"/>
                <w:kern w:val="0"/>
              </w:rPr>
              <w:t>0.69</w:t>
            </w:r>
            <w:r>
              <w:rPr>
                <w:color w:val="auto"/>
              </w:rPr>
              <w:t>m</w:t>
            </w:r>
            <w:r>
              <w:rPr>
                <w:color w:val="auto"/>
                <w:vertAlign w:val="superscript"/>
              </w:rPr>
              <w:t>3</w:t>
            </w:r>
            <w:r>
              <w:rPr>
                <w:color w:val="auto"/>
                <w:kern w:val="0"/>
              </w:rPr>
              <w:t>/d，产生的冲洗废水经</w:t>
            </w:r>
            <w:r>
              <w:rPr>
                <w:rFonts w:hint="eastAsia"/>
                <w:color w:val="auto"/>
                <w:kern w:val="0"/>
                <w:lang w:val="en-US" w:eastAsia="zh-CN"/>
              </w:rPr>
              <w:t>五级</w:t>
            </w:r>
            <w:r>
              <w:rPr>
                <w:color w:val="auto"/>
                <w:kern w:val="0"/>
              </w:rPr>
              <w:t>沉淀池收集后回用于</w:t>
            </w:r>
            <w:r>
              <w:rPr>
                <w:rFonts w:hint="eastAsia"/>
                <w:color w:val="auto"/>
                <w:kern w:val="0"/>
                <w:lang w:val="en-US" w:eastAsia="zh-CN"/>
              </w:rPr>
              <w:t>混凝土搅拌</w:t>
            </w:r>
            <w:r>
              <w:rPr>
                <w:color w:val="auto"/>
                <w:kern w:val="0"/>
              </w:rPr>
              <w:t>，</w:t>
            </w:r>
            <w:r>
              <w:rPr>
                <w:rStyle w:val="25"/>
                <w:color w:val="auto"/>
                <w:sz w:val="24"/>
              </w:rPr>
              <w:t>不</w:t>
            </w:r>
            <w:r>
              <w:rPr>
                <w:color w:val="auto"/>
                <w:kern w:val="0"/>
              </w:rPr>
              <w:t>外排。</w:t>
            </w:r>
            <w:r>
              <w:rPr>
                <w:rFonts w:hint="eastAsia"/>
                <w:color w:val="auto"/>
                <w:kern w:val="0"/>
                <w:lang w:val="en-US" w:eastAsia="zh-CN"/>
              </w:rPr>
              <w:t>罐车</w:t>
            </w:r>
            <w:r>
              <w:rPr>
                <w:color w:val="auto"/>
                <w:kern w:val="0"/>
              </w:rPr>
              <w:t>冲洗废水每天损失量按5%计，则年补水量为</w:t>
            </w:r>
            <w:r>
              <w:rPr>
                <w:rFonts w:hint="eastAsia"/>
                <w:color w:val="auto"/>
                <w:kern w:val="0"/>
              </w:rPr>
              <w:t>10.294</w:t>
            </w:r>
            <w:r>
              <w:rPr>
                <w:color w:val="auto"/>
              </w:rPr>
              <w:t>m</w:t>
            </w:r>
            <w:r>
              <w:rPr>
                <w:color w:val="auto"/>
                <w:vertAlign w:val="superscript"/>
              </w:rPr>
              <w:t>3</w:t>
            </w:r>
            <w:r>
              <w:rPr>
                <w:color w:val="auto"/>
                <w:kern w:val="0"/>
              </w:rPr>
              <w:t>/a，每天补水为</w:t>
            </w:r>
            <w:r>
              <w:rPr>
                <w:rFonts w:hint="eastAsia"/>
                <w:color w:val="auto"/>
                <w:kern w:val="0"/>
              </w:rPr>
              <w:t>0.034</w:t>
            </w:r>
            <w:r>
              <w:rPr>
                <w:color w:val="auto"/>
                <w:kern w:val="0"/>
              </w:rPr>
              <w:t>m³/d，故废水回用量约</w:t>
            </w:r>
            <w:r>
              <w:rPr>
                <w:rFonts w:hint="eastAsia"/>
                <w:color w:val="auto"/>
                <w:kern w:val="0"/>
              </w:rPr>
              <w:t>0.656</w:t>
            </w:r>
            <w:r>
              <w:rPr>
                <w:color w:val="auto"/>
                <w:kern w:val="0"/>
              </w:rPr>
              <w:t>m</w:t>
            </w:r>
            <w:r>
              <w:rPr>
                <w:color w:val="auto"/>
                <w:kern w:val="0"/>
                <w:vertAlign w:val="superscript"/>
              </w:rPr>
              <w:t>3</w:t>
            </w:r>
            <w:r>
              <w:rPr>
                <w:color w:val="auto"/>
                <w:kern w:val="0"/>
              </w:rPr>
              <w:t>/d。因</w:t>
            </w:r>
            <w:r>
              <w:rPr>
                <w:rFonts w:hint="eastAsia"/>
                <w:color w:val="auto"/>
                <w:kern w:val="0"/>
                <w:lang w:val="en-US" w:eastAsia="zh-CN"/>
              </w:rPr>
              <w:t>清洗罐车</w:t>
            </w:r>
            <w:r>
              <w:rPr>
                <w:color w:val="auto"/>
                <w:kern w:val="0"/>
              </w:rPr>
              <w:t>废水中含有大量杂质及SS，较为浑浊。</w:t>
            </w:r>
            <w:r>
              <w:rPr>
                <w:rFonts w:hint="eastAsia"/>
                <w:color w:val="auto"/>
                <w:kern w:val="0"/>
                <w:lang w:eastAsia="zh-CN"/>
              </w:rPr>
              <w:t>泄漏</w:t>
            </w:r>
            <w:r>
              <w:rPr>
                <w:color w:val="auto"/>
                <w:kern w:val="0"/>
              </w:rPr>
              <w:t>或者直接外排均会造成地表水、地下水污染。所以本项目建</w:t>
            </w:r>
            <w:r>
              <w:rPr>
                <w:rFonts w:hint="eastAsia"/>
                <w:color w:val="auto"/>
                <w:kern w:val="0"/>
                <w:lang w:val="en-US" w:eastAsia="zh-CN"/>
              </w:rPr>
              <w:t>设规格为2*3.5*1m</w:t>
            </w:r>
            <w:r>
              <w:rPr>
                <w:rFonts w:hint="eastAsia"/>
                <w:color w:val="auto"/>
                <w:kern w:val="0"/>
              </w:rPr>
              <w:t>的</w:t>
            </w:r>
            <w:r>
              <w:rPr>
                <w:rFonts w:hint="eastAsia"/>
                <w:color w:val="auto"/>
                <w:kern w:val="0"/>
                <w:lang w:val="en-US" w:eastAsia="zh-CN"/>
              </w:rPr>
              <w:t>五级沉淀池</w:t>
            </w:r>
            <w:r>
              <w:rPr>
                <w:color w:val="auto"/>
                <w:kern w:val="0"/>
              </w:rPr>
              <w:t>，</w:t>
            </w:r>
            <w:bookmarkStart w:id="16" w:name="_Hlk114473621"/>
            <w:r>
              <w:rPr>
                <w:rFonts w:hint="eastAsia"/>
                <w:color w:val="auto"/>
                <w:kern w:val="0"/>
              </w:rPr>
              <w:t>经</w:t>
            </w:r>
            <w:r>
              <w:rPr>
                <w:color w:val="auto"/>
                <w:kern w:val="0"/>
              </w:rPr>
              <w:t>沉淀后回用于</w:t>
            </w:r>
            <w:bookmarkEnd w:id="16"/>
            <w:r>
              <w:rPr>
                <w:rFonts w:hint="eastAsia"/>
                <w:color w:val="auto"/>
                <w:kern w:val="0"/>
                <w:lang w:val="en-US" w:eastAsia="zh-CN"/>
              </w:rPr>
              <w:t>混凝土搅拌</w:t>
            </w:r>
            <w:r>
              <w:rPr>
                <w:color w:val="auto"/>
                <w:kern w:val="0"/>
              </w:rPr>
              <w:t>。</w:t>
            </w:r>
          </w:p>
          <w:p w14:paraId="46725612">
            <w:pPr>
              <w:keepLines/>
              <w:widowControl/>
              <w:ind w:firstLine="480"/>
              <w:rPr>
                <w:bCs/>
                <w:color w:val="auto"/>
                <w:kern w:val="0"/>
                <w:highlight w:val="yellow"/>
              </w:rPr>
            </w:pPr>
            <w:r>
              <w:rPr>
                <w:bCs/>
                <w:color w:val="auto"/>
                <w:kern w:val="0"/>
              </w:rPr>
              <w:t>（7）初期雨水</w:t>
            </w:r>
          </w:p>
          <w:p w14:paraId="1F0F2E22">
            <w:pPr>
              <w:keepLines/>
              <w:widowControl/>
              <w:ind w:firstLine="480"/>
              <w:rPr>
                <w:color w:val="auto"/>
                <w:kern w:val="0"/>
              </w:rPr>
            </w:pPr>
            <w:r>
              <w:rPr>
                <w:color w:val="auto"/>
                <w:kern w:val="0"/>
              </w:rPr>
              <w:t>项目运营期间如果遇到雨季，会产生初期雨水。初期雨水冲刷项目区会产生高浊度地表径流，夹带大量泥沙。本次环评主要考虑露天区域产生的初期雨水，汇水面积约为200m²，按每次收集15分钟降雨径流作为初期雨水计。</w:t>
            </w:r>
          </w:p>
          <w:p w14:paraId="3864F725">
            <w:pPr>
              <w:keepLines/>
              <w:widowControl/>
              <w:ind w:firstLine="480"/>
              <w:rPr>
                <w:rFonts w:hint="default" w:eastAsia="宋体"/>
                <w:color w:val="auto"/>
                <w:kern w:val="0"/>
                <w:lang w:val="en-US" w:eastAsia="zh-CN"/>
              </w:rPr>
            </w:pPr>
            <w:r>
              <w:rPr>
                <w:color w:val="auto"/>
                <w:kern w:val="0"/>
              </w:rPr>
              <w:t>暴雨强度及雨水流量计算结果详见图</w:t>
            </w:r>
            <w:r>
              <w:rPr>
                <w:rFonts w:hint="eastAsia"/>
                <w:color w:val="auto"/>
                <w:kern w:val="0"/>
                <w:lang w:val="en-US" w:eastAsia="zh-CN"/>
              </w:rPr>
              <w:t>4-1。</w:t>
            </w:r>
          </w:p>
          <w:p w14:paraId="4C678B54">
            <w:pPr>
              <w:pStyle w:val="10"/>
              <w:spacing w:after="0" w:line="360" w:lineRule="auto"/>
              <w:ind w:left="0" w:leftChars="0" w:firstLine="0" w:firstLineChars="0"/>
              <w:jc w:val="center"/>
              <w:rPr>
                <w:color w:val="auto"/>
                <w:highlight w:val="yellow"/>
              </w:rPr>
            </w:pPr>
            <w:r>
              <w:rPr>
                <w:color w:val="auto"/>
              </w:rPr>
              <w:drawing>
                <wp:inline distT="0" distB="0" distL="114300" distR="114300">
                  <wp:extent cx="4790440" cy="4618990"/>
                  <wp:effectExtent l="0" t="0" r="10160" b="10160"/>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22"/>
                          <a:stretch>
                            <a:fillRect/>
                          </a:stretch>
                        </pic:blipFill>
                        <pic:spPr>
                          <a:xfrm>
                            <a:off x="0" y="0"/>
                            <a:ext cx="4790440" cy="4618990"/>
                          </a:xfrm>
                          <a:prstGeom prst="rect">
                            <a:avLst/>
                          </a:prstGeom>
                          <a:noFill/>
                          <a:ln>
                            <a:noFill/>
                          </a:ln>
                        </pic:spPr>
                      </pic:pic>
                    </a:graphicData>
                  </a:graphic>
                </wp:inline>
              </w:drawing>
            </w:r>
          </w:p>
          <w:p w14:paraId="7090FDA0">
            <w:pPr>
              <w:tabs>
                <w:tab w:val="center" w:pos="4153"/>
                <w:tab w:val="right" w:pos="8306"/>
              </w:tabs>
              <w:ind w:firstLine="482"/>
              <w:jc w:val="center"/>
              <w:rPr>
                <w:b/>
                <w:color w:val="auto"/>
                <w:kern w:val="0"/>
              </w:rPr>
            </w:pPr>
            <w:r>
              <w:rPr>
                <w:b/>
                <w:color w:val="auto"/>
                <w:kern w:val="0"/>
              </w:rPr>
              <w:t>图</w:t>
            </w:r>
            <w:r>
              <w:rPr>
                <w:rFonts w:hint="eastAsia"/>
                <w:b/>
                <w:bCs/>
                <w:color w:val="auto"/>
                <w:lang w:val="en-US" w:eastAsia="zh-CN"/>
              </w:rPr>
              <w:t xml:space="preserve">4-1 </w:t>
            </w:r>
            <w:r>
              <w:rPr>
                <w:b/>
                <w:color w:val="auto"/>
                <w:kern w:val="0"/>
              </w:rPr>
              <w:t xml:space="preserve"> 项目</w:t>
            </w:r>
            <w:r>
              <w:rPr>
                <w:b/>
                <w:color w:val="auto"/>
              </w:rPr>
              <w:t>区</w:t>
            </w:r>
            <w:r>
              <w:rPr>
                <w:b/>
                <w:color w:val="auto"/>
                <w:kern w:val="0"/>
              </w:rPr>
              <w:t>暴雨强度及雨水流量计算结果图（参照</w:t>
            </w:r>
            <w:r>
              <w:rPr>
                <w:rFonts w:hint="eastAsia"/>
                <w:b/>
                <w:color w:val="auto"/>
                <w:kern w:val="0"/>
              </w:rPr>
              <w:t>昆明市</w:t>
            </w:r>
            <w:r>
              <w:rPr>
                <w:b/>
                <w:color w:val="auto"/>
                <w:kern w:val="0"/>
              </w:rPr>
              <w:t>）</w:t>
            </w:r>
          </w:p>
          <w:p w14:paraId="017E75DC">
            <w:pPr>
              <w:pStyle w:val="10"/>
              <w:spacing w:after="0" w:line="360" w:lineRule="auto"/>
              <w:ind w:left="0" w:leftChars="0" w:firstLine="480"/>
              <w:rPr>
                <w:rFonts w:hint="eastAsia"/>
                <w:color w:val="auto"/>
              </w:rPr>
            </w:pPr>
            <w:r>
              <w:rPr>
                <w:color w:val="auto"/>
              </w:rPr>
              <w:t>经计算得，</w:t>
            </w:r>
            <w:r>
              <w:rPr>
                <w:rFonts w:hint="eastAsia"/>
                <w:color w:val="auto"/>
              </w:rPr>
              <w:t>生产区</w:t>
            </w:r>
            <w:r>
              <w:rPr>
                <w:color w:val="auto"/>
              </w:rPr>
              <w:t>雨水流量为</w:t>
            </w:r>
            <w:r>
              <w:rPr>
                <w:rFonts w:hint="eastAsia"/>
                <w:color w:val="auto"/>
              </w:rPr>
              <w:t>148.24</w:t>
            </w:r>
            <w:r>
              <w:rPr>
                <w:color w:val="auto"/>
              </w:rPr>
              <w:t>m</w:t>
            </w:r>
            <w:r>
              <w:rPr>
                <w:rFonts w:hint="eastAsia"/>
                <w:color w:val="auto"/>
              </w:rPr>
              <w:t>³</w:t>
            </w:r>
            <w:r>
              <w:rPr>
                <w:color w:val="auto"/>
              </w:rPr>
              <w:t>/h，取前15分钟降雨量，则流量约为</w:t>
            </w:r>
            <w:r>
              <w:rPr>
                <w:rFonts w:hint="eastAsia"/>
                <w:color w:val="auto"/>
              </w:rPr>
              <w:t>37.06m</w:t>
            </w:r>
            <w:r>
              <w:rPr>
                <w:color w:val="auto"/>
                <w:vertAlign w:val="superscript"/>
              </w:rPr>
              <w:t>3</w:t>
            </w:r>
            <w:r>
              <w:rPr>
                <w:color w:val="auto"/>
              </w:rPr>
              <w:t>/次</w:t>
            </w:r>
            <w:r>
              <w:rPr>
                <w:rFonts w:hint="eastAsia"/>
                <w:color w:val="auto"/>
              </w:rPr>
              <w:t>，本次环评考虑到雨水收集后回用不完故</w:t>
            </w:r>
            <w:r>
              <w:rPr>
                <w:color w:val="auto"/>
              </w:rPr>
              <w:t>要求</w:t>
            </w:r>
            <w:r>
              <w:rPr>
                <w:rFonts w:hint="eastAsia"/>
                <w:color w:val="auto"/>
              </w:rPr>
              <w:t>项目</w:t>
            </w:r>
            <w:r>
              <w:rPr>
                <w:color w:val="auto"/>
              </w:rPr>
              <w:t>建设1个容积不小于</w:t>
            </w:r>
            <w:r>
              <w:rPr>
                <w:rFonts w:hint="eastAsia"/>
                <w:color w:val="auto"/>
              </w:rPr>
              <w:t>45</w:t>
            </w:r>
            <w:r>
              <w:rPr>
                <w:color w:val="auto"/>
              </w:rPr>
              <w:t>m</w:t>
            </w:r>
            <w:r>
              <w:rPr>
                <w:color w:val="auto"/>
                <w:vertAlign w:val="superscript"/>
              </w:rPr>
              <w:t>3</w:t>
            </w:r>
            <w:r>
              <w:rPr>
                <w:color w:val="auto"/>
              </w:rPr>
              <w:t>的初期雨水收集池</w:t>
            </w:r>
            <w:r>
              <w:rPr>
                <w:rFonts w:hint="eastAsia"/>
                <w:color w:val="auto"/>
              </w:rPr>
              <w:t>（考虑1.2的冗沉系数）</w:t>
            </w:r>
            <w:r>
              <w:rPr>
                <w:color w:val="auto"/>
              </w:rPr>
              <w:t>，</w:t>
            </w:r>
            <w:r>
              <w:rPr>
                <w:rFonts w:hint="eastAsia"/>
                <w:color w:val="auto"/>
              </w:rPr>
              <w:t>本项目产生的初期雨水经雨水沟排入初期雨水收集池，经初期雨水收集池沉淀处理后回用于搅拌工序。</w:t>
            </w:r>
          </w:p>
          <w:p w14:paraId="70975D80">
            <w:pPr>
              <w:keepLines/>
              <w:widowControl/>
              <w:ind w:firstLine="480"/>
              <w:rPr>
                <w:bCs/>
                <w:color w:val="auto"/>
                <w:kern w:val="0"/>
              </w:rPr>
            </w:pPr>
            <w:r>
              <w:rPr>
                <w:bCs/>
                <w:color w:val="auto"/>
                <w:kern w:val="0"/>
              </w:rPr>
              <w:t>（8）绿化用水</w:t>
            </w:r>
          </w:p>
          <w:p w14:paraId="206F352D">
            <w:pPr>
              <w:pStyle w:val="4"/>
              <w:ind w:firstLine="480"/>
              <w:jc w:val="both"/>
              <w:rPr>
                <w:color w:val="auto"/>
              </w:rPr>
            </w:pPr>
            <w:r>
              <w:rPr>
                <w:color w:val="auto"/>
              </w:rPr>
              <w:t>项目区绿化面积为</w:t>
            </w:r>
            <w:r>
              <w:rPr>
                <w:rFonts w:hint="eastAsia"/>
                <w:color w:val="auto"/>
              </w:rPr>
              <w:t>1000</w:t>
            </w:r>
            <w:r>
              <w:rPr>
                <w:color w:val="auto"/>
              </w:rPr>
              <w:t>m</w:t>
            </w:r>
            <w:r>
              <w:rPr>
                <w:color w:val="auto"/>
                <w:vertAlign w:val="superscript"/>
              </w:rPr>
              <w:t>2</w:t>
            </w:r>
            <w:r>
              <w:rPr>
                <w:color w:val="auto"/>
              </w:rPr>
              <w:t>，绿化用水根据《云南省地方标准用水定额》（DB53/T168-2019），定额取3L/</w:t>
            </w:r>
            <w:r>
              <w:rPr>
                <w:rFonts w:hint="eastAsia"/>
                <w:color w:val="auto"/>
                <w:lang w:eastAsia="zh-CN"/>
              </w:rPr>
              <w:t>（</w:t>
            </w:r>
            <w:r>
              <w:rPr>
                <w:color w:val="auto"/>
              </w:rPr>
              <w:t>m</w:t>
            </w:r>
            <w:r>
              <w:rPr>
                <w:color w:val="auto"/>
                <w:vertAlign w:val="superscript"/>
              </w:rPr>
              <w:t>2</w:t>
            </w:r>
            <w:r>
              <w:rPr>
                <w:color w:val="auto"/>
              </w:rPr>
              <w:t>·次</w:t>
            </w:r>
            <w:r>
              <w:rPr>
                <w:rFonts w:hint="eastAsia"/>
                <w:color w:val="auto"/>
                <w:lang w:eastAsia="zh-CN"/>
              </w:rPr>
              <w:t>）</w:t>
            </w:r>
            <w:r>
              <w:rPr>
                <w:color w:val="auto"/>
              </w:rPr>
              <w:t>，每天绿化1次，则非雨天绿化用水量为</w:t>
            </w:r>
            <w:r>
              <w:rPr>
                <w:rFonts w:hint="eastAsia"/>
                <w:color w:val="auto"/>
              </w:rPr>
              <w:t>3</w:t>
            </w:r>
            <w:r>
              <w:rPr>
                <w:color w:val="auto"/>
              </w:rPr>
              <w:t>m</w:t>
            </w:r>
            <w:r>
              <w:rPr>
                <w:color w:val="auto"/>
                <w:vertAlign w:val="superscript"/>
              </w:rPr>
              <w:t>3</w:t>
            </w:r>
            <w:r>
              <w:rPr>
                <w:color w:val="auto"/>
              </w:rPr>
              <w:t>/d，非雨天每年按200d计，非雨天绿化用水量为</w:t>
            </w:r>
            <w:r>
              <w:rPr>
                <w:rFonts w:hint="eastAsia"/>
                <w:color w:val="auto"/>
              </w:rPr>
              <w:t>600</w:t>
            </w:r>
            <w:r>
              <w:rPr>
                <w:color w:val="auto"/>
              </w:rPr>
              <w:t>m</w:t>
            </w:r>
            <w:r>
              <w:rPr>
                <w:color w:val="auto"/>
                <w:vertAlign w:val="superscript"/>
              </w:rPr>
              <w:t>3</w:t>
            </w:r>
            <w:r>
              <w:rPr>
                <w:color w:val="auto"/>
              </w:rPr>
              <w:t>/a，绿化用水全部自然蒸发、渗透损耗，不外排。</w:t>
            </w:r>
          </w:p>
          <w:p w14:paraId="6BA5799C">
            <w:pPr>
              <w:keepLines/>
              <w:widowControl/>
              <w:ind w:firstLine="480"/>
              <w:rPr>
                <w:bCs/>
                <w:color w:val="auto"/>
                <w:kern w:val="0"/>
              </w:rPr>
            </w:pPr>
            <w:r>
              <w:rPr>
                <w:bCs/>
                <w:color w:val="auto"/>
                <w:kern w:val="0"/>
              </w:rPr>
              <w:t>（9）洒水降尘用水</w:t>
            </w:r>
          </w:p>
          <w:p w14:paraId="77E29526">
            <w:pPr>
              <w:ind w:left="120" w:leftChars="50" w:firstLine="480"/>
              <w:rPr>
                <w:color w:val="auto"/>
                <w:kern w:val="0"/>
              </w:rPr>
            </w:pPr>
            <w:r>
              <w:rPr>
                <w:color w:val="auto"/>
              </w:rPr>
              <w:t>项目需要对厂区道路等进行洒水降尘，项目区需洒水降尘的面积约</w:t>
            </w:r>
            <w:r>
              <w:rPr>
                <w:rFonts w:hint="eastAsia"/>
                <w:color w:val="auto"/>
              </w:rPr>
              <w:t>3500</w:t>
            </w:r>
            <w:r>
              <w:rPr>
                <w:color w:val="auto"/>
              </w:rPr>
              <w:t>m</w:t>
            </w:r>
            <w:r>
              <w:rPr>
                <w:color w:val="auto"/>
                <w:vertAlign w:val="superscript"/>
              </w:rPr>
              <w:t>2</w:t>
            </w:r>
            <w:r>
              <w:rPr>
                <w:color w:val="auto"/>
              </w:rPr>
              <w:t>计，</w:t>
            </w:r>
            <w:r>
              <w:rPr>
                <w:color w:val="auto"/>
                <w:kern w:val="0"/>
              </w:rPr>
              <w:t>洒水量按0.5L/m</w:t>
            </w:r>
            <w:r>
              <w:rPr>
                <w:color w:val="auto"/>
                <w:kern w:val="0"/>
                <w:vertAlign w:val="superscript"/>
              </w:rPr>
              <w:t>2</w:t>
            </w:r>
            <w:r>
              <w:rPr>
                <w:color w:val="auto"/>
                <w:kern w:val="0"/>
              </w:rPr>
              <w:t>·次，每天2次进行计算，则用水量约为</w:t>
            </w:r>
            <w:r>
              <w:rPr>
                <w:rFonts w:hint="eastAsia"/>
                <w:color w:val="auto"/>
                <w:kern w:val="0"/>
              </w:rPr>
              <w:t>3.5</w:t>
            </w:r>
            <w:r>
              <w:rPr>
                <w:color w:val="auto"/>
                <w:kern w:val="0"/>
              </w:rPr>
              <w:t>m</w:t>
            </w:r>
            <w:r>
              <w:rPr>
                <w:color w:val="auto"/>
                <w:kern w:val="0"/>
                <w:vertAlign w:val="superscript"/>
              </w:rPr>
              <w:t>3</w:t>
            </w:r>
            <w:r>
              <w:rPr>
                <w:color w:val="auto"/>
                <w:kern w:val="0"/>
              </w:rPr>
              <w:t>/d，年工作3</w:t>
            </w:r>
            <w:r>
              <w:rPr>
                <w:rFonts w:hint="eastAsia"/>
                <w:color w:val="auto"/>
                <w:kern w:val="0"/>
              </w:rPr>
              <w:t>0</w:t>
            </w:r>
            <w:r>
              <w:rPr>
                <w:color w:val="auto"/>
                <w:kern w:val="0"/>
              </w:rPr>
              <w:t>0天，其中非雨天按200天进行计算，则降尘用水量为</w:t>
            </w:r>
            <w:r>
              <w:rPr>
                <w:rFonts w:hint="eastAsia"/>
                <w:color w:val="auto"/>
                <w:kern w:val="0"/>
              </w:rPr>
              <w:t>700</w:t>
            </w:r>
            <w:r>
              <w:rPr>
                <w:color w:val="auto"/>
                <w:kern w:val="0"/>
              </w:rPr>
              <w:t>m</w:t>
            </w:r>
            <w:r>
              <w:rPr>
                <w:color w:val="auto"/>
                <w:kern w:val="0"/>
                <w:vertAlign w:val="superscript"/>
              </w:rPr>
              <w:t>3</w:t>
            </w:r>
            <w:r>
              <w:rPr>
                <w:color w:val="auto"/>
                <w:kern w:val="0"/>
              </w:rPr>
              <w:t>/a。洒水降尘废水自然蒸发。</w:t>
            </w:r>
          </w:p>
          <w:p w14:paraId="7D67C29E">
            <w:pPr>
              <w:pStyle w:val="10"/>
              <w:spacing w:after="0" w:line="360" w:lineRule="auto"/>
              <w:ind w:left="120" w:leftChars="50" w:firstLine="480"/>
              <w:rPr>
                <w:b/>
                <w:bCs/>
                <w:color w:val="auto"/>
              </w:rPr>
            </w:pPr>
            <w:r>
              <w:rPr>
                <w:color w:val="auto"/>
              </w:rPr>
              <w:t>废水产生及排放情况如表</w:t>
            </w:r>
            <w:r>
              <w:rPr>
                <w:rFonts w:hint="eastAsia"/>
                <w:color w:val="auto"/>
                <w:lang w:val="en-US" w:eastAsia="zh-CN"/>
              </w:rPr>
              <w:t>4-11</w:t>
            </w:r>
            <w:r>
              <w:rPr>
                <w:color w:val="auto"/>
              </w:rPr>
              <w:t>所示。</w:t>
            </w:r>
          </w:p>
          <w:p w14:paraId="4E156447">
            <w:pPr>
              <w:pStyle w:val="29"/>
              <w:spacing w:before="24" w:after="24"/>
              <w:rPr>
                <w:color w:val="auto"/>
              </w:rPr>
            </w:pPr>
            <w:r>
              <w:rPr>
                <w:color w:val="auto"/>
              </w:rPr>
              <w:t>表</w:t>
            </w:r>
            <w:r>
              <w:rPr>
                <w:rFonts w:hint="eastAsia"/>
                <w:color w:val="auto"/>
                <w:lang w:val="en-US" w:eastAsia="zh-CN"/>
              </w:rPr>
              <w:t xml:space="preserve">4-11 </w:t>
            </w:r>
            <w:r>
              <w:rPr>
                <w:color w:val="auto"/>
              </w:rPr>
              <w:t xml:space="preserve"> 项目废水产生及排放情况</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0"/>
              <w:gridCol w:w="314"/>
              <w:gridCol w:w="534"/>
              <w:gridCol w:w="868"/>
              <w:gridCol w:w="1148"/>
              <w:gridCol w:w="822"/>
              <w:gridCol w:w="1161"/>
              <w:gridCol w:w="822"/>
              <w:gridCol w:w="936"/>
              <w:gridCol w:w="1659"/>
            </w:tblGrid>
            <w:tr w14:paraId="17DE6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776" w:type="pct"/>
                  <w:gridSpan w:val="3"/>
                  <w:vMerge w:val="restart"/>
                  <w:noWrap w:val="0"/>
                  <w:vAlign w:val="center"/>
                </w:tcPr>
                <w:p w14:paraId="32ACB0F6">
                  <w:pPr>
                    <w:pStyle w:val="28"/>
                    <w:rPr>
                      <w:b/>
                      <w:bCs/>
                      <w:color w:val="auto"/>
                    </w:rPr>
                  </w:pPr>
                  <w:r>
                    <w:rPr>
                      <w:b/>
                      <w:bCs/>
                      <w:color w:val="auto"/>
                    </w:rPr>
                    <w:t>用水项目</w:t>
                  </w:r>
                </w:p>
              </w:tc>
              <w:tc>
                <w:tcPr>
                  <w:tcW w:w="441" w:type="pct"/>
                  <w:vMerge w:val="restart"/>
                  <w:noWrap w:val="0"/>
                  <w:vAlign w:val="center"/>
                </w:tcPr>
                <w:p w14:paraId="3B3094D0">
                  <w:pPr>
                    <w:pStyle w:val="28"/>
                    <w:rPr>
                      <w:b/>
                      <w:bCs/>
                      <w:color w:val="auto"/>
                    </w:rPr>
                  </w:pPr>
                  <w:r>
                    <w:rPr>
                      <w:b/>
                      <w:bCs/>
                      <w:color w:val="auto"/>
                    </w:rPr>
                    <w:t>用水规模</w:t>
                  </w:r>
                </w:p>
              </w:tc>
              <w:tc>
                <w:tcPr>
                  <w:tcW w:w="609" w:type="pct"/>
                  <w:vMerge w:val="restart"/>
                  <w:noWrap w:val="0"/>
                  <w:vAlign w:val="center"/>
                </w:tcPr>
                <w:p w14:paraId="3335EC33">
                  <w:pPr>
                    <w:pStyle w:val="28"/>
                    <w:rPr>
                      <w:b/>
                      <w:bCs/>
                      <w:color w:val="auto"/>
                    </w:rPr>
                  </w:pPr>
                  <w:r>
                    <w:rPr>
                      <w:b/>
                      <w:bCs/>
                      <w:color w:val="auto"/>
                    </w:rPr>
                    <w:t>用水</w:t>
                  </w:r>
                </w:p>
                <w:p w14:paraId="10409ED8">
                  <w:pPr>
                    <w:pStyle w:val="28"/>
                    <w:rPr>
                      <w:b/>
                      <w:bCs/>
                      <w:color w:val="auto"/>
                    </w:rPr>
                  </w:pPr>
                  <w:r>
                    <w:rPr>
                      <w:b/>
                      <w:bCs/>
                      <w:color w:val="auto"/>
                    </w:rPr>
                    <w:t>定额</w:t>
                  </w:r>
                </w:p>
              </w:tc>
              <w:tc>
                <w:tcPr>
                  <w:tcW w:w="1167" w:type="pct"/>
                  <w:gridSpan w:val="2"/>
                  <w:noWrap w:val="0"/>
                  <w:vAlign w:val="center"/>
                </w:tcPr>
                <w:p w14:paraId="29A9D0CC">
                  <w:pPr>
                    <w:pStyle w:val="28"/>
                    <w:rPr>
                      <w:rFonts w:hint="eastAsia"/>
                      <w:b/>
                      <w:bCs/>
                      <w:color w:val="auto"/>
                    </w:rPr>
                  </w:pPr>
                  <w:r>
                    <w:rPr>
                      <w:b/>
                      <w:bCs/>
                      <w:color w:val="auto"/>
                    </w:rPr>
                    <w:t>用水量</w:t>
                  </w:r>
                </w:p>
              </w:tc>
              <w:tc>
                <w:tcPr>
                  <w:tcW w:w="1037" w:type="pct"/>
                  <w:gridSpan w:val="2"/>
                  <w:noWrap w:val="0"/>
                  <w:vAlign w:val="center"/>
                </w:tcPr>
                <w:p w14:paraId="29A1428D">
                  <w:pPr>
                    <w:pStyle w:val="28"/>
                    <w:rPr>
                      <w:b/>
                      <w:bCs/>
                      <w:color w:val="auto"/>
                    </w:rPr>
                  </w:pPr>
                  <w:r>
                    <w:rPr>
                      <w:b/>
                      <w:bCs/>
                      <w:color w:val="auto"/>
                    </w:rPr>
                    <w:t>污水量</w:t>
                  </w:r>
                </w:p>
              </w:tc>
              <w:tc>
                <w:tcPr>
                  <w:tcW w:w="967" w:type="pct"/>
                  <w:vMerge w:val="restart"/>
                  <w:noWrap w:val="0"/>
                  <w:vAlign w:val="center"/>
                </w:tcPr>
                <w:p w14:paraId="2869EC73">
                  <w:pPr>
                    <w:pStyle w:val="28"/>
                    <w:rPr>
                      <w:b/>
                      <w:bCs/>
                      <w:color w:val="auto"/>
                    </w:rPr>
                  </w:pPr>
                  <w:r>
                    <w:rPr>
                      <w:rFonts w:hint="eastAsia"/>
                      <w:b/>
                      <w:bCs/>
                      <w:color w:val="auto"/>
                    </w:rPr>
                    <w:t>处置方式</w:t>
                  </w:r>
                </w:p>
              </w:tc>
            </w:tr>
            <w:tr w14:paraId="73658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776" w:type="pct"/>
                  <w:gridSpan w:val="3"/>
                  <w:vMerge w:val="continue"/>
                  <w:noWrap w:val="0"/>
                  <w:vAlign w:val="center"/>
                </w:tcPr>
                <w:p w14:paraId="0BA5D341">
                  <w:pPr>
                    <w:pStyle w:val="28"/>
                    <w:rPr>
                      <w:b/>
                      <w:bCs/>
                      <w:color w:val="auto"/>
                    </w:rPr>
                  </w:pPr>
                </w:p>
              </w:tc>
              <w:tc>
                <w:tcPr>
                  <w:tcW w:w="441" w:type="pct"/>
                  <w:vMerge w:val="continue"/>
                  <w:noWrap w:val="0"/>
                  <w:vAlign w:val="center"/>
                </w:tcPr>
                <w:p w14:paraId="1A320744">
                  <w:pPr>
                    <w:pStyle w:val="28"/>
                    <w:rPr>
                      <w:b/>
                      <w:bCs/>
                      <w:color w:val="auto"/>
                    </w:rPr>
                  </w:pPr>
                </w:p>
              </w:tc>
              <w:tc>
                <w:tcPr>
                  <w:tcW w:w="609" w:type="pct"/>
                  <w:vMerge w:val="continue"/>
                  <w:noWrap w:val="0"/>
                  <w:vAlign w:val="center"/>
                </w:tcPr>
                <w:p w14:paraId="4973E8A1">
                  <w:pPr>
                    <w:pStyle w:val="28"/>
                    <w:rPr>
                      <w:b/>
                      <w:bCs/>
                      <w:color w:val="auto"/>
                    </w:rPr>
                  </w:pPr>
                </w:p>
              </w:tc>
              <w:tc>
                <w:tcPr>
                  <w:tcW w:w="486" w:type="pct"/>
                  <w:noWrap w:val="0"/>
                  <w:vAlign w:val="center"/>
                </w:tcPr>
                <w:p w14:paraId="18C125CC">
                  <w:pPr>
                    <w:pStyle w:val="28"/>
                    <w:rPr>
                      <w:b/>
                      <w:bCs/>
                      <w:color w:val="auto"/>
                    </w:rPr>
                  </w:pPr>
                  <w:r>
                    <w:rPr>
                      <w:rFonts w:hint="eastAsia"/>
                      <w:b/>
                      <w:bCs/>
                      <w:color w:val="auto"/>
                    </w:rPr>
                    <w:t>m</w:t>
                  </w:r>
                  <w:r>
                    <w:rPr>
                      <w:rFonts w:hint="eastAsia"/>
                      <w:b/>
                      <w:bCs/>
                      <w:color w:val="auto"/>
                      <w:vertAlign w:val="superscript"/>
                    </w:rPr>
                    <w:t>3</w:t>
                  </w:r>
                  <w:r>
                    <w:rPr>
                      <w:rFonts w:hint="eastAsia"/>
                      <w:b/>
                      <w:bCs/>
                      <w:color w:val="auto"/>
                    </w:rPr>
                    <w:t>/d</w:t>
                  </w:r>
                </w:p>
              </w:tc>
              <w:tc>
                <w:tcPr>
                  <w:tcW w:w="680" w:type="pct"/>
                  <w:noWrap w:val="0"/>
                  <w:vAlign w:val="center"/>
                </w:tcPr>
                <w:p w14:paraId="7DB9C6BB">
                  <w:pPr>
                    <w:pStyle w:val="28"/>
                    <w:rPr>
                      <w:b/>
                      <w:bCs/>
                      <w:color w:val="auto"/>
                    </w:rPr>
                  </w:pPr>
                  <w:r>
                    <w:rPr>
                      <w:rFonts w:hint="eastAsia"/>
                      <w:b/>
                      <w:bCs/>
                      <w:color w:val="auto"/>
                    </w:rPr>
                    <w:t>m</w:t>
                  </w:r>
                  <w:r>
                    <w:rPr>
                      <w:rFonts w:hint="eastAsia"/>
                      <w:b/>
                      <w:bCs/>
                      <w:color w:val="auto"/>
                      <w:vertAlign w:val="superscript"/>
                    </w:rPr>
                    <w:t>3</w:t>
                  </w:r>
                  <w:r>
                    <w:rPr>
                      <w:rFonts w:hint="eastAsia"/>
                      <w:b/>
                      <w:bCs/>
                      <w:color w:val="auto"/>
                    </w:rPr>
                    <w:t>/a</w:t>
                  </w:r>
                </w:p>
              </w:tc>
              <w:tc>
                <w:tcPr>
                  <w:tcW w:w="486" w:type="pct"/>
                  <w:noWrap w:val="0"/>
                  <w:vAlign w:val="center"/>
                </w:tcPr>
                <w:p w14:paraId="5883D4E1">
                  <w:pPr>
                    <w:pStyle w:val="28"/>
                    <w:rPr>
                      <w:b/>
                      <w:bCs/>
                      <w:color w:val="auto"/>
                    </w:rPr>
                  </w:pPr>
                  <w:r>
                    <w:rPr>
                      <w:rFonts w:hint="eastAsia"/>
                      <w:b/>
                      <w:bCs/>
                      <w:color w:val="auto"/>
                    </w:rPr>
                    <w:t>m</w:t>
                  </w:r>
                  <w:r>
                    <w:rPr>
                      <w:rFonts w:hint="eastAsia"/>
                      <w:b/>
                      <w:bCs/>
                      <w:color w:val="auto"/>
                      <w:vertAlign w:val="superscript"/>
                    </w:rPr>
                    <w:t>3</w:t>
                  </w:r>
                  <w:r>
                    <w:rPr>
                      <w:rFonts w:hint="eastAsia"/>
                      <w:b/>
                      <w:bCs/>
                      <w:color w:val="auto"/>
                    </w:rPr>
                    <w:t>/d</w:t>
                  </w:r>
                </w:p>
              </w:tc>
              <w:tc>
                <w:tcPr>
                  <w:tcW w:w="551" w:type="pct"/>
                  <w:noWrap w:val="0"/>
                  <w:vAlign w:val="center"/>
                </w:tcPr>
                <w:p w14:paraId="218FB3FA">
                  <w:pPr>
                    <w:pStyle w:val="28"/>
                    <w:rPr>
                      <w:b/>
                      <w:bCs/>
                      <w:color w:val="auto"/>
                    </w:rPr>
                  </w:pPr>
                  <w:r>
                    <w:rPr>
                      <w:rFonts w:hint="eastAsia"/>
                      <w:b/>
                      <w:bCs/>
                      <w:color w:val="auto"/>
                    </w:rPr>
                    <w:t>m</w:t>
                  </w:r>
                  <w:r>
                    <w:rPr>
                      <w:rFonts w:hint="eastAsia"/>
                      <w:b/>
                      <w:bCs/>
                      <w:color w:val="auto"/>
                      <w:vertAlign w:val="superscript"/>
                    </w:rPr>
                    <w:t>3</w:t>
                  </w:r>
                  <w:r>
                    <w:rPr>
                      <w:rFonts w:hint="eastAsia"/>
                      <w:b/>
                      <w:bCs/>
                      <w:color w:val="auto"/>
                    </w:rPr>
                    <w:t>/a</w:t>
                  </w:r>
                </w:p>
              </w:tc>
              <w:tc>
                <w:tcPr>
                  <w:tcW w:w="967" w:type="pct"/>
                  <w:vMerge w:val="continue"/>
                  <w:noWrap w:val="0"/>
                  <w:vAlign w:val="center"/>
                </w:tcPr>
                <w:p w14:paraId="4BC101AB">
                  <w:pPr>
                    <w:pStyle w:val="28"/>
                    <w:rPr>
                      <w:rFonts w:hint="eastAsia"/>
                      <w:b/>
                      <w:bCs/>
                      <w:color w:val="auto"/>
                    </w:rPr>
                  </w:pPr>
                </w:p>
              </w:tc>
            </w:tr>
            <w:tr w14:paraId="499E2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7" w:hRule="atLeast"/>
                <w:jc w:val="center"/>
              </w:trPr>
              <w:tc>
                <w:tcPr>
                  <w:tcW w:w="261" w:type="pct"/>
                  <w:vMerge w:val="restart"/>
                  <w:noWrap w:val="0"/>
                  <w:vAlign w:val="center"/>
                </w:tcPr>
                <w:p w14:paraId="28B89B95">
                  <w:pPr>
                    <w:pStyle w:val="28"/>
                    <w:rPr>
                      <w:color w:val="auto"/>
                    </w:rPr>
                  </w:pPr>
                  <w:r>
                    <w:rPr>
                      <w:color w:val="auto"/>
                    </w:rPr>
                    <w:t>生活污水</w:t>
                  </w:r>
                </w:p>
              </w:tc>
              <w:tc>
                <w:tcPr>
                  <w:tcW w:w="515" w:type="pct"/>
                  <w:gridSpan w:val="2"/>
                  <w:noWrap w:val="0"/>
                  <w:vAlign w:val="center"/>
                </w:tcPr>
                <w:p w14:paraId="7C4CCF66">
                  <w:pPr>
                    <w:pStyle w:val="28"/>
                    <w:rPr>
                      <w:color w:val="auto"/>
                    </w:rPr>
                  </w:pPr>
                  <w:r>
                    <w:rPr>
                      <w:color w:val="auto"/>
                    </w:rPr>
                    <w:t>基本生活用水</w:t>
                  </w:r>
                </w:p>
              </w:tc>
              <w:tc>
                <w:tcPr>
                  <w:tcW w:w="441" w:type="pct"/>
                  <w:noWrap w:val="0"/>
                  <w:vAlign w:val="center"/>
                </w:tcPr>
                <w:p w14:paraId="239DE7EA">
                  <w:pPr>
                    <w:pStyle w:val="28"/>
                    <w:rPr>
                      <w:color w:val="auto"/>
                    </w:rPr>
                  </w:pPr>
                  <w:r>
                    <w:rPr>
                      <w:rFonts w:hint="eastAsia"/>
                      <w:color w:val="auto"/>
                      <w:lang w:val="en-US" w:eastAsia="zh-CN"/>
                    </w:rPr>
                    <w:t>78</w:t>
                  </w:r>
                  <w:r>
                    <w:rPr>
                      <w:color w:val="auto"/>
                    </w:rPr>
                    <w:t>人</w:t>
                  </w:r>
                </w:p>
              </w:tc>
              <w:tc>
                <w:tcPr>
                  <w:tcW w:w="609" w:type="pct"/>
                  <w:noWrap w:val="0"/>
                  <w:vAlign w:val="center"/>
                </w:tcPr>
                <w:p w14:paraId="395C9677">
                  <w:pPr>
                    <w:pStyle w:val="28"/>
                    <w:rPr>
                      <w:color w:val="auto"/>
                    </w:rPr>
                  </w:pPr>
                  <w:r>
                    <w:rPr>
                      <w:rFonts w:hint="eastAsia"/>
                      <w:color w:val="auto"/>
                    </w:rPr>
                    <w:t>8</w:t>
                  </w:r>
                  <w:r>
                    <w:rPr>
                      <w:color w:val="auto"/>
                    </w:rPr>
                    <w:t>0L/（人•d）</w:t>
                  </w:r>
                </w:p>
              </w:tc>
              <w:tc>
                <w:tcPr>
                  <w:tcW w:w="486" w:type="pct"/>
                  <w:noWrap w:val="0"/>
                  <w:vAlign w:val="center"/>
                </w:tcPr>
                <w:p w14:paraId="1ACDF0AB">
                  <w:pPr>
                    <w:pStyle w:val="28"/>
                    <w:rPr>
                      <w:color w:val="auto"/>
                    </w:rPr>
                  </w:pPr>
                  <w:r>
                    <w:rPr>
                      <w:rFonts w:hint="eastAsia"/>
                      <w:color w:val="auto"/>
                    </w:rPr>
                    <w:t>6.24</w:t>
                  </w:r>
                </w:p>
              </w:tc>
              <w:tc>
                <w:tcPr>
                  <w:tcW w:w="680" w:type="pct"/>
                  <w:noWrap w:val="0"/>
                  <w:vAlign w:val="center"/>
                </w:tcPr>
                <w:p w14:paraId="2EE5F5D2">
                  <w:pPr>
                    <w:pStyle w:val="28"/>
                    <w:rPr>
                      <w:color w:val="auto"/>
                    </w:rPr>
                  </w:pPr>
                  <w:r>
                    <w:rPr>
                      <w:rFonts w:hint="eastAsia"/>
                      <w:color w:val="auto"/>
                    </w:rPr>
                    <w:t>1872</w:t>
                  </w:r>
                </w:p>
              </w:tc>
              <w:tc>
                <w:tcPr>
                  <w:tcW w:w="486" w:type="pct"/>
                  <w:noWrap w:val="0"/>
                  <w:vAlign w:val="center"/>
                </w:tcPr>
                <w:p w14:paraId="791B762F">
                  <w:pPr>
                    <w:pStyle w:val="28"/>
                    <w:rPr>
                      <w:color w:val="auto"/>
                    </w:rPr>
                  </w:pPr>
                  <w:r>
                    <w:rPr>
                      <w:rFonts w:hint="eastAsia"/>
                      <w:color w:val="auto"/>
                    </w:rPr>
                    <w:t>4.992</w:t>
                  </w:r>
                </w:p>
              </w:tc>
              <w:tc>
                <w:tcPr>
                  <w:tcW w:w="551" w:type="pct"/>
                  <w:noWrap w:val="0"/>
                  <w:vAlign w:val="center"/>
                </w:tcPr>
                <w:p w14:paraId="6DE7561F">
                  <w:pPr>
                    <w:pStyle w:val="28"/>
                    <w:rPr>
                      <w:color w:val="auto"/>
                    </w:rPr>
                  </w:pPr>
                  <w:r>
                    <w:rPr>
                      <w:rFonts w:hint="eastAsia"/>
                      <w:color w:val="auto"/>
                    </w:rPr>
                    <w:t>1497.6</w:t>
                  </w:r>
                </w:p>
              </w:tc>
              <w:tc>
                <w:tcPr>
                  <w:tcW w:w="967" w:type="pct"/>
                  <w:vMerge w:val="restart"/>
                  <w:noWrap w:val="0"/>
                  <w:vAlign w:val="center"/>
                </w:tcPr>
                <w:p w14:paraId="6470FFDA">
                  <w:pPr>
                    <w:pStyle w:val="28"/>
                    <w:rPr>
                      <w:rFonts w:hint="eastAsia" w:eastAsia="宋体"/>
                      <w:color w:val="auto"/>
                      <w:lang w:val="en-US" w:eastAsia="zh-CN"/>
                    </w:rPr>
                  </w:pPr>
                  <w:r>
                    <w:rPr>
                      <w:rFonts w:hint="eastAsia"/>
                      <w:color w:val="auto"/>
                    </w:rPr>
                    <w:t>食堂废水经油水分离器预处理后随基本生活用水进入</w:t>
                  </w:r>
                  <w:r>
                    <w:rPr>
                      <w:rFonts w:hint="eastAsia"/>
                      <w:color w:val="auto"/>
                      <w:lang w:val="en-US" w:eastAsia="zh-CN"/>
                    </w:rPr>
                    <w:t>厂区化粪池内处理后委托</w:t>
                  </w:r>
                  <w:r>
                    <w:rPr>
                      <w:rFonts w:hint="eastAsia"/>
                      <w:color w:val="auto"/>
                      <w:szCs w:val="21"/>
                      <w:lang w:val="en-US" w:eastAsia="zh-CN"/>
                    </w:rPr>
                    <w:t>昆明洁龙保洁服务有限公司</w:t>
                  </w:r>
                  <w:r>
                    <w:rPr>
                      <w:color w:val="auto"/>
                      <w:szCs w:val="21"/>
                    </w:rPr>
                    <w:t>定期</w:t>
                  </w:r>
                  <w:r>
                    <w:rPr>
                      <w:rFonts w:hint="eastAsia"/>
                      <w:color w:val="auto"/>
                      <w:szCs w:val="21"/>
                    </w:rPr>
                    <w:t>清掏</w:t>
                  </w:r>
                  <w:r>
                    <w:rPr>
                      <w:rFonts w:hint="eastAsia"/>
                      <w:color w:val="auto"/>
                      <w:szCs w:val="21"/>
                      <w:lang w:val="en-US" w:eastAsia="zh-CN"/>
                    </w:rPr>
                    <w:t>处置</w:t>
                  </w:r>
                </w:p>
              </w:tc>
            </w:tr>
            <w:tr w14:paraId="02C8D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 w:type="pct"/>
                  <w:vMerge w:val="continue"/>
                  <w:noWrap w:val="0"/>
                  <w:vAlign w:val="center"/>
                </w:tcPr>
                <w:p w14:paraId="69C2D334">
                  <w:pPr>
                    <w:pStyle w:val="28"/>
                    <w:rPr>
                      <w:color w:val="auto"/>
                    </w:rPr>
                  </w:pPr>
                </w:p>
              </w:tc>
              <w:tc>
                <w:tcPr>
                  <w:tcW w:w="515" w:type="pct"/>
                  <w:gridSpan w:val="2"/>
                  <w:noWrap w:val="0"/>
                  <w:vAlign w:val="center"/>
                </w:tcPr>
                <w:p w14:paraId="3CB0A3C9">
                  <w:pPr>
                    <w:pStyle w:val="28"/>
                    <w:rPr>
                      <w:color w:val="auto"/>
                    </w:rPr>
                  </w:pPr>
                  <w:r>
                    <w:rPr>
                      <w:color w:val="auto"/>
                    </w:rPr>
                    <w:t>食堂</w:t>
                  </w:r>
                </w:p>
              </w:tc>
              <w:tc>
                <w:tcPr>
                  <w:tcW w:w="441" w:type="pct"/>
                  <w:noWrap w:val="0"/>
                  <w:vAlign w:val="center"/>
                </w:tcPr>
                <w:p w14:paraId="523504CA">
                  <w:pPr>
                    <w:pStyle w:val="28"/>
                    <w:rPr>
                      <w:rFonts w:hint="default" w:eastAsia="宋体"/>
                      <w:color w:val="auto"/>
                      <w:lang w:val="en-US" w:eastAsia="zh-CN"/>
                    </w:rPr>
                  </w:pPr>
                  <w:r>
                    <w:rPr>
                      <w:rFonts w:hint="eastAsia"/>
                      <w:color w:val="auto"/>
                      <w:lang w:val="en-US" w:eastAsia="zh-CN"/>
                    </w:rPr>
                    <w:t>50人</w:t>
                  </w:r>
                </w:p>
              </w:tc>
              <w:tc>
                <w:tcPr>
                  <w:tcW w:w="609" w:type="pct"/>
                  <w:noWrap w:val="0"/>
                  <w:vAlign w:val="center"/>
                </w:tcPr>
                <w:p w14:paraId="774F36D1">
                  <w:pPr>
                    <w:pStyle w:val="28"/>
                    <w:rPr>
                      <w:color w:val="auto"/>
                    </w:rPr>
                  </w:pPr>
                  <w:r>
                    <w:rPr>
                      <w:rFonts w:hint="eastAsia"/>
                      <w:color w:val="auto"/>
                    </w:rPr>
                    <w:t>20</w:t>
                  </w:r>
                  <w:r>
                    <w:rPr>
                      <w:color w:val="auto"/>
                    </w:rPr>
                    <w:t>L/（人•d）</w:t>
                  </w:r>
                </w:p>
              </w:tc>
              <w:tc>
                <w:tcPr>
                  <w:tcW w:w="486" w:type="pct"/>
                  <w:noWrap w:val="0"/>
                  <w:vAlign w:val="center"/>
                </w:tcPr>
                <w:p w14:paraId="7D561765">
                  <w:pPr>
                    <w:pStyle w:val="28"/>
                    <w:rPr>
                      <w:rFonts w:hint="eastAsia"/>
                      <w:color w:val="auto"/>
                    </w:rPr>
                  </w:pPr>
                  <w:r>
                    <w:rPr>
                      <w:rFonts w:hint="eastAsia"/>
                      <w:color w:val="auto"/>
                    </w:rPr>
                    <w:t>1.</w:t>
                  </w:r>
                  <w:r>
                    <w:rPr>
                      <w:rFonts w:hint="eastAsia"/>
                      <w:color w:val="auto"/>
                      <w:lang w:val="en-US" w:eastAsia="zh-CN"/>
                    </w:rPr>
                    <w:t>0</w:t>
                  </w:r>
                </w:p>
              </w:tc>
              <w:tc>
                <w:tcPr>
                  <w:tcW w:w="680" w:type="pct"/>
                  <w:noWrap w:val="0"/>
                  <w:vAlign w:val="center"/>
                </w:tcPr>
                <w:p w14:paraId="547F1EF9">
                  <w:pPr>
                    <w:pStyle w:val="28"/>
                    <w:rPr>
                      <w:rFonts w:hint="default" w:eastAsia="宋体"/>
                      <w:color w:val="auto"/>
                      <w:lang w:val="en-US" w:eastAsia="zh-CN"/>
                    </w:rPr>
                  </w:pPr>
                  <w:r>
                    <w:rPr>
                      <w:rFonts w:hint="eastAsia"/>
                      <w:color w:val="auto"/>
                      <w:lang w:val="en-US" w:eastAsia="zh-CN"/>
                    </w:rPr>
                    <w:t>300</w:t>
                  </w:r>
                </w:p>
              </w:tc>
              <w:tc>
                <w:tcPr>
                  <w:tcW w:w="486" w:type="pct"/>
                  <w:noWrap w:val="0"/>
                  <w:vAlign w:val="center"/>
                </w:tcPr>
                <w:p w14:paraId="29F7206C">
                  <w:pPr>
                    <w:pStyle w:val="28"/>
                    <w:rPr>
                      <w:rFonts w:hint="default" w:eastAsia="宋体"/>
                      <w:color w:val="auto"/>
                      <w:lang w:val="en-US" w:eastAsia="zh-CN"/>
                    </w:rPr>
                  </w:pPr>
                  <w:r>
                    <w:rPr>
                      <w:rFonts w:hint="eastAsia"/>
                      <w:color w:val="auto"/>
                      <w:lang w:val="en-US" w:eastAsia="zh-CN"/>
                    </w:rPr>
                    <w:t>0.8</w:t>
                  </w:r>
                </w:p>
              </w:tc>
              <w:tc>
                <w:tcPr>
                  <w:tcW w:w="551" w:type="pct"/>
                  <w:noWrap w:val="0"/>
                  <w:vAlign w:val="center"/>
                </w:tcPr>
                <w:p w14:paraId="7224B73E">
                  <w:pPr>
                    <w:pStyle w:val="28"/>
                    <w:rPr>
                      <w:rFonts w:hint="default" w:eastAsia="宋体"/>
                      <w:color w:val="auto"/>
                      <w:lang w:val="en-US" w:eastAsia="zh-CN"/>
                    </w:rPr>
                  </w:pPr>
                  <w:r>
                    <w:rPr>
                      <w:rFonts w:hint="eastAsia"/>
                      <w:color w:val="auto"/>
                      <w:lang w:val="en-US" w:eastAsia="zh-CN"/>
                    </w:rPr>
                    <w:t>240</w:t>
                  </w:r>
                </w:p>
              </w:tc>
              <w:tc>
                <w:tcPr>
                  <w:tcW w:w="967" w:type="pct"/>
                  <w:vMerge w:val="continue"/>
                  <w:noWrap w:val="0"/>
                  <w:vAlign w:val="center"/>
                </w:tcPr>
                <w:p w14:paraId="34DFC9DC">
                  <w:pPr>
                    <w:pStyle w:val="28"/>
                    <w:rPr>
                      <w:rFonts w:hint="eastAsia"/>
                      <w:color w:val="auto"/>
                    </w:rPr>
                  </w:pPr>
                </w:p>
              </w:tc>
            </w:tr>
            <w:tr w14:paraId="60E12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455" w:type="pct"/>
                  <w:gridSpan w:val="2"/>
                  <w:vMerge w:val="restart"/>
                  <w:noWrap w:val="0"/>
                  <w:vAlign w:val="center"/>
                </w:tcPr>
                <w:p w14:paraId="57D30ED7">
                  <w:pPr>
                    <w:pStyle w:val="28"/>
                    <w:rPr>
                      <w:color w:val="auto"/>
                    </w:rPr>
                  </w:pPr>
                  <w:r>
                    <w:rPr>
                      <w:color w:val="auto"/>
                    </w:rPr>
                    <w:t>混凝土</w:t>
                  </w:r>
                </w:p>
                <w:p w14:paraId="0E73DE98">
                  <w:pPr>
                    <w:pStyle w:val="28"/>
                    <w:rPr>
                      <w:color w:val="auto"/>
                    </w:rPr>
                  </w:pPr>
                  <w:r>
                    <w:rPr>
                      <w:color w:val="auto"/>
                    </w:rPr>
                    <w:t>搅拌用水</w:t>
                  </w:r>
                </w:p>
              </w:tc>
              <w:tc>
                <w:tcPr>
                  <w:tcW w:w="320" w:type="pct"/>
                  <w:noWrap w:val="0"/>
                  <w:vAlign w:val="center"/>
                </w:tcPr>
                <w:p w14:paraId="565AC615">
                  <w:pPr>
                    <w:pStyle w:val="28"/>
                    <w:rPr>
                      <w:rFonts w:hint="eastAsia" w:eastAsia="宋体"/>
                      <w:color w:val="auto"/>
                      <w:lang w:val="en-US" w:eastAsia="zh-CN"/>
                    </w:rPr>
                  </w:pPr>
                  <w:r>
                    <w:rPr>
                      <w:rFonts w:hint="eastAsia"/>
                      <w:color w:val="auto"/>
                      <w:lang w:val="en-US" w:eastAsia="zh-CN"/>
                    </w:rPr>
                    <w:t>非雨天</w:t>
                  </w:r>
                </w:p>
              </w:tc>
              <w:tc>
                <w:tcPr>
                  <w:tcW w:w="441" w:type="pct"/>
                  <w:vMerge w:val="restart"/>
                  <w:noWrap w:val="0"/>
                  <w:vAlign w:val="center"/>
                </w:tcPr>
                <w:p w14:paraId="0EAD1C66">
                  <w:pPr>
                    <w:pStyle w:val="28"/>
                    <w:rPr>
                      <w:color w:val="auto"/>
                    </w:rPr>
                  </w:pPr>
                  <w:r>
                    <w:rPr>
                      <w:rFonts w:hint="eastAsia"/>
                      <w:color w:val="auto"/>
                    </w:rPr>
                    <w:t>90</w:t>
                  </w:r>
                  <w:r>
                    <w:rPr>
                      <w:color w:val="auto"/>
                    </w:rPr>
                    <w:t>m</w:t>
                  </w:r>
                  <w:r>
                    <w:rPr>
                      <w:color w:val="auto"/>
                      <w:vertAlign w:val="superscript"/>
                    </w:rPr>
                    <w:t>3</w:t>
                  </w:r>
                  <w:r>
                    <w:rPr>
                      <w:color w:val="auto"/>
                    </w:rPr>
                    <w:t>/d</w:t>
                  </w:r>
                </w:p>
              </w:tc>
              <w:tc>
                <w:tcPr>
                  <w:tcW w:w="609" w:type="pct"/>
                  <w:vMerge w:val="restart"/>
                  <w:noWrap w:val="0"/>
                  <w:vAlign w:val="center"/>
                </w:tcPr>
                <w:p w14:paraId="6398D636">
                  <w:pPr>
                    <w:pStyle w:val="28"/>
                    <w:rPr>
                      <w:color w:val="auto"/>
                    </w:rPr>
                  </w:pPr>
                  <w:r>
                    <w:rPr>
                      <w:color w:val="auto"/>
                    </w:rPr>
                    <w:t>/</w:t>
                  </w:r>
                </w:p>
              </w:tc>
              <w:tc>
                <w:tcPr>
                  <w:tcW w:w="486" w:type="pct"/>
                  <w:noWrap w:val="0"/>
                  <w:vAlign w:val="center"/>
                </w:tcPr>
                <w:p w14:paraId="0D8A00D2">
                  <w:pPr>
                    <w:pStyle w:val="28"/>
                    <w:rPr>
                      <w:rFonts w:hint="default"/>
                      <w:color w:val="auto"/>
                      <w:lang w:val="en-US" w:eastAsia="zh-CN"/>
                    </w:rPr>
                  </w:pPr>
                  <w:r>
                    <w:rPr>
                      <w:rFonts w:hint="eastAsia"/>
                      <w:color w:val="auto"/>
                      <w:lang w:val="en-US" w:eastAsia="zh-CN"/>
                    </w:rPr>
                    <w:t>87.76</w:t>
                  </w:r>
                </w:p>
              </w:tc>
              <w:tc>
                <w:tcPr>
                  <w:tcW w:w="680" w:type="pct"/>
                  <w:vMerge w:val="restart"/>
                  <w:noWrap w:val="0"/>
                  <w:vAlign w:val="center"/>
                </w:tcPr>
                <w:p w14:paraId="22C52CC5">
                  <w:pPr>
                    <w:pStyle w:val="28"/>
                    <w:rPr>
                      <w:rFonts w:hint="default"/>
                      <w:color w:val="auto"/>
                      <w:lang w:val="en-US" w:eastAsia="zh-CN"/>
                    </w:rPr>
                  </w:pPr>
                  <w:r>
                    <w:rPr>
                      <w:rFonts w:hint="eastAsia"/>
                      <w:color w:val="auto"/>
                      <w:lang w:val="en-US" w:eastAsia="zh-CN"/>
                    </w:rPr>
                    <w:t>27000</w:t>
                  </w:r>
                </w:p>
              </w:tc>
              <w:tc>
                <w:tcPr>
                  <w:tcW w:w="486" w:type="pct"/>
                  <w:vMerge w:val="restart"/>
                  <w:noWrap w:val="0"/>
                  <w:vAlign w:val="center"/>
                </w:tcPr>
                <w:p w14:paraId="71E2B83D">
                  <w:pPr>
                    <w:pStyle w:val="28"/>
                    <w:rPr>
                      <w:color w:val="auto"/>
                    </w:rPr>
                  </w:pPr>
                  <w:r>
                    <w:rPr>
                      <w:color w:val="auto"/>
                    </w:rPr>
                    <w:t>/</w:t>
                  </w:r>
                </w:p>
              </w:tc>
              <w:tc>
                <w:tcPr>
                  <w:tcW w:w="551" w:type="pct"/>
                  <w:vMerge w:val="restart"/>
                  <w:noWrap w:val="0"/>
                  <w:vAlign w:val="center"/>
                </w:tcPr>
                <w:p w14:paraId="78A95906">
                  <w:pPr>
                    <w:pStyle w:val="28"/>
                    <w:rPr>
                      <w:rFonts w:hint="eastAsia" w:eastAsia="宋体"/>
                      <w:color w:val="auto"/>
                      <w:lang w:val="en-US" w:eastAsia="zh-CN"/>
                    </w:rPr>
                  </w:pPr>
                  <w:r>
                    <w:rPr>
                      <w:rFonts w:hint="eastAsia"/>
                      <w:color w:val="auto"/>
                      <w:lang w:val="en-US" w:eastAsia="zh-CN"/>
                    </w:rPr>
                    <w:t>/</w:t>
                  </w:r>
                </w:p>
              </w:tc>
              <w:tc>
                <w:tcPr>
                  <w:tcW w:w="967" w:type="pct"/>
                  <w:vMerge w:val="restart"/>
                  <w:noWrap w:val="0"/>
                  <w:vAlign w:val="center"/>
                </w:tcPr>
                <w:p w14:paraId="40FEE5C7">
                  <w:pPr>
                    <w:pStyle w:val="28"/>
                    <w:jc w:val="both"/>
                    <w:rPr>
                      <w:color w:val="auto"/>
                    </w:rPr>
                  </w:pPr>
                  <w:r>
                    <w:rPr>
                      <w:rFonts w:hint="eastAsia"/>
                      <w:color w:val="auto"/>
                    </w:rPr>
                    <w:t>大部分自然挥发，少部分被产品带走</w:t>
                  </w:r>
                </w:p>
              </w:tc>
            </w:tr>
            <w:tr w14:paraId="21477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455" w:type="pct"/>
                  <w:gridSpan w:val="2"/>
                  <w:vMerge w:val="continue"/>
                  <w:noWrap w:val="0"/>
                  <w:vAlign w:val="center"/>
                </w:tcPr>
                <w:p w14:paraId="0788D31B">
                  <w:pPr>
                    <w:pStyle w:val="28"/>
                    <w:rPr>
                      <w:color w:val="auto"/>
                    </w:rPr>
                  </w:pPr>
                </w:p>
              </w:tc>
              <w:tc>
                <w:tcPr>
                  <w:tcW w:w="320" w:type="pct"/>
                  <w:noWrap w:val="0"/>
                  <w:vAlign w:val="center"/>
                </w:tcPr>
                <w:p w14:paraId="53028E15">
                  <w:pPr>
                    <w:pStyle w:val="28"/>
                    <w:rPr>
                      <w:rFonts w:hint="eastAsia" w:eastAsia="宋体"/>
                      <w:color w:val="auto"/>
                      <w:lang w:val="en-US" w:eastAsia="zh-CN"/>
                    </w:rPr>
                  </w:pPr>
                  <w:r>
                    <w:rPr>
                      <w:rFonts w:hint="eastAsia"/>
                      <w:color w:val="auto"/>
                      <w:lang w:val="en-US" w:eastAsia="zh-CN"/>
                    </w:rPr>
                    <w:t>雨天</w:t>
                  </w:r>
                </w:p>
              </w:tc>
              <w:tc>
                <w:tcPr>
                  <w:tcW w:w="441" w:type="pct"/>
                  <w:vMerge w:val="continue"/>
                  <w:noWrap w:val="0"/>
                  <w:vAlign w:val="center"/>
                </w:tcPr>
                <w:p w14:paraId="5D065F24">
                  <w:pPr>
                    <w:pStyle w:val="28"/>
                    <w:rPr>
                      <w:rFonts w:hint="eastAsia"/>
                      <w:color w:val="auto"/>
                    </w:rPr>
                  </w:pPr>
                </w:p>
              </w:tc>
              <w:tc>
                <w:tcPr>
                  <w:tcW w:w="609" w:type="pct"/>
                  <w:vMerge w:val="continue"/>
                  <w:noWrap w:val="0"/>
                  <w:vAlign w:val="center"/>
                </w:tcPr>
                <w:p w14:paraId="73C2868B">
                  <w:pPr>
                    <w:pStyle w:val="28"/>
                    <w:rPr>
                      <w:color w:val="auto"/>
                    </w:rPr>
                  </w:pPr>
                </w:p>
              </w:tc>
              <w:tc>
                <w:tcPr>
                  <w:tcW w:w="486" w:type="pct"/>
                  <w:noWrap w:val="0"/>
                  <w:vAlign w:val="center"/>
                </w:tcPr>
                <w:p w14:paraId="7813FE49">
                  <w:pPr>
                    <w:pStyle w:val="28"/>
                    <w:rPr>
                      <w:rFonts w:hint="eastAsia"/>
                      <w:color w:val="auto"/>
                      <w:lang w:val="en-US" w:eastAsia="zh-CN"/>
                    </w:rPr>
                  </w:pPr>
                  <w:r>
                    <w:rPr>
                      <w:rFonts w:hint="eastAsia"/>
                      <w:color w:val="auto"/>
                      <w:lang w:val="en-US" w:eastAsia="zh-CN"/>
                    </w:rPr>
                    <w:t>50.7</w:t>
                  </w:r>
                </w:p>
              </w:tc>
              <w:tc>
                <w:tcPr>
                  <w:tcW w:w="680" w:type="pct"/>
                  <w:vMerge w:val="continue"/>
                  <w:noWrap w:val="0"/>
                  <w:vAlign w:val="center"/>
                </w:tcPr>
                <w:p w14:paraId="5D65AD3C">
                  <w:pPr>
                    <w:pStyle w:val="28"/>
                    <w:rPr>
                      <w:rFonts w:hint="eastAsia"/>
                      <w:color w:val="auto"/>
                      <w:lang w:val="en-US" w:eastAsia="zh-CN"/>
                    </w:rPr>
                  </w:pPr>
                </w:p>
              </w:tc>
              <w:tc>
                <w:tcPr>
                  <w:tcW w:w="486" w:type="pct"/>
                  <w:vMerge w:val="continue"/>
                  <w:noWrap w:val="0"/>
                  <w:vAlign w:val="center"/>
                </w:tcPr>
                <w:p w14:paraId="0E0B3B3B">
                  <w:pPr>
                    <w:pStyle w:val="28"/>
                    <w:rPr>
                      <w:color w:val="auto"/>
                    </w:rPr>
                  </w:pPr>
                </w:p>
              </w:tc>
              <w:tc>
                <w:tcPr>
                  <w:tcW w:w="551" w:type="pct"/>
                  <w:vMerge w:val="continue"/>
                  <w:noWrap w:val="0"/>
                  <w:vAlign w:val="center"/>
                </w:tcPr>
                <w:p w14:paraId="4F1A384E">
                  <w:pPr>
                    <w:pStyle w:val="28"/>
                    <w:rPr>
                      <w:rFonts w:hint="eastAsia"/>
                      <w:color w:val="auto"/>
                      <w:lang w:val="en-US" w:eastAsia="zh-CN"/>
                    </w:rPr>
                  </w:pPr>
                </w:p>
              </w:tc>
              <w:tc>
                <w:tcPr>
                  <w:tcW w:w="967" w:type="pct"/>
                  <w:vMerge w:val="continue"/>
                  <w:noWrap w:val="0"/>
                  <w:vAlign w:val="center"/>
                </w:tcPr>
                <w:p w14:paraId="006CF7EC">
                  <w:pPr>
                    <w:pStyle w:val="28"/>
                    <w:jc w:val="both"/>
                    <w:rPr>
                      <w:rFonts w:hint="eastAsia"/>
                      <w:color w:val="auto"/>
                    </w:rPr>
                  </w:pPr>
                </w:p>
              </w:tc>
            </w:tr>
            <w:tr w14:paraId="1004B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6" w:hRule="atLeast"/>
                <w:jc w:val="center"/>
              </w:trPr>
              <w:tc>
                <w:tcPr>
                  <w:tcW w:w="776" w:type="pct"/>
                  <w:gridSpan w:val="3"/>
                  <w:noWrap w:val="0"/>
                  <w:vAlign w:val="center"/>
                </w:tcPr>
                <w:p w14:paraId="4DABBB0B">
                  <w:pPr>
                    <w:pStyle w:val="28"/>
                    <w:rPr>
                      <w:color w:val="auto"/>
                    </w:rPr>
                  </w:pPr>
                  <w:r>
                    <w:rPr>
                      <w:color w:val="auto"/>
                    </w:rPr>
                    <w:t>搅拌机清洗</w:t>
                  </w:r>
                </w:p>
              </w:tc>
              <w:tc>
                <w:tcPr>
                  <w:tcW w:w="441" w:type="pct"/>
                  <w:noWrap w:val="0"/>
                  <w:vAlign w:val="center"/>
                </w:tcPr>
                <w:p w14:paraId="37084621">
                  <w:pPr>
                    <w:pStyle w:val="28"/>
                    <w:rPr>
                      <w:color w:val="auto"/>
                    </w:rPr>
                  </w:pPr>
                  <w:r>
                    <w:rPr>
                      <w:color w:val="auto"/>
                    </w:rPr>
                    <w:t>/</w:t>
                  </w:r>
                </w:p>
              </w:tc>
              <w:tc>
                <w:tcPr>
                  <w:tcW w:w="609" w:type="pct"/>
                  <w:noWrap w:val="0"/>
                  <w:vAlign w:val="center"/>
                </w:tcPr>
                <w:p w14:paraId="2FF23134">
                  <w:pPr>
                    <w:pStyle w:val="28"/>
                    <w:rPr>
                      <w:color w:val="auto"/>
                    </w:rPr>
                  </w:pPr>
                  <w:r>
                    <w:rPr>
                      <w:rFonts w:hint="eastAsia"/>
                      <w:color w:val="auto"/>
                    </w:rPr>
                    <w:t>2</w:t>
                  </w:r>
                  <w:r>
                    <w:rPr>
                      <w:color w:val="auto"/>
                    </w:rPr>
                    <w:t>m</w:t>
                  </w:r>
                  <w:r>
                    <w:rPr>
                      <w:color w:val="auto"/>
                      <w:vertAlign w:val="superscript"/>
                    </w:rPr>
                    <w:t>3</w:t>
                  </w:r>
                  <w:r>
                    <w:rPr>
                      <w:color w:val="auto"/>
                    </w:rPr>
                    <w:t>/次</w:t>
                  </w:r>
                </w:p>
              </w:tc>
              <w:tc>
                <w:tcPr>
                  <w:tcW w:w="486" w:type="pct"/>
                  <w:noWrap w:val="0"/>
                  <w:vAlign w:val="center"/>
                </w:tcPr>
                <w:p w14:paraId="1E83D04A">
                  <w:pPr>
                    <w:pStyle w:val="28"/>
                    <w:rPr>
                      <w:rFonts w:hint="eastAsia"/>
                      <w:color w:val="auto"/>
                    </w:rPr>
                  </w:pPr>
                  <w:r>
                    <w:rPr>
                      <w:rFonts w:hint="eastAsia"/>
                      <w:color w:val="auto"/>
                    </w:rPr>
                    <w:t>1.0</w:t>
                  </w:r>
                </w:p>
              </w:tc>
              <w:tc>
                <w:tcPr>
                  <w:tcW w:w="680" w:type="pct"/>
                  <w:noWrap w:val="0"/>
                  <w:vAlign w:val="center"/>
                </w:tcPr>
                <w:p w14:paraId="33B93805">
                  <w:pPr>
                    <w:pStyle w:val="28"/>
                    <w:rPr>
                      <w:color w:val="auto"/>
                    </w:rPr>
                  </w:pPr>
                  <w:r>
                    <w:rPr>
                      <w:rFonts w:hint="eastAsia"/>
                      <w:color w:val="auto"/>
                    </w:rPr>
                    <w:t>300</w:t>
                  </w:r>
                </w:p>
              </w:tc>
              <w:tc>
                <w:tcPr>
                  <w:tcW w:w="486" w:type="pct"/>
                  <w:noWrap w:val="0"/>
                  <w:vAlign w:val="center"/>
                </w:tcPr>
                <w:p w14:paraId="048343ED">
                  <w:pPr>
                    <w:pStyle w:val="28"/>
                    <w:rPr>
                      <w:color w:val="auto"/>
                    </w:rPr>
                  </w:pPr>
                  <w:r>
                    <w:rPr>
                      <w:rFonts w:hint="eastAsia"/>
                      <w:color w:val="auto"/>
                    </w:rPr>
                    <w:t>0.8</w:t>
                  </w:r>
                </w:p>
              </w:tc>
              <w:tc>
                <w:tcPr>
                  <w:tcW w:w="551" w:type="pct"/>
                  <w:noWrap w:val="0"/>
                  <w:vAlign w:val="center"/>
                </w:tcPr>
                <w:p w14:paraId="0B7659A0">
                  <w:pPr>
                    <w:pStyle w:val="28"/>
                    <w:rPr>
                      <w:color w:val="auto"/>
                    </w:rPr>
                  </w:pPr>
                  <w:r>
                    <w:rPr>
                      <w:rFonts w:hint="eastAsia"/>
                      <w:color w:val="auto"/>
                    </w:rPr>
                    <w:t>240</w:t>
                  </w:r>
                </w:p>
              </w:tc>
              <w:tc>
                <w:tcPr>
                  <w:tcW w:w="967" w:type="pct"/>
                  <w:noWrap w:val="0"/>
                  <w:vAlign w:val="center"/>
                </w:tcPr>
                <w:p w14:paraId="173D5E58">
                  <w:pPr>
                    <w:pStyle w:val="28"/>
                    <w:rPr>
                      <w:rFonts w:hint="eastAsia"/>
                      <w:color w:val="auto"/>
                    </w:rPr>
                  </w:pPr>
                  <w:r>
                    <w:rPr>
                      <w:color w:val="auto"/>
                    </w:rPr>
                    <w:t>搅拌机冲洗废水</w:t>
                  </w:r>
                  <w:r>
                    <w:rPr>
                      <w:rFonts w:hint="eastAsia"/>
                      <w:color w:val="auto"/>
                    </w:rPr>
                    <w:t>由截排水沟</w:t>
                  </w:r>
                  <w:r>
                    <w:rPr>
                      <w:color w:val="auto"/>
                    </w:rPr>
                    <w:t>排入</w:t>
                  </w:r>
                  <w:r>
                    <w:rPr>
                      <w:rFonts w:hint="eastAsia"/>
                      <w:color w:val="auto"/>
                    </w:rPr>
                    <w:t>四级</w:t>
                  </w:r>
                  <w:r>
                    <w:rPr>
                      <w:color w:val="auto"/>
                    </w:rPr>
                    <w:t>沉淀池，经</w:t>
                  </w:r>
                  <w:r>
                    <w:rPr>
                      <w:rFonts w:hint="eastAsia"/>
                      <w:color w:val="auto"/>
                    </w:rPr>
                    <w:t>四级</w:t>
                  </w:r>
                  <w:r>
                    <w:rPr>
                      <w:color w:val="auto"/>
                    </w:rPr>
                    <w:t>沉淀后上清液回用于混凝土搅拌工序，不外排</w:t>
                  </w:r>
                </w:p>
              </w:tc>
            </w:tr>
            <w:tr w14:paraId="104EC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6" w:type="pct"/>
                  <w:gridSpan w:val="3"/>
                  <w:noWrap w:val="0"/>
                  <w:vAlign w:val="center"/>
                </w:tcPr>
                <w:p w14:paraId="7AC3D471">
                  <w:pPr>
                    <w:pStyle w:val="28"/>
                    <w:keepNext w:val="0"/>
                    <w:keepLines w:val="0"/>
                    <w:pageBreakBefore w:val="0"/>
                    <w:widowControl w:val="0"/>
                    <w:kinsoku/>
                    <w:wordWrap/>
                    <w:overflowPunct/>
                    <w:topLinePunct w:val="0"/>
                    <w:autoSpaceDE w:val="0"/>
                    <w:autoSpaceDN w:val="0"/>
                    <w:bidi w:val="0"/>
                    <w:adjustRightInd/>
                    <w:snapToGrid w:val="0"/>
                    <w:textAlignment w:val="auto"/>
                    <w:rPr>
                      <w:rFonts w:hint="eastAsia"/>
                      <w:color w:val="auto"/>
                      <w:szCs w:val="21"/>
                      <w:lang w:val="en-US" w:eastAsia="zh-CN"/>
                    </w:rPr>
                  </w:pPr>
                  <w:r>
                    <w:rPr>
                      <w:rFonts w:hint="eastAsia"/>
                      <w:color w:val="auto"/>
                      <w:lang w:val="en-US" w:eastAsia="zh-CN"/>
                    </w:rPr>
                    <w:t>试验区混凝土养护废水</w:t>
                  </w:r>
                </w:p>
              </w:tc>
              <w:tc>
                <w:tcPr>
                  <w:tcW w:w="441" w:type="pct"/>
                  <w:noWrap w:val="0"/>
                  <w:vAlign w:val="center"/>
                </w:tcPr>
                <w:p w14:paraId="19394038">
                  <w:pPr>
                    <w:pStyle w:val="28"/>
                    <w:rPr>
                      <w:rFonts w:hint="default"/>
                      <w:color w:val="auto"/>
                      <w:lang w:val="en-US" w:eastAsia="zh-CN"/>
                    </w:rPr>
                  </w:pPr>
                  <w:r>
                    <w:rPr>
                      <w:rFonts w:hint="eastAsia"/>
                      <w:color w:val="auto"/>
                      <w:lang w:val="en-US" w:eastAsia="zh-CN"/>
                    </w:rPr>
                    <w:t>/</w:t>
                  </w:r>
                </w:p>
              </w:tc>
              <w:tc>
                <w:tcPr>
                  <w:tcW w:w="609" w:type="pct"/>
                  <w:noWrap w:val="0"/>
                  <w:vAlign w:val="center"/>
                </w:tcPr>
                <w:p w14:paraId="5CF2CCDC">
                  <w:pPr>
                    <w:pStyle w:val="28"/>
                    <w:rPr>
                      <w:rFonts w:hint="default" w:eastAsia="宋体"/>
                      <w:color w:val="auto"/>
                      <w:lang w:val="en-US" w:eastAsia="zh-CN"/>
                    </w:rPr>
                  </w:pPr>
                  <w:r>
                    <w:rPr>
                      <w:rFonts w:hint="eastAsia"/>
                      <w:color w:val="auto"/>
                      <w:lang w:val="en-US" w:eastAsia="zh-CN"/>
                    </w:rPr>
                    <w:t>/</w:t>
                  </w:r>
                </w:p>
              </w:tc>
              <w:tc>
                <w:tcPr>
                  <w:tcW w:w="486" w:type="pct"/>
                  <w:vMerge w:val="restart"/>
                  <w:noWrap w:val="0"/>
                  <w:vAlign w:val="center"/>
                </w:tcPr>
                <w:p w14:paraId="308EDF83">
                  <w:pPr>
                    <w:pStyle w:val="28"/>
                    <w:rPr>
                      <w:rFonts w:hint="default" w:eastAsia="宋体"/>
                      <w:color w:val="auto"/>
                      <w:lang w:val="en-US" w:eastAsia="zh-CN"/>
                    </w:rPr>
                  </w:pPr>
                  <w:r>
                    <w:rPr>
                      <w:rFonts w:hint="eastAsia"/>
                      <w:color w:val="auto"/>
                      <w:lang w:val="en-US" w:eastAsia="zh-CN"/>
                    </w:rPr>
                    <w:t>0.78</w:t>
                  </w:r>
                </w:p>
              </w:tc>
              <w:tc>
                <w:tcPr>
                  <w:tcW w:w="680" w:type="pct"/>
                  <w:vMerge w:val="restart"/>
                  <w:noWrap w:val="0"/>
                  <w:vAlign w:val="center"/>
                </w:tcPr>
                <w:p w14:paraId="2F36DB27">
                  <w:pPr>
                    <w:pStyle w:val="28"/>
                    <w:rPr>
                      <w:rFonts w:hint="default" w:eastAsia="宋体"/>
                      <w:color w:val="auto"/>
                      <w:lang w:val="en-US" w:eastAsia="zh-CN"/>
                    </w:rPr>
                  </w:pPr>
                  <w:r>
                    <w:rPr>
                      <w:rFonts w:hint="eastAsia"/>
                      <w:color w:val="auto"/>
                      <w:lang w:val="en-US" w:eastAsia="zh-CN"/>
                    </w:rPr>
                    <w:t>234</w:t>
                  </w:r>
                </w:p>
              </w:tc>
              <w:tc>
                <w:tcPr>
                  <w:tcW w:w="486" w:type="pct"/>
                  <w:noWrap w:val="0"/>
                  <w:vAlign w:val="center"/>
                </w:tcPr>
                <w:p w14:paraId="4B88A246">
                  <w:pPr>
                    <w:pStyle w:val="28"/>
                    <w:rPr>
                      <w:rFonts w:hint="default" w:eastAsia="宋体"/>
                      <w:color w:val="auto"/>
                      <w:lang w:val="en-US" w:eastAsia="zh-CN"/>
                    </w:rPr>
                  </w:pPr>
                  <w:r>
                    <w:rPr>
                      <w:rFonts w:hint="eastAsia"/>
                      <w:color w:val="auto"/>
                      <w:lang w:val="en-US" w:eastAsia="zh-CN"/>
                    </w:rPr>
                    <w:t>0.624</w:t>
                  </w:r>
                </w:p>
              </w:tc>
              <w:tc>
                <w:tcPr>
                  <w:tcW w:w="551" w:type="pct"/>
                  <w:noWrap w:val="0"/>
                  <w:vAlign w:val="center"/>
                </w:tcPr>
                <w:p w14:paraId="0E9C98B7">
                  <w:pPr>
                    <w:pStyle w:val="28"/>
                    <w:rPr>
                      <w:rFonts w:hint="default" w:eastAsia="宋体"/>
                      <w:color w:val="auto"/>
                      <w:lang w:val="en-US" w:eastAsia="zh-CN"/>
                    </w:rPr>
                  </w:pPr>
                  <w:r>
                    <w:rPr>
                      <w:rFonts w:hint="eastAsia"/>
                      <w:color w:val="auto"/>
                      <w:lang w:val="en-US" w:eastAsia="zh-CN"/>
                    </w:rPr>
                    <w:t>187.2</w:t>
                  </w:r>
                </w:p>
              </w:tc>
              <w:tc>
                <w:tcPr>
                  <w:tcW w:w="967" w:type="pct"/>
                  <w:vMerge w:val="restart"/>
                  <w:noWrap w:val="0"/>
                  <w:vAlign w:val="center"/>
                </w:tcPr>
                <w:p w14:paraId="4C0EBD21">
                  <w:pPr>
                    <w:pStyle w:val="28"/>
                    <w:jc w:val="both"/>
                    <w:rPr>
                      <w:rFonts w:hint="default" w:eastAsia="宋体"/>
                      <w:color w:val="auto"/>
                      <w:lang w:val="en-US" w:eastAsia="zh-CN"/>
                    </w:rPr>
                  </w:pPr>
                  <w:r>
                    <w:rPr>
                      <w:rFonts w:hint="eastAsia"/>
                      <w:color w:val="auto"/>
                      <w:lang w:val="en-US" w:eastAsia="zh-CN"/>
                    </w:rPr>
                    <w:t>试验区混凝土养护废水排至三级沉淀池处理，经处理后的废水回用于混凝土搅拌</w:t>
                  </w:r>
                </w:p>
              </w:tc>
            </w:tr>
            <w:tr w14:paraId="208DA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261" w:type="pct"/>
                  <w:noWrap w:val="0"/>
                  <w:vAlign w:val="center"/>
                </w:tcPr>
                <w:p w14:paraId="78C28134">
                  <w:pPr>
                    <w:pStyle w:val="28"/>
                    <w:rPr>
                      <w:color w:val="auto"/>
                    </w:rPr>
                  </w:pPr>
                  <w:r>
                    <w:rPr>
                      <w:color w:val="auto"/>
                    </w:rPr>
                    <w:t>锅炉废水</w:t>
                  </w:r>
                </w:p>
              </w:tc>
              <w:tc>
                <w:tcPr>
                  <w:tcW w:w="515" w:type="pct"/>
                  <w:gridSpan w:val="2"/>
                  <w:noWrap w:val="0"/>
                  <w:vAlign w:val="center"/>
                </w:tcPr>
                <w:p w14:paraId="22BAE47B">
                  <w:pPr>
                    <w:pStyle w:val="28"/>
                    <w:rPr>
                      <w:color w:val="auto"/>
                    </w:rPr>
                  </w:pPr>
                  <w:r>
                    <w:rPr>
                      <w:color w:val="auto"/>
                    </w:rPr>
                    <w:t>锅炉清净水</w:t>
                  </w:r>
                </w:p>
              </w:tc>
              <w:tc>
                <w:tcPr>
                  <w:tcW w:w="441" w:type="pct"/>
                  <w:noWrap w:val="0"/>
                  <w:vAlign w:val="center"/>
                </w:tcPr>
                <w:p w14:paraId="722D8543">
                  <w:pPr>
                    <w:pStyle w:val="28"/>
                    <w:rPr>
                      <w:color w:val="auto"/>
                    </w:rPr>
                  </w:pPr>
                  <w:r>
                    <w:rPr>
                      <w:color w:val="auto"/>
                    </w:rPr>
                    <w:t>/</w:t>
                  </w:r>
                </w:p>
              </w:tc>
              <w:tc>
                <w:tcPr>
                  <w:tcW w:w="609" w:type="pct"/>
                  <w:noWrap w:val="0"/>
                  <w:vAlign w:val="center"/>
                </w:tcPr>
                <w:p w14:paraId="52817ABA">
                  <w:pPr>
                    <w:pStyle w:val="28"/>
                    <w:rPr>
                      <w:color w:val="auto"/>
                    </w:rPr>
                  </w:pPr>
                  <w:r>
                    <w:rPr>
                      <w:color w:val="auto"/>
                    </w:rPr>
                    <w:t>/</w:t>
                  </w:r>
                </w:p>
              </w:tc>
              <w:tc>
                <w:tcPr>
                  <w:tcW w:w="486" w:type="pct"/>
                  <w:noWrap w:val="0"/>
                  <w:vAlign w:val="center"/>
                </w:tcPr>
                <w:p w14:paraId="531464AC">
                  <w:pPr>
                    <w:pStyle w:val="28"/>
                    <w:rPr>
                      <w:rFonts w:hint="default" w:eastAsia="宋体"/>
                      <w:color w:val="auto"/>
                      <w:lang w:val="en-US" w:eastAsia="zh-CN"/>
                    </w:rPr>
                  </w:pPr>
                  <w:r>
                    <w:rPr>
                      <w:rFonts w:hint="eastAsia"/>
                      <w:color w:val="auto"/>
                      <w:lang w:val="en-US" w:eastAsia="zh-CN"/>
                    </w:rPr>
                    <w:t>0.62</w:t>
                  </w:r>
                </w:p>
              </w:tc>
              <w:tc>
                <w:tcPr>
                  <w:tcW w:w="680" w:type="pct"/>
                  <w:noWrap w:val="0"/>
                  <w:vAlign w:val="center"/>
                </w:tcPr>
                <w:p w14:paraId="36899924">
                  <w:pPr>
                    <w:pStyle w:val="28"/>
                    <w:rPr>
                      <w:rFonts w:hint="default" w:eastAsia="宋体"/>
                      <w:color w:val="auto"/>
                      <w:lang w:val="en-US" w:eastAsia="zh-CN"/>
                    </w:rPr>
                  </w:pPr>
                  <w:r>
                    <w:rPr>
                      <w:rFonts w:hint="eastAsia"/>
                      <w:color w:val="auto"/>
                      <w:lang w:val="en-US" w:eastAsia="zh-CN"/>
                    </w:rPr>
                    <w:t>186</w:t>
                  </w:r>
                </w:p>
              </w:tc>
              <w:tc>
                <w:tcPr>
                  <w:tcW w:w="486" w:type="pct"/>
                  <w:noWrap w:val="0"/>
                  <w:vAlign w:val="center"/>
                </w:tcPr>
                <w:p w14:paraId="4B01F47F">
                  <w:pPr>
                    <w:pStyle w:val="28"/>
                    <w:rPr>
                      <w:rFonts w:hint="default" w:eastAsia="宋体"/>
                      <w:color w:val="auto"/>
                      <w:lang w:val="en-US" w:eastAsia="zh-CN"/>
                    </w:rPr>
                  </w:pPr>
                  <w:r>
                    <w:rPr>
                      <w:rFonts w:hint="eastAsia"/>
                      <w:color w:val="auto"/>
                      <w:lang w:val="en-US" w:eastAsia="zh-CN"/>
                    </w:rPr>
                    <w:t>0.16</w:t>
                  </w:r>
                </w:p>
              </w:tc>
              <w:tc>
                <w:tcPr>
                  <w:tcW w:w="551" w:type="pct"/>
                  <w:noWrap w:val="0"/>
                  <w:vAlign w:val="center"/>
                </w:tcPr>
                <w:p w14:paraId="25FC4758">
                  <w:pPr>
                    <w:pStyle w:val="28"/>
                    <w:rPr>
                      <w:rFonts w:hint="default" w:eastAsia="宋体"/>
                      <w:color w:val="auto"/>
                      <w:lang w:val="en-US" w:eastAsia="zh-CN"/>
                    </w:rPr>
                  </w:pPr>
                  <w:r>
                    <w:rPr>
                      <w:rFonts w:hint="eastAsia"/>
                      <w:color w:val="auto"/>
                      <w:lang w:val="en-US" w:eastAsia="zh-CN"/>
                    </w:rPr>
                    <w:t>48.2</w:t>
                  </w:r>
                </w:p>
              </w:tc>
              <w:tc>
                <w:tcPr>
                  <w:tcW w:w="967" w:type="pct"/>
                  <w:noWrap w:val="0"/>
                  <w:vAlign w:val="center"/>
                </w:tcPr>
                <w:p w14:paraId="0B0EE277">
                  <w:pPr>
                    <w:pStyle w:val="28"/>
                    <w:rPr>
                      <w:rFonts w:hint="eastAsia"/>
                      <w:color w:val="auto"/>
                    </w:rPr>
                  </w:pPr>
                  <w:r>
                    <w:rPr>
                      <w:rFonts w:hint="eastAsia"/>
                      <w:color w:val="auto"/>
                    </w:rPr>
                    <w:t>排入四级沉淀池，经沉淀后上清液用于混凝土搅拌工序，不外排</w:t>
                  </w:r>
                </w:p>
              </w:tc>
            </w:tr>
            <w:tr w14:paraId="4450B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76" w:type="pct"/>
                  <w:gridSpan w:val="3"/>
                  <w:noWrap w:val="0"/>
                  <w:vAlign w:val="center"/>
                </w:tcPr>
                <w:p w14:paraId="4DB7F3F7">
                  <w:pPr>
                    <w:pStyle w:val="28"/>
                    <w:rPr>
                      <w:rFonts w:hint="eastAsia"/>
                      <w:color w:val="auto"/>
                      <w:lang w:val="en-US" w:eastAsia="zh-CN"/>
                    </w:rPr>
                  </w:pPr>
                  <w:r>
                    <w:rPr>
                      <w:rFonts w:hint="eastAsia"/>
                      <w:color w:val="auto"/>
                      <w:lang w:val="en-US" w:eastAsia="zh-CN"/>
                    </w:rPr>
                    <w:t>罐车清</w:t>
                  </w:r>
                </w:p>
                <w:p w14:paraId="18D864CD">
                  <w:pPr>
                    <w:pStyle w:val="28"/>
                    <w:rPr>
                      <w:rFonts w:hint="default" w:eastAsia="宋体"/>
                      <w:color w:val="auto"/>
                      <w:lang w:val="en-US" w:eastAsia="zh-CN"/>
                    </w:rPr>
                  </w:pPr>
                  <w:r>
                    <w:rPr>
                      <w:rFonts w:hint="eastAsia"/>
                      <w:color w:val="auto"/>
                      <w:lang w:val="en-US" w:eastAsia="zh-CN"/>
                    </w:rPr>
                    <w:t>洗废水</w:t>
                  </w:r>
                </w:p>
              </w:tc>
              <w:tc>
                <w:tcPr>
                  <w:tcW w:w="441" w:type="pct"/>
                  <w:noWrap w:val="0"/>
                  <w:vAlign w:val="center"/>
                </w:tcPr>
                <w:p w14:paraId="7B25D572">
                  <w:pPr>
                    <w:pStyle w:val="28"/>
                    <w:rPr>
                      <w:color w:val="auto"/>
                    </w:rPr>
                  </w:pPr>
                  <w:r>
                    <w:rPr>
                      <w:color w:val="auto"/>
                    </w:rPr>
                    <w:t>/</w:t>
                  </w:r>
                </w:p>
              </w:tc>
              <w:tc>
                <w:tcPr>
                  <w:tcW w:w="609" w:type="pct"/>
                  <w:noWrap w:val="0"/>
                  <w:vAlign w:val="center"/>
                </w:tcPr>
                <w:p w14:paraId="09ED60D7">
                  <w:pPr>
                    <w:pStyle w:val="28"/>
                    <w:rPr>
                      <w:color w:val="auto"/>
                    </w:rPr>
                  </w:pPr>
                  <w:r>
                    <w:rPr>
                      <w:color w:val="auto"/>
                    </w:rPr>
                    <w:t>0.04m</w:t>
                  </w:r>
                  <w:r>
                    <w:rPr>
                      <w:color w:val="auto"/>
                      <w:vertAlign w:val="superscript"/>
                    </w:rPr>
                    <w:t>3</w:t>
                  </w:r>
                  <w:r>
                    <w:rPr>
                      <w:color w:val="auto"/>
                    </w:rPr>
                    <w:t>/（车.次）</w:t>
                  </w:r>
                </w:p>
              </w:tc>
              <w:tc>
                <w:tcPr>
                  <w:tcW w:w="486" w:type="pct"/>
                  <w:noWrap w:val="0"/>
                  <w:vAlign w:val="center"/>
                </w:tcPr>
                <w:p w14:paraId="3D1A999C">
                  <w:pPr>
                    <w:pStyle w:val="28"/>
                    <w:rPr>
                      <w:color w:val="auto"/>
                    </w:rPr>
                  </w:pPr>
                  <w:r>
                    <w:rPr>
                      <w:rFonts w:hint="eastAsia"/>
                      <w:color w:val="auto"/>
                    </w:rPr>
                    <w:t>0.69</w:t>
                  </w:r>
                </w:p>
              </w:tc>
              <w:tc>
                <w:tcPr>
                  <w:tcW w:w="680" w:type="pct"/>
                  <w:noWrap w:val="0"/>
                  <w:vAlign w:val="center"/>
                </w:tcPr>
                <w:p w14:paraId="3499C0A4">
                  <w:pPr>
                    <w:pStyle w:val="28"/>
                    <w:rPr>
                      <w:color w:val="auto"/>
                    </w:rPr>
                  </w:pPr>
                  <w:r>
                    <w:rPr>
                      <w:rFonts w:hint="eastAsia"/>
                      <w:color w:val="auto"/>
                    </w:rPr>
                    <w:t>205.88</w:t>
                  </w:r>
                </w:p>
              </w:tc>
              <w:tc>
                <w:tcPr>
                  <w:tcW w:w="486" w:type="pct"/>
                  <w:noWrap w:val="0"/>
                  <w:vAlign w:val="center"/>
                </w:tcPr>
                <w:p w14:paraId="6E4CDA16">
                  <w:pPr>
                    <w:pStyle w:val="28"/>
                    <w:rPr>
                      <w:rFonts w:hint="eastAsia"/>
                      <w:color w:val="auto"/>
                    </w:rPr>
                  </w:pPr>
                  <w:r>
                    <w:rPr>
                      <w:rFonts w:hint="eastAsia"/>
                      <w:color w:val="auto"/>
                    </w:rPr>
                    <w:t>0.656</w:t>
                  </w:r>
                </w:p>
              </w:tc>
              <w:tc>
                <w:tcPr>
                  <w:tcW w:w="551" w:type="pct"/>
                  <w:noWrap w:val="0"/>
                  <w:vAlign w:val="center"/>
                </w:tcPr>
                <w:p w14:paraId="5F5E0A21">
                  <w:pPr>
                    <w:pStyle w:val="28"/>
                    <w:rPr>
                      <w:color w:val="auto"/>
                    </w:rPr>
                  </w:pPr>
                  <w:r>
                    <w:rPr>
                      <w:rFonts w:hint="eastAsia"/>
                      <w:color w:val="auto"/>
                    </w:rPr>
                    <w:t>196.8</w:t>
                  </w:r>
                </w:p>
              </w:tc>
              <w:tc>
                <w:tcPr>
                  <w:tcW w:w="967" w:type="pct"/>
                  <w:noWrap w:val="0"/>
                  <w:vAlign w:val="center"/>
                </w:tcPr>
                <w:p w14:paraId="3216BE1F">
                  <w:pPr>
                    <w:pStyle w:val="28"/>
                    <w:rPr>
                      <w:rFonts w:hint="eastAsia"/>
                      <w:color w:val="auto"/>
                    </w:rPr>
                  </w:pPr>
                  <w:r>
                    <w:rPr>
                      <w:rFonts w:hint="eastAsia"/>
                      <w:color w:val="auto"/>
                      <w:lang w:val="en-US" w:eastAsia="zh-CN"/>
                    </w:rPr>
                    <w:t>设置每个规格为2*3.5*1m的五级沉淀池，容积约为35m</w:t>
                  </w:r>
                  <w:r>
                    <w:rPr>
                      <w:rFonts w:hint="eastAsia"/>
                      <w:color w:val="auto"/>
                      <w:vertAlign w:val="superscript"/>
                      <w:lang w:val="en-US" w:eastAsia="zh-CN"/>
                    </w:rPr>
                    <w:t>3</w:t>
                  </w:r>
                  <w:r>
                    <w:rPr>
                      <w:rFonts w:hint="eastAsia"/>
                      <w:color w:val="auto"/>
                      <w:lang w:val="en-US" w:eastAsia="zh-CN"/>
                    </w:rPr>
                    <w:t>，沉淀后回用于混凝土搅拌，不外排</w:t>
                  </w:r>
                </w:p>
              </w:tc>
            </w:tr>
            <w:tr w14:paraId="0BB88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 w:type="pct"/>
                  <w:vMerge w:val="restart"/>
                  <w:noWrap w:val="0"/>
                  <w:vAlign w:val="center"/>
                </w:tcPr>
                <w:p w14:paraId="2A8AB515">
                  <w:pPr>
                    <w:pStyle w:val="28"/>
                    <w:rPr>
                      <w:color w:val="auto"/>
                    </w:rPr>
                  </w:pPr>
                  <w:r>
                    <w:rPr>
                      <w:color w:val="auto"/>
                    </w:rPr>
                    <w:t>洒水降尘</w:t>
                  </w:r>
                </w:p>
              </w:tc>
              <w:tc>
                <w:tcPr>
                  <w:tcW w:w="515" w:type="pct"/>
                  <w:gridSpan w:val="2"/>
                  <w:noWrap w:val="0"/>
                  <w:vAlign w:val="center"/>
                </w:tcPr>
                <w:p w14:paraId="17E41736">
                  <w:pPr>
                    <w:pStyle w:val="28"/>
                    <w:rPr>
                      <w:color w:val="auto"/>
                    </w:rPr>
                  </w:pPr>
                  <w:r>
                    <w:rPr>
                      <w:rFonts w:hint="eastAsia"/>
                      <w:color w:val="auto"/>
                    </w:rPr>
                    <w:t>非雨天</w:t>
                  </w:r>
                </w:p>
              </w:tc>
              <w:tc>
                <w:tcPr>
                  <w:tcW w:w="441" w:type="pct"/>
                  <w:vMerge w:val="restart"/>
                  <w:noWrap w:val="0"/>
                  <w:vAlign w:val="center"/>
                </w:tcPr>
                <w:p w14:paraId="4418B0D1">
                  <w:pPr>
                    <w:pStyle w:val="28"/>
                    <w:rPr>
                      <w:color w:val="auto"/>
                    </w:rPr>
                  </w:pPr>
                  <w:r>
                    <w:rPr>
                      <w:color w:val="auto"/>
                    </w:rPr>
                    <w:t>200</w:t>
                  </w:r>
                  <w:r>
                    <w:rPr>
                      <w:rFonts w:hint="eastAsia"/>
                      <w:color w:val="auto"/>
                    </w:rPr>
                    <w:t>0</w:t>
                  </w:r>
                  <w:r>
                    <w:rPr>
                      <w:color w:val="auto"/>
                    </w:rPr>
                    <w:t>m</w:t>
                  </w:r>
                  <w:r>
                    <w:rPr>
                      <w:color w:val="auto"/>
                      <w:vertAlign w:val="superscript"/>
                    </w:rPr>
                    <w:t>2</w:t>
                  </w:r>
                </w:p>
              </w:tc>
              <w:tc>
                <w:tcPr>
                  <w:tcW w:w="609" w:type="pct"/>
                  <w:noWrap w:val="0"/>
                  <w:vAlign w:val="center"/>
                </w:tcPr>
                <w:p w14:paraId="58A5CC41">
                  <w:pPr>
                    <w:pStyle w:val="28"/>
                    <w:rPr>
                      <w:color w:val="auto"/>
                    </w:rPr>
                  </w:pPr>
                  <w:r>
                    <w:rPr>
                      <w:color w:val="auto"/>
                    </w:rPr>
                    <w:t>0.5L/（m</w:t>
                  </w:r>
                  <w:r>
                    <w:rPr>
                      <w:color w:val="auto"/>
                      <w:vertAlign w:val="superscript"/>
                    </w:rPr>
                    <w:t>2</w:t>
                  </w:r>
                  <w:r>
                    <w:rPr>
                      <w:color w:val="auto"/>
                    </w:rPr>
                    <w:t>·次）</w:t>
                  </w:r>
                </w:p>
              </w:tc>
              <w:tc>
                <w:tcPr>
                  <w:tcW w:w="486" w:type="pct"/>
                  <w:noWrap w:val="0"/>
                  <w:vAlign w:val="center"/>
                </w:tcPr>
                <w:p w14:paraId="4EAF2FCB">
                  <w:pPr>
                    <w:pStyle w:val="28"/>
                    <w:rPr>
                      <w:color w:val="auto"/>
                    </w:rPr>
                  </w:pPr>
                  <w:r>
                    <w:rPr>
                      <w:rFonts w:eastAsia="等线"/>
                      <w:color w:val="auto"/>
                      <w:szCs w:val="21"/>
                    </w:rPr>
                    <w:t>3.5</w:t>
                  </w:r>
                </w:p>
              </w:tc>
              <w:tc>
                <w:tcPr>
                  <w:tcW w:w="680" w:type="pct"/>
                  <w:noWrap w:val="0"/>
                  <w:vAlign w:val="center"/>
                </w:tcPr>
                <w:p w14:paraId="03F83F45">
                  <w:pPr>
                    <w:pStyle w:val="28"/>
                    <w:rPr>
                      <w:color w:val="auto"/>
                    </w:rPr>
                  </w:pPr>
                  <w:r>
                    <w:rPr>
                      <w:rFonts w:eastAsia="等线"/>
                      <w:color w:val="auto"/>
                      <w:szCs w:val="21"/>
                    </w:rPr>
                    <w:t>700</w:t>
                  </w:r>
                </w:p>
              </w:tc>
              <w:tc>
                <w:tcPr>
                  <w:tcW w:w="486" w:type="pct"/>
                  <w:noWrap w:val="0"/>
                  <w:vAlign w:val="center"/>
                </w:tcPr>
                <w:p w14:paraId="30458123">
                  <w:pPr>
                    <w:pStyle w:val="28"/>
                    <w:rPr>
                      <w:color w:val="auto"/>
                    </w:rPr>
                  </w:pPr>
                  <w:r>
                    <w:rPr>
                      <w:color w:val="auto"/>
                    </w:rPr>
                    <w:t>/</w:t>
                  </w:r>
                </w:p>
              </w:tc>
              <w:tc>
                <w:tcPr>
                  <w:tcW w:w="551" w:type="pct"/>
                  <w:noWrap w:val="0"/>
                  <w:vAlign w:val="center"/>
                </w:tcPr>
                <w:p w14:paraId="1F3FAFD9">
                  <w:pPr>
                    <w:pStyle w:val="28"/>
                    <w:rPr>
                      <w:color w:val="auto"/>
                    </w:rPr>
                  </w:pPr>
                  <w:r>
                    <w:rPr>
                      <w:rFonts w:hint="eastAsia"/>
                      <w:color w:val="auto"/>
                    </w:rPr>
                    <w:t>/</w:t>
                  </w:r>
                </w:p>
              </w:tc>
              <w:tc>
                <w:tcPr>
                  <w:tcW w:w="967" w:type="pct"/>
                  <w:vMerge w:val="restart"/>
                  <w:noWrap w:val="0"/>
                  <w:vAlign w:val="center"/>
                </w:tcPr>
                <w:p w14:paraId="21B92264">
                  <w:pPr>
                    <w:pStyle w:val="28"/>
                    <w:rPr>
                      <w:color w:val="auto"/>
                    </w:rPr>
                  </w:pPr>
                  <w:r>
                    <w:rPr>
                      <w:rFonts w:hint="eastAsia"/>
                      <w:color w:val="auto"/>
                    </w:rPr>
                    <w:t>自然蒸发</w:t>
                  </w:r>
                </w:p>
              </w:tc>
            </w:tr>
            <w:tr w14:paraId="12BA0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 w:type="pct"/>
                  <w:vMerge w:val="continue"/>
                  <w:noWrap w:val="0"/>
                  <w:vAlign w:val="center"/>
                </w:tcPr>
                <w:p w14:paraId="4716F490">
                  <w:pPr>
                    <w:pStyle w:val="28"/>
                    <w:rPr>
                      <w:color w:val="auto"/>
                    </w:rPr>
                  </w:pPr>
                </w:p>
              </w:tc>
              <w:tc>
                <w:tcPr>
                  <w:tcW w:w="515" w:type="pct"/>
                  <w:gridSpan w:val="2"/>
                  <w:noWrap w:val="0"/>
                  <w:vAlign w:val="center"/>
                </w:tcPr>
                <w:p w14:paraId="0F3E9DB3">
                  <w:pPr>
                    <w:pStyle w:val="28"/>
                    <w:rPr>
                      <w:color w:val="auto"/>
                    </w:rPr>
                  </w:pPr>
                  <w:r>
                    <w:rPr>
                      <w:color w:val="auto"/>
                    </w:rPr>
                    <w:t>雨天</w:t>
                  </w:r>
                </w:p>
              </w:tc>
              <w:tc>
                <w:tcPr>
                  <w:tcW w:w="441" w:type="pct"/>
                  <w:vMerge w:val="continue"/>
                  <w:noWrap w:val="0"/>
                  <w:vAlign w:val="center"/>
                </w:tcPr>
                <w:p w14:paraId="67B273C7">
                  <w:pPr>
                    <w:pStyle w:val="28"/>
                    <w:rPr>
                      <w:color w:val="auto"/>
                    </w:rPr>
                  </w:pPr>
                </w:p>
              </w:tc>
              <w:tc>
                <w:tcPr>
                  <w:tcW w:w="609" w:type="pct"/>
                  <w:noWrap w:val="0"/>
                  <w:vAlign w:val="center"/>
                </w:tcPr>
                <w:p w14:paraId="2FF0FA10">
                  <w:pPr>
                    <w:pStyle w:val="28"/>
                    <w:rPr>
                      <w:color w:val="auto"/>
                    </w:rPr>
                  </w:pPr>
                  <w:r>
                    <w:rPr>
                      <w:color w:val="auto"/>
                    </w:rPr>
                    <w:t>/</w:t>
                  </w:r>
                </w:p>
              </w:tc>
              <w:tc>
                <w:tcPr>
                  <w:tcW w:w="486" w:type="pct"/>
                  <w:noWrap w:val="0"/>
                  <w:vAlign w:val="center"/>
                </w:tcPr>
                <w:p w14:paraId="5309742C">
                  <w:pPr>
                    <w:pStyle w:val="28"/>
                    <w:rPr>
                      <w:color w:val="auto"/>
                    </w:rPr>
                  </w:pPr>
                  <w:r>
                    <w:rPr>
                      <w:rFonts w:eastAsia="等线"/>
                      <w:color w:val="auto"/>
                      <w:szCs w:val="21"/>
                    </w:rPr>
                    <w:t>/</w:t>
                  </w:r>
                </w:p>
              </w:tc>
              <w:tc>
                <w:tcPr>
                  <w:tcW w:w="680" w:type="pct"/>
                  <w:noWrap w:val="0"/>
                  <w:vAlign w:val="center"/>
                </w:tcPr>
                <w:p w14:paraId="66ECA2C7">
                  <w:pPr>
                    <w:pStyle w:val="28"/>
                    <w:rPr>
                      <w:color w:val="auto"/>
                    </w:rPr>
                  </w:pPr>
                  <w:r>
                    <w:rPr>
                      <w:rFonts w:hint="eastAsia" w:eastAsia="等线"/>
                      <w:color w:val="auto"/>
                      <w:szCs w:val="21"/>
                    </w:rPr>
                    <w:t>/</w:t>
                  </w:r>
                </w:p>
              </w:tc>
              <w:tc>
                <w:tcPr>
                  <w:tcW w:w="486" w:type="pct"/>
                  <w:noWrap w:val="0"/>
                  <w:vAlign w:val="center"/>
                </w:tcPr>
                <w:p w14:paraId="3A544E0C">
                  <w:pPr>
                    <w:pStyle w:val="28"/>
                    <w:rPr>
                      <w:color w:val="auto"/>
                    </w:rPr>
                  </w:pPr>
                  <w:r>
                    <w:rPr>
                      <w:color w:val="auto"/>
                    </w:rPr>
                    <w:t>/</w:t>
                  </w:r>
                </w:p>
              </w:tc>
              <w:tc>
                <w:tcPr>
                  <w:tcW w:w="551" w:type="pct"/>
                  <w:noWrap w:val="0"/>
                  <w:vAlign w:val="center"/>
                </w:tcPr>
                <w:p w14:paraId="36633075">
                  <w:pPr>
                    <w:pStyle w:val="28"/>
                    <w:rPr>
                      <w:color w:val="auto"/>
                    </w:rPr>
                  </w:pPr>
                  <w:r>
                    <w:rPr>
                      <w:rFonts w:hint="eastAsia"/>
                      <w:color w:val="auto"/>
                    </w:rPr>
                    <w:t>/</w:t>
                  </w:r>
                </w:p>
              </w:tc>
              <w:tc>
                <w:tcPr>
                  <w:tcW w:w="967" w:type="pct"/>
                  <w:vMerge w:val="continue"/>
                  <w:noWrap w:val="0"/>
                  <w:vAlign w:val="center"/>
                </w:tcPr>
                <w:p w14:paraId="4C101EAA">
                  <w:pPr>
                    <w:pStyle w:val="28"/>
                    <w:rPr>
                      <w:color w:val="auto"/>
                    </w:rPr>
                  </w:pPr>
                </w:p>
              </w:tc>
            </w:tr>
            <w:tr w14:paraId="1AB05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 w:type="pct"/>
                  <w:vMerge w:val="restart"/>
                  <w:noWrap w:val="0"/>
                  <w:vAlign w:val="center"/>
                </w:tcPr>
                <w:p w14:paraId="20A0B7CF">
                  <w:pPr>
                    <w:pStyle w:val="28"/>
                    <w:rPr>
                      <w:color w:val="auto"/>
                    </w:rPr>
                  </w:pPr>
                  <w:r>
                    <w:rPr>
                      <w:color w:val="auto"/>
                    </w:rPr>
                    <w:t>绿化用水</w:t>
                  </w:r>
                </w:p>
              </w:tc>
              <w:tc>
                <w:tcPr>
                  <w:tcW w:w="515" w:type="pct"/>
                  <w:gridSpan w:val="2"/>
                  <w:noWrap w:val="0"/>
                  <w:vAlign w:val="center"/>
                </w:tcPr>
                <w:p w14:paraId="1B794E3E">
                  <w:pPr>
                    <w:pStyle w:val="28"/>
                    <w:rPr>
                      <w:color w:val="auto"/>
                    </w:rPr>
                  </w:pPr>
                  <w:r>
                    <w:rPr>
                      <w:rFonts w:hint="eastAsia"/>
                      <w:color w:val="auto"/>
                    </w:rPr>
                    <w:t>非雨天</w:t>
                  </w:r>
                </w:p>
              </w:tc>
              <w:tc>
                <w:tcPr>
                  <w:tcW w:w="441" w:type="pct"/>
                  <w:vMerge w:val="restart"/>
                  <w:noWrap w:val="0"/>
                  <w:vAlign w:val="center"/>
                </w:tcPr>
                <w:p w14:paraId="773F6BF1">
                  <w:pPr>
                    <w:pStyle w:val="28"/>
                    <w:rPr>
                      <w:color w:val="auto"/>
                    </w:rPr>
                  </w:pPr>
                  <w:r>
                    <w:rPr>
                      <w:rFonts w:hint="eastAsia"/>
                      <w:color w:val="auto"/>
                    </w:rPr>
                    <w:t>1000</w:t>
                  </w:r>
                  <w:r>
                    <w:rPr>
                      <w:color w:val="auto"/>
                    </w:rPr>
                    <w:t>m</w:t>
                  </w:r>
                  <w:r>
                    <w:rPr>
                      <w:color w:val="auto"/>
                      <w:vertAlign w:val="superscript"/>
                    </w:rPr>
                    <w:t>2</w:t>
                  </w:r>
                </w:p>
              </w:tc>
              <w:tc>
                <w:tcPr>
                  <w:tcW w:w="609" w:type="pct"/>
                  <w:noWrap w:val="0"/>
                  <w:vAlign w:val="center"/>
                </w:tcPr>
                <w:p w14:paraId="6712C297">
                  <w:pPr>
                    <w:pStyle w:val="28"/>
                    <w:rPr>
                      <w:color w:val="auto"/>
                    </w:rPr>
                  </w:pPr>
                  <w:r>
                    <w:rPr>
                      <w:color w:val="auto"/>
                    </w:rPr>
                    <w:t>3L/（m</w:t>
                  </w:r>
                  <w:r>
                    <w:rPr>
                      <w:color w:val="auto"/>
                      <w:vertAlign w:val="superscript"/>
                    </w:rPr>
                    <w:t>2</w:t>
                  </w:r>
                  <w:r>
                    <w:rPr>
                      <w:color w:val="auto"/>
                    </w:rPr>
                    <w:t>/次）</w:t>
                  </w:r>
                </w:p>
              </w:tc>
              <w:tc>
                <w:tcPr>
                  <w:tcW w:w="486" w:type="pct"/>
                  <w:noWrap w:val="0"/>
                  <w:vAlign w:val="center"/>
                </w:tcPr>
                <w:p w14:paraId="066F5193">
                  <w:pPr>
                    <w:pStyle w:val="28"/>
                    <w:rPr>
                      <w:color w:val="auto"/>
                    </w:rPr>
                  </w:pPr>
                  <w:r>
                    <w:rPr>
                      <w:rFonts w:eastAsia="等线"/>
                      <w:color w:val="auto"/>
                      <w:szCs w:val="21"/>
                    </w:rPr>
                    <w:t>4.5</w:t>
                  </w:r>
                </w:p>
              </w:tc>
              <w:tc>
                <w:tcPr>
                  <w:tcW w:w="680" w:type="pct"/>
                  <w:noWrap w:val="0"/>
                  <w:vAlign w:val="center"/>
                </w:tcPr>
                <w:p w14:paraId="4B471C5C">
                  <w:pPr>
                    <w:pStyle w:val="28"/>
                    <w:rPr>
                      <w:color w:val="auto"/>
                    </w:rPr>
                  </w:pPr>
                  <w:r>
                    <w:rPr>
                      <w:rFonts w:eastAsia="等线"/>
                      <w:color w:val="auto"/>
                      <w:szCs w:val="21"/>
                    </w:rPr>
                    <w:t>900</w:t>
                  </w:r>
                </w:p>
              </w:tc>
              <w:tc>
                <w:tcPr>
                  <w:tcW w:w="486" w:type="pct"/>
                  <w:noWrap w:val="0"/>
                  <w:vAlign w:val="center"/>
                </w:tcPr>
                <w:p w14:paraId="76B574D9">
                  <w:pPr>
                    <w:pStyle w:val="28"/>
                    <w:rPr>
                      <w:color w:val="auto"/>
                    </w:rPr>
                  </w:pPr>
                  <w:r>
                    <w:rPr>
                      <w:color w:val="auto"/>
                    </w:rPr>
                    <w:t>/</w:t>
                  </w:r>
                </w:p>
              </w:tc>
              <w:tc>
                <w:tcPr>
                  <w:tcW w:w="551" w:type="pct"/>
                  <w:noWrap w:val="0"/>
                  <w:vAlign w:val="center"/>
                </w:tcPr>
                <w:p w14:paraId="22BB7212">
                  <w:pPr>
                    <w:pStyle w:val="28"/>
                    <w:rPr>
                      <w:color w:val="auto"/>
                    </w:rPr>
                  </w:pPr>
                  <w:r>
                    <w:rPr>
                      <w:rFonts w:hint="eastAsia"/>
                      <w:color w:val="auto"/>
                    </w:rPr>
                    <w:t>/</w:t>
                  </w:r>
                </w:p>
              </w:tc>
              <w:tc>
                <w:tcPr>
                  <w:tcW w:w="967" w:type="pct"/>
                  <w:vMerge w:val="restart"/>
                  <w:noWrap w:val="0"/>
                  <w:vAlign w:val="center"/>
                </w:tcPr>
                <w:p w14:paraId="527643C8">
                  <w:pPr>
                    <w:pStyle w:val="28"/>
                    <w:rPr>
                      <w:color w:val="auto"/>
                    </w:rPr>
                  </w:pPr>
                  <w:r>
                    <w:rPr>
                      <w:rFonts w:hint="eastAsia"/>
                      <w:color w:val="auto"/>
                    </w:rPr>
                    <w:t>自然蒸发</w:t>
                  </w:r>
                </w:p>
              </w:tc>
            </w:tr>
            <w:tr w14:paraId="78BF3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 w:type="pct"/>
                  <w:vMerge w:val="continue"/>
                  <w:noWrap w:val="0"/>
                  <w:vAlign w:val="center"/>
                </w:tcPr>
                <w:p w14:paraId="66F5D15F">
                  <w:pPr>
                    <w:pStyle w:val="28"/>
                    <w:rPr>
                      <w:color w:val="auto"/>
                    </w:rPr>
                  </w:pPr>
                </w:p>
              </w:tc>
              <w:tc>
                <w:tcPr>
                  <w:tcW w:w="515" w:type="pct"/>
                  <w:gridSpan w:val="2"/>
                  <w:noWrap w:val="0"/>
                  <w:vAlign w:val="center"/>
                </w:tcPr>
                <w:p w14:paraId="41CC8B7A">
                  <w:pPr>
                    <w:pStyle w:val="28"/>
                    <w:rPr>
                      <w:color w:val="auto"/>
                    </w:rPr>
                  </w:pPr>
                  <w:r>
                    <w:rPr>
                      <w:color w:val="auto"/>
                    </w:rPr>
                    <w:t>雨天</w:t>
                  </w:r>
                </w:p>
              </w:tc>
              <w:tc>
                <w:tcPr>
                  <w:tcW w:w="441" w:type="pct"/>
                  <w:vMerge w:val="continue"/>
                  <w:noWrap w:val="0"/>
                  <w:vAlign w:val="center"/>
                </w:tcPr>
                <w:p w14:paraId="6590DC85">
                  <w:pPr>
                    <w:pStyle w:val="28"/>
                    <w:rPr>
                      <w:color w:val="auto"/>
                    </w:rPr>
                  </w:pPr>
                </w:p>
              </w:tc>
              <w:tc>
                <w:tcPr>
                  <w:tcW w:w="609" w:type="pct"/>
                  <w:noWrap w:val="0"/>
                  <w:vAlign w:val="center"/>
                </w:tcPr>
                <w:p w14:paraId="534B6801">
                  <w:pPr>
                    <w:pStyle w:val="28"/>
                    <w:rPr>
                      <w:color w:val="auto"/>
                    </w:rPr>
                  </w:pPr>
                  <w:r>
                    <w:rPr>
                      <w:color w:val="auto"/>
                    </w:rPr>
                    <w:t>/</w:t>
                  </w:r>
                </w:p>
              </w:tc>
              <w:tc>
                <w:tcPr>
                  <w:tcW w:w="486" w:type="pct"/>
                  <w:noWrap w:val="0"/>
                  <w:vAlign w:val="center"/>
                </w:tcPr>
                <w:p w14:paraId="05702A66">
                  <w:pPr>
                    <w:pStyle w:val="28"/>
                    <w:rPr>
                      <w:color w:val="auto"/>
                    </w:rPr>
                  </w:pPr>
                  <w:r>
                    <w:rPr>
                      <w:rFonts w:eastAsia="等线"/>
                      <w:color w:val="auto"/>
                      <w:szCs w:val="21"/>
                    </w:rPr>
                    <w:t>/</w:t>
                  </w:r>
                </w:p>
              </w:tc>
              <w:tc>
                <w:tcPr>
                  <w:tcW w:w="680" w:type="pct"/>
                  <w:noWrap w:val="0"/>
                  <w:vAlign w:val="center"/>
                </w:tcPr>
                <w:p w14:paraId="5F69BA74">
                  <w:pPr>
                    <w:pStyle w:val="28"/>
                    <w:rPr>
                      <w:color w:val="auto"/>
                    </w:rPr>
                  </w:pPr>
                  <w:r>
                    <w:rPr>
                      <w:rFonts w:eastAsia="等线"/>
                      <w:color w:val="auto"/>
                      <w:szCs w:val="21"/>
                    </w:rPr>
                    <w:t>/</w:t>
                  </w:r>
                </w:p>
              </w:tc>
              <w:tc>
                <w:tcPr>
                  <w:tcW w:w="486" w:type="pct"/>
                  <w:noWrap w:val="0"/>
                  <w:vAlign w:val="center"/>
                </w:tcPr>
                <w:p w14:paraId="6354F09F">
                  <w:pPr>
                    <w:pStyle w:val="28"/>
                    <w:rPr>
                      <w:color w:val="auto"/>
                    </w:rPr>
                  </w:pPr>
                  <w:r>
                    <w:rPr>
                      <w:color w:val="auto"/>
                    </w:rPr>
                    <w:t>/</w:t>
                  </w:r>
                </w:p>
              </w:tc>
              <w:tc>
                <w:tcPr>
                  <w:tcW w:w="551" w:type="pct"/>
                  <w:noWrap w:val="0"/>
                  <w:vAlign w:val="center"/>
                </w:tcPr>
                <w:p w14:paraId="34219265">
                  <w:pPr>
                    <w:pStyle w:val="28"/>
                    <w:rPr>
                      <w:color w:val="auto"/>
                    </w:rPr>
                  </w:pPr>
                  <w:r>
                    <w:rPr>
                      <w:rFonts w:hint="eastAsia"/>
                      <w:color w:val="auto"/>
                    </w:rPr>
                    <w:t>/</w:t>
                  </w:r>
                </w:p>
              </w:tc>
              <w:tc>
                <w:tcPr>
                  <w:tcW w:w="967" w:type="pct"/>
                  <w:vMerge w:val="continue"/>
                  <w:noWrap w:val="0"/>
                  <w:vAlign w:val="center"/>
                </w:tcPr>
                <w:p w14:paraId="08D18049">
                  <w:pPr>
                    <w:pStyle w:val="28"/>
                    <w:rPr>
                      <w:color w:val="auto"/>
                    </w:rPr>
                  </w:pPr>
                </w:p>
              </w:tc>
            </w:tr>
            <w:tr w14:paraId="2A18C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 w:type="pct"/>
                  <w:vMerge w:val="restart"/>
                  <w:noWrap w:val="0"/>
                  <w:vAlign w:val="center"/>
                </w:tcPr>
                <w:p w14:paraId="0FD875C2">
                  <w:pPr>
                    <w:pStyle w:val="28"/>
                    <w:rPr>
                      <w:color w:val="auto"/>
                    </w:rPr>
                  </w:pPr>
                  <w:r>
                    <w:rPr>
                      <w:color w:val="auto"/>
                    </w:rPr>
                    <w:t>合计</w:t>
                  </w:r>
                </w:p>
              </w:tc>
              <w:tc>
                <w:tcPr>
                  <w:tcW w:w="515" w:type="pct"/>
                  <w:gridSpan w:val="2"/>
                  <w:noWrap w:val="0"/>
                  <w:vAlign w:val="center"/>
                </w:tcPr>
                <w:p w14:paraId="7CD54BEC">
                  <w:pPr>
                    <w:pStyle w:val="28"/>
                    <w:rPr>
                      <w:color w:val="auto"/>
                    </w:rPr>
                  </w:pPr>
                  <w:r>
                    <w:rPr>
                      <w:rFonts w:hint="eastAsia"/>
                      <w:color w:val="auto"/>
                    </w:rPr>
                    <w:t>非雨天</w:t>
                  </w:r>
                </w:p>
              </w:tc>
              <w:tc>
                <w:tcPr>
                  <w:tcW w:w="441" w:type="pct"/>
                  <w:vMerge w:val="restart"/>
                  <w:noWrap w:val="0"/>
                  <w:vAlign w:val="center"/>
                </w:tcPr>
                <w:p w14:paraId="03A56167">
                  <w:pPr>
                    <w:pStyle w:val="28"/>
                    <w:rPr>
                      <w:color w:val="auto"/>
                    </w:rPr>
                  </w:pPr>
                  <w:r>
                    <w:rPr>
                      <w:color w:val="auto"/>
                    </w:rPr>
                    <w:t>/</w:t>
                  </w:r>
                </w:p>
              </w:tc>
              <w:tc>
                <w:tcPr>
                  <w:tcW w:w="609" w:type="pct"/>
                  <w:vMerge w:val="restart"/>
                  <w:noWrap w:val="0"/>
                  <w:vAlign w:val="center"/>
                </w:tcPr>
                <w:p w14:paraId="011F52B2">
                  <w:pPr>
                    <w:pStyle w:val="28"/>
                    <w:rPr>
                      <w:color w:val="auto"/>
                    </w:rPr>
                  </w:pPr>
                </w:p>
              </w:tc>
              <w:tc>
                <w:tcPr>
                  <w:tcW w:w="486" w:type="pct"/>
                  <w:noWrap w:val="0"/>
                  <w:vAlign w:val="center"/>
                </w:tcPr>
                <w:p w14:paraId="17FDEDAD">
                  <w:pPr>
                    <w:pStyle w:val="28"/>
                    <w:rPr>
                      <w:rFonts w:hint="default" w:eastAsia="宋体"/>
                      <w:color w:val="auto"/>
                      <w:lang w:val="en-US" w:eastAsia="zh-CN"/>
                    </w:rPr>
                  </w:pPr>
                  <w:r>
                    <w:rPr>
                      <w:rFonts w:hint="eastAsia" w:eastAsia="等线"/>
                      <w:color w:val="auto"/>
                      <w:szCs w:val="21"/>
                      <w:lang w:val="en-US" w:eastAsia="zh-CN"/>
                    </w:rPr>
                    <w:t>106.09</w:t>
                  </w:r>
                </w:p>
              </w:tc>
              <w:tc>
                <w:tcPr>
                  <w:tcW w:w="680" w:type="pct"/>
                  <w:noWrap w:val="0"/>
                  <w:vAlign w:val="center"/>
                </w:tcPr>
                <w:p w14:paraId="7C48247E">
                  <w:pPr>
                    <w:pStyle w:val="28"/>
                    <w:rPr>
                      <w:rFonts w:hint="default" w:eastAsia="宋体"/>
                      <w:color w:val="auto"/>
                      <w:lang w:val="en-US" w:eastAsia="zh-CN"/>
                    </w:rPr>
                  </w:pPr>
                  <w:r>
                    <w:rPr>
                      <w:rFonts w:hint="eastAsia" w:eastAsia="等线"/>
                      <w:color w:val="auto"/>
                      <w:szCs w:val="21"/>
                      <w:lang w:val="en-US" w:eastAsia="zh-CN"/>
                    </w:rPr>
                    <w:t>31697.88</w:t>
                  </w:r>
                </w:p>
              </w:tc>
              <w:tc>
                <w:tcPr>
                  <w:tcW w:w="486" w:type="pct"/>
                  <w:vMerge w:val="restart"/>
                  <w:noWrap w:val="0"/>
                  <w:vAlign w:val="center"/>
                </w:tcPr>
                <w:p w14:paraId="7224D6F3">
                  <w:pPr>
                    <w:pStyle w:val="28"/>
                    <w:rPr>
                      <w:rFonts w:hint="default" w:eastAsia="宋体"/>
                      <w:color w:val="auto"/>
                      <w:lang w:val="en-US" w:eastAsia="zh-CN"/>
                    </w:rPr>
                  </w:pPr>
                  <w:r>
                    <w:rPr>
                      <w:rFonts w:hint="eastAsia"/>
                      <w:color w:val="auto"/>
                      <w:lang w:val="en-US" w:eastAsia="zh-CN"/>
                    </w:rPr>
                    <w:t>8.032</w:t>
                  </w:r>
                </w:p>
              </w:tc>
              <w:tc>
                <w:tcPr>
                  <w:tcW w:w="551" w:type="pct"/>
                  <w:vMerge w:val="restart"/>
                  <w:noWrap w:val="0"/>
                  <w:vAlign w:val="center"/>
                </w:tcPr>
                <w:p w14:paraId="43798BE9">
                  <w:pPr>
                    <w:pStyle w:val="28"/>
                    <w:rPr>
                      <w:rFonts w:hint="default" w:eastAsia="宋体"/>
                      <w:color w:val="auto"/>
                      <w:lang w:val="en-US" w:eastAsia="zh-CN"/>
                    </w:rPr>
                  </w:pPr>
                  <w:r>
                    <w:rPr>
                      <w:rFonts w:hint="eastAsia"/>
                      <w:color w:val="auto"/>
                      <w:lang w:val="en-US" w:eastAsia="zh-CN"/>
                    </w:rPr>
                    <w:t>2409.8</w:t>
                  </w:r>
                </w:p>
              </w:tc>
              <w:tc>
                <w:tcPr>
                  <w:tcW w:w="967" w:type="pct"/>
                  <w:vMerge w:val="restart"/>
                  <w:noWrap w:val="0"/>
                  <w:vAlign w:val="center"/>
                </w:tcPr>
                <w:p w14:paraId="61EC47CD">
                  <w:pPr>
                    <w:pStyle w:val="28"/>
                    <w:rPr>
                      <w:rFonts w:hint="eastAsia"/>
                      <w:color w:val="auto"/>
                    </w:rPr>
                  </w:pPr>
                  <w:r>
                    <w:rPr>
                      <w:rFonts w:hint="eastAsia"/>
                      <w:color w:val="auto"/>
                    </w:rPr>
                    <w:t>/</w:t>
                  </w:r>
                </w:p>
              </w:tc>
            </w:tr>
            <w:tr w14:paraId="3AFF8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 w:type="pct"/>
                  <w:vMerge w:val="continue"/>
                  <w:noWrap w:val="0"/>
                  <w:vAlign w:val="center"/>
                </w:tcPr>
                <w:p w14:paraId="6F352FAE">
                  <w:pPr>
                    <w:pStyle w:val="28"/>
                    <w:rPr>
                      <w:color w:val="auto"/>
                    </w:rPr>
                  </w:pPr>
                </w:p>
              </w:tc>
              <w:tc>
                <w:tcPr>
                  <w:tcW w:w="515" w:type="pct"/>
                  <w:gridSpan w:val="2"/>
                  <w:noWrap w:val="0"/>
                  <w:vAlign w:val="center"/>
                </w:tcPr>
                <w:p w14:paraId="1F6E2277">
                  <w:pPr>
                    <w:pStyle w:val="28"/>
                    <w:rPr>
                      <w:color w:val="auto"/>
                    </w:rPr>
                  </w:pPr>
                  <w:r>
                    <w:rPr>
                      <w:color w:val="auto"/>
                    </w:rPr>
                    <w:t>雨天</w:t>
                  </w:r>
                </w:p>
              </w:tc>
              <w:tc>
                <w:tcPr>
                  <w:tcW w:w="441" w:type="pct"/>
                  <w:vMerge w:val="continue"/>
                  <w:noWrap w:val="0"/>
                  <w:vAlign w:val="center"/>
                </w:tcPr>
                <w:p w14:paraId="4DF646A7">
                  <w:pPr>
                    <w:pStyle w:val="28"/>
                    <w:rPr>
                      <w:color w:val="auto"/>
                    </w:rPr>
                  </w:pPr>
                </w:p>
              </w:tc>
              <w:tc>
                <w:tcPr>
                  <w:tcW w:w="609" w:type="pct"/>
                  <w:vMerge w:val="continue"/>
                  <w:noWrap w:val="0"/>
                  <w:vAlign w:val="center"/>
                </w:tcPr>
                <w:p w14:paraId="773108DD">
                  <w:pPr>
                    <w:pStyle w:val="28"/>
                    <w:rPr>
                      <w:color w:val="auto"/>
                    </w:rPr>
                  </w:pPr>
                </w:p>
              </w:tc>
              <w:tc>
                <w:tcPr>
                  <w:tcW w:w="486" w:type="pct"/>
                  <w:noWrap w:val="0"/>
                  <w:vAlign w:val="center"/>
                </w:tcPr>
                <w:p w14:paraId="3B25F55B">
                  <w:pPr>
                    <w:pStyle w:val="28"/>
                    <w:rPr>
                      <w:rFonts w:hint="default" w:eastAsia="宋体"/>
                      <w:color w:val="auto"/>
                      <w:lang w:val="en-US" w:eastAsia="zh-CN"/>
                    </w:rPr>
                  </w:pPr>
                  <w:r>
                    <w:rPr>
                      <w:rFonts w:hint="eastAsia" w:eastAsia="等线"/>
                      <w:color w:val="auto"/>
                      <w:szCs w:val="21"/>
                      <w:lang w:val="en-US" w:eastAsia="zh-CN"/>
                    </w:rPr>
                    <w:t>61.03</w:t>
                  </w:r>
                </w:p>
              </w:tc>
              <w:tc>
                <w:tcPr>
                  <w:tcW w:w="680" w:type="pct"/>
                  <w:noWrap w:val="0"/>
                  <w:vAlign w:val="center"/>
                </w:tcPr>
                <w:p w14:paraId="47FFC390">
                  <w:pPr>
                    <w:pStyle w:val="28"/>
                    <w:rPr>
                      <w:rFonts w:hint="default" w:eastAsia="宋体"/>
                      <w:color w:val="auto"/>
                      <w:lang w:val="en-US" w:eastAsia="zh-CN"/>
                    </w:rPr>
                  </w:pPr>
                  <w:r>
                    <w:rPr>
                      <w:rFonts w:hint="eastAsia" w:eastAsia="等线"/>
                      <w:color w:val="auto"/>
                      <w:szCs w:val="21"/>
                      <w:lang w:val="en-US" w:eastAsia="zh-CN"/>
                    </w:rPr>
                    <w:t>30097.88</w:t>
                  </w:r>
                </w:p>
              </w:tc>
              <w:tc>
                <w:tcPr>
                  <w:tcW w:w="486" w:type="pct"/>
                  <w:vMerge w:val="continue"/>
                  <w:noWrap w:val="0"/>
                  <w:vAlign w:val="center"/>
                </w:tcPr>
                <w:p w14:paraId="5093FC29">
                  <w:pPr>
                    <w:pStyle w:val="28"/>
                    <w:rPr>
                      <w:color w:val="auto"/>
                    </w:rPr>
                  </w:pPr>
                </w:p>
              </w:tc>
              <w:tc>
                <w:tcPr>
                  <w:tcW w:w="551" w:type="pct"/>
                  <w:vMerge w:val="continue"/>
                  <w:noWrap w:val="0"/>
                  <w:vAlign w:val="center"/>
                </w:tcPr>
                <w:p w14:paraId="60DFEC95">
                  <w:pPr>
                    <w:pStyle w:val="28"/>
                    <w:rPr>
                      <w:color w:val="auto"/>
                    </w:rPr>
                  </w:pPr>
                </w:p>
              </w:tc>
              <w:tc>
                <w:tcPr>
                  <w:tcW w:w="967" w:type="pct"/>
                  <w:vMerge w:val="continue"/>
                  <w:noWrap w:val="0"/>
                  <w:vAlign w:val="center"/>
                </w:tcPr>
                <w:p w14:paraId="38194E29">
                  <w:pPr>
                    <w:pStyle w:val="28"/>
                    <w:rPr>
                      <w:color w:val="auto"/>
                    </w:rPr>
                  </w:pPr>
                </w:p>
              </w:tc>
            </w:tr>
            <w:tr w14:paraId="5DC17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1" w:type="pct"/>
                  <w:noWrap w:val="0"/>
                  <w:vAlign w:val="center"/>
                </w:tcPr>
                <w:p w14:paraId="67846816">
                  <w:pPr>
                    <w:pStyle w:val="28"/>
                    <w:rPr>
                      <w:color w:val="auto"/>
                    </w:rPr>
                  </w:pPr>
                  <w:r>
                    <w:rPr>
                      <w:rFonts w:hint="eastAsia"/>
                      <w:color w:val="auto"/>
                    </w:rPr>
                    <w:t>初期雨水</w:t>
                  </w:r>
                </w:p>
              </w:tc>
              <w:tc>
                <w:tcPr>
                  <w:tcW w:w="515" w:type="pct"/>
                  <w:gridSpan w:val="2"/>
                  <w:noWrap w:val="0"/>
                  <w:vAlign w:val="center"/>
                </w:tcPr>
                <w:p w14:paraId="30715E36">
                  <w:pPr>
                    <w:pStyle w:val="28"/>
                    <w:rPr>
                      <w:color w:val="auto"/>
                    </w:rPr>
                  </w:pPr>
                  <w:r>
                    <w:rPr>
                      <w:rFonts w:hint="eastAsia"/>
                      <w:color w:val="auto"/>
                    </w:rPr>
                    <w:t>雨天</w:t>
                  </w:r>
                </w:p>
              </w:tc>
              <w:tc>
                <w:tcPr>
                  <w:tcW w:w="441" w:type="pct"/>
                  <w:noWrap w:val="0"/>
                  <w:vAlign w:val="center"/>
                </w:tcPr>
                <w:p w14:paraId="041B4975">
                  <w:pPr>
                    <w:pStyle w:val="28"/>
                    <w:rPr>
                      <w:color w:val="auto"/>
                    </w:rPr>
                  </w:pPr>
                  <w:r>
                    <w:rPr>
                      <w:rFonts w:hint="eastAsia"/>
                      <w:color w:val="auto"/>
                    </w:rPr>
                    <w:t>/</w:t>
                  </w:r>
                </w:p>
              </w:tc>
              <w:tc>
                <w:tcPr>
                  <w:tcW w:w="609" w:type="pct"/>
                  <w:noWrap w:val="0"/>
                  <w:vAlign w:val="center"/>
                </w:tcPr>
                <w:p w14:paraId="3D7C1889">
                  <w:pPr>
                    <w:pStyle w:val="28"/>
                    <w:rPr>
                      <w:color w:val="auto"/>
                    </w:rPr>
                  </w:pPr>
                  <w:r>
                    <w:rPr>
                      <w:rFonts w:hint="eastAsia"/>
                      <w:color w:val="auto"/>
                    </w:rPr>
                    <w:t>/</w:t>
                  </w:r>
                </w:p>
              </w:tc>
              <w:tc>
                <w:tcPr>
                  <w:tcW w:w="1167" w:type="pct"/>
                  <w:gridSpan w:val="2"/>
                  <w:noWrap w:val="0"/>
                  <w:vAlign w:val="center"/>
                </w:tcPr>
                <w:p w14:paraId="134D5FEA">
                  <w:pPr>
                    <w:pStyle w:val="28"/>
                    <w:rPr>
                      <w:rFonts w:hint="eastAsia"/>
                      <w:color w:val="auto"/>
                    </w:rPr>
                  </w:pPr>
                  <w:r>
                    <w:rPr>
                      <w:rFonts w:hint="eastAsia"/>
                      <w:color w:val="auto"/>
                    </w:rPr>
                    <w:t>37.06</w:t>
                  </w:r>
                  <w:r>
                    <w:rPr>
                      <w:color w:val="auto"/>
                    </w:rPr>
                    <w:t>m</w:t>
                  </w:r>
                  <w:r>
                    <w:rPr>
                      <w:color w:val="auto"/>
                      <w:vertAlign w:val="superscript"/>
                    </w:rPr>
                    <w:t>3</w:t>
                  </w:r>
                  <w:r>
                    <w:rPr>
                      <w:color w:val="auto"/>
                    </w:rPr>
                    <w:t>/次</w:t>
                  </w:r>
                </w:p>
              </w:tc>
              <w:tc>
                <w:tcPr>
                  <w:tcW w:w="1037" w:type="pct"/>
                  <w:gridSpan w:val="2"/>
                  <w:noWrap w:val="0"/>
                  <w:vAlign w:val="center"/>
                </w:tcPr>
                <w:p w14:paraId="281F5FF0">
                  <w:pPr>
                    <w:pStyle w:val="28"/>
                    <w:rPr>
                      <w:color w:val="auto"/>
                    </w:rPr>
                  </w:pPr>
                  <w:r>
                    <w:rPr>
                      <w:rFonts w:hint="eastAsia"/>
                      <w:color w:val="auto"/>
                    </w:rPr>
                    <w:t>/</w:t>
                  </w:r>
                </w:p>
              </w:tc>
              <w:tc>
                <w:tcPr>
                  <w:tcW w:w="967" w:type="pct"/>
                  <w:noWrap w:val="0"/>
                  <w:vAlign w:val="center"/>
                </w:tcPr>
                <w:p w14:paraId="4672DB06">
                  <w:pPr>
                    <w:pStyle w:val="28"/>
                    <w:rPr>
                      <w:rFonts w:hint="eastAsia"/>
                      <w:color w:val="auto"/>
                    </w:rPr>
                  </w:pPr>
                  <w:r>
                    <w:rPr>
                      <w:rFonts w:hint="eastAsia"/>
                      <w:color w:val="auto"/>
                    </w:rPr>
                    <w:t>/</w:t>
                  </w:r>
                </w:p>
              </w:tc>
            </w:tr>
          </w:tbl>
          <w:p w14:paraId="706EDD30">
            <w:pPr>
              <w:pStyle w:val="32"/>
              <w:ind w:firstLine="482"/>
              <w:rPr>
                <w:color w:val="auto"/>
              </w:rPr>
            </w:pPr>
            <w:r>
              <w:rPr>
                <w:color w:val="auto"/>
              </w:rPr>
              <w:t>由上可知：本项目运营期的总用水量为</w:t>
            </w:r>
            <w:r>
              <w:rPr>
                <w:rFonts w:hint="eastAsia"/>
                <w:color w:val="auto"/>
              </w:rPr>
              <w:t>非雨天</w:t>
            </w:r>
            <w:r>
              <w:rPr>
                <w:rFonts w:hint="eastAsia" w:eastAsia="等线"/>
                <w:color w:val="auto"/>
                <w:szCs w:val="21"/>
                <w:lang w:val="en-US" w:eastAsia="zh-CN"/>
              </w:rPr>
              <w:t>106.09</w:t>
            </w:r>
            <w:r>
              <w:rPr>
                <w:color w:val="auto"/>
              </w:rPr>
              <w:t>m³/d，</w:t>
            </w:r>
            <w:r>
              <w:rPr>
                <w:rFonts w:hint="eastAsia" w:eastAsia="等线"/>
                <w:color w:val="auto"/>
                <w:szCs w:val="21"/>
                <w:lang w:val="en-US" w:eastAsia="zh-CN"/>
              </w:rPr>
              <w:t>31697.88</w:t>
            </w:r>
            <w:r>
              <w:rPr>
                <w:color w:val="auto"/>
              </w:rPr>
              <w:t>m³/a</w:t>
            </w:r>
            <w:r>
              <w:rPr>
                <w:rFonts w:hint="eastAsia"/>
                <w:color w:val="auto"/>
              </w:rPr>
              <w:t>，</w:t>
            </w:r>
            <w:r>
              <w:rPr>
                <w:color w:val="auto"/>
              </w:rPr>
              <w:t>雨天</w:t>
            </w:r>
            <w:r>
              <w:rPr>
                <w:rFonts w:hint="eastAsia" w:eastAsia="等线"/>
                <w:color w:val="auto"/>
                <w:szCs w:val="21"/>
                <w:lang w:val="en-US" w:eastAsia="zh-CN"/>
              </w:rPr>
              <w:t>61.03</w:t>
            </w:r>
            <w:r>
              <w:rPr>
                <w:color w:val="auto"/>
              </w:rPr>
              <w:t>m³/d，</w:t>
            </w:r>
            <w:r>
              <w:rPr>
                <w:rFonts w:hint="eastAsia" w:eastAsia="等线"/>
                <w:color w:val="auto"/>
                <w:szCs w:val="21"/>
                <w:lang w:val="en-US" w:eastAsia="zh-CN"/>
              </w:rPr>
              <w:t>30797.88</w:t>
            </w:r>
            <w:r>
              <w:rPr>
                <w:color w:val="auto"/>
              </w:rPr>
              <w:t>m³/a，废水量为</w:t>
            </w:r>
            <w:r>
              <w:rPr>
                <w:rFonts w:hint="eastAsia"/>
                <w:color w:val="auto"/>
                <w:lang w:val="en-US" w:eastAsia="zh-CN"/>
              </w:rPr>
              <w:t>8.032m</w:t>
            </w:r>
            <w:r>
              <w:rPr>
                <w:rFonts w:hint="eastAsia"/>
                <w:color w:val="auto"/>
                <w:vertAlign w:val="superscript"/>
                <w:lang w:val="en-US" w:eastAsia="zh-CN"/>
              </w:rPr>
              <w:t>3</w:t>
            </w:r>
            <w:r>
              <w:rPr>
                <w:rFonts w:hint="eastAsia"/>
                <w:color w:val="auto"/>
                <w:lang w:val="en-US" w:eastAsia="zh-CN"/>
              </w:rPr>
              <w:t>/</w:t>
            </w:r>
            <w:r>
              <w:rPr>
                <w:color w:val="auto"/>
              </w:rPr>
              <w:t>d，</w:t>
            </w:r>
            <w:r>
              <w:rPr>
                <w:rFonts w:hint="eastAsia"/>
                <w:color w:val="auto"/>
                <w:lang w:val="en-US" w:eastAsia="zh-CN"/>
              </w:rPr>
              <w:t>2409.8</w:t>
            </w:r>
            <w:r>
              <w:rPr>
                <w:color w:val="auto"/>
              </w:rPr>
              <w:t>m³/a。</w:t>
            </w:r>
          </w:p>
          <w:p w14:paraId="6CD8C4EA">
            <w:pPr>
              <w:pStyle w:val="32"/>
              <w:ind w:firstLine="482"/>
              <w:rPr>
                <w:b/>
                <w:bCs/>
                <w:color w:val="auto"/>
              </w:rPr>
            </w:pPr>
            <w:r>
              <w:rPr>
                <w:b/>
                <w:bCs/>
                <w:color w:val="auto"/>
              </w:rPr>
              <w:t>4.</w:t>
            </w:r>
            <w:r>
              <w:rPr>
                <w:rFonts w:hint="eastAsia"/>
                <w:b/>
                <w:bCs/>
                <w:color w:val="auto"/>
              </w:rPr>
              <w:t>3</w:t>
            </w:r>
            <w:r>
              <w:rPr>
                <w:b/>
                <w:bCs/>
                <w:color w:val="auto"/>
              </w:rPr>
              <w:t>.2废水产排情况</w:t>
            </w:r>
          </w:p>
          <w:p w14:paraId="6EA4A398">
            <w:pPr>
              <w:ind w:firstLine="480"/>
              <w:rPr>
                <w:rFonts w:hint="default" w:eastAsia="宋体"/>
                <w:color w:val="auto"/>
                <w:lang w:val="en-US" w:eastAsia="zh-CN"/>
              </w:rPr>
            </w:pPr>
            <w:r>
              <w:rPr>
                <w:color w:val="auto"/>
              </w:rPr>
              <w:t>基本生活用水量为</w:t>
            </w:r>
            <w:r>
              <w:rPr>
                <w:rFonts w:hint="eastAsia"/>
                <w:color w:val="auto"/>
                <w:lang w:val="en-US" w:eastAsia="zh-CN"/>
              </w:rPr>
              <w:t>6.24</w:t>
            </w:r>
            <w:r>
              <w:rPr>
                <w:color w:val="auto"/>
              </w:rPr>
              <w:t>m</w:t>
            </w:r>
            <w:r>
              <w:rPr>
                <w:color w:val="auto"/>
                <w:vertAlign w:val="superscript"/>
              </w:rPr>
              <w:t>3</w:t>
            </w:r>
            <w:r>
              <w:rPr>
                <w:color w:val="auto"/>
              </w:rPr>
              <w:t>/d，</w:t>
            </w:r>
            <w:r>
              <w:rPr>
                <w:rFonts w:hint="eastAsia"/>
                <w:color w:val="auto"/>
                <w:lang w:val="en-US" w:eastAsia="zh-CN"/>
              </w:rPr>
              <w:t>1872</w:t>
            </w:r>
            <w:r>
              <w:rPr>
                <w:color w:val="auto"/>
              </w:rPr>
              <w:t>m</w:t>
            </w:r>
            <w:r>
              <w:rPr>
                <w:color w:val="auto"/>
                <w:vertAlign w:val="superscript"/>
              </w:rPr>
              <w:t>3</w:t>
            </w:r>
            <w:r>
              <w:rPr>
                <w:color w:val="auto"/>
              </w:rPr>
              <w:t>/a，废水产生量为</w:t>
            </w:r>
            <w:r>
              <w:rPr>
                <w:rFonts w:hint="eastAsia"/>
                <w:color w:val="auto"/>
              </w:rPr>
              <w:t>4.</w:t>
            </w:r>
            <w:r>
              <w:rPr>
                <w:rFonts w:hint="eastAsia"/>
                <w:color w:val="auto"/>
                <w:lang w:val="en-US" w:eastAsia="zh-CN"/>
              </w:rPr>
              <w:t>992</w:t>
            </w:r>
            <w:r>
              <w:rPr>
                <w:color w:val="auto"/>
              </w:rPr>
              <w:t>m</w:t>
            </w:r>
            <w:r>
              <w:rPr>
                <w:color w:val="auto"/>
                <w:vertAlign w:val="superscript"/>
              </w:rPr>
              <w:t>3</w:t>
            </w:r>
            <w:r>
              <w:rPr>
                <w:color w:val="auto"/>
              </w:rPr>
              <w:t>/d，</w:t>
            </w:r>
            <w:r>
              <w:rPr>
                <w:rFonts w:hint="eastAsia"/>
                <w:color w:val="auto"/>
                <w:lang w:val="en-US" w:eastAsia="zh-CN"/>
              </w:rPr>
              <w:t>1497.6</w:t>
            </w:r>
            <w:r>
              <w:rPr>
                <w:color w:val="auto"/>
              </w:rPr>
              <w:t>m</w:t>
            </w:r>
            <w:r>
              <w:rPr>
                <w:color w:val="auto"/>
                <w:vertAlign w:val="superscript"/>
              </w:rPr>
              <w:t>3</w:t>
            </w:r>
            <w:r>
              <w:rPr>
                <w:color w:val="auto"/>
              </w:rPr>
              <w:t>/a，食堂用水量为</w:t>
            </w:r>
            <w:r>
              <w:rPr>
                <w:rFonts w:hint="eastAsia"/>
                <w:color w:val="auto"/>
                <w:lang w:val="en-US" w:eastAsia="zh-CN"/>
              </w:rPr>
              <w:t>1.0</w:t>
            </w:r>
            <w:r>
              <w:rPr>
                <w:color w:val="auto"/>
              </w:rPr>
              <w:t>m</w:t>
            </w:r>
            <w:r>
              <w:rPr>
                <w:color w:val="auto"/>
                <w:vertAlign w:val="superscript"/>
              </w:rPr>
              <w:t>3</w:t>
            </w:r>
            <w:r>
              <w:rPr>
                <w:color w:val="auto"/>
              </w:rPr>
              <w:t>/d、</w:t>
            </w:r>
            <w:r>
              <w:rPr>
                <w:rFonts w:hint="eastAsia"/>
                <w:color w:val="auto"/>
                <w:lang w:val="en-US" w:eastAsia="zh-CN"/>
              </w:rPr>
              <w:t>300</w:t>
            </w:r>
            <w:r>
              <w:rPr>
                <w:color w:val="auto"/>
              </w:rPr>
              <w:t>m</w:t>
            </w:r>
            <w:r>
              <w:rPr>
                <w:color w:val="auto"/>
                <w:vertAlign w:val="superscript"/>
              </w:rPr>
              <w:t>3</w:t>
            </w:r>
            <w:r>
              <w:rPr>
                <w:color w:val="auto"/>
              </w:rPr>
              <w:t>/a，废水产生量为</w:t>
            </w:r>
            <w:r>
              <w:rPr>
                <w:rFonts w:hint="eastAsia"/>
                <w:color w:val="auto"/>
              </w:rPr>
              <w:t>0.</w:t>
            </w:r>
            <w:r>
              <w:rPr>
                <w:rFonts w:hint="eastAsia"/>
                <w:color w:val="auto"/>
                <w:lang w:val="en-US" w:eastAsia="zh-CN"/>
              </w:rPr>
              <w:t>8</w:t>
            </w:r>
            <w:r>
              <w:rPr>
                <w:color w:val="auto"/>
              </w:rPr>
              <w:t>m</w:t>
            </w:r>
            <w:r>
              <w:rPr>
                <w:color w:val="auto"/>
                <w:vertAlign w:val="superscript"/>
              </w:rPr>
              <w:t>3</w:t>
            </w:r>
            <w:r>
              <w:rPr>
                <w:color w:val="auto"/>
              </w:rPr>
              <w:t>/d，</w:t>
            </w:r>
            <w:r>
              <w:rPr>
                <w:rFonts w:hint="eastAsia"/>
                <w:color w:val="auto"/>
                <w:lang w:val="en-US" w:eastAsia="zh-CN"/>
              </w:rPr>
              <w:t>240</w:t>
            </w:r>
            <w:r>
              <w:rPr>
                <w:color w:val="auto"/>
              </w:rPr>
              <w:t>m</w:t>
            </w:r>
            <w:r>
              <w:rPr>
                <w:color w:val="auto"/>
                <w:vertAlign w:val="superscript"/>
              </w:rPr>
              <w:t>3</w:t>
            </w:r>
            <w:r>
              <w:rPr>
                <w:color w:val="auto"/>
              </w:rPr>
              <w:t>/a。生活废水中主要污染物为COD、BOD</w:t>
            </w:r>
            <w:r>
              <w:rPr>
                <w:color w:val="auto"/>
                <w:vertAlign w:val="subscript"/>
              </w:rPr>
              <w:t>5</w:t>
            </w:r>
            <w:r>
              <w:rPr>
                <w:color w:val="auto"/>
              </w:rPr>
              <w:t>、SS、NH</w:t>
            </w:r>
            <w:r>
              <w:rPr>
                <w:color w:val="auto"/>
                <w:vertAlign w:val="subscript"/>
              </w:rPr>
              <w:t>3</w:t>
            </w:r>
            <w:r>
              <w:rPr>
                <w:color w:val="auto"/>
              </w:rPr>
              <w:t>-N</w:t>
            </w:r>
            <w:r>
              <w:rPr>
                <w:rFonts w:hint="eastAsia"/>
                <w:color w:val="auto"/>
                <w:lang w:eastAsia="zh-CN"/>
              </w:rPr>
              <w:t>、</w:t>
            </w:r>
            <w:r>
              <w:rPr>
                <w:rFonts w:hint="eastAsia"/>
                <w:color w:val="auto"/>
                <w:lang w:val="en-US" w:eastAsia="zh-CN"/>
              </w:rPr>
              <w:t>总磷、总氮及动植物油。</w:t>
            </w:r>
          </w:p>
          <w:p w14:paraId="67D8FA28">
            <w:pPr>
              <w:ind w:firstLine="480"/>
              <w:rPr>
                <w:rFonts w:hint="default" w:eastAsia="宋体"/>
                <w:color w:val="auto"/>
                <w:lang w:val="en-US" w:eastAsia="zh-CN"/>
              </w:rPr>
            </w:pPr>
            <w:r>
              <w:rPr>
                <w:color w:val="auto"/>
              </w:rPr>
              <w:t>搅拌机冲洗用水量为</w:t>
            </w:r>
            <w:r>
              <w:rPr>
                <w:rFonts w:hint="eastAsia"/>
                <w:color w:val="auto"/>
              </w:rPr>
              <w:t>1</w:t>
            </w:r>
            <w:r>
              <w:rPr>
                <w:color w:val="auto"/>
              </w:rPr>
              <w:t>m³/d，</w:t>
            </w:r>
            <w:r>
              <w:rPr>
                <w:rFonts w:hint="eastAsia"/>
                <w:color w:val="auto"/>
              </w:rPr>
              <w:t>300</w:t>
            </w:r>
            <w:r>
              <w:rPr>
                <w:color w:val="auto"/>
              </w:rPr>
              <w:t>m³/a，废水产生量约为</w:t>
            </w:r>
            <w:r>
              <w:rPr>
                <w:rFonts w:hint="eastAsia"/>
                <w:color w:val="auto"/>
              </w:rPr>
              <w:t>0.8m</w:t>
            </w:r>
            <w:r>
              <w:rPr>
                <w:rFonts w:hint="eastAsia"/>
                <w:color w:val="auto"/>
                <w:vertAlign w:val="superscript"/>
              </w:rPr>
              <w:t>3</w:t>
            </w:r>
            <w:r>
              <w:rPr>
                <w:rFonts w:hint="eastAsia"/>
                <w:color w:val="auto"/>
              </w:rPr>
              <w:t>/d，240</w:t>
            </w:r>
            <w:r>
              <w:rPr>
                <w:color w:val="auto"/>
              </w:rPr>
              <w:t>m</w:t>
            </w:r>
            <w:r>
              <w:rPr>
                <w:color w:val="auto"/>
                <w:vertAlign w:val="superscript"/>
              </w:rPr>
              <w:t>3</w:t>
            </w:r>
            <w:r>
              <w:rPr>
                <w:color w:val="auto"/>
              </w:rPr>
              <w:t>/a；冲洗废水中主要污染物为SS</w:t>
            </w:r>
            <w:r>
              <w:rPr>
                <w:rFonts w:hint="eastAsia"/>
                <w:color w:val="auto"/>
                <w:lang w:eastAsia="zh-CN"/>
              </w:rPr>
              <w:t>、</w:t>
            </w:r>
            <w:r>
              <w:rPr>
                <w:rFonts w:hint="eastAsia"/>
                <w:color w:val="auto"/>
                <w:lang w:val="en-US" w:eastAsia="zh-CN"/>
              </w:rPr>
              <w:t>pH</w:t>
            </w:r>
            <w:r>
              <w:rPr>
                <w:color w:val="auto"/>
              </w:rPr>
              <w:t>。</w:t>
            </w:r>
          </w:p>
          <w:p w14:paraId="7631DBE1">
            <w:pPr>
              <w:ind w:firstLine="480"/>
              <w:rPr>
                <w:rFonts w:hint="default"/>
                <w:color w:val="auto"/>
                <w:lang w:val="en-US" w:eastAsia="zh-CN"/>
              </w:rPr>
            </w:pPr>
            <w:r>
              <w:rPr>
                <w:rFonts w:hint="eastAsia"/>
                <w:color w:val="auto"/>
                <w:lang w:val="en-US" w:eastAsia="zh-CN"/>
              </w:rPr>
              <w:t>试验区混凝土养护用水为0.78m</w:t>
            </w:r>
            <w:r>
              <w:rPr>
                <w:rFonts w:hint="eastAsia"/>
                <w:color w:val="auto"/>
                <w:vertAlign w:val="superscript"/>
                <w:lang w:val="en-US" w:eastAsia="zh-CN"/>
              </w:rPr>
              <w:t>3</w:t>
            </w:r>
            <w:r>
              <w:rPr>
                <w:rFonts w:hint="eastAsia"/>
                <w:color w:val="auto"/>
                <w:lang w:val="en-US" w:eastAsia="zh-CN"/>
              </w:rPr>
              <w:t>/d，234m</w:t>
            </w:r>
            <w:r>
              <w:rPr>
                <w:rFonts w:hint="eastAsia"/>
                <w:color w:val="auto"/>
                <w:vertAlign w:val="superscript"/>
                <w:lang w:val="en-US" w:eastAsia="zh-CN"/>
              </w:rPr>
              <w:t>3</w:t>
            </w:r>
            <w:r>
              <w:rPr>
                <w:rFonts w:hint="eastAsia"/>
                <w:color w:val="auto"/>
                <w:lang w:val="en-US" w:eastAsia="zh-CN"/>
              </w:rPr>
              <w:t>/a，废水产生量为0.624m</w:t>
            </w:r>
            <w:r>
              <w:rPr>
                <w:rFonts w:hint="eastAsia"/>
                <w:color w:val="auto"/>
                <w:vertAlign w:val="superscript"/>
                <w:lang w:val="en-US" w:eastAsia="zh-CN"/>
              </w:rPr>
              <w:t>3</w:t>
            </w:r>
            <w:r>
              <w:rPr>
                <w:rFonts w:hint="eastAsia"/>
                <w:color w:val="auto"/>
                <w:lang w:val="en-US" w:eastAsia="zh-CN"/>
              </w:rPr>
              <w:t>/d，187.2m</w:t>
            </w:r>
            <w:r>
              <w:rPr>
                <w:rFonts w:hint="eastAsia"/>
                <w:color w:val="auto"/>
                <w:vertAlign w:val="superscript"/>
                <w:lang w:val="en-US" w:eastAsia="zh-CN"/>
              </w:rPr>
              <w:t>3</w:t>
            </w:r>
            <w:r>
              <w:rPr>
                <w:rFonts w:hint="eastAsia"/>
                <w:color w:val="auto"/>
                <w:lang w:val="en-US" w:eastAsia="zh-CN"/>
              </w:rPr>
              <w:t>/a，主要污染物为SS</w:t>
            </w:r>
            <w:r>
              <w:rPr>
                <w:rFonts w:hint="eastAsia"/>
                <w:color w:val="auto"/>
                <w:lang w:eastAsia="zh-CN"/>
              </w:rPr>
              <w:t>、</w:t>
            </w:r>
            <w:r>
              <w:rPr>
                <w:rFonts w:hint="eastAsia"/>
                <w:color w:val="auto"/>
                <w:lang w:val="en-US" w:eastAsia="zh-CN"/>
              </w:rPr>
              <w:t>pH。</w:t>
            </w:r>
          </w:p>
          <w:p w14:paraId="64788AF9">
            <w:pPr>
              <w:ind w:firstLine="480"/>
              <w:rPr>
                <w:color w:val="auto"/>
              </w:rPr>
            </w:pPr>
            <w:r>
              <w:rPr>
                <w:color w:val="auto"/>
              </w:rPr>
              <w:t>锅炉废水量为</w:t>
            </w:r>
            <w:r>
              <w:rPr>
                <w:rFonts w:hint="eastAsia"/>
                <w:color w:val="auto"/>
                <w:lang w:val="en-US" w:eastAsia="zh-CN"/>
              </w:rPr>
              <w:t>0.16</w:t>
            </w:r>
            <w:r>
              <w:rPr>
                <w:color w:val="auto"/>
              </w:rPr>
              <w:t>m</w:t>
            </w:r>
            <w:r>
              <w:rPr>
                <w:color w:val="auto"/>
                <w:vertAlign w:val="superscript"/>
              </w:rPr>
              <w:t>3</w:t>
            </w:r>
            <w:r>
              <w:rPr>
                <w:color w:val="auto"/>
              </w:rPr>
              <w:t>/d，废水产生量约</w:t>
            </w:r>
            <w:r>
              <w:rPr>
                <w:rFonts w:hint="eastAsia"/>
                <w:color w:val="auto"/>
                <w:lang w:val="en-US" w:eastAsia="zh-CN"/>
              </w:rPr>
              <w:t>48.2</w:t>
            </w:r>
            <w:r>
              <w:rPr>
                <w:color w:val="auto"/>
              </w:rPr>
              <w:t>m</w:t>
            </w:r>
            <w:r>
              <w:rPr>
                <w:color w:val="auto"/>
                <w:vertAlign w:val="superscript"/>
              </w:rPr>
              <w:t>3</w:t>
            </w:r>
            <w:r>
              <w:rPr>
                <w:color w:val="auto"/>
              </w:rPr>
              <w:t>/</w:t>
            </w:r>
            <w:r>
              <w:rPr>
                <w:rFonts w:hint="eastAsia"/>
                <w:color w:val="auto"/>
                <w:lang w:val="en-US" w:eastAsia="zh-CN"/>
              </w:rPr>
              <w:t>a</w:t>
            </w:r>
            <w:r>
              <w:rPr>
                <w:color w:val="auto"/>
              </w:rPr>
              <w:t>。锅炉废水中主要污染物为SS。</w:t>
            </w:r>
          </w:p>
          <w:p w14:paraId="118B9E2C">
            <w:pPr>
              <w:rPr>
                <w:color w:val="auto"/>
              </w:rPr>
            </w:pPr>
            <w:r>
              <w:rPr>
                <w:rFonts w:hint="eastAsia"/>
                <w:color w:val="auto"/>
                <w:lang w:val="en-US" w:eastAsia="zh-CN"/>
              </w:rPr>
              <w:t>罐车冲洗用水</w:t>
            </w:r>
            <w:r>
              <w:rPr>
                <w:color w:val="auto"/>
              </w:rPr>
              <w:t>量为</w:t>
            </w:r>
            <w:r>
              <w:rPr>
                <w:rFonts w:hint="eastAsia"/>
                <w:color w:val="auto"/>
              </w:rPr>
              <w:t>0.69m</w:t>
            </w:r>
            <w:r>
              <w:rPr>
                <w:rFonts w:hint="eastAsia"/>
                <w:color w:val="auto"/>
                <w:vertAlign w:val="superscript"/>
              </w:rPr>
              <w:t>3</w:t>
            </w:r>
            <w:r>
              <w:rPr>
                <w:rFonts w:hint="eastAsia"/>
                <w:color w:val="auto"/>
              </w:rPr>
              <w:t>/d，205.88m</w:t>
            </w:r>
            <w:r>
              <w:rPr>
                <w:rFonts w:hint="eastAsia"/>
                <w:color w:val="auto"/>
                <w:vertAlign w:val="superscript"/>
              </w:rPr>
              <w:t>3</w:t>
            </w:r>
            <w:r>
              <w:rPr>
                <w:rFonts w:hint="eastAsia"/>
                <w:color w:val="auto"/>
              </w:rPr>
              <w:t>/a</w:t>
            </w:r>
            <w:r>
              <w:rPr>
                <w:color w:val="auto"/>
                <w:kern w:val="0"/>
              </w:rPr>
              <w:t>，废水产生量约为</w:t>
            </w:r>
            <w:r>
              <w:rPr>
                <w:rFonts w:hint="eastAsia"/>
                <w:color w:val="auto"/>
              </w:rPr>
              <w:t>0.656</w:t>
            </w:r>
            <w:r>
              <w:rPr>
                <w:color w:val="auto"/>
              </w:rPr>
              <w:t>m³/d、</w:t>
            </w:r>
            <w:r>
              <w:rPr>
                <w:rFonts w:hint="eastAsia"/>
                <w:color w:val="auto"/>
              </w:rPr>
              <w:t>196.8</w:t>
            </w:r>
            <w:r>
              <w:rPr>
                <w:color w:val="auto"/>
              </w:rPr>
              <w:t>m³/a</w:t>
            </w:r>
            <w:r>
              <w:rPr>
                <w:color w:val="auto"/>
                <w:kern w:val="0"/>
              </w:rPr>
              <w:t>，</w:t>
            </w:r>
            <w:r>
              <w:rPr>
                <w:color w:val="auto"/>
              </w:rPr>
              <w:t>冲洗废水中主要污染物为SS</w:t>
            </w:r>
            <w:r>
              <w:rPr>
                <w:rFonts w:hint="eastAsia"/>
                <w:color w:val="auto"/>
                <w:lang w:eastAsia="zh-CN"/>
              </w:rPr>
              <w:t>、</w:t>
            </w:r>
            <w:r>
              <w:rPr>
                <w:rFonts w:hint="eastAsia"/>
                <w:color w:val="auto"/>
                <w:lang w:val="en-US" w:eastAsia="zh-CN"/>
              </w:rPr>
              <w:t>pH</w:t>
            </w:r>
            <w:r>
              <w:rPr>
                <w:color w:val="auto"/>
              </w:rPr>
              <w:t>。</w:t>
            </w:r>
          </w:p>
          <w:p w14:paraId="51B84603">
            <w:pPr>
              <w:spacing w:line="240" w:lineRule="auto"/>
              <w:ind w:firstLine="0" w:firstLineChars="0"/>
              <w:jc w:val="center"/>
              <w:rPr>
                <w:b/>
                <w:bCs/>
                <w:color w:val="auto"/>
                <w:sz w:val="21"/>
                <w:szCs w:val="21"/>
              </w:rPr>
            </w:pPr>
            <w:r>
              <w:rPr>
                <w:b/>
                <w:bCs/>
                <w:color w:val="auto"/>
                <w:sz w:val="21"/>
                <w:szCs w:val="21"/>
              </w:rPr>
              <w:t>表</w:t>
            </w:r>
            <w:r>
              <w:rPr>
                <w:rFonts w:hint="eastAsia"/>
                <w:b/>
                <w:bCs/>
                <w:color w:val="auto"/>
                <w:sz w:val="21"/>
                <w:szCs w:val="21"/>
                <w:lang w:val="en-US" w:eastAsia="zh-CN"/>
              </w:rPr>
              <w:t>4-12</w:t>
            </w:r>
            <w:r>
              <w:rPr>
                <w:b/>
                <w:bCs/>
                <w:color w:val="auto"/>
                <w:sz w:val="21"/>
                <w:szCs w:val="21"/>
              </w:rPr>
              <w:t xml:space="preserve">  项目废水各项污染物产生源强</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5"/>
              <w:gridCol w:w="1844"/>
              <w:gridCol w:w="96"/>
              <w:gridCol w:w="2465"/>
              <w:gridCol w:w="2121"/>
            </w:tblGrid>
            <w:tr w14:paraId="4C922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307" w:type="pct"/>
                  <w:gridSpan w:val="2"/>
                  <w:vMerge w:val="restart"/>
                  <w:vAlign w:val="center"/>
                </w:tcPr>
                <w:p w14:paraId="44948693">
                  <w:pPr>
                    <w:pStyle w:val="26"/>
                    <w:bidi w:val="0"/>
                    <w:spacing w:line="240" w:lineRule="auto"/>
                    <w:jc w:val="center"/>
                    <w:rPr>
                      <w:rFonts w:hint="default" w:eastAsia="宋体"/>
                      <w:color w:val="auto"/>
                      <w:vertAlign w:val="baseline"/>
                      <w:lang w:val="en-US" w:eastAsia="zh-CN"/>
                    </w:rPr>
                  </w:pPr>
                  <w:r>
                    <w:rPr>
                      <w:rFonts w:hint="eastAsia"/>
                      <w:b/>
                      <w:bCs/>
                      <w:color w:val="auto"/>
                      <w:vertAlign w:val="baseline"/>
                      <w:lang w:val="en-US" w:eastAsia="zh-CN"/>
                    </w:rPr>
                    <w:t>污染物种类</w:t>
                  </w:r>
                </w:p>
              </w:tc>
              <w:tc>
                <w:tcPr>
                  <w:tcW w:w="1473" w:type="pct"/>
                  <w:gridSpan w:val="2"/>
                  <w:vMerge w:val="restart"/>
                  <w:vAlign w:val="center"/>
                </w:tcPr>
                <w:p w14:paraId="7D391364">
                  <w:pPr>
                    <w:pStyle w:val="26"/>
                    <w:bidi w:val="0"/>
                    <w:spacing w:line="240" w:lineRule="auto"/>
                    <w:jc w:val="center"/>
                    <w:rPr>
                      <w:rFonts w:hint="eastAsia"/>
                      <w:b/>
                      <w:bCs/>
                      <w:color w:val="auto"/>
                      <w:vertAlign w:val="baseline"/>
                      <w:lang w:val="en-US" w:eastAsia="zh-CN"/>
                    </w:rPr>
                  </w:pPr>
                  <w:r>
                    <w:rPr>
                      <w:rFonts w:hint="default"/>
                      <w:b/>
                      <w:bCs/>
                      <w:color w:val="auto"/>
                      <w:sz w:val="21"/>
                      <w:szCs w:val="21"/>
                    </w:rPr>
                    <w:t>污染物产生浓度（mg/L）</w:t>
                  </w:r>
                </w:p>
              </w:tc>
              <w:tc>
                <w:tcPr>
                  <w:tcW w:w="1219" w:type="pct"/>
                  <w:vMerge w:val="restart"/>
                  <w:vAlign w:val="center"/>
                </w:tcPr>
                <w:p w14:paraId="51550003">
                  <w:pPr>
                    <w:pStyle w:val="26"/>
                    <w:bidi w:val="0"/>
                    <w:spacing w:line="240" w:lineRule="auto"/>
                    <w:jc w:val="center"/>
                    <w:rPr>
                      <w:rFonts w:hint="default"/>
                      <w:b/>
                      <w:bCs/>
                      <w:color w:val="auto"/>
                      <w:sz w:val="21"/>
                      <w:szCs w:val="21"/>
                    </w:rPr>
                  </w:pPr>
                  <w:r>
                    <w:rPr>
                      <w:rFonts w:hint="eastAsia"/>
                      <w:b/>
                      <w:bCs/>
                      <w:color w:val="auto"/>
                      <w:lang w:val="en-US" w:eastAsia="zh-CN"/>
                    </w:rPr>
                    <w:t>污染物产生量（t/a）</w:t>
                  </w:r>
                </w:p>
              </w:tc>
            </w:tr>
            <w:tr w14:paraId="24422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307" w:type="pct"/>
                  <w:gridSpan w:val="2"/>
                  <w:vMerge w:val="continue"/>
                  <w:vAlign w:val="center"/>
                </w:tcPr>
                <w:p w14:paraId="3078B001">
                  <w:pPr>
                    <w:pStyle w:val="26"/>
                    <w:bidi w:val="0"/>
                    <w:spacing w:line="240" w:lineRule="auto"/>
                    <w:jc w:val="center"/>
                    <w:rPr>
                      <w:rFonts w:hint="eastAsia"/>
                      <w:color w:val="auto"/>
                      <w:vertAlign w:val="baseline"/>
                      <w:lang w:val="en-US" w:eastAsia="zh-CN"/>
                    </w:rPr>
                  </w:pPr>
                </w:p>
              </w:tc>
              <w:tc>
                <w:tcPr>
                  <w:tcW w:w="1473" w:type="pct"/>
                  <w:gridSpan w:val="2"/>
                  <w:vMerge w:val="continue"/>
                  <w:vAlign w:val="center"/>
                </w:tcPr>
                <w:p w14:paraId="4EA99E38">
                  <w:pPr>
                    <w:pStyle w:val="36"/>
                    <w:bidi w:val="0"/>
                    <w:spacing w:line="240" w:lineRule="auto"/>
                    <w:ind w:firstLine="0" w:firstLineChars="0"/>
                    <w:jc w:val="center"/>
                    <w:rPr>
                      <w:rFonts w:hint="default"/>
                      <w:b w:val="0"/>
                      <w:bCs/>
                      <w:color w:val="auto"/>
                      <w:sz w:val="21"/>
                      <w:szCs w:val="21"/>
                      <w:lang w:val="en-US" w:eastAsia="zh-CN"/>
                    </w:rPr>
                  </w:pPr>
                </w:p>
              </w:tc>
              <w:tc>
                <w:tcPr>
                  <w:tcW w:w="1219" w:type="pct"/>
                  <w:vMerge w:val="continue"/>
                  <w:vAlign w:val="center"/>
                </w:tcPr>
                <w:p w14:paraId="05C8DF89">
                  <w:pPr>
                    <w:pStyle w:val="36"/>
                    <w:bidi w:val="0"/>
                    <w:spacing w:line="240" w:lineRule="auto"/>
                    <w:ind w:firstLine="0" w:firstLineChars="0"/>
                    <w:jc w:val="center"/>
                    <w:rPr>
                      <w:rFonts w:hint="default"/>
                      <w:b w:val="0"/>
                      <w:bCs/>
                      <w:color w:val="auto"/>
                      <w:sz w:val="21"/>
                      <w:szCs w:val="21"/>
                      <w:lang w:val="en-US" w:eastAsia="zh-CN"/>
                    </w:rPr>
                  </w:pPr>
                </w:p>
              </w:tc>
            </w:tr>
            <w:tr w14:paraId="54791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5000" w:type="pct"/>
                  <w:gridSpan w:val="5"/>
                  <w:vAlign w:val="center"/>
                </w:tcPr>
                <w:p w14:paraId="3F690F48">
                  <w:pPr>
                    <w:pStyle w:val="36"/>
                    <w:bidi w:val="0"/>
                    <w:spacing w:line="240" w:lineRule="auto"/>
                    <w:ind w:firstLine="0" w:firstLineChars="0"/>
                    <w:jc w:val="center"/>
                    <w:rPr>
                      <w:rFonts w:hint="default"/>
                      <w:b w:val="0"/>
                      <w:bCs/>
                      <w:color w:val="auto"/>
                      <w:sz w:val="21"/>
                      <w:szCs w:val="21"/>
                      <w:lang w:val="en-US" w:eastAsia="zh-CN"/>
                    </w:rPr>
                  </w:pPr>
                  <w:r>
                    <w:rPr>
                      <w:rFonts w:hint="eastAsia"/>
                      <w:b/>
                      <w:bCs w:val="0"/>
                      <w:color w:val="auto"/>
                      <w:sz w:val="21"/>
                      <w:szCs w:val="21"/>
                      <w:lang w:val="en-US" w:eastAsia="zh-CN"/>
                    </w:rPr>
                    <w:t>生产废水</w:t>
                  </w:r>
                </w:p>
              </w:tc>
            </w:tr>
            <w:tr w14:paraId="16F3A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246" w:type="pct"/>
                  <w:vMerge w:val="restart"/>
                  <w:vAlign w:val="center"/>
                </w:tcPr>
                <w:p w14:paraId="174D8291">
                  <w:pPr>
                    <w:bidi w:val="0"/>
                    <w:spacing w:line="240" w:lineRule="auto"/>
                    <w:ind w:left="0" w:leftChars="0" w:firstLine="0" w:firstLineChars="0"/>
                    <w:jc w:val="center"/>
                    <w:rPr>
                      <w:rFonts w:hint="eastAsia"/>
                      <w:color w:val="auto"/>
                      <w:sz w:val="21"/>
                      <w:szCs w:val="21"/>
                      <w:vertAlign w:val="baseline"/>
                      <w:lang w:val="en-US" w:eastAsia="zh-CN"/>
                    </w:rPr>
                  </w:pPr>
                  <w:r>
                    <w:rPr>
                      <w:rFonts w:hint="eastAsia"/>
                      <w:b/>
                      <w:bCs/>
                      <w:color w:val="auto"/>
                      <w:sz w:val="21"/>
                      <w:szCs w:val="21"/>
                    </w:rPr>
                    <w:t>搅拌机清洗用水240</w:t>
                  </w:r>
                  <w:r>
                    <w:rPr>
                      <w:b/>
                      <w:bCs/>
                      <w:color w:val="auto"/>
                      <w:sz w:val="21"/>
                      <w:szCs w:val="21"/>
                    </w:rPr>
                    <w:t>m</w:t>
                  </w:r>
                  <w:r>
                    <w:rPr>
                      <w:b/>
                      <w:bCs/>
                      <w:color w:val="auto"/>
                      <w:sz w:val="21"/>
                      <w:szCs w:val="21"/>
                      <w:vertAlign w:val="superscript"/>
                    </w:rPr>
                    <w:t>3</w:t>
                  </w:r>
                  <w:r>
                    <w:rPr>
                      <w:b/>
                      <w:bCs/>
                      <w:color w:val="auto"/>
                      <w:sz w:val="21"/>
                      <w:szCs w:val="21"/>
                    </w:rPr>
                    <w:t>/a</w:t>
                  </w:r>
                </w:p>
              </w:tc>
              <w:tc>
                <w:tcPr>
                  <w:tcW w:w="1060" w:type="pct"/>
                  <w:vAlign w:val="center"/>
                </w:tcPr>
                <w:p w14:paraId="618602E9">
                  <w:pPr>
                    <w:pStyle w:val="26"/>
                    <w:bidi w:val="0"/>
                    <w:spacing w:line="240" w:lineRule="auto"/>
                    <w:ind w:firstLine="0" w:firstLineChars="0"/>
                    <w:jc w:val="center"/>
                    <w:rPr>
                      <w:color w:val="auto"/>
                    </w:rPr>
                  </w:pPr>
                  <w:r>
                    <w:rPr>
                      <w:color w:val="auto"/>
                    </w:rPr>
                    <w:t>SS</w:t>
                  </w:r>
                </w:p>
              </w:tc>
              <w:tc>
                <w:tcPr>
                  <w:tcW w:w="1473" w:type="pct"/>
                  <w:gridSpan w:val="2"/>
                  <w:vAlign w:val="center"/>
                </w:tcPr>
                <w:p w14:paraId="13F47E28">
                  <w:pPr>
                    <w:pStyle w:val="36"/>
                    <w:bidi w:val="0"/>
                    <w:spacing w:line="240" w:lineRule="auto"/>
                    <w:ind w:firstLine="0" w:firstLineChars="0"/>
                    <w:jc w:val="center"/>
                    <w:rPr>
                      <w:rFonts w:hint="default"/>
                      <w:b w:val="0"/>
                      <w:bCs/>
                      <w:color w:val="auto"/>
                      <w:sz w:val="21"/>
                      <w:szCs w:val="21"/>
                      <w:lang w:val="en-US" w:eastAsia="zh-CN"/>
                    </w:rPr>
                  </w:pPr>
                  <w:r>
                    <w:rPr>
                      <w:rFonts w:hint="eastAsia"/>
                      <w:b w:val="0"/>
                      <w:bCs/>
                      <w:color w:val="auto"/>
                      <w:lang w:val="en-US" w:eastAsia="zh-CN"/>
                    </w:rPr>
                    <w:t>765</w:t>
                  </w:r>
                </w:p>
              </w:tc>
              <w:tc>
                <w:tcPr>
                  <w:tcW w:w="1219" w:type="pct"/>
                  <w:vAlign w:val="center"/>
                </w:tcPr>
                <w:p w14:paraId="74F10069">
                  <w:pPr>
                    <w:pStyle w:val="36"/>
                    <w:bidi w:val="0"/>
                    <w:spacing w:line="240" w:lineRule="auto"/>
                    <w:ind w:firstLine="0" w:firstLineChars="0"/>
                    <w:jc w:val="center"/>
                    <w:rPr>
                      <w:rFonts w:hint="default"/>
                      <w:b w:val="0"/>
                      <w:bCs/>
                      <w:color w:val="auto"/>
                      <w:sz w:val="21"/>
                      <w:szCs w:val="21"/>
                      <w:lang w:val="en-US" w:eastAsia="zh-CN"/>
                    </w:rPr>
                  </w:pPr>
                  <w:r>
                    <w:rPr>
                      <w:rFonts w:hint="eastAsia"/>
                      <w:b w:val="0"/>
                      <w:bCs/>
                      <w:color w:val="auto"/>
                      <w:sz w:val="21"/>
                      <w:szCs w:val="21"/>
                      <w:lang w:val="en-US" w:eastAsia="zh-CN"/>
                    </w:rPr>
                    <w:t>0.18</w:t>
                  </w:r>
                </w:p>
              </w:tc>
            </w:tr>
            <w:tr w14:paraId="42DB9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6" w:type="pct"/>
                  <w:vMerge w:val="continue"/>
                  <w:vAlign w:val="center"/>
                </w:tcPr>
                <w:p w14:paraId="6354EAF1">
                  <w:pPr>
                    <w:pStyle w:val="26"/>
                    <w:bidi w:val="0"/>
                    <w:spacing w:line="240" w:lineRule="auto"/>
                    <w:ind w:firstLine="0" w:firstLineChars="0"/>
                    <w:jc w:val="center"/>
                    <w:rPr>
                      <w:rFonts w:hint="default" w:eastAsia="宋体"/>
                      <w:color w:val="auto"/>
                      <w:lang w:val="en-US" w:eastAsia="zh-CN"/>
                    </w:rPr>
                  </w:pPr>
                </w:p>
              </w:tc>
              <w:tc>
                <w:tcPr>
                  <w:tcW w:w="1060" w:type="pct"/>
                  <w:vAlign w:val="center"/>
                </w:tcPr>
                <w:p w14:paraId="22229FEA">
                  <w:pPr>
                    <w:pStyle w:val="26"/>
                    <w:bidi w:val="0"/>
                    <w:spacing w:line="240" w:lineRule="auto"/>
                    <w:ind w:firstLine="0" w:firstLineChars="0"/>
                    <w:jc w:val="center"/>
                    <w:rPr>
                      <w:rFonts w:hint="default"/>
                      <w:b w:val="0"/>
                      <w:bCs/>
                      <w:color w:val="auto"/>
                      <w:sz w:val="21"/>
                      <w:szCs w:val="21"/>
                      <w:lang w:val="en-US" w:eastAsia="zh-CN"/>
                    </w:rPr>
                  </w:pPr>
                  <w:r>
                    <w:rPr>
                      <w:rFonts w:hint="default"/>
                      <w:b w:val="0"/>
                      <w:bCs/>
                      <w:color w:val="auto"/>
                      <w:sz w:val="21"/>
                      <w:szCs w:val="21"/>
                      <w:lang w:val="en-US" w:eastAsia="zh-CN"/>
                    </w:rPr>
                    <w:t>pH（无量纲）</w:t>
                  </w:r>
                </w:p>
              </w:tc>
              <w:tc>
                <w:tcPr>
                  <w:tcW w:w="1473" w:type="pct"/>
                  <w:gridSpan w:val="2"/>
                  <w:vAlign w:val="center"/>
                </w:tcPr>
                <w:p w14:paraId="7EEB33A5">
                  <w:pPr>
                    <w:pStyle w:val="36"/>
                    <w:bidi w:val="0"/>
                    <w:spacing w:line="240" w:lineRule="auto"/>
                    <w:ind w:firstLine="0" w:firstLineChars="0"/>
                    <w:jc w:val="center"/>
                    <w:rPr>
                      <w:rFonts w:hint="eastAsia"/>
                      <w:b w:val="0"/>
                      <w:bCs/>
                      <w:color w:val="auto"/>
                      <w:sz w:val="21"/>
                      <w:szCs w:val="21"/>
                      <w:lang w:val="en-US" w:eastAsia="zh-CN"/>
                    </w:rPr>
                  </w:pPr>
                  <w:r>
                    <w:rPr>
                      <w:rFonts w:hint="default"/>
                      <w:b w:val="0"/>
                      <w:bCs/>
                      <w:color w:val="auto"/>
                      <w:sz w:val="21"/>
                      <w:szCs w:val="21"/>
                      <w:lang w:val="en-US" w:eastAsia="zh-CN"/>
                    </w:rPr>
                    <w:t>7.21-7.87</w:t>
                  </w:r>
                </w:p>
              </w:tc>
              <w:tc>
                <w:tcPr>
                  <w:tcW w:w="1219" w:type="pct"/>
                  <w:vAlign w:val="center"/>
                </w:tcPr>
                <w:p w14:paraId="308FD88D">
                  <w:pPr>
                    <w:pStyle w:val="36"/>
                    <w:bidi w:val="0"/>
                    <w:spacing w:line="240" w:lineRule="auto"/>
                    <w:ind w:firstLine="0" w:firstLineChars="0"/>
                    <w:jc w:val="center"/>
                    <w:rPr>
                      <w:rFonts w:hint="default"/>
                      <w:b w:val="0"/>
                      <w:bCs/>
                      <w:color w:val="auto"/>
                      <w:sz w:val="21"/>
                      <w:szCs w:val="21"/>
                      <w:lang w:val="en-US" w:eastAsia="zh-CN"/>
                    </w:rPr>
                  </w:pPr>
                  <w:r>
                    <w:rPr>
                      <w:rFonts w:hint="eastAsia"/>
                      <w:b w:val="0"/>
                      <w:bCs/>
                      <w:color w:val="auto"/>
                      <w:sz w:val="21"/>
                      <w:szCs w:val="21"/>
                      <w:lang w:val="en-US" w:eastAsia="zh-CN"/>
                    </w:rPr>
                    <w:t>/</w:t>
                  </w:r>
                </w:p>
              </w:tc>
            </w:tr>
            <w:tr w14:paraId="7053B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246" w:type="pct"/>
                  <w:vMerge w:val="restart"/>
                  <w:vAlign w:val="center"/>
                </w:tcPr>
                <w:p w14:paraId="0F516EDA">
                  <w:pPr>
                    <w:pStyle w:val="26"/>
                    <w:bidi w:val="0"/>
                    <w:spacing w:line="240" w:lineRule="auto"/>
                    <w:ind w:firstLine="0" w:firstLineChars="0"/>
                    <w:jc w:val="center"/>
                    <w:rPr>
                      <w:rFonts w:hint="default" w:eastAsia="宋体"/>
                      <w:color w:val="auto"/>
                      <w:lang w:val="en-US" w:eastAsia="zh-CN"/>
                    </w:rPr>
                  </w:pPr>
                  <w:r>
                    <w:rPr>
                      <w:rFonts w:hint="eastAsia"/>
                      <w:b/>
                      <w:bCs/>
                      <w:color w:val="auto"/>
                    </w:rPr>
                    <w:t>锅炉废水</w:t>
                  </w:r>
                  <w:r>
                    <w:rPr>
                      <w:rFonts w:hint="eastAsia"/>
                      <w:b/>
                      <w:bCs/>
                      <w:color w:val="auto"/>
                      <w:lang w:val="en-US" w:eastAsia="zh-CN"/>
                    </w:rPr>
                    <w:t>48.2</w:t>
                  </w:r>
                  <w:r>
                    <w:rPr>
                      <w:b/>
                      <w:bCs/>
                      <w:color w:val="auto"/>
                    </w:rPr>
                    <w:t>m</w:t>
                  </w:r>
                  <w:r>
                    <w:rPr>
                      <w:b/>
                      <w:bCs/>
                      <w:color w:val="auto"/>
                      <w:vertAlign w:val="superscript"/>
                    </w:rPr>
                    <w:t>3</w:t>
                  </w:r>
                  <w:r>
                    <w:rPr>
                      <w:b/>
                      <w:bCs/>
                      <w:color w:val="auto"/>
                    </w:rPr>
                    <w:t>/a</w:t>
                  </w:r>
                </w:p>
              </w:tc>
              <w:tc>
                <w:tcPr>
                  <w:tcW w:w="1060" w:type="pct"/>
                  <w:vAlign w:val="center"/>
                </w:tcPr>
                <w:p w14:paraId="6E125CE0">
                  <w:pPr>
                    <w:pStyle w:val="26"/>
                    <w:bidi w:val="0"/>
                    <w:spacing w:line="240" w:lineRule="auto"/>
                    <w:ind w:firstLine="0" w:firstLineChars="0"/>
                    <w:jc w:val="center"/>
                    <w:rPr>
                      <w:color w:val="auto"/>
                    </w:rPr>
                  </w:pPr>
                  <w:r>
                    <w:rPr>
                      <w:color w:val="auto"/>
                    </w:rPr>
                    <w:t>SS</w:t>
                  </w:r>
                </w:p>
              </w:tc>
              <w:tc>
                <w:tcPr>
                  <w:tcW w:w="1473" w:type="pct"/>
                  <w:gridSpan w:val="2"/>
                  <w:vAlign w:val="center"/>
                </w:tcPr>
                <w:p w14:paraId="45D9385A">
                  <w:pPr>
                    <w:pStyle w:val="36"/>
                    <w:bidi w:val="0"/>
                    <w:spacing w:line="240" w:lineRule="auto"/>
                    <w:ind w:firstLine="0" w:firstLineChars="0"/>
                    <w:jc w:val="center"/>
                    <w:rPr>
                      <w:rFonts w:hint="default"/>
                      <w:b w:val="0"/>
                      <w:bCs/>
                      <w:color w:val="auto"/>
                      <w:sz w:val="21"/>
                      <w:szCs w:val="21"/>
                      <w:lang w:val="en-US" w:eastAsia="zh-CN"/>
                    </w:rPr>
                  </w:pPr>
                  <w:r>
                    <w:rPr>
                      <w:rFonts w:hint="eastAsia"/>
                      <w:b w:val="0"/>
                      <w:bCs/>
                      <w:color w:val="auto"/>
                      <w:sz w:val="21"/>
                      <w:szCs w:val="21"/>
                      <w:lang w:val="en-US" w:eastAsia="zh-CN"/>
                    </w:rPr>
                    <w:t>510</w:t>
                  </w:r>
                </w:p>
              </w:tc>
              <w:tc>
                <w:tcPr>
                  <w:tcW w:w="1219" w:type="pct"/>
                  <w:vAlign w:val="center"/>
                </w:tcPr>
                <w:p w14:paraId="22409030">
                  <w:pPr>
                    <w:pStyle w:val="36"/>
                    <w:bidi w:val="0"/>
                    <w:spacing w:line="240" w:lineRule="auto"/>
                    <w:ind w:firstLine="0" w:firstLineChars="0"/>
                    <w:jc w:val="center"/>
                    <w:rPr>
                      <w:rFonts w:hint="default"/>
                      <w:b w:val="0"/>
                      <w:bCs/>
                      <w:color w:val="auto"/>
                      <w:sz w:val="21"/>
                      <w:szCs w:val="21"/>
                      <w:lang w:val="en-US" w:eastAsia="zh-CN"/>
                    </w:rPr>
                  </w:pPr>
                  <w:r>
                    <w:rPr>
                      <w:rFonts w:hint="eastAsia"/>
                      <w:b w:val="0"/>
                      <w:bCs/>
                      <w:color w:val="auto"/>
                      <w:sz w:val="21"/>
                      <w:szCs w:val="21"/>
                      <w:lang w:val="en-US" w:eastAsia="zh-CN"/>
                    </w:rPr>
                    <w:t>0.025</w:t>
                  </w:r>
                </w:p>
              </w:tc>
            </w:tr>
            <w:tr w14:paraId="14EAC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6" w:type="pct"/>
                  <w:vMerge w:val="continue"/>
                  <w:vAlign w:val="center"/>
                </w:tcPr>
                <w:p w14:paraId="54640EA2">
                  <w:pPr>
                    <w:pStyle w:val="26"/>
                    <w:bidi w:val="0"/>
                    <w:spacing w:line="240" w:lineRule="auto"/>
                    <w:ind w:firstLine="0" w:firstLineChars="0"/>
                    <w:jc w:val="center"/>
                    <w:rPr>
                      <w:rFonts w:hint="eastAsia"/>
                      <w:color w:val="auto"/>
                    </w:rPr>
                  </w:pPr>
                </w:p>
              </w:tc>
              <w:tc>
                <w:tcPr>
                  <w:tcW w:w="1060" w:type="pct"/>
                  <w:vAlign w:val="center"/>
                </w:tcPr>
                <w:p w14:paraId="642EA65D">
                  <w:pPr>
                    <w:pStyle w:val="26"/>
                    <w:bidi w:val="0"/>
                    <w:spacing w:line="240" w:lineRule="auto"/>
                    <w:ind w:firstLine="0" w:firstLineChars="0"/>
                    <w:jc w:val="center"/>
                    <w:rPr>
                      <w:rFonts w:hint="default"/>
                      <w:b w:val="0"/>
                      <w:bCs/>
                      <w:color w:val="auto"/>
                      <w:sz w:val="21"/>
                      <w:szCs w:val="21"/>
                      <w:lang w:val="en-US" w:eastAsia="zh-CN"/>
                    </w:rPr>
                  </w:pPr>
                  <w:r>
                    <w:rPr>
                      <w:rFonts w:hint="default"/>
                      <w:b w:val="0"/>
                      <w:bCs/>
                      <w:color w:val="auto"/>
                      <w:sz w:val="21"/>
                      <w:szCs w:val="21"/>
                      <w:lang w:val="en-US" w:eastAsia="zh-CN"/>
                    </w:rPr>
                    <w:t>pH（无量纲）</w:t>
                  </w:r>
                </w:p>
              </w:tc>
              <w:tc>
                <w:tcPr>
                  <w:tcW w:w="1473" w:type="pct"/>
                  <w:gridSpan w:val="2"/>
                  <w:vAlign w:val="center"/>
                </w:tcPr>
                <w:p w14:paraId="2622A318">
                  <w:pPr>
                    <w:pStyle w:val="36"/>
                    <w:bidi w:val="0"/>
                    <w:spacing w:line="240" w:lineRule="auto"/>
                    <w:ind w:firstLine="0" w:firstLineChars="0"/>
                    <w:jc w:val="center"/>
                    <w:rPr>
                      <w:rFonts w:hint="default"/>
                      <w:b w:val="0"/>
                      <w:bCs/>
                      <w:color w:val="auto"/>
                      <w:sz w:val="21"/>
                      <w:szCs w:val="21"/>
                      <w:lang w:val="en-US" w:eastAsia="zh-CN"/>
                    </w:rPr>
                  </w:pPr>
                  <w:r>
                    <w:rPr>
                      <w:rFonts w:hint="default"/>
                      <w:b w:val="0"/>
                      <w:bCs/>
                      <w:color w:val="auto"/>
                      <w:sz w:val="21"/>
                      <w:szCs w:val="21"/>
                      <w:lang w:val="en-US" w:eastAsia="zh-CN"/>
                    </w:rPr>
                    <w:t>7.21-7.87</w:t>
                  </w:r>
                </w:p>
              </w:tc>
              <w:tc>
                <w:tcPr>
                  <w:tcW w:w="1219" w:type="pct"/>
                  <w:vAlign w:val="center"/>
                </w:tcPr>
                <w:p w14:paraId="7E4D827A">
                  <w:pPr>
                    <w:pStyle w:val="36"/>
                    <w:bidi w:val="0"/>
                    <w:spacing w:line="240" w:lineRule="auto"/>
                    <w:ind w:firstLine="0" w:firstLineChars="0"/>
                    <w:jc w:val="center"/>
                    <w:rPr>
                      <w:rFonts w:hint="default"/>
                      <w:b w:val="0"/>
                      <w:bCs/>
                      <w:color w:val="auto"/>
                      <w:sz w:val="21"/>
                      <w:szCs w:val="21"/>
                      <w:lang w:val="en-US" w:eastAsia="zh-CN"/>
                    </w:rPr>
                  </w:pPr>
                  <w:r>
                    <w:rPr>
                      <w:rFonts w:hint="eastAsia"/>
                      <w:b w:val="0"/>
                      <w:bCs/>
                      <w:color w:val="auto"/>
                      <w:sz w:val="21"/>
                      <w:szCs w:val="21"/>
                      <w:lang w:val="en-US" w:eastAsia="zh-CN"/>
                    </w:rPr>
                    <w:t>/</w:t>
                  </w:r>
                </w:p>
              </w:tc>
            </w:tr>
            <w:tr w14:paraId="12C76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246" w:type="pct"/>
                  <w:vMerge w:val="restart"/>
                  <w:vAlign w:val="center"/>
                </w:tcPr>
                <w:p w14:paraId="53256EB2">
                  <w:pPr>
                    <w:pStyle w:val="26"/>
                    <w:bidi w:val="0"/>
                    <w:spacing w:line="240" w:lineRule="auto"/>
                    <w:ind w:firstLine="0" w:firstLineChars="0"/>
                    <w:jc w:val="center"/>
                    <w:rPr>
                      <w:rFonts w:hint="default" w:eastAsia="宋体"/>
                      <w:color w:val="auto"/>
                      <w:lang w:val="en-US" w:eastAsia="zh-CN"/>
                    </w:rPr>
                  </w:pPr>
                  <w:r>
                    <w:rPr>
                      <w:rFonts w:hint="eastAsia"/>
                      <w:b/>
                      <w:bCs/>
                      <w:color w:val="auto"/>
                    </w:rPr>
                    <w:t>罐车冲洗</w:t>
                  </w:r>
                  <w:r>
                    <w:rPr>
                      <w:rFonts w:hint="eastAsia"/>
                      <w:b/>
                      <w:bCs/>
                      <w:color w:val="auto"/>
                      <w:lang w:val="en-US" w:eastAsia="zh-CN"/>
                    </w:rPr>
                    <w:t>废水196.8</w:t>
                  </w:r>
                  <w:r>
                    <w:rPr>
                      <w:b/>
                      <w:bCs/>
                      <w:color w:val="auto"/>
                    </w:rPr>
                    <w:t>m</w:t>
                  </w:r>
                  <w:r>
                    <w:rPr>
                      <w:b/>
                      <w:bCs/>
                      <w:color w:val="auto"/>
                      <w:vertAlign w:val="superscript"/>
                    </w:rPr>
                    <w:t>3</w:t>
                  </w:r>
                  <w:r>
                    <w:rPr>
                      <w:b/>
                      <w:bCs/>
                      <w:color w:val="auto"/>
                    </w:rPr>
                    <w:t>/a</w:t>
                  </w:r>
                </w:p>
              </w:tc>
              <w:tc>
                <w:tcPr>
                  <w:tcW w:w="1060" w:type="pct"/>
                  <w:vAlign w:val="center"/>
                </w:tcPr>
                <w:p w14:paraId="3389E4F7">
                  <w:pPr>
                    <w:pStyle w:val="26"/>
                    <w:bidi w:val="0"/>
                    <w:spacing w:line="240" w:lineRule="auto"/>
                    <w:ind w:firstLine="0" w:firstLineChars="0"/>
                    <w:jc w:val="center"/>
                    <w:rPr>
                      <w:color w:val="auto"/>
                    </w:rPr>
                  </w:pPr>
                  <w:r>
                    <w:rPr>
                      <w:color w:val="auto"/>
                    </w:rPr>
                    <w:t>SS</w:t>
                  </w:r>
                </w:p>
              </w:tc>
              <w:tc>
                <w:tcPr>
                  <w:tcW w:w="1473" w:type="pct"/>
                  <w:gridSpan w:val="2"/>
                  <w:vAlign w:val="center"/>
                </w:tcPr>
                <w:p w14:paraId="73C043F5">
                  <w:pPr>
                    <w:pStyle w:val="36"/>
                    <w:bidi w:val="0"/>
                    <w:spacing w:line="240" w:lineRule="auto"/>
                    <w:ind w:firstLine="0" w:firstLineChars="0"/>
                    <w:jc w:val="center"/>
                    <w:rPr>
                      <w:rFonts w:hint="default"/>
                      <w:b w:val="0"/>
                      <w:bCs/>
                      <w:color w:val="auto"/>
                      <w:sz w:val="21"/>
                      <w:szCs w:val="21"/>
                      <w:lang w:val="en-US" w:eastAsia="zh-CN"/>
                    </w:rPr>
                  </w:pPr>
                  <w:r>
                    <w:rPr>
                      <w:rFonts w:hint="eastAsia"/>
                      <w:b w:val="0"/>
                      <w:bCs/>
                      <w:color w:val="auto"/>
                      <w:sz w:val="21"/>
                      <w:szCs w:val="21"/>
                      <w:lang w:val="en-US" w:eastAsia="zh-CN"/>
                    </w:rPr>
                    <w:t>750</w:t>
                  </w:r>
                </w:p>
              </w:tc>
              <w:tc>
                <w:tcPr>
                  <w:tcW w:w="1219" w:type="pct"/>
                  <w:vAlign w:val="center"/>
                </w:tcPr>
                <w:p w14:paraId="713014A0">
                  <w:pPr>
                    <w:pStyle w:val="36"/>
                    <w:bidi w:val="0"/>
                    <w:spacing w:line="240" w:lineRule="auto"/>
                    <w:ind w:firstLine="0" w:firstLineChars="0"/>
                    <w:jc w:val="center"/>
                    <w:rPr>
                      <w:rFonts w:hint="default"/>
                      <w:b w:val="0"/>
                      <w:bCs/>
                      <w:color w:val="auto"/>
                      <w:sz w:val="21"/>
                      <w:szCs w:val="21"/>
                      <w:lang w:val="en-US" w:eastAsia="zh-CN"/>
                    </w:rPr>
                  </w:pPr>
                  <w:r>
                    <w:rPr>
                      <w:rFonts w:hint="eastAsia"/>
                      <w:b w:val="0"/>
                      <w:bCs/>
                      <w:color w:val="auto"/>
                      <w:sz w:val="21"/>
                      <w:szCs w:val="21"/>
                      <w:lang w:val="en-US" w:eastAsia="zh-CN"/>
                    </w:rPr>
                    <w:t>0.15</w:t>
                  </w:r>
                </w:p>
              </w:tc>
            </w:tr>
            <w:tr w14:paraId="6664A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6" w:type="pct"/>
                  <w:vMerge w:val="continue"/>
                  <w:vAlign w:val="center"/>
                </w:tcPr>
                <w:p w14:paraId="7C1032AD">
                  <w:pPr>
                    <w:pStyle w:val="26"/>
                    <w:bidi w:val="0"/>
                    <w:spacing w:line="240" w:lineRule="auto"/>
                    <w:ind w:firstLine="0" w:firstLineChars="0"/>
                    <w:jc w:val="center"/>
                    <w:rPr>
                      <w:rFonts w:hint="eastAsia"/>
                      <w:color w:val="auto"/>
                    </w:rPr>
                  </w:pPr>
                </w:p>
              </w:tc>
              <w:tc>
                <w:tcPr>
                  <w:tcW w:w="1060" w:type="pct"/>
                  <w:vAlign w:val="center"/>
                </w:tcPr>
                <w:p w14:paraId="0594F84F">
                  <w:pPr>
                    <w:pStyle w:val="26"/>
                    <w:bidi w:val="0"/>
                    <w:spacing w:line="240" w:lineRule="auto"/>
                    <w:ind w:firstLine="0" w:firstLineChars="0"/>
                    <w:jc w:val="center"/>
                    <w:rPr>
                      <w:rFonts w:hint="default"/>
                      <w:b w:val="0"/>
                      <w:bCs/>
                      <w:color w:val="auto"/>
                      <w:sz w:val="21"/>
                      <w:szCs w:val="21"/>
                      <w:lang w:val="en-US" w:eastAsia="zh-CN"/>
                    </w:rPr>
                  </w:pPr>
                  <w:r>
                    <w:rPr>
                      <w:rFonts w:hint="default"/>
                      <w:b w:val="0"/>
                      <w:bCs/>
                      <w:color w:val="auto"/>
                      <w:sz w:val="21"/>
                      <w:szCs w:val="21"/>
                      <w:lang w:val="en-US" w:eastAsia="zh-CN"/>
                    </w:rPr>
                    <w:t>pH（无量纲）</w:t>
                  </w:r>
                </w:p>
              </w:tc>
              <w:tc>
                <w:tcPr>
                  <w:tcW w:w="1473" w:type="pct"/>
                  <w:gridSpan w:val="2"/>
                  <w:vAlign w:val="center"/>
                </w:tcPr>
                <w:p w14:paraId="2ADC785A">
                  <w:pPr>
                    <w:pStyle w:val="36"/>
                    <w:bidi w:val="0"/>
                    <w:spacing w:line="240" w:lineRule="auto"/>
                    <w:ind w:firstLine="0" w:firstLineChars="0"/>
                    <w:jc w:val="center"/>
                    <w:rPr>
                      <w:rFonts w:hint="default"/>
                      <w:b w:val="0"/>
                      <w:bCs/>
                      <w:color w:val="auto"/>
                      <w:sz w:val="21"/>
                      <w:szCs w:val="21"/>
                      <w:lang w:val="en-US" w:eastAsia="zh-CN"/>
                    </w:rPr>
                  </w:pPr>
                  <w:r>
                    <w:rPr>
                      <w:rFonts w:hint="default"/>
                      <w:b w:val="0"/>
                      <w:bCs/>
                      <w:color w:val="auto"/>
                      <w:sz w:val="21"/>
                      <w:szCs w:val="21"/>
                      <w:lang w:val="en-US" w:eastAsia="zh-CN"/>
                    </w:rPr>
                    <w:t>7.21-7.87</w:t>
                  </w:r>
                </w:p>
              </w:tc>
              <w:tc>
                <w:tcPr>
                  <w:tcW w:w="1219" w:type="pct"/>
                  <w:vAlign w:val="center"/>
                </w:tcPr>
                <w:p w14:paraId="22A1F773">
                  <w:pPr>
                    <w:pStyle w:val="36"/>
                    <w:bidi w:val="0"/>
                    <w:spacing w:line="240" w:lineRule="auto"/>
                    <w:ind w:firstLine="0" w:firstLineChars="0"/>
                    <w:jc w:val="center"/>
                    <w:rPr>
                      <w:rFonts w:hint="default"/>
                      <w:b w:val="0"/>
                      <w:bCs/>
                      <w:color w:val="auto"/>
                      <w:sz w:val="21"/>
                      <w:szCs w:val="21"/>
                      <w:lang w:val="en-US" w:eastAsia="zh-CN"/>
                    </w:rPr>
                  </w:pPr>
                  <w:r>
                    <w:rPr>
                      <w:rFonts w:hint="eastAsia"/>
                      <w:b w:val="0"/>
                      <w:bCs/>
                      <w:color w:val="auto"/>
                      <w:sz w:val="21"/>
                      <w:szCs w:val="21"/>
                      <w:lang w:val="en-US" w:eastAsia="zh-CN"/>
                    </w:rPr>
                    <w:t>/</w:t>
                  </w:r>
                </w:p>
              </w:tc>
            </w:tr>
            <w:tr w14:paraId="44C64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246" w:type="pct"/>
                  <w:vMerge w:val="restart"/>
                  <w:vAlign w:val="center"/>
                </w:tcPr>
                <w:p w14:paraId="06C564E6">
                  <w:pPr>
                    <w:pStyle w:val="26"/>
                    <w:bidi w:val="0"/>
                    <w:spacing w:line="240" w:lineRule="auto"/>
                    <w:ind w:firstLine="0" w:firstLineChars="0"/>
                    <w:jc w:val="center"/>
                    <w:rPr>
                      <w:rFonts w:hint="default" w:eastAsia="宋体"/>
                      <w:b/>
                      <w:bCs/>
                      <w:color w:val="auto"/>
                      <w:lang w:val="en-US" w:eastAsia="zh-CN"/>
                    </w:rPr>
                  </w:pPr>
                  <w:r>
                    <w:rPr>
                      <w:rFonts w:hint="eastAsia"/>
                      <w:b/>
                      <w:bCs/>
                      <w:color w:val="auto"/>
                    </w:rPr>
                    <w:t>试验区用水</w:t>
                  </w:r>
                  <w:r>
                    <w:rPr>
                      <w:rFonts w:hint="eastAsia"/>
                      <w:b/>
                      <w:bCs/>
                      <w:color w:val="auto"/>
                      <w:lang w:val="en-US" w:eastAsia="zh-CN"/>
                    </w:rPr>
                    <w:t>187.2</w:t>
                  </w:r>
                  <w:r>
                    <w:rPr>
                      <w:b/>
                      <w:bCs/>
                      <w:color w:val="auto"/>
                    </w:rPr>
                    <w:t>m</w:t>
                  </w:r>
                  <w:r>
                    <w:rPr>
                      <w:b/>
                      <w:bCs/>
                      <w:color w:val="auto"/>
                      <w:vertAlign w:val="superscript"/>
                    </w:rPr>
                    <w:t>3</w:t>
                  </w:r>
                  <w:r>
                    <w:rPr>
                      <w:b/>
                      <w:bCs/>
                      <w:color w:val="auto"/>
                    </w:rPr>
                    <w:t>/a</w:t>
                  </w:r>
                </w:p>
              </w:tc>
              <w:tc>
                <w:tcPr>
                  <w:tcW w:w="1060" w:type="pct"/>
                  <w:vAlign w:val="center"/>
                </w:tcPr>
                <w:p w14:paraId="217DAB66">
                  <w:pPr>
                    <w:pStyle w:val="26"/>
                    <w:bidi w:val="0"/>
                    <w:spacing w:line="240" w:lineRule="auto"/>
                    <w:ind w:firstLine="0" w:firstLineChars="0"/>
                    <w:jc w:val="center"/>
                    <w:rPr>
                      <w:color w:val="auto"/>
                    </w:rPr>
                  </w:pPr>
                  <w:r>
                    <w:rPr>
                      <w:color w:val="auto"/>
                    </w:rPr>
                    <w:t>SS</w:t>
                  </w:r>
                </w:p>
              </w:tc>
              <w:tc>
                <w:tcPr>
                  <w:tcW w:w="1473" w:type="pct"/>
                  <w:gridSpan w:val="2"/>
                  <w:vAlign w:val="center"/>
                </w:tcPr>
                <w:p w14:paraId="7E1C20C0">
                  <w:pPr>
                    <w:pStyle w:val="36"/>
                    <w:bidi w:val="0"/>
                    <w:spacing w:line="240" w:lineRule="auto"/>
                    <w:ind w:firstLine="0" w:firstLineChars="0"/>
                    <w:jc w:val="center"/>
                    <w:rPr>
                      <w:rFonts w:hint="default"/>
                      <w:b w:val="0"/>
                      <w:bCs/>
                      <w:color w:val="auto"/>
                      <w:sz w:val="21"/>
                      <w:szCs w:val="21"/>
                      <w:lang w:val="en-US" w:eastAsia="zh-CN"/>
                    </w:rPr>
                  </w:pPr>
                  <w:r>
                    <w:rPr>
                      <w:rFonts w:hint="eastAsia"/>
                      <w:b w:val="0"/>
                      <w:bCs/>
                      <w:color w:val="auto"/>
                      <w:sz w:val="21"/>
                      <w:szCs w:val="21"/>
                      <w:lang w:val="en-US" w:eastAsia="zh-CN"/>
                    </w:rPr>
                    <w:t>550</w:t>
                  </w:r>
                </w:p>
              </w:tc>
              <w:tc>
                <w:tcPr>
                  <w:tcW w:w="1219" w:type="pct"/>
                  <w:vAlign w:val="center"/>
                </w:tcPr>
                <w:p w14:paraId="3B499092">
                  <w:pPr>
                    <w:pStyle w:val="36"/>
                    <w:bidi w:val="0"/>
                    <w:spacing w:line="240" w:lineRule="auto"/>
                    <w:ind w:firstLine="0" w:firstLineChars="0"/>
                    <w:jc w:val="center"/>
                    <w:rPr>
                      <w:rFonts w:hint="default"/>
                      <w:b w:val="0"/>
                      <w:bCs/>
                      <w:color w:val="auto"/>
                      <w:sz w:val="21"/>
                      <w:szCs w:val="21"/>
                      <w:lang w:val="en-US" w:eastAsia="zh-CN"/>
                    </w:rPr>
                  </w:pPr>
                  <w:r>
                    <w:rPr>
                      <w:rFonts w:hint="eastAsia"/>
                      <w:b w:val="0"/>
                      <w:bCs/>
                      <w:color w:val="auto"/>
                      <w:sz w:val="21"/>
                      <w:szCs w:val="21"/>
                      <w:lang w:val="en-US" w:eastAsia="zh-CN"/>
                    </w:rPr>
                    <w:t>0.1</w:t>
                  </w:r>
                </w:p>
              </w:tc>
            </w:tr>
            <w:tr w14:paraId="0D3E1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6" w:type="pct"/>
                  <w:vMerge w:val="continue"/>
                  <w:vAlign w:val="center"/>
                </w:tcPr>
                <w:p w14:paraId="75DE0DFC">
                  <w:pPr>
                    <w:pStyle w:val="26"/>
                    <w:bidi w:val="0"/>
                    <w:spacing w:line="240" w:lineRule="auto"/>
                    <w:ind w:firstLine="0" w:firstLineChars="0"/>
                    <w:jc w:val="center"/>
                    <w:rPr>
                      <w:rFonts w:hint="eastAsia"/>
                      <w:b/>
                      <w:bCs/>
                      <w:color w:val="auto"/>
                    </w:rPr>
                  </w:pPr>
                </w:p>
              </w:tc>
              <w:tc>
                <w:tcPr>
                  <w:tcW w:w="1060" w:type="pct"/>
                  <w:vAlign w:val="center"/>
                </w:tcPr>
                <w:p w14:paraId="7760EE4F">
                  <w:pPr>
                    <w:pStyle w:val="26"/>
                    <w:bidi w:val="0"/>
                    <w:spacing w:line="240" w:lineRule="auto"/>
                    <w:ind w:firstLine="0" w:firstLineChars="0"/>
                    <w:jc w:val="center"/>
                    <w:rPr>
                      <w:rFonts w:hint="default"/>
                      <w:b w:val="0"/>
                      <w:bCs/>
                      <w:color w:val="auto"/>
                      <w:sz w:val="21"/>
                      <w:szCs w:val="21"/>
                      <w:lang w:val="en-US" w:eastAsia="zh-CN"/>
                    </w:rPr>
                  </w:pPr>
                  <w:r>
                    <w:rPr>
                      <w:rFonts w:hint="default"/>
                      <w:b w:val="0"/>
                      <w:bCs/>
                      <w:color w:val="auto"/>
                      <w:sz w:val="21"/>
                      <w:szCs w:val="21"/>
                      <w:lang w:val="en-US" w:eastAsia="zh-CN"/>
                    </w:rPr>
                    <w:t>pH（无量纲）</w:t>
                  </w:r>
                </w:p>
              </w:tc>
              <w:tc>
                <w:tcPr>
                  <w:tcW w:w="1473" w:type="pct"/>
                  <w:gridSpan w:val="2"/>
                  <w:vAlign w:val="center"/>
                </w:tcPr>
                <w:p w14:paraId="1C53853C">
                  <w:pPr>
                    <w:pStyle w:val="36"/>
                    <w:bidi w:val="0"/>
                    <w:spacing w:line="240" w:lineRule="auto"/>
                    <w:ind w:firstLine="0" w:firstLineChars="0"/>
                    <w:jc w:val="center"/>
                    <w:rPr>
                      <w:rFonts w:hint="default"/>
                      <w:b w:val="0"/>
                      <w:bCs/>
                      <w:color w:val="auto"/>
                      <w:sz w:val="21"/>
                      <w:szCs w:val="21"/>
                      <w:lang w:val="en-US" w:eastAsia="zh-CN"/>
                    </w:rPr>
                  </w:pPr>
                  <w:r>
                    <w:rPr>
                      <w:rFonts w:hint="default"/>
                      <w:b w:val="0"/>
                      <w:bCs/>
                      <w:color w:val="auto"/>
                      <w:sz w:val="21"/>
                      <w:szCs w:val="21"/>
                      <w:lang w:val="en-US" w:eastAsia="zh-CN"/>
                    </w:rPr>
                    <w:t>7.21-7.87</w:t>
                  </w:r>
                </w:p>
              </w:tc>
              <w:tc>
                <w:tcPr>
                  <w:tcW w:w="1219" w:type="pct"/>
                  <w:vAlign w:val="center"/>
                </w:tcPr>
                <w:p w14:paraId="23C1CBFF">
                  <w:pPr>
                    <w:pStyle w:val="36"/>
                    <w:bidi w:val="0"/>
                    <w:spacing w:line="240" w:lineRule="auto"/>
                    <w:ind w:firstLine="0" w:firstLineChars="0"/>
                    <w:jc w:val="center"/>
                    <w:rPr>
                      <w:rFonts w:hint="default"/>
                      <w:b w:val="0"/>
                      <w:bCs/>
                      <w:color w:val="auto"/>
                      <w:sz w:val="21"/>
                      <w:szCs w:val="21"/>
                      <w:lang w:val="en-US" w:eastAsia="zh-CN"/>
                    </w:rPr>
                  </w:pPr>
                  <w:r>
                    <w:rPr>
                      <w:rFonts w:hint="eastAsia"/>
                      <w:b w:val="0"/>
                      <w:bCs/>
                      <w:color w:val="auto"/>
                      <w:sz w:val="21"/>
                      <w:szCs w:val="21"/>
                      <w:lang w:val="en-US" w:eastAsia="zh-CN"/>
                    </w:rPr>
                    <w:t>/</w:t>
                  </w:r>
                </w:p>
              </w:tc>
            </w:tr>
            <w:tr w14:paraId="25AA4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6" w:type="pct"/>
                  <w:vAlign w:val="center"/>
                </w:tcPr>
                <w:p w14:paraId="33B7B711">
                  <w:pPr>
                    <w:pStyle w:val="26"/>
                    <w:bidi w:val="0"/>
                    <w:spacing w:line="240" w:lineRule="auto"/>
                    <w:ind w:firstLine="0" w:firstLineChars="0"/>
                    <w:jc w:val="center"/>
                    <w:rPr>
                      <w:rFonts w:hint="default" w:eastAsia="宋体"/>
                      <w:b/>
                      <w:bCs/>
                      <w:color w:val="auto"/>
                      <w:lang w:val="en-US" w:eastAsia="zh-CN"/>
                    </w:rPr>
                  </w:pPr>
                  <w:r>
                    <w:rPr>
                      <w:rFonts w:hint="eastAsia"/>
                      <w:b/>
                      <w:bCs/>
                      <w:color w:val="auto"/>
                      <w:lang w:val="en-US" w:eastAsia="zh-CN"/>
                    </w:rPr>
                    <w:t>处置方式</w:t>
                  </w:r>
                </w:p>
              </w:tc>
              <w:tc>
                <w:tcPr>
                  <w:tcW w:w="3753" w:type="pct"/>
                  <w:gridSpan w:val="4"/>
                  <w:vAlign w:val="center"/>
                </w:tcPr>
                <w:p w14:paraId="7A956FAA">
                  <w:pPr>
                    <w:pStyle w:val="36"/>
                    <w:bidi w:val="0"/>
                    <w:spacing w:line="240" w:lineRule="auto"/>
                    <w:ind w:firstLine="0" w:firstLineChars="0"/>
                    <w:jc w:val="center"/>
                    <w:rPr>
                      <w:rFonts w:hint="eastAsia"/>
                      <w:b w:val="0"/>
                      <w:bCs/>
                      <w:color w:val="auto"/>
                      <w:sz w:val="21"/>
                      <w:szCs w:val="21"/>
                      <w:lang w:val="en-US" w:eastAsia="zh-CN"/>
                    </w:rPr>
                  </w:pPr>
                  <w:r>
                    <w:rPr>
                      <w:rFonts w:hint="eastAsia"/>
                      <w:b w:val="0"/>
                      <w:bCs/>
                      <w:color w:val="auto"/>
                      <w:sz w:val="21"/>
                      <w:szCs w:val="21"/>
                      <w:vertAlign w:val="baseline"/>
                      <w:lang w:val="en-US" w:eastAsia="zh-CN"/>
                    </w:rPr>
                    <w:t>回用于混凝土搅拌，不外排</w:t>
                  </w:r>
                </w:p>
              </w:tc>
            </w:tr>
            <w:tr w14:paraId="24F1A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center"/>
                </w:tcPr>
                <w:p w14:paraId="0C753A25">
                  <w:pPr>
                    <w:pStyle w:val="36"/>
                    <w:bidi w:val="0"/>
                    <w:spacing w:line="240" w:lineRule="auto"/>
                    <w:ind w:firstLine="0" w:firstLineChars="0"/>
                    <w:jc w:val="center"/>
                    <w:rPr>
                      <w:rFonts w:hint="default"/>
                      <w:b w:val="0"/>
                      <w:bCs/>
                      <w:color w:val="auto"/>
                      <w:sz w:val="21"/>
                      <w:szCs w:val="21"/>
                      <w:vertAlign w:val="baseline"/>
                      <w:lang w:val="en-US" w:eastAsia="zh-CN"/>
                    </w:rPr>
                  </w:pPr>
                  <w:r>
                    <w:rPr>
                      <w:rFonts w:hint="eastAsia"/>
                      <w:b/>
                      <w:bCs w:val="0"/>
                      <w:color w:val="auto"/>
                      <w:sz w:val="21"/>
                      <w:szCs w:val="21"/>
                      <w:vertAlign w:val="baseline"/>
                      <w:lang w:val="en-US" w:eastAsia="zh-CN"/>
                    </w:rPr>
                    <w:t>生活废水</w:t>
                  </w:r>
                </w:p>
              </w:tc>
            </w:tr>
            <w:tr w14:paraId="5656B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246" w:type="pct"/>
                  <w:vMerge w:val="restart"/>
                  <w:vAlign w:val="center"/>
                </w:tcPr>
                <w:p w14:paraId="51F0561E">
                  <w:pPr>
                    <w:pStyle w:val="26"/>
                    <w:bidi w:val="0"/>
                    <w:spacing w:line="240" w:lineRule="auto"/>
                    <w:ind w:firstLine="0" w:firstLineChars="0"/>
                    <w:jc w:val="center"/>
                    <w:rPr>
                      <w:rFonts w:hint="default"/>
                      <w:b/>
                      <w:bCs/>
                      <w:color w:val="auto"/>
                      <w:lang w:val="en-US" w:eastAsia="zh-CN"/>
                    </w:rPr>
                  </w:pPr>
                  <w:r>
                    <w:rPr>
                      <w:rFonts w:hint="eastAsia"/>
                      <w:b/>
                      <w:bCs/>
                      <w:color w:val="auto"/>
                      <w:lang w:val="en-US" w:eastAsia="zh-CN"/>
                    </w:rPr>
                    <w:t>生活废水240</w:t>
                  </w:r>
                  <w:r>
                    <w:rPr>
                      <w:color w:val="auto"/>
                    </w:rPr>
                    <w:t>m</w:t>
                  </w:r>
                  <w:r>
                    <w:rPr>
                      <w:color w:val="auto"/>
                      <w:vertAlign w:val="superscript"/>
                    </w:rPr>
                    <w:t>3</w:t>
                  </w:r>
                  <w:r>
                    <w:rPr>
                      <w:color w:val="auto"/>
                    </w:rPr>
                    <w:t>/a</w:t>
                  </w:r>
                </w:p>
              </w:tc>
              <w:tc>
                <w:tcPr>
                  <w:tcW w:w="1116" w:type="pct"/>
                  <w:gridSpan w:val="2"/>
                  <w:vAlign w:val="center"/>
                </w:tcPr>
                <w:p w14:paraId="7EFB56EB">
                  <w:pPr>
                    <w:pStyle w:val="36"/>
                    <w:bidi w:val="0"/>
                    <w:spacing w:line="240" w:lineRule="auto"/>
                    <w:ind w:firstLine="0" w:firstLineChars="0"/>
                    <w:jc w:val="center"/>
                    <w:rPr>
                      <w:rFonts w:hint="eastAsia"/>
                      <w:b w:val="0"/>
                      <w:bCs/>
                      <w:color w:val="auto"/>
                      <w:sz w:val="21"/>
                      <w:szCs w:val="21"/>
                      <w:vertAlign w:val="baseline"/>
                      <w:lang w:val="en-US" w:eastAsia="zh-CN"/>
                    </w:rPr>
                  </w:pPr>
                  <w:r>
                    <w:rPr>
                      <w:b w:val="0"/>
                      <w:bCs/>
                      <w:color w:val="auto"/>
                    </w:rPr>
                    <w:t>COD</w:t>
                  </w:r>
                </w:p>
              </w:tc>
              <w:tc>
                <w:tcPr>
                  <w:tcW w:w="1418" w:type="pct"/>
                  <w:vAlign w:val="center"/>
                </w:tcPr>
                <w:p w14:paraId="03B620B7">
                  <w:pPr>
                    <w:pStyle w:val="36"/>
                    <w:bidi w:val="0"/>
                    <w:spacing w:line="240" w:lineRule="auto"/>
                    <w:ind w:firstLine="0" w:firstLineChars="0"/>
                    <w:jc w:val="center"/>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623</w:t>
                  </w:r>
                </w:p>
              </w:tc>
              <w:tc>
                <w:tcPr>
                  <w:tcW w:w="1219" w:type="pct"/>
                  <w:vAlign w:val="center"/>
                </w:tcPr>
                <w:p w14:paraId="1EA9E08E">
                  <w:pPr>
                    <w:pStyle w:val="36"/>
                    <w:bidi w:val="0"/>
                    <w:spacing w:line="240" w:lineRule="auto"/>
                    <w:ind w:firstLine="0" w:firstLineChars="0"/>
                    <w:jc w:val="center"/>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0.15</w:t>
                  </w:r>
                </w:p>
              </w:tc>
            </w:tr>
            <w:tr w14:paraId="6F01C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1246" w:type="pct"/>
                  <w:vMerge w:val="continue"/>
                  <w:vAlign w:val="center"/>
                </w:tcPr>
                <w:p w14:paraId="3F0E5260">
                  <w:pPr>
                    <w:pStyle w:val="26"/>
                    <w:bidi w:val="0"/>
                    <w:spacing w:line="240" w:lineRule="auto"/>
                    <w:ind w:firstLine="0" w:firstLineChars="0"/>
                    <w:jc w:val="center"/>
                    <w:rPr>
                      <w:rFonts w:hint="eastAsia"/>
                      <w:b/>
                      <w:bCs/>
                      <w:color w:val="auto"/>
                      <w:lang w:val="en-US" w:eastAsia="zh-CN"/>
                    </w:rPr>
                  </w:pPr>
                </w:p>
              </w:tc>
              <w:tc>
                <w:tcPr>
                  <w:tcW w:w="1116" w:type="pct"/>
                  <w:gridSpan w:val="2"/>
                  <w:vAlign w:val="center"/>
                </w:tcPr>
                <w:p w14:paraId="164745F7">
                  <w:pPr>
                    <w:pStyle w:val="36"/>
                    <w:bidi w:val="0"/>
                    <w:spacing w:line="240" w:lineRule="auto"/>
                    <w:ind w:firstLine="0" w:firstLineChars="0"/>
                    <w:jc w:val="center"/>
                    <w:rPr>
                      <w:rFonts w:hint="eastAsia"/>
                      <w:b w:val="0"/>
                      <w:bCs/>
                      <w:color w:val="auto"/>
                      <w:sz w:val="21"/>
                      <w:szCs w:val="21"/>
                      <w:vertAlign w:val="baseline"/>
                      <w:lang w:val="en-US" w:eastAsia="zh-CN"/>
                    </w:rPr>
                  </w:pPr>
                  <w:r>
                    <w:rPr>
                      <w:b w:val="0"/>
                      <w:bCs/>
                      <w:color w:val="auto"/>
                    </w:rPr>
                    <w:t>BOD</w:t>
                  </w:r>
                  <w:r>
                    <w:rPr>
                      <w:b w:val="0"/>
                      <w:bCs/>
                      <w:color w:val="auto"/>
                      <w:vertAlign w:val="subscript"/>
                    </w:rPr>
                    <w:t>5</w:t>
                  </w:r>
                </w:p>
              </w:tc>
              <w:tc>
                <w:tcPr>
                  <w:tcW w:w="1418" w:type="pct"/>
                  <w:vAlign w:val="center"/>
                </w:tcPr>
                <w:p w14:paraId="74C3D63B">
                  <w:pPr>
                    <w:pStyle w:val="36"/>
                    <w:bidi w:val="0"/>
                    <w:spacing w:line="240" w:lineRule="auto"/>
                    <w:ind w:firstLine="0" w:firstLineChars="0"/>
                    <w:jc w:val="center"/>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553</w:t>
                  </w:r>
                </w:p>
              </w:tc>
              <w:tc>
                <w:tcPr>
                  <w:tcW w:w="1219" w:type="pct"/>
                  <w:vAlign w:val="center"/>
                </w:tcPr>
                <w:p w14:paraId="7F605057">
                  <w:pPr>
                    <w:pStyle w:val="36"/>
                    <w:bidi w:val="0"/>
                    <w:spacing w:line="240" w:lineRule="auto"/>
                    <w:ind w:firstLine="0" w:firstLineChars="0"/>
                    <w:jc w:val="center"/>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0.133</w:t>
                  </w:r>
                </w:p>
              </w:tc>
            </w:tr>
            <w:tr w14:paraId="05062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1246" w:type="pct"/>
                  <w:vMerge w:val="continue"/>
                  <w:vAlign w:val="center"/>
                </w:tcPr>
                <w:p w14:paraId="10BD7465">
                  <w:pPr>
                    <w:pStyle w:val="26"/>
                    <w:bidi w:val="0"/>
                    <w:spacing w:line="240" w:lineRule="auto"/>
                    <w:ind w:firstLine="0" w:firstLineChars="0"/>
                    <w:jc w:val="center"/>
                    <w:rPr>
                      <w:rFonts w:hint="eastAsia"/>
                      <w:b/>
                      <w:bCs/>
                      <w:color w:val="auto"/>
                      <w:lang w:val="en-US" w:eastAsia="zh-CN"/>
                    </w:rPr>
                  </w:pPr>
                </w:p>
              </w:tc>
              <w:tc>
                <w:tcPr>
                  <w:tcW w:w="1116" w:type="pct"/>
                  <w:gridSpan w:val="2"/>
                  <w:vAlign w:val="center"/>
                </w:tcPr>
                <w:p w14:paraId="6AC089EB">
                  <w:pPr>
                    <w:pStyle w:val="36"/>
                    <w:bidi w:val="0"/>
                    <w:spacing w:line="240" w:lineRule="auto"/>
                    <w:ind w:firstLine="0" w:firstLineChars="0"/>
                    <w:jc w:val="center"/>
                    <w:rPr>
                      <w:rFonts w:hint="eastAsia"/>
                      <w:b w:val="0"/>
                      <w:bCs/>
                      <w:color w:val="auto"/>
                      <w:sz w:val="21"/>
                      <w:szCs w:val="21"/>
                      <w:vertAlign w:val="baseline"/>
                      <w:lang w:val="en-US" w:eastAsia="zh-CN"/>
                    </w:rPr>
                  </w:pPr>
                  <w:r>
                    <w:rPr>
                      <w:b w:val="0"/>
                      <w:bCs/>
                      <w:color w:val="auto"/>
                    </w:rPr>
                    <w:t>氨氮</w:t>
                  </w:r>
                </w:p>
              </w:tc>
              <w:tc>
                <w:tcPr>
                  <w:tcW w:w="1418" w:type="pct"/>
                  <w:vAlign w:val="center"/>
                </w:tcPr>
                <w:p w14:paraId="3CF28D9C">
                  <w:pPr>
                    <w:pStyle w:val="36"/>
                    <w:bidi w:val="0"/>
                    <w:spacing w:line="240" w:lineRule="auto"/>
                    <w:ind w:firstLine="0" w:firstLineChars="0"/>
                    <w:jc w:val="center"/>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56.3</w:t>
                  </w:r>
                </w:p>
              </w:tc>
              <w:tc>
                <w:tcPr>
                  <w:tcW w:w="1219" w:type="pct"/>
                  <w:vAlign w:val="center"/>
                </w:tcPr>
                <w:p w14:paraId="1A9E56F8">
                  <w:pPr>
                    <w:pStyle w:val="36"/>
                    <w:bidi w:val="0"/>
                    <w:spacing w:line="240" w:lineRule="auto"/>
                    <w:ind w:firstLine="0" w:firstLineChars="0"/>
                    <w:jc w:val="center"/>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0.014</w:t>
                  </w:r>
                </w:p>
              </w:tc>
            </w:tr>
            <w:tr w14:paraId="6189D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1246" w:type="pct"/>
                  <w:vMerge w:val="continue"/>
                  <w:vAlign w:val="center"/>
                </w:tcPr>
                <w:p w14:paraId="3E6DB20F">
                  <w:pPr>
                    <w:pStyle w:val="26"/>
                    <w:bidi w:val="0"/>
                    <w:spacing w:line="240" w:lineRule="auto"/>
                    <w:ind w:firstLine="0" w:firstLineChars="0"/>
                    <w:jc w:val="center"/>
                    <w:rPr>
                      <w:rFonts w:hint="eastAsia"/>
                      <w:b/>
                      <w:bCs/>
                      <w:color w:val="auto"/>
                      <w:lang w:val="en-US" w:eastAsia="zh-CN"/>
                    </w:rPr>
                  </w:pPr>
                </w:p>
              </w:tc>
              <w:tc>
                <w:tcPr>
                  <w:tcW w:w="1116" w:type="pct"/>
                  <w:gridSpan w:val="2"/>
                  <w:vAlign w:val="center"/>
                </w:tcPr>
                <w:p w14:paraId="5BB91BA3">
                  <w:pPr>
                    <w:pStyle w:val="36"/>
                    <w:bidi w:val="0"/>
                    <w:spacing w:line="240" w:lineRule="auto"/>
                    <w:ind w:firstLine="0" w:firstLineChars="0"/>
                    <w:jc w:val="center"/>
                    <w:rPr>
                      <w:rFonts w:hint="eastAsia"/>
                      <w:b w:val="0"/>
                      <w:bCs/>
                      <w:color w:val="auto"/>
                      <w:sz w:val="21"/>
                      <w:szCs w:val="21"/>
                      <w:vertAlign w:val="baseline"/>
                      <w:lang w:val="en-US" w:eastAsia="zh-CN"/>
                    </w:rPr>
                  </w:pPr>
                  <w:r>
                    <w:rPr>
                      <w:b w:val="0"/>
                      <w:bCs/>
                      <w:color w:val="auto"/>
                    </w:rPr>
                    <w:t>总磷</w:t>
                  </w:r>
                </w:p>
              </w:tc>
              <w:tc>
                <w:tcPr>
                  <w:tcW w:w="1418" w:type="pct"/>
                  <w:vAlign w:val="center"/>
                </w:tcPr>
                <w:p w14:paraId="52BF210C">
                  <w:pPr>
                    <w:pStyle w:val="36"/>
                    <w:bidi w:val="0"/>
                    <w:spacing w:line="240" w:lineRule="auto"/>
                    <w:ind w:firstLine="0" w:firstLineChars="0"/>
                    <w:jc w:val="center"/>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4.28</w:t>
                  </w:r>
                </w:p>
              </w:tc>
              <w:tc>
                <w:tcPr>
                  <w:tcW w:w="1219" w:type="pct"/>
                  <w:vAlign w:val="center"/>
                </w:tcPr>
                <w:p w14:paraId="77ED1B83">
                  <w:pPr>
                    <w:pStyle w:val="36"/>
                    <w:bidi w:val="0"/>
                    <w:spacing w:line="240" w:lineRule="auto"/>
                    <w:ind w:firstLine="0" w:firstLineChars="0"/>
                    <w:jc w:val="center"/>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0.001</w:t>
                  </w:r>
                </w:p>
              </w:tc>
            </w:tr>
            <w:tr w14:paraId="2C711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1246" w:type="pct"/>
                  <w:vMerge w:val="continue"/>
                  <w:vAlign w:val="center"/>
                </w:tcPr>
                <w:p w14:paraId="2B44F6E3">
                  <w:pPr>
                    <w:pStyle w:val="26"/>
                    <w:bidi w:val="0"/>
                    <w:spacing w:line="240" w:lineRule="auto"/>
                    <w:ind w:firstLine="0" w:firstLineChars="0"/>
                    <w:jc w:val="center"/>
                    <w:rPr>
                      <w:rFonts w:hint="eastAsia"/>
                      <w:b/>
                      <w:bCs/>
                      <w:color w:val="auto"/>
                      <w:lang w:val="en-US" w:eastAsia="zh-CN"/>
                    </w:rPr>
                  </w:pPr>
                </w:p>
              </w:tc>
              <w:tc>
                <w:tcPr>
                  <w:tcW w:w="1116" w:type="pct"/>
                  <w:gridSpan w:val="2"/>
                  <w:vAlign w:val="center"/>
                </w:tcPr>
                <w:p w14:paraId="597152BC">
                  <w:pPr>
                    <w:pStyle w:val="36"/>
                    <w:bidi w:val="0"/>
                    <w:spacing w:line="240" w:lineRule="auto"/>
                    <w:ind w:firstLine="0" w:firstLineChars="0"/>
                    <w:jc w:val="center"/>
                    <w:rPr>
                      <w:rFonts w:hint="eastAsia"/>
                      <w:b w:val="0"/>
                      <w:bCs/>
                      <w:color w:val="auto"/>
                      <w:sz w:val="21"/>
                      <w:szCs w:val="21"/>
                      <w:vertAlign w:val="baseline"/>
                      <w:lang w:val="en-US" w:eastAsia="zh-CN"/>
                    </w:rPr>
                  </w:pPr>
                  <w:r>
                    <w:rPr>
                      <w:b w:val="0"/>
                      <w:bCs/>
                      <w:color w:val="auto"/>
                    </w:rPr>
                    <w:t>SS</w:t>
                  </w:r>
                </w:p>
              </w:tc>
              <w:tc>
                <w:tcPr>
                  <w:tcW w:w="1418" w:type="pct"/>
                  <w:vAlign w:val="center"/>
                </w:tcPr>
                <w:p w14:paraId="48206E78">
                  <w:pPr>
                    <w:pStyle w:val="36"/>
                    <w:bidi w:val="0"/>
                    <w:spacing w:line="240" w:lineRule="auto"/>
                    <w:ind w:firstLine="0" w:firstLineChars="0"/>
                    <w:jc w:val="center"/>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350</w:t>
                  </w:r>
                </w:p>
              </w:tc>
              <w:tc>
                <w:tcPr>
                  <w:tcW w:w="1219" w:type="pct"/>
                  <w:vAlign w:val="center"/>
                </w:tcPr>
                <w:p w14:paraId="18658330">
                  <w:pPr>
                    <w:pStyle w:val="36"/>
                    <w:bidi w:val="0"/>
                    <w:spacing w:line="240" w:lineRule="auto"/>
                    <w:ind w:firstLine="0" w:firstLineChars="0"/>
                    <w:jc w:val="center"/>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0.084</w:t>
                  </w:r>
                </w:p>
              </w:tc>
            </w:tr>
            <w:tr w14:paraId="4CA53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1246" w:type="pct"/>
                  <w:vMerge w:val="continue"/>
                  <w:vAlign w:val="center"/>
                </w:tcPr>
                <w:p w14:paraId="136A1214">
                  <w:pPr>
                    <w:pStyle w:val="26"/>
                    <w:bidi w:val="0"/>
                    <w:spacing w:line="240" w:lineRule="auto"/>
                    <w:ind w:firstLine="0" w:firstLineChars="0"/>
                    <w:jc w:val="center"/>
                    <w:rPr>
                      <w:rFonts w:hint="eastAsia"/>
                      <w:b/>
                      <w:bCs/>
                      <w:color w:val="auto"/>
                      <w:lang w:val="en-US" w:eastAsia="zh-CN"/>
                    </w:rPr>
                  </w:pPr>
                </w:p>
              </w:tc>
              <w:tc>
                <w:tcPr>
                  <w:tcW w:w="1116" w:type="pct"/>
                  <w:gridSpan w:val="2"/>
                  <w:vAlign w:val="center"/>
                </w:tcPr>
                <w:p w14:paraId="25612A2E">
                  <w:pPr>
                    <w:pStyle w:val="36"/>
                    <w:bidi w:val="0"/>
                    <w:spacing w:line="240" w:lineRule="auto"/>
                    <w:ind w:firstLine="0" w:firstLineChars="0"/>
                    <w:jc w:val="center"/>
                    <w:rPr>
                      <w:rFonts w:hint="eastAsia"/>
                      <w:b w:val="0"/>
                      <w:bCs/>
                      <w:color w:val="auto"/>
                      <w:sz w:val="21"/>
                      <w:szCs w:val="21"/>
                      <w:vertAlign w:val="baseline"/>
                      <w:lang w:val="en-US" w:eastAsia="zh-CN"/>
                    </w:rPr>
                  </w:pPr>
                  <w:r>
                    <w:rPr>
                      <w:rFonts w:hint="eastAsia"/>
                      <w:b w:val="0"/>
                      <w:bCs/>
                      <w:color w:val="auto"/>
                    </w:rPr>
                    <w:t>总氮</w:t>
                  </w:r>
                </w:p>
              </w:tc>
              <w:tc>
                <w:tcPr>
                  <w:tcW w:w="1418" w:type="pct"/>
                  <w:vAlign w:val="center"/>
                </w:tcPr>
                <w:p w14:paraId="0A2FC3DF">
                  <w:pPr>
                    <w:pStyle w:val="36"/>
                    <w:bidi w:val="0"/>
                    <w:spacing w:line="240" w:lineRule="auto"/>
                    <w:ind w:firstLine="0" w:firstLineChars="0"/>
                    <w:jc w:val="center"/>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54.6</w:t>
                  </w:r>
                </w:p>
              </w:tc>
              <w:tc>
                <w:tcPr>
                  <w:tcW w:w="1219" w:type="pct"/>
                  <w:vAlign w:val="center"/>
                </w:tcPr>
                <w:p w14:paraId="6E84FB12">
                  <w:pPr>
                    <w:pStyle w:val="36"/>
                    <w:bidi w:val="0"/>
                    <w:spacing w:line="240" w:lineRule="auto"/>
                    <w:ind w:firstLine="0" w:firstLineChars="0"/>
                    <w:jc w:val="center"/>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0.013</w:t>
                  </w:r>
                </w:p>
              </w:tc>
            </w:tr>
            <w:tr w14:paraId="0C958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1246" w:type="pct"/>
                  <w:vMerge w:val="continue"/>
                  <w:vAlign w:val="center"/>
                </w:tcPr>
                <w:p w14:paraId="55AF125B">
                  <w:pPr>
                    <w:pStyle w:val="26"/>
                    <w:bidi w:val="0"/>
                    <w:spacing w:line="240" w:lineRule="auto"/>
                    <w:ind w:firstLine="0" w:firstLineChars="0"/>
                    <w:jc w:val="center"/>
                    <w:rPr>
                      <w:rFonts w:hint="eastAsia"/>
                      <w:b/>
                      <w:bCs/>
                      <w:color w:val="auto"/>
                      <w:lang w:val="en-US" w:eastAsia="zh-CN"/>
                    </w:rPr>
                  </w:pPr>
                </w:p>
              </w:tc>
              <w:tc>
                <w:tcPr>
                  <w:tcW w:w="1116" w:type="pct"/>
                  <w:gridSpan w:val="2"/>
                  <w:vAlign w:val="center"/>
                </w:tcPr>
                <w:p w14:paraId="03B42806">
                  <w:pPr>
                    <w:pStyle w:val="36"/>
                    <w:bidi w:val="0"/>
                    <w:spacing w:line="240" w:lineRule="auto"/>
                    <w:ind w:firstLine="0" w:firstLineChars="0"/>
                    <w:jc w:val="center"/>
                    <w:rPr>
                      <w:rFonts w:hint="eastAsia"/>
                      <w:b w:val="0"/>
                      <w:bCs/>
                      <w:color w:val="auto"/>
                      <w:sz w:val="21"/>
                      <w:szCs w:val="21"/>
                      <w:vertAlign w:val="baseline"/>
                      <w:lang w:val="en-US" w:eastAsia="zh-CN"/>
                    </w:rPr>
                  </w:pPr>
                  <w:r>
                    <w:rPr>
                      <w:b w:val="0"/>
                      <w:bCs/>
                      <w:color w:val="auto"/>
                    </w:rPr>
                    <w:t>动植物油</w:t>
                  </w:r>
                </w:p>
              </w:tc>
              <w:tc>
                <w:tcPr>
                  <w:tcW w:w="1418" w:type="pct"/>
                  <w:vAlign w:val="center"/>
                </w:tcPr>
                <w:p w14:paraId="2E794CF7">
                  <w:pPr>
                    <w:pStyle w:val="36"/>
                    <w:bidi w:val="0"/>
                    <w:spacing w:line="240" w:lineRule="auto"/>
                    <w:ind w:firstLine="0" w:firstLineChars="0"/>
                    <w:jc w:val="center"/>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21</w:t>
                  </w:r>
                </w:p>
              </w:tc>
              <w:tc>
                <w:tcPr>
                  <w:tcW w:w="1219" w:type="pct"/>
                  <w:vAlign w:val="center"/>
                </w:tcPr>
                <w:p w14:paraId="21EAD493">
                  <w:pPr>
                    <w:pStyle w:val="36"/>
                    <w:bidi w:val="0"/>
                    <w:spacing w:line="240" w:lineRule="auto"/>
                    <w:ind w:firstLine="0" w:firstLineChars="0"/>
                    <w:jc w:val="center"/>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0.005</w:t>
                  </w:r>
                </w:p>
              </w:tc>
            </w:tr>
            <w:tr w14:paraId="3ABC1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1246" w:type="pct"/>
                  <w:vAlign w:val="center"/>
                </w:tcPr>
                <w:p w14:paraId="61959DAF">
                  <w:pPr>
                    <w:pStyle w:val="26"/>
                    <w:bidi w:val="0"/>
                    <w:spacing w:line="240" w:lineRule="auto"/>
                    <w:ind w:firstLine="0" w:firstLineChars="0"/>
                    <w:jc w:val="center"/>
                    <w:rPr>
                      <w:rFonts w:hint="default"/>
                      <w:b/>
                      <w:bCs/>
                      <w:color w:val="auto"/>
                      <w:lang w:val="en-US" w:eastAsia="zh-CN"/>
                    </w:rPr>
                  </w:pPr>
                  <w:r>
                    <w:rPr>
                      <w:rFonts w:hint="eastAsia"/>
                      <w:b/>
                      <w:bCs/>
                      <w:color w:val="auto"/>
                      <w:lang w:val="en-US" w:eastAsia="zh-CN"/>
                    </w:rPr>
                    <w:t>处置方式</w:t>
                  </w:r>
                </w:p>
              </w:tc>
              <w:tc>
                <w:tcPr>
                  <w:tcW w:w="3753" w:type="pct"/>
                  <w:gridSpan w:val="4"/>
                  <w:vAlign w:val="center"/>
                </w:tcPr>
                <w:p w14:paraId="432C120F">
                  <w:pPr>
                    <w:pStyle w:val="36"/>
                    <w:bidi w:val="0"/>
                    <w:spacing w:line="240" w:lineRule="auto"/>
                    <w:ind w:firstLine="0" w:firstLineChars="0"/>
                    <w:jc w:val="center"/>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委托昆明洁龙保洁服务有限公司定期清掏处置</w:t>
                  </w:r>
                </w:p>
              </w:tc>
            </w:tr>
          </w:tbl>
          <w:p w14:paraId="5A0CEF82">
            <w:pPr>
              <w:pStyle w:val="32"/>
              <w:ind w:firstLine="482"/>
              <w:rPr>
                <w:b/>
                <w:bCs/>
                <w:color w:val="auto"/>
              </w:rPr>
            </w:pPr>
            <w:r>
              <w:rPr>
                <w:b/>
                <w:bCs/>
                <w:color w:val="auto"/>
              </w:rPr>
              <w:t>4.</w:t>
            </w:r>
            <w:r>
              <w:rPr>
                <w:rFonts w:hint="eastAsia"/>
                <w:b/>
                <w:bCs/>
                <w:color w:val="auto"/>
              </w:rPr>
              <w:t>3</w:t>
            </w:r>
            <w:r>
              <w:rPr>
                <w:b/>
                <w:bCs/>
                <w:color w:val="auto"/>
              </w:rPr>
              <w:t>.3废水处置方式</w:t>
            </w:r>
          </w:p>
          <w:p w14:paraId="75D2683E">
            <w:pPr>
              <w:pStyle w:val="32"/>
              <w:ind w:firstLine="480"/>
              <w:rPr>
                <w:color w:val="auto"/>
              </w:rPr>
            </w:pPr>
            <w:r>
              <w:rPr>
                <w:color w:val="auto"/>
              </w:rPr>
              <w:t>项目废水处置方式实行雨污分流制，办公生活区生活污水经</w:t>
            </w:r>
            <w:r>
              <w:rPr>
                <w:rFonts w:hint="eastAsia"/>
                <w:color w:val="auto"/>
                <w:lang w:val="en-US" w:eastAsia="zh-CN"/>
              </w:rPr>
              <w:t>化粪池处理后委托</w:t>
            </w:r>
            <w:r>
              <w:rPr>
                <w:rFonts w:hint="eastAsia"/>
                <w:color w:val="auto"/>
                <w:szCs w:val="21"/>
                <w:lang w:val="en-US" w:eastAsia="zh-CN"/>
              </w:rPr>
              <w:t>昆明洁龙保洁服务有限公司</w:t>
            </w:r>
            <w:r>
              <w:rPr>
                <w:color w:val="auto"/>
                <w:szCs w:val="21"/>
              </w:rPr>
              <w:t>定期</w:t>
            </w:r>
            <w:r>
              <w:rPr>
                <w:rFonts w:hint="eastAsia"/>
                <w:color w:val="auto"/>
                <w:szCs w:val="21"/>
              </w:rPr>
              <w:t>清掏</w:t>
            </w:r>
            <w:r>
              <w:rPr>
                <w:rFonts w:hint="eastAsia"/>
                <w:color w:val="auto"/>
                <w:szCs w:val="21"/>
                <w:lang w:val="en-US" w:eastAsia="zh-CN"/>
              </w:rPr>
              <w:t>处置</w:t>
            </w:r>
            <w:r>
              <w:rPr>
                <w:color w:val="auto"/>
              </w:rPr>
              <w:t>。</w:t>
            </w:r>
          </w:p>
          <w:p w14:paraId="58B85925">
            <w:pPr>
              <w:pStyle w:val="32"/>
              <w:ind w:firstLine="480"/>
              <w:rPr>
                <w:color w:val="auto"/>
              </w:rPr>
            </w:pPr>
            <w:r>
              <w:rPr>
                <w:color w:val="auto"/>
              </w:rPr>
              <w:t>搅拌机清洗废水产生量约为</w:t>
            </w:r>
            <w:r>
              <w:rPr>
                <w:rFonts w:hint="eastAsia"/>
                <w:color w:val="auto"/>
              </w:rPr>
              <w:t>0.8</w:t>
            </w:r>
            <w:r>
              <w:rPr>
                <w:color w:val="auto"/>
              </w:rPr>
              <w:t>m</w:t>
            </w:r>
            <w:r>
              <w:rPr>
                <w:color w:val="auto"/>
                <w:vertAlign w:val="superscript"/>
              </w:rPr>
              <w:t>3</w:t>
            </w:r>
            <w:r>
              <w:rPr>
                <w:color w:val="auto"/>
              </w:rPr>
              <w:t>/d，锅炉产生废水量约</w:t>
            </w:r>
            <w:r>
              <w:rPr>
                <w:rFonts w:hint="eastAsia"/>
                <w:color w:val="auto"/>
              </w:rPr>
              <w:t>3.24</w:t>
            </w:r>
            <w:r>
              <w:rPr>
                <w:color w:val="auto"/>
              </w:rPr>
              <w:t>m</w:t>
            </w:r>
            <w:r>
              <w:rPr>
                <w:color w:val="auto"/>
                <w:vertAlign w:val="superscript"/>
              </w:rPr>
              <w:t>3</w:t>
            </w:r>
            <w:r>
              <w:rPr>
                <w:color w:val="auto"/>
              </w:rPr>
              <w:t>/d</w:t>
            </w:r>
            <w:r>
              <w:rPr>
                <w:rFonts w:hint="eastAsia"/>
                <w:color w:val="auto"/>
              </w:rPr>
              <w:t>，废水</w:t>
            </w:r>
            <w:r>
              <w:rPr>
                <w:color w:val="auto"/>
              </w:rPr>
              <w:t>进入沉淀池处理后回用于生产</w:t>
            </w:r>
            <w:r>
              <w:rPr>
                <w:rFonts w:hint="eastAsia"/>
                <w:color w:val="auto"/>
              </w:rPr>
              <w:t>；</w:t>
            </w:r>
            <w:r>
              <w:rPr>
                <w:color w:val="auto"/>
              </w:rPr>
              <w:t>为保证废水在池内达到一定沉淀效果，</w:t>
            </w:r>
            <w:r>
              <w:rPr>
                <w:rFonts w:hint="eastAsia"/>
                <w:color w:val="auto"/>
              </w:rPr>
              <w:t>项目</w:t>
            </w:r>
            <w:r>
              <w:rPr>
                <w:rFonts w:hint="eastAsia"/>
                <w:color w:val="auto"/>
                <w:lang w:val="en-US" w:eastAsia="zh-CN"/>
              </w:rPr>
              <w:t>建设</w:t>
            </w:r>
            <w:r>
              <w:rPr>
                <w:rFonts w:hint="eastAsia"/>
                <w:color w:val="auto"/>
              </w:rPr>
              <w:t>180</w:t>
            </w:r>
            <w:r>
              <w:rPr>
                <w:color w:val="auto"/>
              </w:rPr>
              <w:t>m</w:t>
            </w:r>
            <w:r>
              <w:rPr>
                <w:color w:val="auto"/>
                <w:vertAlign w:val="superscript"/>
              </w:rPr>
              <w:t>3</w:t>
            </w:r>
            <w:r>
              <w:rPr>
                <w:rFonts w:hint="eastAsia"/>
                <w:color w:val="auto"/>
              </w:rPr>
              <w:t>四级</w:t>
            </w:r>
            <w:r>
              <w:rPr>
                <w:color w:val="auto"/>
              </w:rPr>
              <w:t>沉淀池一座，可满足项目运营需求</w:t>
            </w:r>
            <w:r>
              <w:rPr>
                <w:rFonts w:hint="eastAsia"/>
                <w:color w:val="auto"/>
              </w:rPr>
              <w:t>。</w:t>
            </w:r>
          </w:p>
          <w:p w14:paraId="125C8154">
            <w:pPr>
              <w:pStyle w:val="32"/>
              <w:ind w:firstLine="480"/>
              <w:rPr>
                <w:color w:val="auto"/>
              </w:rPr>
            </w:pPr>
            <w:r>
              <w:rPr>
                <w:rFonts w:hint="eastAsia"/>
                <w:color w:val="auto"/>
                <w:lang w:val="en-US" w:eastAsia="zh-CN"/>
              </w:rPr>
              <w:t>罐车</w:t>
            </w:r>
            <w:r>
              <w:rPr>
                <w:color w:val="auto"/>
              </w:rPr>
              <w:t>清洗废水约</w:t>
            </w:r>
            <w:r>
              <w:rPr>
                <w:rFonts w:hint="eastAsia"/>
                <w:color w:val="auto"/>
              </w:rPr>
              <w:t>0.656</w:t>
            </w:r>
            <w:r>
              <w:rPr>
                <w:color w:val="auto"/>
              </w:rPr>
              <w:t>m</w:t>
            </w:r>
            <w:r>
              <w:rPr>
                <w:color w:val="auto"/>
                <w:vertAlign w:val="superscript"/>
              </w:rPr>
              <w:t>3</w:t>
            </w:r>
            <w:r>
              <w:rPr>
                <w:color w:val="auto"/>
              </w:rPr>
              <w:t>/d</w:t>
            </w:r>
            <w:r>
              <w:rPr>
                <w:rFonts w:hint="eastAsia"/>
                <w:color w:val="auto"/>
              </w:rPr>
              <w:t>，</w:t>
            </w:r>
            <w:r>
              <w:rPr>
                <w:rFonts w:hint="eastAsia"/>
                <w:color w:val="auto"/>
                <w:lang w:val="en-US" w:eastAsia="zh-CN"/>
              </w:rPr>
              <w:t>罐车</w:t>
            </w:r>
            <w:r>
              <w:rPr>
                <w:rFonts w:hint="eastAsia"/>
                <w:color w:val="auto"/>
              </w:rPr>
              <w:t>清洗废水经导流沟进入</w:t>
            </w:r>
            <w:r>
              <w:rPr>
                <w:rFonts w:hint="eastAsia"/>
                <w:color w:val="auto"/>
                <w:lang w:val="en-US" w:eastAsia="zh-CN"/>
              </w:rPr>
              <w:t>五级沉淀池</w:t>
            </w:r>
            <w:r>
              <w:rPr>
                <w:rFonts w:hint="eastAsia"/>
                <w:color w:val="auto"/>
              </w:rPr>
              <w:t>，经沉淀后回用于</w:t>
            </w:r>
            <w:r>
              <w:rPr>
                <w:rFonts w:hint="eastAsia"/>
                <w:color w:val="auto"/>
                <w:lang w:val="en-US" w:eastAsia="zh-CN"/>
              </w:rPr>
              <w:t>混凝土搅拌</w:t>
            </w:r>
            <w:r>
              <w:rPr>
                <w:rFonts w:hint="eastAsia"/>
                <w:color w:val="auto"/>
              </w:rPr>
              <w:t>。</w:t>
            </w:r>
          </w:p>
          <w:p w14:paraId="41EDA5C1">
            <w:pPr>
              <w:pStyle w:val="32"/>
              <w:ind w:firstLine="480"/>
              <w:rPr>
                <w:color w:val="auto"/>
              </w:rPr>
            </w:pPr>
            <w:r>
              <w:rPr>
                <w:rFonts w:hint="eastAsia"/>
                <w:color w:val="auto"/>
              </w:rPr>
              <w:t>初期雨水经雨水沟排入初期雨水收集池（45</w:t>
            </w:r>
            <w:r>
              <w:rPr>
                <w:color w:val="auto"/>
              </w:rPr>
              <w:t>m</w:t>
            </w:r>
            <w:r>
              <w:rPr>
                <w:color w:val="auto"/>
                <w:vertAlign w:val="superscript"/>
              </w:rPr>
              <w:t>3</w:t>
            </w:r>
            <w:r>
              <w:rPr>
                <w:rFonts w:hint="eastAsia"/>
                <w:color w:val="auto"/>
              </w:rPr>
              <w:t>）</w:t>
            </w:r>
            <w:r>
              <w:rPr>
                <w:color w:val="auto"/>
              </w:rPr>
              <w:t>，经沉淀后的雨水回用于搅拌工序；</w:t>
            </w:r>
          </w:p>
          <w:p w14:paraId="091D292D">
            <w:pPr>
              <w:pStyle w:val="32"/>
              <w:ind w:firstLine="482"/>
              <w:rPr>
                <w:b/>
                <w:bCs/>
                <w:color w:val="auto"/>
              </w:rPr>
            </w:pPr>
            <w:r>
              <w:rPr>
                <w:b/>
                <w:bCs/>
                <w:color w:val="auto"/>
              </w:rPr>
              <w:t>4.</w:t>
            </w:r>
            <w:r>
              <w:rPr>
                <w:rFonts w:hint="eastAsia"/>
                <w:b/>
                <w:bCs/>
                <w:color w:val="auto"/>
              </w:rPr>
              <w:t>3</w:t>
            </w:r>
            <w:r>
              <w:rPr>
                <w:b/>
                <w:bCs/>
                <w:color w:val="auto"/>
              </w:rPr>
              <w:t>.4废水不外排的可行性分析</w:t>
            </w:r>
          </w:p>
          <w:p w14:paraId="12BB1EBF">
            <w:pPr>
              <w:pStyle w:val="32"/>
              <w:ind w:firstLine="480"/>
              <w:rPr>
                <w:rFonts w:hint="default" w:eastAsia="宋体"/>
                <w:color w:val="auto"/>
                <w:lang w:val="en-US" w:eastAsia="zh-CN"/>
              </w:rPr>
            </w:pPr>
            <w:r>
              <w:rPr>
                <w:color w:val="auto"/>
              </w:rPr>
              <w:t>1）</w:t>
            </w:r>
            <w:r>
              <w:rPr>
                <w:rFonts w:hint="eastAsia"/>
                <w:color w:val="auto"/>
                <w:lang w:val="en-US" w:eastAsia="zh-CN"/>
              </w:rPr>
              <w:t>化粪池设置可行性分析</w:t>
            </w:r>
          </w:p>
          <w:p w14:paraId="21FF5016">
            <w:pPr>
              <w:ind w:firstLine="480"/>
              <w:rPr>
                <w:rFonts w:hint="default" w:eastAsia="宋体"/>
                <w:color w:val="auto"/>
                <w:lang w:val="en-US" w:eastAsia="zh-CN"/>
              </w:rPr>
            </w:pPr>
            <w:r>
              <w:rPr>
                <w:rFonts w:hint="eastAsia"/>
                <w:color w:val="auto"/>
                <w:lang w:val="en-US" w:eastAsia="zh-CN"/>
              </w:rPr>
              <w:t>项目共设置2个化粪池，分别为1#化粪池，容积为30m</w:t>
            </w:r>
            <w:r>
              <w:rPr>
                <w:rFonts w:hint="eastAsia"/>
                <w:color w:val="auto"/>
                <w:vertAlign w:val="superscript"/>
                <w:lang w:val="en-US" w:eastAsia="zh-CN"/>
              </w:rPr>
              <w:t>3</w:t>
            </w:r>
            <w:r>
              <w:rPr>
                <w:rFonts w:hint="eastAsia"/>
                <w:color w:val="auto"/>
                <w:lang w:val="en-US" w:eastAsia="zh-CN"/>
              </w:rPr>
              <w:t>，1#化粪池处理基本生活污水；2#化粪池，容积为15m</w:t>
            </w:r>
            <w:r>
              <w:rPr>
                <w:rFonts w:hint="eastAsia"/>
                <w:color w:val="auto"/>
                <w:vertAlign w:val="superscript"/>
                <w:lang w:val="en-US" w:eastAsia="zh-CN"/>
              </w:rPr>
              <w:t>3</w:t>
            </w:r>
            <w:r>
              <w:rPr>
                <w:rFonts w:hint="eastAsia"/>
                <w:color w:val="auto"/>
                <w:lang w:val="en-US" w:eastAsia="zh-CN"/>
              </w:rPr>
              <w:t>，处理食堂废水。其中基本生活</w:t>
            </w:r>
            <w:r>
              <w:rPr>
                <w:color w:val="auto"/>
              </w:rPr>
              <w:t>废水产生量为</w:t>
            </w:r>
            <w:r>
              <w:rPr>
                <w:rFonts w:hint="eastAsia"/>
                <w:color w:val="auto"/>
              </w:rPr>
              <w:t>4.992</w:t>
            </w:r>
            <w:r>
              <w:rPr>
                <w:color w:val="auto"/>
              </w:rPr>
              <w:t>m</w:t>
            </w:r>
            <w:r>
              <w:rPr>
                <w:color w:val="auto"/>
                <w:vertAlign w:val="superscript"/>
              </w:rPr>
              <w:t>3</w:t>
            </w:r>
            <w:r>
              <w:rPr>
                <w:color w:val="auto"/>
              </w:rPr>
              <w:t>/d。</w:t>
            </w:r>
            <w:r>
              <w:rPr>
                <w:rFonts w:hint="eastAsia"/>
                <w:color w:val="auto"/>
                <w:sz w:val="24"/>
                <w:highlight w:val="none"/>
                <w:lang w:val="en-US" w:eastAsia="zh-CN"/>
              </w:rPr>
              <w:t>根据《建筑给水排水设计规范》要求：化粪池有效停留时间取12～24h。能满足停留时间；食堂废水产生量为</w:t>
            </w:r>
            <w:r>
              <w:rPr>
                <w:rFonts w:hint="eastAsia"/>
                <w:color w:val="auto"/>
              </w:rPr>
              <w:t>0.8m</w:t>
            </w:r>
            <w:r>
              <w:rPr>
                <w:rFonts w:hint="eastAsia"/>
                <w:color w:val="auto"/>
                <w:vertAlign w:val="superscript"/>
              </w:rPr>
              <w:t>3</w:t>
            </w:r>
            <w:r>
              <w:rPr>
                <w:rFonts w:hint="eastAsia"/>
                <w:color w:val="auto"/>
              </w:rPr>
              <w:t>/d，</w:t>
            </w:r>
            <w:r>
              <w:rPr>
                <w:rFonts w:hint="eastAsia"/>
                <w:color w:val="auto"/>
                <w:lang w:val="en-US" w:eastAsia="zh-CN"/>
              </w:rPr>
              <w:t>能满足《</w:t>
            </w:r>
            <w:r>
              <w:rPr>
                <w:rFonts w:hint="eastAsia"/>
                <w:color w:val="auto"/>
                <w:sz w:val="24"/>
                <w:highlight w:val="none"/>
                <w:lang w:val="en-US" w:eastAsia="zh-CN"/>
              </w:rPr>
              <w:t>建筑给水排水设计规范</w:t>
            </w:r>
            <w:r>
              <w:rPr>
                <w:rFonts w:hint="eastAsia"/>
                <w:color w:val="auto"/>
                <w:lang w:val="en-US" w:eastAsia="zh-CN"/>
              </w:rPr>
              <w:t>》中</w:t>
            </w:r>
            <w:r>
              <w:rPr>
                <w:rFonts w:hint="eastAsia"/>
                <w:color w:val="auto"/>
                <w:sz w:val="24"/>
                <w:highlight w:val="none"/>
                <w:lang w:val="en-US" w:eastAsia="zh-CN"/>
              </w:rPr>
              <w:t>化粪池有效停留时间取12～24h的要求。故1#化粪池和2#化粪池设置可行。</w:t>
            </w:r>
          </w:p>
          <w:p w14:paraId="38238520">
            <w:pPr>
              <w:ind w:firstLine="480"/>
              <w:rPr>
                <w:rFonts w:hint="default" w:eastAsia="宋体"/>
                <w:color w:val="auto"/>
                <w:lang w:val="en-US" w:eastAsia="zh-CN"/>
              </w:rPr>
            </w:pPr>
            <w:r>
              <w:rPr>
                <w:rFonts w:hint="eastAsia"/>
                <w:color w:val="auto"/>
              </w:rPr>
              <w:t>2）</w:t>
            </w:r>
            <w:r>
              <w:rPr>
                <w:rFonts w:hint="eastAsia"/>
                <w:color w:val="auto"/>
                <w:lang w:val="en-US" w:eastAsia="zh-CN"/>
              </w:rPr>
              <w:t>三级沉淀池设置可行性分析</w:t>
            </w:r>
          </w:p>
          <w:p w14:paraId="1DACC365">
            <w:pPr>
              <w:ind w:firstLine="480"/>
              <w:rPr>
                <w:rFonts w:hint="default"/>
                <w:color w:val="auto"/>
                <w:lang w:val="en-US"/>
              </w:rPr>
            </w:pPr>
            <w:r>
              <w:rPr>
                <w:rFonts w:hint="eastAsia"/>
                <w:color w:val="auto"/>
                <w:lang w:val="en-US" w:eastAsia="zh-CN"/>
              </w:rPr>
              <w:t>项目试验区混凝土养护废水为0.624m</w:t>
            </w:r>
            <w:r>
              <w:rPr>
                <w:rFonts w:hint="eastAsia"/>
                <w:color w:val="auto"/>
                <w:vertAlign w:val="superscript"/>
                <w:lang w:val="en-US" w:eastAsia="zh-CN"/>
              </w:rPr>
              <w:t>2</w:t>
            </w:r>
            <w:r>
              <w:rPr>
                <w:rFonts w:hint="eastAsia"/>
                <w:color w:val="auto"/>
                <w:lang w:val="en-US" w:eastAsia="zh-CN"/>
              </w:rPr>
              <w:t>/d，排入三级沉淀池处理后回用混凝土搅拌，设置规格为0.6*5.1.5m的三级沉淀池，容积为4.5m</w:t>
            </w:r>
            <w:r>
              <w:rPr>
                <w:rFonts w:hint="eastAsia"/>
                <w:color w:val="auto"/>
                <w:vertAlign w:val="superscript"/>
                <w:lang w:val="en-US" w:eastAsia="zh-CN"/>
              </w:rPr>
              <w:t>3</w:t>
            </w:r>
            <w:r>
              <w:rPr>
                <w:rFonts w:hint="eastAsia"/>
                <w:color w:val="auto"/>
                <w:lang w:val="en-US" w:eastAsia="zh-CN"/>
              </w:rPr>
              <w:t>，能贮存6天的养护废水量，故三级沉淀池设置可行。</w:t>
            </w:r>
          </w:p>
          <w:p w14:paraId="7E1A25B2">
            <w:pPr>
              <w:ind w:firstLine="480"/>
              <w:rPr>
                <w:rFonts w:hint="default" w:eastAsia="宋体"/>
                <w:color w:val="auto"/>
                <w:lang w:val="en-US" w:eastAsia="zh-CN"/>
              </w:rPr>
            </w:pPr>
            <w:r>
              <w:rPr>
                <w:rFonts w:hint="eastAsia"/>
                <w:color w:val="auto"/>
              </w:rPr>
              <w:t>3</w:t>
            </w:r>
            <w:r>
              <w:rPr>
                <w:color w:val="auto"/>
              </w:rPr>
              <w:t>）</w:t>
            </w:r>
            <w:r>
              <w:rPr>
                <w:rFonts w:hint="eastAsia"/>
                <w:color w:val="auto"/>
                <w:lang w:val="en-US" w:eastAsia="zh-CN"/>
              </w:rPr>
              <w:t>四级沉淀池设置可行性分析</w:t>
            </w:r>
          </w:p>
          <w:p w14:paraId="5EBC94DA">
            <w:pPr>
              <w:ind w:firstLine="480"/>
              <w:rPr>
                <w:rFonts w:hint="default" w:eastAsia="宋体"/>
                <w:color w:val="auto"/>
                <w:lang w:val="en-US" w:eastAsia="zh-CN"/>
              </w:rPr>
            </w:pPr>
            <w:r>
              <w:rPr>
                <w:rFonts w:hint="eastAsia"/>
                <w:color w:val="auto"/>
                <w:lang w:val="en-US" w:eastAsia="zh-CN"/>
              </w:rPr>
              <w:t>项目区设置容积为180m</w:t>
            </w:r>
            <w:r>
              <w:rPr>
                <w:rFonts w:hint="eastAsia"/>
                <w:color w:val="auto"/>
                <w:vertAlign w:val="superscript"/>
                <w:lang w:val="en-US" w:eastAsia="zh-CN"/>
              </w:rPr>
              <w:t>3</w:t>
            </w:r>
            <w:r>
              <w:rPr>
                <w:rFonts w:hint="eastAsia"/>
                <w:color w:val="auto"/>
                <w:lang w:val="en-US" w:eastAsia="zh-CN"/>
              </w:rPr>
              <w:t>的四级沉淀池，主要对搅拌机清洗废水及锅炉清洁废水进行处理。其中搅拌机清洗废水产生量为</w:t>
            </w:r>
            <w:r>
              <w:rPr>
                <w:rFonts w:hint="eastAsia"/>
                <w:color w:val="auto"/>
              </w:rPr>
              <w:t>0.8m</w:t>
            </w:r>
            <w:r>
              <w:rPr>
                <w:rFonts w:hint="eastAsia"/>
                <w:color w:val="auto"/>
                <w:vertAlign w:val="superscript"/>
              </w:rPr>
              <w:t>3</w:t>
            </w:r>
            <w:r>
              <w:rPr>
                <w:rFonts w:hint="eastAsia"/>
                <w:color w:val="auto"/>
              </w:rPr>
              <w:t>/d</w:t>
            </w:r>
            <w:r>
              <w:rPr>
                <w:rFonts w:hint="eastAsia"/>
                <w:color w:val="auto"/>
                <w:lang w:eastAsia="zh-CN"/>
              </w:rPr>
              <w:t>，</w:t>
            </w:r>
            <w:r>
              <w:rPr>
                <w:rFonts w:hint="eastAsia"/>
                <w:color w:val="auto"/>
                <w:lang w:val="en-US" w:eastAsia="zh-CN"/>
              </w:rPr>
              <w:t>锅炉清洁废水产生量为0.16m</w:t>
            </w:r>
            <w:r>
              <w:rPr>
                <w:rFonts w:hint="eastAsia"/>
                <w:color w:val="auto"/>
                <w:vertAlign w:val="superscript"/>
                <w:lang w:val="en-US" w:eastAsia="zh-CN"/>
              </w:rPr>
              <w:t>3</w:t>
            </w:r>
            <w:r>
              <w:rPr>
                <w:rFonts w:hint="eastAsia"/>
                <w:color w:val="auto"/>
                <w:lang w:val="en-US" w:eastAsia="zh-CN"/>
              </w:rPr>
              <w:t>/d，四级沉淀池能满足187天的储水量，故四级沉淀池设置可行。</w:t>
            </w:r>
          </w:p>
          <w:p w14:paraId="1E4B4AB2">
            <w:pPr>
              <w:ind w:firstLine="480"/>
              <w:rPr>
                <w:rFonts w:hint="default" w:eastAsia="宋体"/>
                <w:color w:val="auto"/>
                <w:lang w:val="en-US" w:eastAsia="zh-CN"/>
              </w:rPr>
            </w:pPr>
            <w:r>
              <w:rPr>
                <w:rFonts w:hint="eastAsia"/>
                <w:color w:val="auto"/>
                <w:lang w:val="en-US" w:eastAsia="zh-CN"/>
              </w:rPr>
              <w:t>4</w:t>
            </w:r>
            <w:r>
              <w:rPr>
                <w:color w:val="auto"/>
              </w:rPr>
              <w:t>）</w:t>
            </w:r>
            <w:r>
              <w:rPr>
                <w:rFonts w:hint="eastAsia"/>
                <w:color w:val="auto"/>
                <w:lang w:val="en-US" w:eastAsia="zh-CN"/>
              </w:rPr>
              <w:t>五级沉淀池设置可行性分析</w:t>
            </w:r>
          </w:p>
          <w:p w14:paraId="2819DE5B">
            <w:pPr>
              <w:ind w:firstLine="480"/>
              <w:rPr>
                <w:rFonts w:hint="default" w:eastAsia="宋体"/>
                <w:color w:val="auto"/>
                <w:lang w:val="en-US" w:eastAsia="zh-CN"/>
              </w:rPr>
            </w:pPr>
            <w:r>
              <w:rPr>
                <w:rFonts w:hint="eastAsia"/>
                <w:color w:val="auto"/>
                <w:lang w:val="en-US" w:eastAsia="zh-CN"/>
              </w:rPr>
              <w:t>项目区设置每个规格为2*3.5*1m的五级沉淀池，容积约为35m</w:t>
            </w:r>
            <w:r>
              <w:rPr>
                <w:rFonts w:hint="eastAsia"/>
                <w:color w:val="auto"/>
                <w:vertAlign w:val="superscript"/>
                <w:lang w:val="en-US" w:eastAsia="zh-CN"/>
              </w:rPr>
              <w:t>3</w:t>
            </w:r>
            <w:r>
              <w:rPr>
                <w:rFonts w:hint="eastAsia"/>
                <w:color w:val="auto"/>
                <w:lang w:val="en-US" w:eastAsia="zh-CN"/>
              </w:rPr>
              <w:t>，主要对罐车清洗废水进行处理。罐车清洗废水为</w:t>
            </w:r>
            <w:r>
              <w:rPr>
                <w:rFonts w:hint="eastAsia"/>
                <w:color w:val="auto"/>
                <w:kern w:val="0"/>
              </w:rPr>
              <w:t>0.656</w:t>
            </w:r>
            <w:r>
              <w:rPr>
                <w:color w:val="auto"/>
                <w:kern w:val="0"/>
              </w:rPr>
              <w:t>m</w:t>
            </w:r>
            <w:r>
              <w:rPr>
                <w:color w:val="auto"/>
                <w:kern w:val="0"/>
                <w:vertAlign w:val="superscript"/>
              </w:rPr>
              <w:t>3</w:t>
            </w:r>
            <w:r>
              <w:rPr>
                <w:color w:val="auto"/>
                <w:kern w:val="0"/>
              </w:rPr>
              <w:t>/d</w:t>
            </w:r>
            <w:r>
              <w:rPr>
                <w:rFonts w:hint="eastAsia"/>
                <w:color w:val="auto"/>
                <w:kern w:val="0"/>
                <w:lang w:eastAsia="zh-CN"/>
              </w:rPr>
              <w:t>，</w:t>
            </w:r>
            <w:r>
              <w:rPr>
                <w:rFonts w:hint="eastAsia"/>
                <w:color w:val="auto"/>
                <w:kern w:val="0"/>
                <w:lang w:val="en-US" w:eastAsia="zh-CN"/>
              </w:rPr>
              <w:t>能满足53天的储水量，故五级沉淀池设置可行。</w:t>
            </w:r>
          </w:p>
          <w:p w14:paraId="5919169A">
            <w:pPr>
              <w:ind w:firstLine="480"/>
              <w:rPr>
                <w:b/>
                <w:bCs/>
                <w:color w:val="auto"/>
              </w:rPr>
            </w:pPr>
            <w:r>
              <w:rPr>
                <w:rFonts w:hint="eastAsia"/>
                <w:color w:val="auto"/>
                <w:lang w:val="en-US" w:eastAsia="zh-CN"/>
              </w:rPr>
              <w:t>5</w:t>
            </w:r>
            <w:r>
              <w:rPr>
                <w:rFonts w:hint="eastAsia"/>
                <w:color w:val="auto"/>
              </w:rPr>
              <w:t>）油水分离器可行性分析</w:t>
            </w:r>
          </w:p>
          <w:p w14:paraId="4E61DA67">
            <w:pPr>
              <w:pStyle w:val="32"/>
              <w:ind w:firstLine="480"/>
              <w:rPr>
                <w:rFonts w:hint="eastAsia" w:eastAsia="宋体"/>
                <w:color w:val="auto"/>
                <w:lang w:eastAsia="zh-CN"/>
              </w:rPr>
            </w:pPr>
            <w:r>
              <w:rPr>
                <w:rFonts w:hint="eastAsia"/>
                <w:color w:val="auto"/>
              </w:rPr>
              <w:t>根据上述核算，本项目食堂废水产生量为0.8m</w:t>
            </w:r>
            <w:r>
              <w:rPr>
                <w:rFonts w:hint="eastAsia"/>
                <w:color w:val="auto"/>
                <w:vertAlign w:val="superscript"/>
              </w:rPr>
              <w:t>3</w:t>
            </w:r>
            <w:r>
              <w:rPr>
                <w:rFonts w:hint="eastAsia"/>
                <w:color w:val="auto"/>
              </w:rPr>
              <w:t>/d，本次环评建议建设单位安装一台处理规模为0.5m</w:t>
            </w:r>
            <w:r>
              <w:rPr>
                <w:rFonts w:hint="eastAsia"/>
                <w:color w:val="auto"/>
                <w:vertAlign w:val="superscript"/>
              </w:rPr>
              <w:t>3</w:t>
            </w:r>
            <w:r>
              <w:rPr>
                <w:rFonts w:hint="eastAsia"/>
                <w:color w:val="auto"/>
              </w:rPr>
              <w:t>/d的油水分离器，食堂废水最大排放系数取1.2，最大排放量为0.936m</w:t>
            </w:r>
            <w:r>
              <w:rPr>
                <w:rFonts w:hint="eastAsia"/>
                <w:color w:val="auto"/>
                <w:vertAlign w:val="superscript"/>
              </w:rPr>
              <w:t>3</w:t>
            </w:r>
            <w:r>
              <w:rPr>
                <w:rFonts w:hint="eastAsia"/>
                <w:color w:val="auto"/>
              </w:rPr>
              <w:t>/d，且食堂废水为间歇性产生，最少可分为三次处理，每次最大排放量为0.312m</w:t>
            </w:r>
            <w:r>
              <w:rPr>
                <w:rFonts w:hint="eastAsia"/>
                <w:color w:val="auto"/>
                <w:vertAlign w:val="superscript"/>
              </w:rPr>
              <w:t>3</w:t>
            </w:r>
            <w:r>
              <w:rPr>
                <w:rFonts w:hint="eastAsia"/>
                <w:color w:val="auto"/>
              </w:rPr>
              <w:t>/次，因此安装一台处理规模为0.5m</w:t>
            </w:r>
            <w:r>
              <w:rPr>
                <w:rFonts w:hint="eastAsia"/>
                <w:color w:val="auto"/>
                <w:vertAlign w:val="superscript"/>
              </w:rPr>
              <w:t>3</w:t>
            </w:r>
            <w:r>
              <w:rPr>
                <w:rFonts w:hint="eastAsia"/>
                <w:color w:val="auto"/>
              </w:rPr>
              <w:t>/d的油水分离器是可行的</w:t>
            </w:r>
            <w:r>
              <w:rPr>
                <w:rFonts w:hint="eastAsia"/>
                <w:color w:val="auto"/>
                <w:lang w:eastAsia="zh-CN"/>
              </w:rPr>
              <w:t>。</w:t>
            </w:r>
          </w:p>
          <w:p w14:paraId="7ACD1589">
            <w:pPr>
              <w:ind w:firstLine="480"/>
              <w:rPr>
                <w:color w:val="auto"/>
              </w:rPr>
            </w:pPr>
            <w:r>
              <w:rPr>
                <w:rFonts w:hint="eastAsia"/>
                <w:color w:val="auto"/>
                <w:lang w:val="en-US" w:eastAsia="zh-CN"/>
              </w:rPr>
              <w:t>6</w:t>
            </w:r>
            <w:r>
              <w:rPr>
                <w:color w:val="auto"/>
              </w:rPr>
              <w:t>）初期雨水经收集沉淀后回用于搅拌用水的可行性分析</w:t>
            </w:r>
          </w:p>
          <w:p w14:paraId="4377D1F1">
            <w:pPr>
              <w:ind w:firstLine="480"/>
              <w:rPr>
                <w:color w:val="auto"/>
              </w:rPr>
            </w:pPr>
            <w:r>
              <w:rPr>
                <w:color w:val="auto"/>
              </w:rPr>
              <w:t>项目采用雨污分流制度，项目区道路四周设置雨水沟，将初期雨水由重力流方式流入</w:t>
            </w:r>
            <w:r>
              <w:rPr>
                <w:rFonts w:hint="eastAsia"/>
                <w:color w:val="auto"/>
              </w:rPr>
              <w:t>初期雨水收集池</w:t>
            </w:r>
            <w:r>
              <w:rPr>
                <w:color w:val="auto"/>
              </w:rPr>
              <w:t>收集，经沉淀后的雨水</w:t>
            </w:r>
            <w:r>
              <w:rPr>
                <w:color w:val="auto"/>
                <w:szCs w:val="22"/>
              </w:rPr>
              <w:t>回用于</w:t>
            </w:r>
            <w:r>
              <w:rPr>
                <w:color w:val="auto"/>
              </w:rPr>
              <w:t>搅拌工序，因本项目为</w:t>
            </w:r>
            <w:r>
              <w:rPr>
                <w:rFonts w:hint="eastAsia"/>
                <w:color w:val="auto"/>
              </w:rPr>
              <w:t>铁路轨枕</w:t>
            </w:r>
            <w:r>
              <w:rPr>
                <w:color w:val="auto"/>
              </w:rPr>
              <w:t>生产项目，初期雨水中只含有SS，不含有其他物质，且搅拌用水对水质的要求并不是很高，所以初期雨水经沉淀后可以回用</w:t>
            </w:r>
            <w:r>
              <w:rPr>
                <w:rFonts w:hint="eastAsia"/>
                <w:color w:val="auto"/>
              </w:rPr>
              <w:t>。且搅拌用水为90m</w:t>
            </w:r>
            <w:r>
              <w:rPr>
                <w:rFonts w:hint="eastAsia"/>
                <w:color w:val="auto"/>
                <w:vertAlign w:val="superscript"/>
              </w:rPr>
              <w:t>3</w:t>
            </w:r>
            <w:r>
              <w:rPr>
                <w:rFonts w:hint="eastAsia"/>
                <w:color w:val="auto"/>
              </w:rPr>
              <w:t>/d，初期雨水产生量为37.6m</w:t>
            </w:r>
            <w:r>
              <w:rPr>
                <w:rFonts w:hint="eastAsia"/>
                <w:color w:val="auto"/>
                <w:vertAlign w:val="superscript"/>
              </w:rPr>
              <w:t>3</w:t>
            </w:r>
            <w:r>
              <w:rPr>
                <w:rFonts w:hint="eastAsia"/>
                <w:color w:val="auto"/>
              </w:rPr>
              <w:t>/次，初期雨水完全能够回用完</w:t>
            </w:r>
            <w:r>
              <w:rPr>
                <w:color w:val="auto"/>
              </w:rPr>
              <w:t>。所以本项目的初期雨水</w:t>
            </w:r>
            <w:r>
              <w:rPr>
                <w:rFonts w:hint="eastAsia"/>
                <w:color w:val="auto"/>
                <w:lang w:eastAsia="zh-CN"/>
              </w:rPr>
              <w:t>回用于</w:t>
            </w:r>
            <w:r>
              <w:rPr>
                <w:color w:val="auto"/>
              </w:rPr>
              <w:t>搅拌工序是可行的。</w:t>
            </w:r>
          </w:p>
          <w:p w14:paraId="6652D9DB">
            <w:pPr>
              <w:ind w:firstLine="480"/>
              <w:rPr>
                <w:color w:val="auto"/>
              </w:rPr>
            </w:pPr>
            <w:r>
              <w:rPr>
                <w:rFonts w:hint="eastAsia"/>
                <w:color w:val="auto"/>
                <w:lang w:val="en-US" w:eastAsia="zh-CN"/>
              </w:rPr>
              <w:t>7</w:t>
            </w:r>
            <w:r>
              <w:rPr>
                <w:color w:val="auto"/>
              </w:rPr>
              <w:t>）废水不外排的可行性分析</w:t>
            </w:r>
          </w:p>
          <w:p w14:paraId="3884E9D8">
            <w:pPr>
              <w:pStyle w:val="32"/>
              <w:ind w:firstLine="480"/>
              <w:rPr>
                <w:rFonts w:hint="default" w:eastAsia="宋体"/>
                <w:color w:val="auto"/>
                <w:lang w:val="en-US" w:eastAsia="zh-CN"/>
              </w:rPr>
            </w:pPr>
            <w:r>
              <w:rPr>
                <w:color w:val="auto"/>
              </w:rPr>
              <w:t>生活污水总产生量</w:t>
            </w:r>
            <w:r>
              <w:rPr>
                <w:rFonts w:hint="eastAsia"/>
                <w:color w:val="auto"/>
              </w:rPr>
              <w:t>6.24</w:t>
            </w:r>
            <w:r>
              <w:rPr>
                <w:color w:val="auto"/>
              </w:rPr>
              <w:t>m</w:t>
            </w:r>
            <w:r>
              <w:rPr>
                <w:color w:val="auto"/>
                <w:vertAlign w:val="superscript"/>
              </w:rPr>
              <w:t>3</w:t>
            </w:r>
            <w:r>
              <w:rPr>
                <w:color w:val="auto"/>
              </w:rPr>
              <w:t>/d，</w:t>
            </w:r>
            <w:r>
              <w:rPr>
                <w:rFonts w:hint="eastAsia"/>
                <w:color w:val="auto"/>
                <w:lang w:val="en-US" w:eastAsia="zh-CN"/>
              </w:rPr>
              <w:t>设置1个容积为30m</w:t>
            </w:r>
            <w:r>
              <w:rPr>
                <w:rFonts w:hint="eastAsia"/>
                <w:color w:val="auto"/>
                <w:vertAlign w:val="superscript"/>
                <w:lang w:val="en-US" w:eastAsia="zh-CN"/>
              </w:rPr>
              <w:t>3</w:t>
            </w:r>
            <w:r>
              <w:rPr>
                <w:rFonts w:hint="eastAsia"/>
                <w:color w:val="auto"/>
                <w:lang w:val="en-US" w:eastAsia="zh-CN"/>
              </w:rPr>
              <w:t>1#化粪池及1个容积为15m</w:t>
            </w:r>
            <w:r>
              <w:rPr>
                <w:rFonts w:hint="eastAsia"/>
                <w:color w:val="auto"/>
                <w:vertAlign w:val="superscript"/>
                <w:lang w:val="en-US" w:eastAsia="zh-CN"/>
              </w:rPr>
              <w:t>3</w:t>
            </w:r>
            <w:r>
              <w:rPr>
                <w:rFonts w:hint="eastAsia"/>
                <w:color w:val="auto"/>
                <w:vertAlign w:val="baseline"/>
                <w:lang w:val="en-US" w:eastAsia="zh-CN"/>
              </w:rPr>
              <w:t>2#化粪池，总容积为45m</w:t>
            </w:r>
            <w:r>
              <w:rPr>
                <w:rFonts w:hint="eastAsia"/>
                <w:color w:val="auto"/>
                <w:vertAlign w:val="superscript"/>
                <w:lang w:val="en-US" w:eastAsia="zh-CN"/>
              </w:rPr>
              <w:t>3</w:t>
            </w:r>
            <w:r>
              <w:rPr>
                <w:rFonts w:hint="eastAsia"/>
                <w:color w:val="auto"/>
                <w:vertAlign w:val="baseline"/>
                <w:lang w:val="en-US" w:eastAsia="zh-CN"/>
              </w:rPr>
              <w:t>，容积及停留时间能满足</w:t>
            </w:r>
            <w:r>
              <w:rPr>
                <w:rFonts w:hint="eastAsia"/>
                <w:color w:val="auto"/>
                <w:lang w:val="en-US" w:eastAsia="zh-CN"/>
              </w:rPr>
              <w:t>《</w:t>
            </w:r>
            <w:r>
              <w:rPr>
                <w:rFonts w:hint="eastAsia"/>
                <w:color w:val="auto"/>
                <w:sz w:val="24"/>
                <w:highlight w:val="none"/>
                <w:lang w:val="en-US" w:eastAsia="zh-CN"/>
              </w:rPr>
              <w:t>建筑给水排水设计规范</w:t>
            </w:r>
            <w:r>
              <w:rPr>
                <w:rFonts w:hint="eastAsia"/>
                <w:color w:val="auto"/>
                <w:lang w:val="en-US" w:eastAsia="zh-CN"/>
              </w:rPr>
              <w:t>》中</w:t>
            </w:r>
            <w:r>
              <w:rPr>
                <w:rFonts w:hint="eastAsia"/>
                <w:color w:val="auto"/>
                <w:sz w:val="24"/>
                <w:highlight w:val="none"/>
                <w:lang w:val="en-US" w:eastAsia="zh-CN"/>
              </w:rPr>
              <w:t>化粪池有效停留时间取12～24h的要求，且</w:t>
            </w:r>
            <w:r>
              <w:rPr>
                <w:color w:val="auto"/>
              </w:rPr>
              <w:t>项目生活废水经</w:t>
            </w:r>
            <w:r>
              <w:rPr>
                <w:rFonts w:hint="eastAsia"/>
                <w:color w:val="auto"/>
                <w:lang w:val="en-US" w:eastAsia="zh-CN"/>
              </w:rPr>
              <w:t>化粪池处理后委托</w:t>
            </w:r>
            <w:r>
              <w:rPr>
                <w:rFonts w:hint="eastAsia"/>
                <w:color w:val="auto"/>
                <w:szCs w:val="21"/>
                <w:lang w:val="en-US" w:eastAsia="zh-CN"/>
              </w:rPr>
              <w:t>昆明洁龙保洁服务有限公司</w:t>
            </w:r>
            <w:r>
              <w:rPr>
                <w:color w:val="auto"/>
                <w:szCs w:val="21"/>
              </w:rPr>
              <w:t>定期</w:t>
            </w:r>
            <w:r>
              <w:rPr>
                <w:rFonts w:hint="eastAsia"/>
                <w:color w:val="auto"/>
                <w:szCs w:val="21"/>
              </w:rPr>
              <w:t>清掏</w:t>
            </w:r>
            <w:r>
              <w:rPr>
                <w:rFonts w:hint="eastAsia"/>
                <w:color w:val="auto"/>
                <w:szCs w:val="21"/>
                <w:lang w:val="en-US" w:eastAsia="zh-CN"/>
              </w:rPr>
              <w:t>处置</w:t>
            </w:r>
            <w:r>
              <w:rPr>
                <w:rFonts w:hint="eastAsia"/>
                <w:color w:val="auto"/>
                <w:lang w:eastAsia="zh-CN"/>
              </w:rPr>
              <w:t>，</w:t>
            </w:r>
            <w:r>
              <w:rPr>
                <w:rFonts w:hint="eastAsia"/>
                <w:color w:val="auto"/>
                <w:lang w:val="en-US" w:eastAsia="zh-CN"/>
              </w:rPr>
              <w:t>故生活污水不外排是可行的；</w:t>
            </w:r>
            <w:r>
              <w:rPr>
                <w:color w:val="auto"/>
              </w:rPr>
              <w:t>搅拌机清洗废水、锅炉废水进入</w:t>
            </w:r>
            <w:r>
              <w:rPr>
                <w:rFonts w:hint="eastAsia"/>
                <w:color w:val="auto"/>
                <w:lang w:val="en-US" w:eastAsia="zh-CN"/>
              </w:rPr>
              <w:t>四级沉淀池处理后</w:t>
            </w:r>
            <w:r>
              <w:rPr>
                <w:color w:val="auto"/>
              </w:rPr>
              <w:t>回用于</w:t>
            </w:r>
            <w:r>
              <w:rPr>
                <w:rFonts w:hint="eastAsia"/>
                <w:color w:val="auto"/>
                <w:lang w:val="en-US" w:eastAsia="zh-CN"/>
              </w:rPr>
              <w:t>混凝土搅拌</w:t>
            </w:r>
            <w:r>
              <w:rPr>
                <w:color w:val="auto"/>
              </w:rPr>
              <w:t>，</w:t>
            </w:r>
            <w:r>
              <w:rPr>
                <w:rFonts w:hint="eastAsia"/>
                <w:color w:val="auto"/>
                <w:lang w:val="en-US" w:eastAsia="zh-CN"/>
              </w:rPr>
              <w:t>罐车</w:t>
            </w:r>
            <w:r>
              <w:rPr>
                <w:color w:val="auto"/>
              </w:rPr>
              <w:t>清洗废水</w:t>
            </w:r>
            <w:r>
              <w:rPr>
                <w:rFonts w:hint="eastAsia"/>
                <w:color w:val="auto"/>
                <w:lang w:val="en-US" w:eastAsia="zh-CN"/>
              </w:rPr>
              <w:t>进入五级沉淀池处理后回用于混凝土搅拌，</w:t>
            </w:r>
            <w:r>
              <w:rPr>
                <w:color w:val="auto"/>
              </w:rPr>
              <w:t>搅拌机清洗废水产生量为</w:t>
            </w:r>
            <w:r>
              <w:rPr>
                <w:rFonts w:hint="eastAsia"/>
                <w:color w:val="auto"/>
              </w:rPr>
              <w:t>0.8</w:t>
            </w:r>
            <w:r>
              <w:rPr>
                <w:color w:val="auto"/>
              </w:rPr>
              <w:t>m</w:t>
            </w:r>
            <w:r>
              <w:rPr>
                <w:color w:val="auto"/>
                <w:vertAlign w:val="superscript"/>
              </w:rPr>
              <w:t>3</w:t>
            </w:r>
            <w:r>
              <w:rPr>
                <w:color w:val="auto"/>
              </w:rPr>
              <w:t>/d、锅炉废水量约为</w:t>
            </w:r>
            <w:r>
              <w:rPr>
                <w:rFonts w:hint="eastAsia"/>
                <w:color w:val="auto"/>
              </w:rPr>
              <w:t>3.24</w:t>
            </w:r>
            <w:r>
              <w:rPr>
                <w:color w:val="auto"/>
              </w:rPr>
              <w:t>m</w:t>
            </w:r>
            <w:r>
              <w:rPr>
                <w:color w:val="auto"/>
                <w:vertAlign w:val="superscript"/>
              </w:rPr>
              <w:t>3</w:t>
            </w:r>
            <w:r>
              <w:rPr>
                <w:color w:val="auto"/>
              </w:rPr>
              <w:t>/d、</w:t>
            </w:r>
            <w:r>
              <w:rPr>
                <w:rFonts w:hint="eastAsia"/>
                <w:color w:val="auto"/>
                <w:lang w:val="en-US" w:eastAsia="zh-CN"/>
              </w:rPr>
              <w:t>罐车</w:t>
            </w:r>
            <w:r>
              <w:rPr>
                <w:color w:val="auto"/>
              </w:rPr>
              <w:t>清洗废水约</w:t>
            </w:r>
            <w:r>
              <w:rPr>
                <w:rFonts w:hint="eastAsia"/>
                <w:color w:val="auto"/>
              </w:rPr>
              <w:t>0.656</w:t>
            </w:r>
            <w:r>
              <w:rPr>
                <w:color w:val="auto"/>
              </w:rPr>
              <w:t>m</w:t>
            </w:r>
            <w:r>
              <w:rPr>
                <w:color w:val="auto"/>
                <w:vertAlign w:val="superscript"/>
              </w:rPr>
              <w:t>3</w:t>
            </w:r>
            <w:r>
              <w:rPr>
                <w:color w:val="auto"/>
              </w:rPr>
              <w:t>/d，沉淀池容积为</w:t>
            </w:r>
            <w:r>
              <w:rPr>
                <w:rFonts w:hint="eastAsia"/>
                <w:color w:val="auto"/>
              </w:rPr>
              <w:t>180</w:t>
            </w:r>
            <w:r>
              <w:rPr>
                <w:color w:val="auto"/>
              </w:rPr>
              <w:t>m</w:t>
            </w:r>
            <w:r>
              <w:rPr>
                <w:color w:val="auto"/>
                <w:vertAlign w:val="superscript"/>
              </w:rPr>
              <w:t>3</w:t>
            </w:r>
            <w:r>
              <w:rPr>
                <w:color w:val="auto"/>
              </w:rPr>
              <w:t>，</w:t>
            </w:r>
            <w:r>
              <w:rPr>
                <w:rFonts w:hint="eastAsia"/>
                <w:color w:val="auto"/>
              </w:rPr>
              <w:t>完全</w:t>
            </w:r>
            <w:r>
              <w:rPr>
                <w:color w:val="auto"/>
              </w:rPr>
              <w:t>满足每日废水池内沉淀24h要求，沉淀池沉淀后SS已大部分去除，同时沉淀池做好防渗处理</w:t>
            </w:r>
            <w:r>
              <w:rPr>
                <w:rFonts w:hint="eastAsia"/>
                <w:color w:val="auto"/>
                <w:lang w:eastAsia="zh-CN"/>
              </w:rPr>
              <w:t>，</w:t>
            </w:r>
            <w:r>
              <w:rPr>
                <w:rFonts w:hint="eastAsia"/>
                <w:color w:val="auto"/>
                <w:lang w:val="en-US" w:eastAsia="zh-CN"/>
              </w:rPr>
              <w:t>且</w:t>
            </w:r>
            <w:r>
              <w:rPr>
                <w:color w:val="auto"/>
              </w:rPr>
              <w:t>项目沉淀池沉淀后的水可</w:t>
            </w:r>
            <w:r>
              <w:rPr>
                <w:rFonts w:hint="eastAsia"/>
                <w:color w:val="auto"/>
              </w:rPr>
              <w:t>回</w:t>
            </w:r>
            <w:r>
              <w:rPr>
                <w:color w:val="auto"/>
              </w:rPr>
              <w:t>用于生产。</w:t>
            </w:r>
            <w:r>
              <w:rPr>
                <w:rFonts w:hint="eastAsia"/>
                <w:color w:val="auto"/>
                <w:lang w:val="en-US" w:eastAsia="zh-CN"/>
              </w:rPr>
              <w:t>故项目生产废水不外排是可行的。</w:t>
            </w:r>
          </w:p>
          <w:p w14:paraId="337EB284">
            <w:pPr>
              <w:pStyle w:val="31"/>
              <w:ind w:firstLine="482"/>
              <w:rPr>
                <w:rFonts w:hint="eastAsia"/>
                <w:b/>
                <w:color w:val="auto"/>
              </w:rPr>
            </w:pPr>
            <w:r>
              <w:rPr>
                <w:rFonts w:hint="eastAsia"/>
                <w:b/>
                <w:color w:val="auto"/>
              </w:rPr>
              <w:t>4.3.6</w:t>
            </w:r>
            <w:r>
              <w:rPr>
                <w:b/>
                <w:color w:val="auto"/>
              </w:rPr>
              <w:t>监测要求</w:t>
            </w:r>
          </w:p>
          <w:p w14:paraId="592AA2DD">
            <w:pPr>
              <w:pStyle w:val="31"/>
              <w:ind w:firstLine="480"/>
              <w:rPr>
                <w:rFonts w:hint="eastAsia"/>
                <w:b/>
                <w:bCs/>
                <w:color w:val="auto"/>
              </w:rPr>
            </w:pPr>
            <w:r>
              <w:rPr>
                <w:rFonts w:hint="eastAsia"/>
                <w:bCs/>
                <w:color w:val="auto"/>
              </w:rPr>
              <w:t>本项目废水不外排，不设监测要求</w:t>
            </w:r>
            <w:r>
              <w:rPr>
                <w:bCs/>
                <w:color w:val="auto"/>
              </w:rPr>
              <w:t>。</w:t>
            </w:r>
          </w:p>
          <w:p w14:paraId="7E9307FC">
            <w:pPr>
              <w:pStyle w:val="32"/>
              <w:ind w:firstLine="482"/>
              <w:rPr>
                <w:b/>
                <w:bCs/>
                <w:color w:val="auto"/>
              </w:rPr>
            </w:pPr>
            <w:r>
              <w:rPr>
                <w:b/>
                <w:bCs/>
                <w:color w:val="auto"/>
              </w:rPr>
              <w:t>4.</w:t>
            </w:r>
            <w:r>
              <w:rPr>
                <w:rFonts w:hint="eastAsia"/>
                <w:b/>
                <w:bCs/>
                <w:color w:val="auto"/>
              </w:rPr>
              <w:t>3</w:t>
            </w:r>
            <w:r>
              <w:rPr>
                <w:b/>
                <w:bCs/>
                <w:color w:val="auto"/>
              </w:rPr>
              <w:t>.</w:t>
            </w:r>
            <w:r>
              <w:rPr>
                <w:rFonts w:hint="eastAsia"/>
                <w:b/>
                <w:bCs/>
                <w:color w:val="auto"/>
              </w:rPr>
              <w:t>7</w:t>
            </w:r>
            <w:r>
              <w:rPr>
                <w:b/>
                <w:bCs/>
                <w:color w:val="auto"/>
              </w:rPr>
              <w:t>运营期水环境影响分析评价结论</w:t>
            </w:r>
          </w:p>
          <w:p w14:paraId="3ACBCBB5">
            <w:pPr>
              <w:pStyle w:val="32"/>
              <w:ind w:firstLine="480"/>
              <w:rPr>
                <w:color w:val="auto"/>
              </w:rPr>
            </w:pPr>
            <w:r>
              <w:rPr>
                <w:rFonts w:hint="eastAsia"/>
                <w:color w:val="auto"/>
              </w:rPr>
              <w:t>生产废水</w:t>
            </w:r>
            <w:r>
              <w:rPr>
                <w:rFonts w:hint="eastAsia"/>
                <w:color w:val="auto"/>
                <w:lang w:val="en-US" w:eastAsia="zh-CN"/>
              </w:rPr>
              <w:t>主要为试验区废水、锅炉清净水、搅拌机清洗废水及罐车清洗废水</w:t>
            </w:r>
            <w:r>
              <w:rPr>
                <w:rFonts w:hint="eastAsia"/>
                <w:color w:val="auto"/>
              </w:rPr>
              <w:t>，</w:t>
            </w:r>
            <w:r>
              <w:rPr>
                <w:rFonts w:hint="eastAsia"/>
                <w:color w:val="auto"/>
                <w:lang w:val="en-US" w:eastAsia="zh-CN"/>
              </w:rPr>
              <w:t>其中搅拌机清洗废水及锅炉清净水排入四级沉淀池处理后回用于混凝土搅拌；试验区废水排入三级沉淀池处理后回用于混凝土搅拌；罐车清洗废水排入五级沉淀池处理后回用于混凝土搅拌，生产废水均用于混凝土搅拌，不外排。</w:t>
            </w:r>
            <w:r>
              <w:rPr>
                <w:rFonts w:hint="eastAsia"/>
                <w:color w:val="auto"/>
              </w:rPr>
              <w:t>食堂废水经</w:t>
            </w:r>
            <w:r>
              <w:rPr>
                <w:rFonts w:hint="eastAsia"/>
                <w:color w:val="auto"/>
                <w:lang w:val="en-US" w:eastAsia="zh-CN"/>
              </w:rPr>
              <w:t>油水分离器</w:t>
            </w:r>
            <w:r>
              <w:rPr>
                <w:rFonts w:hint="eastAsia"/>
                <w:color w:val="auto"/>
              </w:rPr>
              <w:t>预处理后</w:t>
            </w:r>
            <w:r>
              <w:rPr>
                <w:rFonts w:hint="eastAsia"/>
                <w:color w:val="auto"/>
                <w:lang w:val="en-US" w:eastAsia="zh-CN"/>
              </w:rPr>
              <w:t>排入2#化粪池（15m</w:t>
            </w:r>
            <w:r>
              <w:rPr>
                <w:rFonts w:hint="eastAsia"/>
                <w:color w:val="auto"/>
                <w:vertAlign w:val="superscript"/>
                <w:lang w:val="en-US" w:eastAsia="zh-CN"/>
              </w:rPr>
              <w:t>3</w:t>
            </w:r>
            <w:r>
              <w:rPr>
                <w:rFonts w:hint="eastAsia"/>
                <w:color w:val="auto"/>
                <w:lang w:val="en-US" w:eastAsia="zh-CN"/>
              </w:rPr>
              <w:t>）中处理后委托</w:t>
            </w:r>
            <w:r>
              <w:rPr>
                <w:rFonts w:hint="eastAsia"/>
                <w:color w:val="auto"/>
                <w:szCs w:val="21"/>
                <w:lang w:val="en-US" w:eastAsia="zh-CN"/>
              </w:rPr>
              <w:t>昆明洁龙保洁服务有限公司</w:t>
            </w:r>
            <w:r>
              <w:rPr>
                <w:color w:val="auto"/>
                <w:szCs w:val="21"/>
              </w:rPr>
              <w:t>定期</w:t>
            </w:r>
            <w:r>
              <w:rPr>
                <w:rFonts w:hint="eastAsia"/>
                <w:color w:val="auto"/>
                <w:szCs w:val="21"/>
              </w:rPr>
              <w:t>清掏</w:t>
            </w:r>
            <w:r>
              <w:rPr>
                <w:rFonts w:hint="eastAsia"/>
                <w:color w:val="auto"/>
                <w:lang w:val="en-US" w:eastAsia="zh-CN"/>
              </w:rPr>
              <w:t>；</w:t>
            </w:r>
            <w:r>
              <w:rPr>
                <w:rFonts w:hint="eastAsia"/>
                <w:color w:val="auto"/>
              </w:rPr>
              <w:t>其他生活污水</w:t>
            </w:r>
            <w:r>
              <w:rPr>
                <w:rFonts w:hint="eastAsia"/>
                <w:color w:val="auto"/>
                <w:lang w:val="en-US" w:eastAsia="zh-CN"/>
              </w:rPr>
              <w:t>排</w:t>
            </w:r>
            <w:r>
              <w:rPr>
                <w:rFonts w:hint="eastAsia"/>
                <w:color w:val="auto"/>
              </w:rPr>
              <w:t>入</w:t>
            </w:r>
            <w:r>
              <w:rPr>
                <w:rFonts w:hint="eastAsia"/>
                <w:color w:val="auto"/>
                <w:lang w:val="en-US" w:eastAsia="zh-CN"/>
              </w:rPr>
              <w:t>1#化粪池（30m</w:t>
            </w:r>
            <w:r>
              <w:rPr>
                <w:rFonts w:hint="eastAsia"/>
                <w:color w:val="auto"/>
                <w:vertAlign w:val="superscript"/>
                <w:lang w:val="en-US" w:eastAsia="zh-CN"/>
              </w:rPr>
              <w:t>3</w:t>
            </w:r>
            <w:r>
              <w:rPr>
                <w:rFonts w:hint="eastAsia"/>
                <w:color w:val="auto"/>
                <w:lang w:val="en-US" w:eastAsia="zh-CN"/>
              </w:rPr>
              <w:t>）处理后委托</w:t>
            </w:r>
            <w:r>
              <w:rPr>
                <w:rFonts w:hint="eastAsia"/>
                <w:color w:val="auto"/>
                <w:szCs w:val="21"/>
                <w:lang w:val="en-US" w:eastAsia="zh-CN"/>
              </w:rPr>
              <w:t>昆明洁龙保洁服务有限公司</w:t>
            </w:r>
            <w:r>
              <w:rPr>
                <w:color w:val="auto"/>
                <w:szCs w:val="21"/>
              </w:rPr>
              <w:t>定期</w:t>
            </w:r>
            <w:r>
              <w:rPr>
                <w:rFonts w:hint="eastAsia"/>
                <w:color w:val="auto"/>
                <w:szCs w:val="21"/>
              </w:rPr>
              <w:t>清掏</w:t>
            </w:r>
            <w:r>
              <w:rPr>
                <w:rFonts w:hint="eastAsia"/>
                <w:color w:val="auto"/>
                <w:lang w:val="en-US" w:eastAsia="zh-CN"/>
              </w:rPr>
              <w:t>。各</w:t>
            </w:r>
            <w:r>
              <w:rPr>
                <w:color w:val="auto"/>
              </w:rPr>
              <w:t>沉淀池</w:t>
            </w:r>
            <w:r>
              <w:rPr>
                <w:rFonts w:hint="eastAsia"/>
                <w:color w:val="auto"/>
                <w:lang w:val="en-US" w:eastAsia="zh-CN"/>
              </w:rPr>
              <w:t>及化粪池</w:t>
            </w:r>
            <w:r>
              <w:rPr>
                <w:color w:val="auto"/>
              </w:rPr>
              <w:t>按规范做防渗处理，项目运营期废水对周边环境及地下水影响甚小。</w:t>
            </w:r>
          </w:p>
          <w:p w14:paraId="30CA7AB3">
            <w:pPr>
              <w:ind w:firstLine="0" w:firstLineChars="0"/>
              <w:rPr>
                <w:b/>
                <w:color w:val="auto"/>
              </w:rPr>
            </w:pPr>
            <w:r>
              <w:rPr>
                <w:b/>
                <w:color w:val="auto"/>
              </w:rPr>
              <w:t>4.</w:t>
            </w:r>
            <w:r>
              <w:rPr>
                <w:rFonts w:hint="eastAsia"/>
                <w:b/>
                <w:color w:val="auto"/>
              </w:rPr>
              <w:t>4</w:t>
            </w:r>
            <w:r>
              <w:rPr>
                <w:b/>
                <w:color w:val="auto"/>
              </w:rPr>
              <w:t xml:space="preserve"> 运营期噪声环境影响和保护措施</w:t>
            </w:r>
          </w:p>
          <w:p w14:paraId="2B160A6A">
            <w:pPr>
              <w:pStyle w:val="27"/>
              <w:ind w:firstLine="480"/>
              <w:rPr>
                <w:color w:val="auto"/>
                <w:highlight w:val="yellow"/>
              </w:rPr>
            </w:pPr>
            <w:r>
              <w:rPr>
                <w:color w:val="auto"/>
              </w:rPr>
              <w:t>项目运行期噪声源主要有</w:t>
            </w:r>
            <w:r>
              <w:rPr>
                <w:rFonts w:hint="eastAsia"/>
                <w:color w:val="auto"/>
              </w:rPr>
              <w:t>搅拌机、柴油发电机、空气压缩机、叉车、装载机、轨枕湿润养护控制设备、数控弯箍机、污水处理设备（压滤机）、混凝土布料机、</w:t>
            </w:r>
            <w:r>
              <w:rPr>
                <w:rFonts w:hint="eastAsia"/>
                <w:color w:val="auto"/>
                <w:lang w:eastAsia="zh-CN"/>
              </w:rPr>
              <w:t>混凝土浇筑</w:t>
            </w:r>
            <w:r>
              <w:rPr>
                <w:rFonts w:hint="eastAsia"/>
                <w:color w:val="auto"/>
              </w:rPr>
              <w:t>/振动台、养护通道用液压推进装置、养护通道用钢丝绳传动装置、带提升装置的脱模站、链式传送机、单独的辊轴传送机、倾斜台及辊轴传送机构、牵引装置、收线机、除磷机、润滑涂复机、Y型轧机轧制机、水平牵引机、应力消除机、桁架剪切机、收线机</w:t>
            </w:r>
            <w:r>
              <w:rPr>
                <w:color w:val="auto"/>
              </w:rPr>
              <w:t>等，按照最大值计算，为降低项目运营期噪声对周围环境的影响，项目在进行需采取适当的措施。</w:t>
            </w:r>
          </w:p>
          <w:p w14:paraId="32F9788A">
            <w:pPr>
              <w:autoSpaceDE w:val="0"/>
              <w:autoSpaceDN w:val="0"/>
              <w:ind w:firstLine="480"/>
              <w:jc w:val="left"/>
              <w:rPr>
                <w:color w:val="auto"/>
              </w:rPr>
            </w:pPr>
            <w:r>
              <w:rPr>
                <w:color w:val="auto"/>
              </w:rPr>
              <w:t>根据《环境影响评价技术导则 声环境》（HJ2.4-2021），其预测模式如下：</w:t>
            </w:r>
          </w:p>
          <w:p w14:paraId="34E79124">
            <w:pPr>
              <w:ind w:firstLine="480"/>
              <w:jc w:val="center"/>
              <w:rPr>
                <w:color w:val="auto"/>
                <w:lang w:val="pt-BR"/>
              </w:rPr>
            </w:pPr>
            <w:r>
              <w:rPr>
                <w:i/>
                <w:color w:val="auto"/>
                <w:lang w:val="pt-BR"/>
              </w:rPr>
              <w:t>L</w:t>
            </w:r>
            <w:r>
              <w:rPr>
                <w:i/>
                <w:color w:val="auto"/>
                <w:vertAlign w:val="subscript"/>
                <w:lang w:val="pt-BR"/>
              </w:rPr>
              <w:t>p</w:t>
            </w:r>
            <w:r>
              <w:rPr>
                <w:i/>
                <w:color w:val="auto"/>
                <w:lang w:val="pt-BR"/>
              </w:rPr>
              <w:t>（r）</w:t>
            </w:r>
            <w:r>
              <w:rPr>
                <w:color w:val="auto"/>
                <w:lang w:val="pt-BR"/>
              </w:rPr>
              <w:t>=</w:t>
            </w:r>
            <w:r>
              <w:rPr>
                <w:i/>
                <w:color w:val="auto"/>
                <w:lang w:val="pt-BR"/>
              </w:rPr>
              <w:t>L</w:t>
            </w:r>
            <w:r>
              <w:rPr>
                <w:i/>
                <w:color w:val="auto"/>
                <w:vertAlign w:val="subscript"/>
                <w:lang w:val="pt-BR"/>
              </w:rPr>
              <w:t>w</w:t>
            </w:r>
            <w:r>
              <w:rPr>
                <w:color w:val="auto"/>
                <w:lang w:val="pt-BR"/>
              </w:rPr>
              <w:t>+</w:t>
            </w:r>
            <w:r>
              <w:rPr>
                <w:i/>
                <w:color w:val="auto"/>
                <w:lang w:val="pt-BR"/>
              </w:rPr>
              <w:t>D</w:t>
            </w:r>
            <w:r>
              <w:rPr>
                <w:color w:val="auto"/>
                <w:lang w:val="pt-BR"/>
              </w:rPr>
              <w:t>c－（</w:t>
            </w:r>
            <w:r>
              <w:rPr>
                <w:i/>
                <w:color w:val="auto"/>
                <w:lang w:val="pt-BR"/>
              </w:rPr>
              <w:t>A</w:t>
            </w:r>
            <w:r>
              <w:rPr>
                <w:color w:val="auto"/>
                <w:vertAlign w:val="subscript"/>
                <w:lang w:val="pt-BR"/>
              </w:rPr>
              <w:t>div</w:t>
            </w:r>
            <w:r>
              <w:rPr>
                <w:i/>
                <w:color w:val="auto"/>
                <w:lang w:val="pt-BR"/>
              </w:rPr>
              <w:t>+A</w:t>
            </w:r>
            <w:r>
              <w:rPr>
                <w:color w:val="auto"/>
                <w:vertAlign w:val="subscript"/>
                <w:lang w:val="pt-BR"/>
              </w:rPr>
              <w:t>atm</w:t>
            </w:r>
            <w:r>
              <w:rPr>
                <w:i/>
                <w:color w:val="auto"/>
                <w:lang w:val="pt-BR"/>
              </w:rPr>
              <w:t>+A</w:t>
            </w:r>
            <w:r>
              <w:rPr>
                <w:color w:val="auto"/>
                <w:vertAlign w:val="subscript"/>
                <w:lang w:val="pt-BR"/>
              </w:rPr>
              <w:t>gr</w:t>
            </w:r>
            <w:r>
              <w:rPr>
                <w:i/>
                <w:color w:val="auto"/>
                <w:lang w:val="pt-BR"/>
              </w:rPr>
              <w:t>+A</w:t>
            </w:r>
            <w:r>
              <w:rPr>
                <w:color w:val="auto"/>
                <w:vertAlign w:val="subscript"/>
                <w:lang w:val="pt-BR"/>
              </w:rPr>
              <w:t>bar</w:t>
            </w:r>
            <w:r>
              <w:rPr>
                <w:i/>
                <w:color w:val="auto"/>
                <w:lang w:val="pt-BR"/>
              </w:rPr>
              <w:t>+A</w:t>
            </w:r>
            <w:r>
              <w:rPr>
                <w:color w:val="auto"/>
                <w:vertAlign w:val="subscript"/>
                <w:lang w:val="pt-BR"/>
              </w:rPr>
              <w:t>misc</w:t>
            </w:r>
            <w:r>
              <w:rPr>
                <w:color w:val="auto"/>
                <w:lang w:val="pt-BR"/>
              </w:rPr>
              <w:t>）</w:t>
            </w:r>
          </w:p>
          <w:p w14:paraId="24F4F61E">
            <w:pPr>
              <w:autoSpaceDE w:val="0"/>
              <w:autoSpaceDN w:val="0"/>
              <w:ind w:firstLine="480"/>
              <w:jc w:val="left"/>
              <w:rPr>
                <w:color w:val="auto"/>
                <w:kern w:val="0"/>
              </w:rPr>
            </w:pPr>
            <w:r>
              <w:rPr>
                <w:color w:val="auto"/>
                <w:kern w:val="0"/>
                <w:lang w:val="pt-BR"/>
              </w:rPr>
              <w:t>式中，</w:t>
            </w:r>
            <w:r>
              <w:rPr>
                <w:i/>
                <w:color w:val="auto"/>
                <w:kern w:val="0"/>
              </w:rPr>
              <w:t>L</w:t>
            </w:r>
            <w:r>
              <w:rPr>
                <w:i/>
                <w:color w:val="auto"/>
                <w:kern w:val="0"/>
                <w:vertAlign w:val="subscript"/>
                <w:lang w:val="pt-BR"/>
              </w:rPr>
              <w:t>p</w:t>
            </w:r>
            <w:r>
              <w:rPr>
                <w:i/>
                <w:color w:val="auto"/>
                <w:kern w:val="0"/>
                <w:lang w:val="pt-BR"/>
              </w:rPr>
              <w:t xml:space="preserve"> </w:t>
            </w:r>
            <w:r>
              <w:rPr>
                <w:color w:val="auto"/>
                <w:kern w:val="0"/>
              </w:rPr>
              <w:t>(r)——预测点处声压级，dB；</w:t>
            </w:r>
          </w:p>
          <w:p w14:paraId="64CE0131">
            <w:pPr>
              <w:autoSpaceDE w:val="0"/>
              <w:autoSpaceDN w:val="0"/>
              <w:ind w:firstLine="1159" w:firstLineChars="483"/>
              <w:jc w:val="left"/>
              <w:rPr>
                <w:color w:val="auto"/>
                <w:kern w:val="0"/>
              </w:rPr>
            </w:pPr>
            <w:r>
              <w:rPr>
                <w:i/>
                <w:color w:val="auto"/>
                <w:kern w:val="0"/>
              </w:rPr>
              <w:t>L</w:t>
            </w:r>
            <w:r>
              <w:rPr>
                <w:i/>
                <w:color w:val="auto"/>
                <w:vertAlign w:val="subscript"/>
                <w:lang w:val="pt-BR"/>
              </w:rPr>
              <w:t>w</w:t>
            </w:r>
            <w:r>
              <w:rPr>
                <w:color w:val="auto"/>
                <w:kern w:val="0"/>
                <w:lang w:val="pt-BR"/>
              </w:rPr>
              <w:t xml:space="preserve"> </w:t>
            </w:r>
            <w:r>
              <w:rPr>
                <w:color w:val="auto"/>
                <w:kern w:val="0"/>
              </w:rPr>
              <w:t>——由点声源产生的声功率级（A计权或倍频带），dB；</w:t>
            </w:r>
          </w:p>
          <w:p w14:paraId="29679EE4">
            <w:pPr>
              <w:autoSpaceDE w:val="0"/>
              <w:autoSpaceDN w:val="0"/>
              <w:ind w:firstLine="1159" w:firstLineChars="483"/>
              <w:jc w:val="left"/>
              <w:rPr>
                <w:color w:val="auto"/>
                <w:kern w:val="0"/>
              </w:rPr>
            </w:pPr>
            <w:r>
              <w:rPr>
                <w:i/>
                <w:color w:val="auto"/>
                <w:kern w:val="0"/>
              </w:rPr>
              <w:t>D</w:t>
            </w:r>
            <w:r>
              <w:rPr>
                <w:color w:val="auto"/>
                <w:kern w:val="0"/>
              </w:rPr>
              <w:t>c ——指向性校正，它描述点声源的等效连续声压级与产生声功率级</w:t>
            </w:r>
            <w:r>
              <w:rPr>
                <w:i/>
                <w:color w:val="auto"/>
                <w:kern w:val="0"/>
              </w:rPr>
              <w:t>L</w:t>
            </w:r>
            <w:r>
              <w:rPr>
                <w:color w:val="auto"/>
                <w:kern w:val="0"/>
                <w:vertAlign w:val="subscript"/>
              </w:rPr>
              <w:t>w</w:t>
            </w:r>
            <w:r>
              <w:rPr>
                <w:color w:val="auto"/>
                <w:kern w:val="0"/>
              </w:rPr>
              <w:t>的全向点声源在规定方向的声级的偏差程度，dB；</w:t>
            </w:r>
          </w:p>
          <w:p w14:paraId="32816B3D">
            <w:pPr>
              <w:autoSpaceDE w:val="0"/>
              <w:autoSpaceDN w:val="0"/>
              <w:ind w:firstLine="1159" w:firstLineChars="483"/>
              <w:jc w:val="left"/>
              <w:rPr>
                <w:color w:val="auto"/>
                <w:kern w:val="0"/>
              </w:rPr>
            </w:pPr>
            <w:r>
              <w:rPr>
                <w:i/>
                <w:color w:val="auto"/>
                <w:kern w:val="0"/>
              </w:rPr>
              <w:t>A</w:t>
            </w:r>
            <w:r>
              <w:rPr>
                <w:color w:val="auto"/>
                <w:kern w:val="0"/>
                <w:vertAlign w:val="subscript"/>
              </w:rPr>
              <w:t>div</w:t>
            </w:r>
            <w:r>
              <w:rPr>
                <w:color w:val="auto"/>
                <w:kern w:val="0"/>
              </w:rPr>
              <w:t>——几何发散引起的衰减，dB；</w:t>
            </w:r>
          </w:p>
          <w:p w14:paraId="13F24808">
            <w:pPr>
              <w:autoSpaceDE w:val="0"/>
              <w:autoSpaceDN w:val="0"/>
              <w:ind w:firstLine="1159" w:firstLineChars="483"/>
              <w:jc w:val="left"/>
              <w:rPr>
                <w:color w:val="auto"/>
                <w:kern w:val="0"/>
              </w:rPr>
            </w:pPr>
            <w:r>
              <w:rPr>
                <w:i/>
                <w:color w:val="auto"/>
                <w:lang w:val="pt-BR"/>
              </w:rPr>
              <w:t>A</w:t>
            </w:r>
            <w:r>
              <w:rPr>
                <w:color w:val="auto"/>
                <w:vertAlign w:val="subscript"/>
                <w:lang w:val="pt-BR"/>
              </w:rPr>
              <w:t>atm</w:t>
            </w:r>
            <w:r>
              <w:rPr>
                <w:color w:val="auto"/>
                <w:kern w:val="0"/>
              </w:rPr>
              <w:t>——大气吸收引起的衰减，dB；</w:t>
            </w:r>
          </w:p>
          <w:p w14:paraId="45429725">
            <w:pPr>
              <w:autoSpaceDE w:val="0"/>
              <w:autoSpaceDN w:val="0"/>
              <w:ind w:firstLine="1159" w:firstLineChars="483"/>
              <w:jc w:val="left"/>
              <w:rPr>
                <w:color w:val="auto"/>
                <w:lang w:val="pt-BR"/>
              </w:rPr>
            </w:pPr>
            <w:r>
              <w:rPr>
                <w:i/>
                <w:color w:val="auto"/>
                <w:lang w:val="pt-BR"/>
              </w:rPr>
              <w:t>A</w:t>
            </w:r>
            <w:r>
              <w:rPr>
                <w:color w:val="auto"/>
                <w:vertAlign w:val="subscript"/>
                <w:lang w:val="pt-BR"/>
              </w:rPr>
              <w:t>gr</w:t>
            </w:r>
            <w:r>
              <w:rPr>
                <w:color w:val="auto"/>
                <w:kern w:val="0"/>
              </w:rPr>
              <w:t>——地面效应引起的衰减，dB；</w:t>
            </w:r>
          </w:p>
          <w:p w14:paraId="1B6A2ADA">
            <w:pPr>
              <w:autoSpaceDE w:val="0"/>
              <w:autoSpaceDN w:val="0"/>
              <w:ind w:firstLine="1159" w:firstLineChars="483"/>
              <w:jc w:val="left"/>
              <w:rPr>
                <w:color w:val="auto"/>
                <w:kern w:val="0"/>
                <w:lang w:val="pt-BR"/>
              </w:rPr>
            </w:pPr>
            <w:r>
              <w:rPr>
                <w:i/>
                <w:color w:val="auto"/>
                <w:lang w:val="pt-BR"/>
              </w:rPr>
              <w:t>A</w:t>
            </w:r>
            <w:r>
              <w:rPr>
                <w:color w:val="auto"/>
                <w:vertAlign w:val="subscript"/>
                <w:lang w:val="pt-BR"/>
              </w:rPr>
              <w:t>bar</w:t>
            </w:r>
            <w:r>
              <w:rPr>
                <w:color w:val="auto"/>
                <w:kern w:val="0"/>
                <w:lang w:val="pt-BR"/>
              </w:rPr>
              <w:t>——</w:t>
            </w:r>
            <w:r>
              <w:rPr>
                <w:color w:val="auto"/>
                <w:kern w:val="0"/>
              </w:rPr>
              <w:t>障碍物屏蔽引起的衰减</w:t>
            </w:r>
            <w:r>
              <w:rPr>
                <w:color w:val="auto"/>
                <w:kern w:val="0"/>
                <w:lang w:val="pt-BR"/>
              </w:rPr>
              <w:t>，dB；</w:t>
            </w:r>
          </w:p>
          <w:p w14:paraId="46388FE7">
            <w:pPr>
              <w:autoSpaceDE w:val="0"/>
              <w:autoSpaceDN w:val="0"/>
              <w:ind w:firstLine="1159" w:firstLineChars="483"/>
              <w:jc w:val="left"/>
              <w:rPr>
                <w:color w:val="auto"/>
                <w:kern w:val="0"/>
                <w:lang w:val="pt-BR"/>
              </w:rPr>
            </w:pPr>
            <w:r>
              <w:rPr>
                <w:i/>
                <w:color w:val="auto"/>
                <w:lang w:val="pt-BR"/>
              </w:rPr>
              <w:t>A</w:t>
            </w:r>
            <w:r>
              <w:rPr>
                <w:color w:val="auto"/>
                <w:vertAlign w:val="subscript"/>
                <w:lang w:val="pt-BR"/>
              </w:rPr>
              <w:t>misc</w:t>
            </w:r>
            <w:r>
              <w:rPr>
                <w:color w:val="auto"/>
                <w:kern w:val="0"/>
                <w:lang w:val="pt-BR"/>
              </w:rPr>
              <w:t>——</w:t>
            </w:r>
            <w:r>
              <w:rPr>
                <w:color w:val="auto"/>
                <w:kern w:val="0"/>
              </w:rPr>
              <w:t>其他多方面效应引起的衰减</w:t>
            </w:r>
            <w:r>
              <w:rPr>
                <w:color w:val="auto"/>
                <w:kern w:val="0"/>
                <w:lang w:val="pt-BR"/>
              </w:rPr>
              <w:t>，dB</w:t>
            </w:r>
            <w:r>
              <w:rPr>
                <w:color w:val="auto"/>
                <w:kern w:val="0"/>
              </w:rPr>
              <w:t>。</w:t>
            </w:r>
          </w:p>
          <w:p w14:paraId="56918159">
            <w:pPr>
              <w:ind w:firstLine="480"/>
              <w:rPr>
                <w:color w:val="auto"/>
                <w:lang w:val="pt-BR"/>
              </w:rPr>
            </w:pPr>
            <w:r>
              <w:rPr>
                <w:color w:val="auto"/>
              </w:rPr>
              <w:t>多个机械同时作业的总等效连续A声级计算公式为：</w:t>
            </w:r>
          </w:p>
          <w:p w14:paraId="3BFDDDB3">
            <w:pPr>
              <w:tabs>
                <w:tab w:val="left" w:pos="2100"/>
              </w:tabs>
              <w:ind w:firstLine="0" w:firstLineChars="0"/>
              <w:jc w:val="center"/>
              <w:rPr>
                <w:bCs/>
                <w:color w:val="auto"/>
                <w:lang w:val="pt-BR"/>
              </w:rPr>
            </w:pPr>
            <w:r>
              <w:rPr>
                <w:bCs/>
                <w:color w:val="auto"/>
                <w:position w:val="-30"/>
                <w:lang w:val="pt-BR"/>
              </w:rPr>
              <w:object>
                <v:shape id="_x0000_i1026" o:spt="75" type="#_x0000_t75" style="height:35.25pt;width:151.75pt;" o:ole="t" filled="f" o:preferrelative="t" stroked="f" coordsize="21600,21600">
                  <v:path/>
                  <v:fill on="f" focussize="0,0"/>
                  <v:stroke on="f"/>
                  <v:imagedata r:id="rId24" o:title=""/>
                  <o:lock v:ext="edit" aspectratio="t"/>
                  <w10:wrap type="none"/>
                  <w10:anchorlock/>
                </v:shape>
                <o:OLEObject Type="Embed" ProgID="Equation.3" ShapeID="_x0000_i1026" DrawAspect="Content" ObjectID="_1468075726" r:id="rId23">
                  <o:LockedField>false</o:LockedField>
                </o:OLEObject>
              </w:object>
            </w:r>
          </w:p>
          <w:p w14:paraId="24A69283">
            <w:pPr>
              <w:tabs>
                <w:tab w:val="left" w:pos="2100"/>
              </w:tabs>
              <w:ind w:firstLine="480"/>
              <w:rPr>
                <w:bCs/>
                <w:color w:val="auto"/>
              </w:rPr>
            </w:pPr>
            <w:r>
              <w:rPr>
                <w:bCs/>
                <w:color w:val="auto"/>
              </w:rPr>
              <w:t>式中：L</w:t>
            </w:r>
            <w:r>
              <w:rPr>
                <w:bCs/>
                <w:color w:val="auto"/>
                <w:vertAlign w:val="subscript"/>
              </w:rPr>
              <w:t>A</w:t>
            </w:r>
            <w:r>
              <w:rPr>
                <w:bCs/>
                <w:color w:val="auto"/>
              </w:rPr>
              <w:t>——距声源r处的A声级，dB（A）；</w:t>
            </w:r>
          </w:p>
          <w:p w14:paraId="7EE805BA">
            <w:pPr>
              <w:tabs>
                <w:tab w:val="left" w:pos="2100"/>
              </w:tabs>
              <w:ind w:firstLine="1200" w:firstLineChars="500"/>
              <w:rPr>
                <w:color w:val="auto"/>
                <w:lang w:val="pt-BR"/>
              </w:rPr>
            </w:pPr>
            <w:r>
              <w:rPr>
                <w:color w:val="auto"/>
              </w:rPr>
              <w:t>L</w:t>
            </w:r>
            <w:r>
              <w:rPr>
                <w:color w:val="auto"/>
                <w:vertAlign w:val="subscript"/>
              </w:rPr>
              <w:t>pi</w:t>
            </w:r>
            <w:r>
              <w:rPr>
                <w:color w:val="auto"/>
                <w:kern w:val="0"/>
              </w:rPr>
              <w:t>——预测点（r）处，第i倍频带声压级，dB</w:t>
            </w:r>
            <w:r>
              <w:rPr>
                <w:color w:val="auto"/>
                <w:lang w:val="pt-BR"/>
              </w:rPr>
              <w:t>；</w:t>
            </w:r>
          </w:p>
          <w:p w14:paraId="004705FD">
            <w:pPr>
              <w:tabs>
                <w:tab w:val="left" w:pos="2100"/>
              </w:tabs>
              <w:ind w:firstLine="480"/>
              <w:rPr>
                <w:color w:val="auto"/>
                <w:lang w:val="pt-BR"/>
              </w:rPr>
            </w:pPr>
            <w:r>
              <w:rPr>
                <w:color w:val="auto"/>
                <w:lang w:val="pt-BR"/>
              </w:rPr>
              <w:t xml:space="preserve">      </w:t>
            </w:r>
            <w:r>
              <w:rPr>
                <w:color w:val="auto"/>
                <w:kern w:val="0"/>
              </w:rPr>
              <w:t>Δ</w:t>
            </w:r>
            <w:r>
              <w:rPr>
                <w:color w:val="auto"/>
              </w:rPr>
              <w:t>L</w:t>
            </w:r>
            <w:r>
              <w:rPr>
                <w:color w:val="auto"/>
                <w:vertAlign w:val="subscript"/>
              </w:rPr>
              <w:t>i</w:t>
            </w:r>
            <w:r>
              <w:rPr>
                <w:color w:val="auto"/>
                <w:kern w:val="0"/>
              </w:rPr>
              <w:t>——第i倍频带的A计权网格修正值，dB，本项目取0</w:t>
            </w:r>
            <w:r>
              <w:rPr>
                <w:color w:val="auto"/>
                <w:lang w:val="pt-BR"/>
              </w:rPr>
              <w:t>；</w:t>
            </w:r>
          </w:p>
          <w:p w14:paraId="48A59932">
            <w:pPr>
              <w:ind w:firstLine="482"/>
              <w:rPr>
                <w:b/>
                <w:bCs/>
                <w:color w:val="auto"/>
                <w:kern w:val="0"/>
              </w:rPr>
            </w:pPr>
            <w:r>
              <w:rPr>
                <w:b/>
                <w:bCs/>
                <w:color w:val="auto"/>
                <w:kern w:val="0"/>
              </w:rPr>
              <w:t>（2）预测点</w:t>
            </w:r>
          </w:p>
          <w:p w14:paraId="1D5CC854">
            <w:pPr>
              <w:ind w:firstLine="480"/>
              <w:rPr>
                <w:color w:val="auto"/>
                <w:kern w:val="0"/>
              </w:rPr>
            </w:pPr>
            <w:r>
              <w:rPr>
                <w:color w:val="auto"/>
              </w:rPr>
              <w:t>预测点点位分别布设于项目东、南、西、北厂界，共设置4个预测点。</w:t>
            </w:r>
          </w:p>
          <w:p w14:paraId="48E232F0">
            <w:pPr>
              <w:ind w:firstLine="482"/>
              <w:rPr>
                <w:b/>
                <w:bCs/>
                <w:color w:val="auto"/>
                <w:kern w:val="0"/>
              </w:rPr>
            </w:pPr>
            <w:r>
              <w:rPr>
                <w:b/>
                <w:bCs/>
                <w:color w:val="auto"/>
                <w:kern w:val="0"/>
              </w:rPr>
              <w:t>（3）执行标准</w:t>
            </w:r>
          </w:p>
          <w:p w14:paraId="5AC54AB1">
            <w:pPr>
              <w:ind w:firstLine="480"/>
              <w:rPr>
                <w:color w:val="auto"/>
                <w:kern w:val="0"/>
              </w:rPr>
            </w:pPr>
            <w:r>
              <w:rPr>
                <w:color w:val="auto"/>
              </w:rPr>
              <w:t>厂界噪声执行《工业企业厂界环境噪声排放标准》（GB12348－2008）中2类区标准，即昼间60</w:t>
            </w:r>
            <w:r>
              <w:rPr>
                <w:color w:val="auto"/>
                <w:spacing w:val="4"/>
              </w:rPr>
              <w:t>dB(A)</w:t>
            </w:r>
            <w:r>
              <w:rPr>
                <w:color w:val="auto"/>
              </w:rPr>
              <w:t>，夜间50</w:t>
            </w:r>
            <w:r>
              <w:rPr>
                <w:color w:val="auto"/>
                <w:spacing w:val="4"/>
              </w:rPr>
              <w:t>dB(A)。</w:t>
            </w:r>
          </w:p>
          <w:p w14:paraId="05507653">
            <w:pPr>
              <w:ind w:firstLine="480"/>
              <w:jc w:val="left"/>
              <w:rPr>
                <w:color w:val="auto"/>
              </w:rPr>
            </w:pPr>
            <w:r>
              <w:rPr>
                <w:color w:val="auto"/>
              </w:rPr>
              <w:t>（1）噪声源</w:t>
            </w:r>
          </w:p>
          <w:p w14:paraId="64CD9673">
            <w:pPr>
              <w:ind w:firstLine="480"/>
              <w:rPr>
                <w:color w:val="auto"/>
              </w:rPr>
            </w:pPr>
            <w:r>
              <w:rPr>
                <w:color w:val="auto"/>
              </w:rPr>
              <w:t>运营期项目噪声主要来源于生产过程中各生产设备，噪声排放形式为昼间</w:t>
            </w:r>
            <w:r>
              <w:rPr>
                <w:rFonts w:hint="eastAsia"/>
                <w:color w:val="auto"/>
              </w:rPr>
              <w:t>和夜间</w:t>
            </w:r>
            <w:r>
              <w:rPr>
                <w:color w:val="auto"/>
              </w:rPr>
              <w:t>间断排放。本项目噪声源强设备布置在</w:t>
            </w:r>
            <w:r>
              <w:rPr>
                <w:rFonts w:hint="eastAsia"/>
                <w:color w:val="auto"/>
              </w:rPr>
              <w:t>项目区</w:t>
            </w:r>
            <w:r>
              <w:rPr>
                <w:color w:val="auto"/>
              </w:rPr>
              <w:t>内部，在设备上设置减震基础、再通过厂房建筑物隔声后，降噪值一般在15dB（A）左右。噪声源、设备距离各厂界的距离见下表。</w:t>
            </w:r>
          </w:p>
          <w:p w14:paraId="780CEC7C">
            <w:pPr>
              <w:pStyle w:val="29"/>
              <w:spacing w:before="24" w:after="24"/>
              <w:rPr>
                <w:color w:val="auto"/>
              </w:rPr>
            </w:pPr>
            <w:r>
              <w:rPr>
                <w:color w:val="auto"/>
              </w:rPr>
              <w:t>表</w:t>
            </w:r>
            <w:r>
              <w:rPr>
                <w:rFonts w:hint="eastAsia"/>
                <w:color w:val="auto"/>
                <w:lang w:val="en-US" w:eastAsia="zh-CN"/>
              </w:rPr>
              <w:t xml:space="preserve">4-13 </w:t>
            </w:r>
            <w:r>
              <w:rPr>
                <w:color w:val="auto"/>
              </w:rPr>
              <w:t xml:space="preserve"> 主要生产设备一览表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1"/>
              <w:gridCol w:w="2151"/>
              <w:gridCol w:w="1643"/>
              <w:gridCol w:w="1831"/>
              <w:gridCol w:w="1848"/>
            </w:tblGrid>
            <w:tr w14:paraId="6469E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noWrap w:val="0"/>
                  <w:vAlign w:val="center"/>
                </w:tcPr>
                <w:p w14:paraId="60338A38">
                  <w:pPr>
                    <w:pStyle w:val="28"/>
                    <w:rPr>
                      <w:b/>
                      <w:bCs/>
                      <w:color w:val="auto"/>
                    </w:rPr>
                  </w:pPr>
                  <w:r>
                    <w:rPr>
                      <w:b/>
                      <w:bCs/>
                      <w:color w:val="auto"/>
                    </w:rPr>
                    <w:t>序号</w:t>
                  </w:r>
                </w:p>
              </w:tc>
              <w:tc>
                <w:tcPr>
                  <w:tcW w:w="1237" w:type="pct"/>
                  <w:noWrap w:val="0"/>
                  <w:vAlign w:val="center"/>
                </w:tcPr>
                <w:p w14:paraId="1D4C4FB1">
                  <w:pPr>
                    <w:pStyle w:val="28"/>
                    <w:rPr>
                      <w:b/>
                      <w:bCs/>
                      <w:color w:val="auto"/>
                    </w:rPr>
                  </w:pPr>
                  <w:r>
                    <w:rPr>
                      <w:b/>
                      <w:bCs/>
                      <w:color w:val="auto"/>
                    </w:rPr>
                    <w:t>名称</w:t>
                  </w:r>
                </w:p>
              </w:tc>
              <w:tc>
                <w:tcPr>
                  <w:tcW w:w="945" w:type="pct"/>
                  <w:noWrap w:val="0"/>
                  <w:vAlign w:val="center"/>
                </w:tcPr>
                <w:p w14:paraId="6A95E402">
                  <w:pPr>
                    <w:pStyle w:val="28"/>
                    <w:rPr>
                      <w:b/>
                      <w:bCs/>
                      <w:color w:val="auto"/>
                    </w:rPr>
                  </w:pPr>
                  <w:r>
                    <w:rPr>
                      <w:b/>
                      <w:bCs/>
                      <w:color w:val="auto"/>
                    </w:rPr>
                    <w:t>噪声源强dB(A)</w:t>
                  </w:r>
                </w:p>
              </w:tc>
              <w:tc>
                <w:tcPr>
                  <w:tcW w:w="1053" w:type="pct"/>
                  <w:noWrap w:val="0"/>
                  <w:vAlign w:val="center"/>
                </w:tcPr>
                <w:p w14:paraId="71E889FE">
                  <w:pPr>
                    <w:pStyle w:val="28"/>
                    <w:rPr>
                      <w:b/>
                      <w:bCs/>
                      <w:color w:val="auto"/>
                    </w:rPr>
                  </w:pPr>
                  <w:r>
                    <w:rPr>
                      <w:b/>
                      <w:bCs/>
                      <w:color w:val="auto"/>
                    </w:rPr>
                    <w:t>数量</w:t>
                  </w:r>
                </w:p>
                <w:p w14:paraId="60452511">
                  <w:pPr>
                    <w:pStyle w:val="28"/>
                    <w:rPr>
                      <w:b/>
                      <w:bCs/>
                      <w:color w:val="auto"/>
                    </w:rPr>
                  </w:pPr>
                  <w:r>
                    <w:rPr>
                      <w:b/>
                      <w:bCs/>
                      <w:color w:val="auto"/>
                    </w:rPr>
                    <w:t>（台/套）</w:t>
                  </w:r>
                </w:p>
              </w:tc>
              <w:tc>
                <w:tcPr>
                  <w:tcW w:w="1063" w:type="pct"/>
                  <w:noWrap w:val="0"/>
                  <w:vAlign w:val="center"/>
                </w:tcPr>
                <w:p w14:paraId="0468249D">
                  <w:pPr>
                    <w:pStyle w:val="28"/>
                    <w:rPr>
                      <w:b/>
                      <w:bCs/>
                      <w:color w:val="auto"/>
                    </w:rPr>
                  </w:pPr>
                  <w:r>
                    <w:rPr>
                      <w:b/>
                      <w:bCs/>
                      <w:color w:val="auto"/>
                    </w:rPr>
                    <w:t>采取措施</w:t>
                  </w:r>
                </w:p>
              </w:tc>
            </w:tr>
            <w:tr w14:paraId="6CABA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2" w:type="pct"/>
                  <w:noWrap w:val="0"/>
                  <w:vAlign w:val="center"/>
                </w:tcPr>
                <w:p w14:paraId="3092ECE6">
                  <w:pPr>
                    <w:pStyle w:val="28"/>
                    <w:rPr>
                      <w:color w:val="auto"/>
                    </w:rPr>
                  </w:pPr>
                  <w:r>
                    <w:rPr>
                      <w:color w:val="auto"/>
                    </w:rPr>
                    <w:t>1</w:t>
                  </w:r>
                </w:p>
              </w:tc>
              <w:tc>
                <w:tcPr>
                  <w:tcW w:w="1237" w:type="pct"/>
                  <w:noWrap w:val="0"/>
                  <w:vAlign w:val="center"/>
                </w:tcPr>
                <w:p w14:paraId="1D68CF84">
                  <w:pPr>
                    <w:pStyle w:val="28"/>
                    <w:rPr>
                      <w:color w:val="auto"/>
                    </w:rPr>
                  </w:pPr>
                  <w:r>
                    <w:rPr>
                      <w:rFonts w:hint="eastAsia"/>
                      <w:color w:val="auto"/>
                    </w:rPr>
                    <w:t>搅拌机</w:t>
                  </w:r>
                </w:p>
              </w:tc>
              <w:tc>
                <w:tcPr>
                  <w:tcW w:w="945" w:type="pct"/>
                  <w:noWrap w:val="0"/>
                  <w:vAlign w:val="center"/>
                </w:tcPr>
                <w:p w14:paraId="770A67EA">
                  <w:pPr>
                    <w:pStyle w:val="28"/>
                    <w:rPr>
                      <w:color w:val="auto"/>
                    </w:rPr>
                  </w:pPr>
                  <w:r>
                    <w:rPr>
                      <w:rFonts w:hint="eastAsia"/>
                      <w:color w:val="auto"/>
                    </w:rPr>
                    <w:t>90</w:t>
                  </w:r>
                </w:p>
              </w:tc>
              <w:tc>
                <w:tcPr>
                  <w:tcW w:w="1053" w:type="pct"/>
                  <w:noWrap w:val="0"/>
                  <w:vAlign w:val="center"/>
                </w:tcPr>
                <w:p w14:paraId="413B99E4">
                  <w:pPr>
                    <w:pStyle w:val="28"/>
                    <w:rPr>
                      <w:color w:val="auto"/>
                    </w:rPr>
                  </w:pPr>
                  <w:r>
                    <w:rPr>
                      <w:color w:val="auto"/>
                    </w:rPr>
                    <w:t>1</w:t>
                  </w:r>
                </w:p>
              </w:tc>
              <w:tc>
                <w:tcPr>
                  <w:tcW w:w="1063" w:type="pct"/>
                  <w:vMerge w:val="restart"/>
                  <w:noWrap w:val="0"/>
                  <w:vAlign w:val="center"/>
                </w:tcPr>
                <w:p w14:paraId="505B0ACF">
                  <w:pPr>
                    <w:pStyle w:val="28"/>
                    <w:rPr>
                      <w:color w:val="auto"/>
                    </w:rPr>
                  </w:pPr>
                  <w:r>
                    <w:rPr>
                      <w:color w:val="auto"/>
                      <w:szCs w:val="21"/>
                    </w:rPr>
                    <w:t>通过选用低噪声设备，固定设备安装减震垫，厂区建筑物隔声，车辆运输厂内限速禁鸣等措施降低设备噪声。</w:t>
                  </w:r>
                </w:p>
              </w:tc>
            </w:tr>
            <w:tr w14:paraId="1D0AE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noWrap w:val="0"/>
                  <w:vAlign w:val="center"/>
                </w:tcPr>
                <w:p w14:paraId="4D99D1F7">
                  <w:pPr>
                    <w:pStyle w:val="28"/>
                    <w:rPr>
                      <w:color w:val="auto"/>
                    </w:rPr>
                  </w:pPr>
                  <w:r>
                    <w:rPr>
                      <w:color w:val="auto"/>
                    </w:rPr>
                    <w:t>2</w:t>
                  </w:r>
                </w:p>
              </w:tc>
              <w:tc>
                <w:tcPr>
                  <w:tcW w:w="1237" w:type="pct"/>
                  <w:noWrap w:val="0"/>
                  <w:vAlign w:val="top"/>
                </w:tcPr>
                <w:p w14:paraId="6120A1D8">
                  <w:pPr>
                    <w:pStyle w:val="28"/>
                    <w:rPr>
                      <w:color w:val="auto"/>
                    </w:rPr>
                  </w:pPr>
                  <w:r>
                    <w:rPr>
                      <w:rFonts w:hint="eastAsia"/>
                      <w:color w:val="auto"/>
                    </w:rPr>
                    <w:t>柴油发电机</w:t>
                  </w:r>
                </w:p>
              </w:tc>
              <w:tc>
                <w:tcPr>
                  <w:tcW w:w="945" w:type="pct"/>
                  <w:noWrap w:val="0"/>
                  <w:vAlign w:val="center"/>
                </w:tcPr>
                <w:p w14:paraId="49697769">
                  <w:pPr>
                    <w:pStyle w:val="28"/>
                    <w:rPr>
                      <w:color w:val="auto"/>
                    </w:rPr>
                  </w:pPr>
                  <w:r>
                    <w:rPr>
                      <w:rFonts w:hint="eastAsia"/>
                      <w:color w:val="auto"/>
                    </w:rPr>
                    <w:t>70</w:t>
                  </w:r>
                </w:p>
              </w:tc>
              <w:tc>
                <w:tcPr>
                  <w:tcW w:w="1053" w:type="pct"/>
                  <w:noWrap w:val="0"/>
                  <w:vAlign w:val="center"/>
                </w:tcPr>
                <w:p w14:paraId="6C11C850">
                  <w:pPr>
                    <w:pStyle w:val="28"/>
                    <w:rPr>
                      <w:color w:val="auto"/>
                    </w:rPr>
                  </w:pPr>
                  <w:r>
                    <w:rPr>
                      <w:rFonts w:hint="eastAsia"/>
                      <w:color w:val="auto"/>
                    </w:rPr>
                    <w:t>1</w:t>
                  </w:r>
                </w:p>
              </w:tc>
              <w:tc>
                <w:tcPr>
                  <w:tcW w:w="1063" w:type="pct"/>
                  <w:vMerge w:val="continue"/>
                  <w:noWrap w:val="0"/>
                  <w:vAlign w:val="center"/>
                </w:tcPr>
                <w:p w14:paraId="451D5E61">
                  <w:pPr>
                    <w:pStyle w:val="28"/>
                    <w:rPr>
                      <w:color w:val="auto"/>
                    </w:rPr>
                  </w:pPr>
                </w:p>
              </w:tc>
            </w:tr>
            <w:tr w14:paraId="334D4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noWrap w:val="0"/>
                  <w:vAlign w:val="center"/>
                </w:tcPr>
                <w:p w14:paraId="0D8EE53F">
                  <w:pPr>
                    <w:pStyle w:val="28"/>
                    <w:rPr>
                      <w:color w:val="auto"/>
                    </w:rPr>
                  </w:pPr>
                  <w:r>
                    <w:rPr>
                      <w:color w:val="auto"/>
                    </w:rPr>
                    <w:t>3</w:t>
                  </w:r>
                </w:p>
              </w:tc>
              <w:tc>
                <w:tcPr>
                  <w:tcW w:w="1237" w:type="pct"/>
                  <w:noWrap w:val="0"/>
                  <w:vAlign w:val="top"/>
                </w:tcPr>
                <w:p w14:paraId="5E5B449C">
                  <w:pPr>
                    <w:pStyle w:val="28"/>
                    <w:rPr>
                      <w:color w:val="auto"/>
                    </w:rPr>
                  </w:pPr>
                  <w:r>
                    <w:rPr>
                      <w:rFonts w:hint="eastAsia"/>
                      <w:color w:val="auto"/>
                    </w:rPr>
                    <w:t>空气压缩机</w:t>
                  </w:r>
                </w:p>
              </w:tc>
              <w:tc>
                <w:tcPr>
                  <w:tcW w:w="945" w:type="pct"/>
                  <w:noWrap w:val="0"/>
                  <w:vAlign w:val="center"/>
                </w:tcPr>
                <w:p w14:paraId="060C3188">
                  <w:pPr>
                    <w:pStyle w:val="28"/>
                    <w:rPr>
                      <w:color w:val="auto"/>
                    </w:rPr>
                  </w:pPr>
                  <w:r>
                    <w:rPr>
                      <w:rFonts w:hint="eastAsia"/>
                      <w:color w:val="auto"/>
                    </w:rPr>
                    <w:t>90</w:t>
                  </w:r>
                </w:p>
              </w:tc>
              <w:tc>
                <w:tcPr>
                  <w:tcW w:w="1053" w:type="pct"/>
                  <w:noWrap w:val="0"/>
                  <w:vAlign w:val="center"/>
                </w:tcPr>
                <w:p w14:paraId="6E4D196A">
                  <w:pPr>
                    <w:pStyle w:val="28"/>
                    <w:rPr>
                      <w:color w:val="auto"/>
                    </w:rPr>
                  </w:pPr>
                  <w:r>
                    <w:rPr>
                      <w:rFonts w:hint="eastAsia"/>
                      <w:color w:val="auto"/>
                    </w:rPr>
                    <w:t>2</w:t>
                  </w:r>
                </w:p>
              </w:tc>
              <w:tc>
                <w:tcPr>
                  <w:tcW w:w="1063" w:type="pct"/>
                  <w:vMerge w:val="continue"/>
                  <w:noWrap w:val="0"/>
                  <w:vAlign w:val="center"/>
                </w:tcPr>
                <w:p w14:paraId="65AD6379">
                  <w:pPr>
                    <w:pStyle w:val="28"/>
                    <w:rPr>
                      <w:color w:val="auto"/>
                    </w:rPr>
                  </w:pPr>
                </w:p>
              </w:tc>
            </w:tr>
            <w:tr w14:paraId="3AF70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noWrap w:val="0"/>
                  <w:vAlign w:val="center"/>
                </w:tcPr>
                <w:p w14:paraId="1F388AF3">
                  <w:pPr>
                    <w:pStyle w:val="28"/>
                    <w:rPr>
                      <w:color w:val="auto"/>
                    </w:rPr>
                  </w:pPr>
                  <w:r>
                    <w:rPr>
                      <w:color w:val="auto"/>
                    </w:rPr>
                    <w:t>4</w:t>
                  </w:r>
                </w:p>
              </w:tc>
              <w:tc>
                <w:tcPr>
                  <w:tcW w:w="1237" w:type="pct"/>
                  <w:noWrap w:val="0"/>
                  <w:vAlign w:val="center"/>
                </w:tcPr>
                <w:p w14:paraId="6E1C37D7">
                  <w:pPr>
                    <w:pStyle w:val="28"/>
                    <w:rPr>
                      <w:color w:val="auto"/>
                    </w:rPr>
                  </w:pPr>
                  <w:r>
                    <w:rPr>
                      <w:rFonts w:hint="eastAsia"/>
                      <w:color w:val="auto"/>
                    </w:rPr>
                    <w:t>叉车</w:t>
                  </w:r>
                </w:p>
              </w:tc>
              <w:tc>
                <w:tcPr>
                  <w:tcW w:w="945" w:type="pct"/>
                  <w:noWrap w:val="0"/>
                  <w:vAlign w:val="center"/>
                </w:tcPr>
                <w:p w14:paraId="2AA2C79C">
                  <w:pPr>
                    <w:pStyle w:val="28"/>
                    <w:rPr>
                      <w:color w:val="auto"/>
                    </w:rPr>
                  </w:pPr>
                  <w:r>
                    <w:rPr>
                      <w:color w:val="auto"/>
                    </w:rPr>
                    <w:t>70</w:t>
                  </w:r>
                </w:p>
              </w:tc>
              <w:tc>
                <w:tcPr>
                  <w:tcW w:w="1053" w:type="pct"/>
                  <w:noWrap w:val="0"/>
                  <w:vAlign w:val="center"/>
                </w:tcPr>
                <w:p w14:paraId="184EE4B2">
                  <w:pPr>
                    <w:pStyle w:val="28"/>
                    <w:rPr>
                      <w:color w:val="auto"/>
                    </w:rPr>
                  </w:pPr>
                  <w:r>
                    <w:rPr>
                      <w:color w:val="auto"/>
                    </w:rPr>
                    <w:t>2</w:t>
                  </w:r>
                </w:p>
              </w:tc>
              <w:tc>
                <w:tcPr>
                  <w:tcW w:w="1063" w:type="pct"/>
                  <w:vMerge w:val="continue"/>
                  <w:noWrap w:val="0"/>
                  <w:vAlign w:val="center"/>
                </w:tcPr>
                <w:p w14:paraId="009337C2">
                  <w:pPr>
                    <w:pStyle w:val="28"/>
                    <w:rPr>
                      <w:color w:val="auto"/>
                    </w:rPr>
                  </w:pPr>
                </w:p>
              </w:tc>
            </w:tr>
            <w:tr w14:paraId="0BD31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2" w:type="pct"/>
                  <w:noWrap w:val="0"/>
                  <w:vAlign w:val="center"/>
                </w:tcPr>
                <w:p w14:paraId="213F8D78">
                  <w:pPr>
                    <w:pStyle w:val="28"/>
                    <w:rPr>
                      <w:color w:val="auto"/>
                    </w:rPr>
                  </w:pPr>
                  <w:r>
                    <w:rPr>
                      <w:color w:val="auto"/>
                    </w:rPr>
                    <w:t>5</w:t>
                  </w:r>
                </w:p>
              </w:tc>
              <w:tc>
                <w:tcPr>
                  <w:tcW w:w="1237" w:type="pct"/>
                  <w:noWrap w:val="0"/>
                  <w:vAlign w:val="center"/>
                </w:tcPr>
                <w:p w14:paraId="54700AA6">
                  <w:pPr>
                    <w:pStyle w:val="28"/>
                    <w:rPr>
                      <w:color w:val="auto"/>
                    </w:rPr>
                  </w:pPr>
                  <w:r>
                    <w:rPr>
                      <w:rFonts w:hint="eastAsia"/>
                      <w:color w:val="auto"/>
                    </w:rPr>
                    <w:t>装载机</w:t>
                  </w:r>
                </w:p>
              </w:tc>
              <w:tc>
                <w:tcPr>
                  <w:tcW w:w="945" w:type="pct"/>
                  <w:noWrap w:val="0"/>
                  <w:vAlign w:val="center"/>
                </w:tcPr>
                <w:p w14:paraId="72FB508A">
                  <w:pPr>
                    <w:pStyle w:val="28"/>
                    <w:rPr>
                      <w:color w:val="auto"/>
                    </w:rPr>
                  </w:pPr>
                  <w:r>
                    <w:rPr>
                      <w:rFonts w:hint="eastAsia"/>
                      <w:color w:val="auto"/>
                    </w:rPr>
                    <w:t>90</w:t>
                  </w:r>
                </w:p>
              </w:tc>
              <w:tc>
                <w:tcPr>
                  <w:tcW w:w="1053" w:type="pct"/>
                  <w:noWrap w:val="0"/>
                  <w:vAlign w:val="center"/>
                </w:tcPr>
                <w:p w14:paraId="674EAE84">
                  <w:pPr>
                    <w:pStyle w:val="28"/>
                    <w:rPr>
                      <w:color w:val="auto"/>
                    </w:rPr>
                  </w:pPr>
                  <w:r>
                    <w:rPr>
                      <w:color w:val="auto"/>
                    </w:rPr>
                    <w:t>1</w:t>
                  </w:r>
                </w:p>
              </w:tc>
              <w:tc>
                <w:tcPr>
                  <w:tcW w:w="1063" w:type="pct"/>
                  <w:vMerge w:val="continue"/>
                  <w:noWrap w:val="0"/>
                  <w:vAlign w:val="center"/>
                </w:tcPr>
                <w:p w14:paraId="1F265A21">
                  <w:pPr>
                    <w:pStyle w:val="28"/>
                    <w:rPr>
                      <w:color w:val="auto"/>
                    </w:rPr>
                  </w:pPr>
                </w:p>
              </w:tc>
            </w:tr>
            <w:tr w14:paraId="716D2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noWrap w:val="0"/>
                  <w:vAlign w:val="center"/>
                </w:tcPr>
                <w:p w14:paraId="02516900">
                  <w:pPr>
                    <w:pStyle w:val="28"/>
                    <w:rPr>
                      <w:color w:val="auto"/>
                    </w:rPr>
                  </w:pPr>
                  <w:r>
                    <w:rPr>
                      <w:color w:val="auto"/>
                    </w:rPr>
                    <w:t>6</w:t>
                  </w:r>
                </w:p>
              </w:tc>
              <w:tc>
                <w:tcPr>
                  <w:tcW w:w="1237" w:type="pct"/>
                  <w:noWrap w:val="0"/>
                  <w:vAlign w:val="center"/>
                </w:tcPr>
                <w:p w14:paraId="5B531635">
                  <w:pPr>
                    <w:pStyle w:val="28"/>
                    <w:rPr>
                      <w:color w:val="auto"/>
                    </w:rPr>
                  </w:pPr>
                  <w:r>
                    <w:rPr>
                      <w:rFonts w:hint="eastAsia"/>
                      <w:color w:val="auto"/>
                    </w:rPr>
                    <w:t>轨枕湿润养护控制设备</w:t>
                  </w:r>
                </w:p>
              </w:tc>
              <w:tc>
                <w:tcPr>
                  <w:tcW w:w="945" w:type="pct"/>
                  <w:noWrap w:val="0"/>
                  <w:vAlign w:val="center"/>
                </w:tcPr>
                <w:p w14:paraId="29B13614">
                  <w:pPr>
                    <w:pStyle w:val="28"/>
                    <w:rPr>
                      <w:color w:val="auto"/>
                    </w:rPr>
                  </w:pPr>
                  <w:r>
                    <w:rPr>
                      <w:rFonts w:hint="eastAsia"/>
                      <w:color w:val="auto"/>
                    </w:rPr>
                    <w:t>60</w:t>
                  </w:r>
                </w:p>
              </w:tc>
              <w:tc>
                <w:tcPr>
                  <w:tcW w:w="1053" w:type="pct"/>
                  <w:noWrap w:val="0"/>
                  <w:vAlign w:val="center"/>
                </w:tcPr>
                <w:p w14:paraId="74741215">
                  <w:pPr>
                    <w:pStyle w:val="28"/>
                    <w:rPr>
                      <w:color w:val="auto"/>
                    </w:rPr>
                  </w:pPr>
                  <w:r>
                    <w:rPr>
                      <w:color w:val="auto"/>
                    </w:rPr>
                    <w:t>1</w:t>
                  </w:r>
                </w:p>
              </w:tc>
              <w:tc>
                <w:tcPr>
                  <w:tcW w:w="1063" w:type="pct"/>
                  <w:vMerge w:val="continue"/>
                  <w:noWrap w:val="0"/>
                  <w:vAlign w:val="center"/>
                </w:tcPr>
                <w:p w14:paraId="6FA9C648">
                  <w:pPr>
                    <w:pStyle w:val="28"/>
                    <w:rPr>
                      <w:color w:val="auto"/>
                    </w:rPr>
                  </w:pPr>
                </w:p>
              </w:tc>
            </w:tr>
            <w:tr w14:paraId="7ADE7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noWrap w:val="0"/>
                  <w:vAlign w:val="center"/>
                </w:tcPr>
                <w:p w14:paraId="119A622B">
                  <w:pPr>
                    <w:pStyle w:val="28"/>
                    <w:rPr>
                      <w:color w:val="auto"/>
                    </w:rPr>
                  </w:pPr>
                  <w:r>
                    <w:rPr>
                      <w:color w:val="auto"/>
                    </w:rPr>
                    <w:t>7</w:t>
                  </w:r>
                </w:p>
              </w:tc>
              <w:tc>
                <w:tcPr>
                  <w:tcW w:w="1237" w:type="pct"/>
                  <w:noWrap w:val="0"/>
                  <w:vAlign w:val="center"/>
                </w:tcPr>
                <w:p w14:paraId="764BD32D">
                  <w:pPr>
                    <w:pStyle w:val="28"/>
                    <w:rPr>
                      <w:color w:val="auto"/>
                    </w:rPr>
                  </w:pPr>
                  <w:r>
                    <w:rPr>
                      <w:rFonts w:hint="eastAsia"/>
                      <w:color w:val="auto"/>
                    </w:rPr>
                    <w:t>数控弯箍机</w:t>
                  </w:r>
                </w:p>
              </w:tc>
              <w:tc>
                <w:tcPr>
                  <w:tcW w:w="945" w:type="pct"/>
                  <w:noWrap w:val="0"/>
                  <w:vAlign w:val="center"/>
                </w:tcPr>
                <w:p w14:paraId="68FC16B4">
                  <w:pPr>
                    <w:pStyle w:val="28"/>
                    <w:rPr>
                      <w:color w:val="auto"/>
                    </w:rPr>
                  </w:pPr>
                  <w:r>
                    <w:rPr>
                      <w:rFonts w:hint="eastAsia"/>
                      <w:color w:val="auto"/>
                    </w:rPr>
                    <w:t>70</w:t>
                  </w:r>
                </w:p>
              </w:tc>
              <w:tc>
                <w:tcPr>
                  <w:tcW w:w="1053" w:type="pct"/>
                  <w:noWrap w:val="0"/>
                  <w:vAlign w:val="center"/>
                </w:tcPr>
                <w:p w14:paraId="2CB0950A">
                  <w:pPr>
                    <w:pStyle w:val="28"/>
                    <w:rPr>
                      <w:color w:val="auto"/>
                    </w:rPr>
                  </w:pPr>
                  <w:r>
                    <w:rPr>
                      <w:color w:val="auto"/>
                    </w:rPr>
                    <w:t>1</w:t>
                  </w:r>
                </w:p>
              </w:tc>
              <w:tc>
                <w:tcPr>
                  <w:tcW w:w="1063" w:type="pct"/>
                  <w:vMerge w:val="continue"/>
                  <w:noWrap w:val="0"/>
                  <w:vAlign w:val="center"/>
                </w:tcPr>
                <w:p w14:paraId="0BCE6350">
                  <w:pPr>
                    <w:pStyle w:val="28"/>
                    <w:rPr>
                      <w:color w:val="auto"/>
                    </w:rPr>
                  </w:pPr>
                </w:p>
              </w:tc>
            </w:tr>
            <w:tr w14:paraId="607F5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noWrap w:val="0"/>
                  <w:vAlign w:val="center"/>
                </w:tcPr>
                <w:p w14:paraId="6EB5F1EA">
                  <w:pPr>
                    <w:pStyle w:val="28"/>
                    <w:rPr>
                      <w:color w:val="auto"/>
                    </w:rPr>
                  </w:pPr>
                  <w:r>
                    <w:rPr>
                      <w:color w:val="auto"/>
                    </w:rPr>
                    <w:t>8</w:t>
                  </w:r>
                </w:p>
              </w:tc>
              <w:tc>
                <w:tcPr>
                  <w:tcW w:w="1237" w:type="pct"/>
                  <w:noWrap w:val="0"/>
                  <w:vAlign w:val="center"/>
                </w:tcPr>
                <w:p w14:paraId="46BC089E">
                  <w:pPr>
                    <w:pStyle w:val="28"/>
                    <w:rPr>
                      <w:color w:val="auto"/>
                    </w:rPr>
                  </w:pPr>
                  <w:r>
                    <w:rPr>
                      <w:rFonts w:hint="eastAsia"/>
                      <w:color w:val="auto"/>
                    </w:rPr>
                    <w:t>污水处理设备（压滤机）</w:t>
                  </w:r>
                </w:p>
              </w:tc>
              <w:tc>
                <w:tcPr>
                  <w:tcW w:w="945" w:type="pct"/>
                  <w:noWrap w:val="0"/>
                  <w:vAlign w:val="center"/>
                </w:tcPr>
                <w:p w14:paraId="5ADF4CF9">
                  <w:pPr>
                    <w:pStyle w:val="28"/>
                    <w:rPr>
                      <w:color w:val="auto"/>
                    </w:rPr>
                  </w:pPr>
                  <w:r>
                    <w:rPr>
                      <w:rFonts w:hint="eastAsia"/>
                      <w:color w:val="auto"/>
                    </w:rPr>
                    <w:t>70</w:t>
                  </w:r>
                </w:p>
              </w:tc>
              <w:tc>
                <w:tcPr>
                  <w:tcW w:w="1053" w:type="pct"/>
                  <w:noWrap w:val="0"/>
                  <w:vAlign w:val="center"/>
                </w:tcPr>
                <w:p w14:paraId="73742207">
                  <w:pPr>
                    <w:pStyle w:val="28"/>
                    <w:rPr>
                      <w:color w:val="auto"/>
                    </w:rPr>
                  </w:pPr>
                  <w:r>
                    <w:rPr>
                      <w:color w:val="auto"/>
                    </w:rPr>
                    <w:t>1</w:t>
                  </w:r>
                </w:p>
              </w:tc>
              <w:tc>
                <w:tcPr>
                  <w:tcW w:w="1063" w:type="pct"/>
                  <w:vMerge w:val="continue"/>
                  <w:noWrap w:val="0"/>
                  <w:vAlign w:val="center"/>
                </w:tcPr>
                <w:p w14:paraId="645D2EB3">
                  <w:pPr>
                    <w:pStyle w:val="28"/>
                    <w:rPr>
                      <w:color w:val="auto"/>
                    </w:rPr>
                  </w:pPr>
                </w:p>
              </w:tc>
            </w:tr>
            <w:tr w14:paraId="4FA0D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2" w:type="pct"/>
                  <w:noWrap w:val="0"/>
                  <w:vAlign w:val="center"/>
                </w:tcPr>
                <w:p w14:paraId="78D32D33">
                  <w:pPr>
                    <w:pStyle w:val="28"/>
                    <w:rPr>
                      <w:color w:val="auto"/>
                    </w:rPr>
                  </w:pPr>
                  <w:r>
                    <w:rPr>
                      <w:color w:val="auto"/>
                    </w:rPr>
                    <w:t>9</w:t>
                  </w:r>
                </w:p>
              </w:tc>
              <w:tc>
                <w:tcPr>
                  <w:tcW w:w="1237" w:type="pct"/>
                  <w:noWrap w:val="0"/>
                  <w:vAlign w:val="center"/>
                </w:tcPr>
                <w:p w14:paraId="53707D66">
                  <w:pPr>
                    <w:pStyle w:val="28"/>
                    <w:rPr>
                      <w:color w:val="auto"/>
                    </w:rPr>
                  </w:pPr>
                  <w:r>
                    <w:rPr>
                      <w:rFonts w:hint="eastAsia"/>
                      <w:color w:val="auto"/>
                    </w:rPr>
                    <w:t>混凝土布料机</w:t>
                  </w:r>
                </w:p>
              </w:tc>
              <w:tc>
                <w:tcPr>
                  <w:tcW w:w="945" w:type="pct"/>
                  <w:noWrap w:val="0"/>
                  <w:vAlign w:val="center"/>
                </w:tcPr>
                <w:p w14:paraId="6F07D494">
                  <w:pPr>
                    <w:pStyle w:val="28"/>
                    <w:rPr>
                      <w:color w:val="auto"/>
                    </w:rPr>
                  </w:pPr>
                  <w:r>
                    <w:rPr>
                      <w:rFonts w:hint="eastAsia"/>
                      <w:color w:val="auto"/>
                    </w:rPr>
                    <w:t>90</w:t>
                  </w:r>
                </w:p>
              </w:tc>
              <w:tc>
                <w:tcPr>
                  <w:tcW w:w="1053" w:type="pct"/>
                  <w:noWrap w:val="0"/>
                  <w:vAlign w:val="center"/>
                </w:tcPr>
                <w:p w14:paraId="5B05B844">
                  <w:pPr>
                    <w:pStyle w:val="28"/>
                    <w:rPr>
                      <w:color w:val="auto"/>
                    </w:rPr>
                  </w:pPr>
                  <w:r>
                    <w:rPr>
                      <w:color w:val="auto"/>
                    </w:rPr>
                    <w:t>1</w:t>
                  </w:r>
                </w:p>
              </w:tc>
              <w:tc>
                <w:tcPr>
                  <w:tcW w:w="1063" w:type="pct"/>
                  <w:vMerge w:val="continue"/>
                  <w:noWrap w:val="0"/>
                  <w:vAlign w:val="center"/>
                </w:tcPr>
                <w:p w14:paraId="2A7A9067">
                  <w:pPr>
                    <w:pStyle w:val="28"/>
                    <w:rPr>
                      <w:color w:val="auto"/>
                    </w:rPr>
                  </w:pPr>
                </w:p>
              </w:tc>
            </w:tr>
            <w:tr w14:paraId="29827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noWrap w:val="0"/>
                  <w:vAlign w:val="center"/>
                </w:tcPr>
                <w:p w14:paraId="1095DD3F">
                  <w:pPr>
                    <w:pStyle w:val="28"/>
                    <w:rPr>
                      <w:color w:val="auto"/>
                    </w:rPr>
                  </w:pPr>
                  <w:r>
                    <w:rPr>
                      <w:color w:val="auto"/>
                    </w:rPr>
                    <w:t>10</w:t>
                  </w:r>
                </w:p>
              </w:tc>
              <w:tc>
                <w:tcPr>
                  <w:tcW w:w="1237" w:type="pct"/>
                  <w:noWrap w:val="0"/>
                  <w:vAlign w:val="center"/>
                </w:tcPr>
                <w:p w14:paraId="4CDEE28C">
                  <w:pPr>
                    <w:pStyle w:val="28"/>
                    <w:rPr>
                      <w:color w:val="auto"/>
                    </w:rPr>
                  </w:pPr>
                  <w:r>
                    <w:rPr>
                      <w:rFonts w:hint="eastAsia"/>
                      <w:color w:val="auto"/>
                      <w:lang w:eastAsia="zh-CN"/>
                    </w:rPr>
                    <w:t>混凝土浇筑</w:t>
                  </w:r>
                  <w:r>
                    <w:rPr>
                      <w:rFonts w:hint="eastAsia"/>
                      <w:color w:val="auto"/>
                    </w:rPr>
                    <w:t>/振动台</w:t>
                  </w:r>
                </w:p>
              </w:tc>
              <w:tc>
                <w:tcPr>
                  <w:tcW w:w="945" w:type="pct"/>
                  <w:noWrap w:val="0"/>
                  <w:vAlign w:val="center"/>
                </w:tcPr>
                <w:p w14:paraId="05163A56">
                  <w:pPr>
                    <w:pStyle w:val="28"/>
                    <w:rPr>
                      <w:color w:val="auto"/>
                    </w:rPr>
                  </w:pPr>
                  <w:r>
                    <w:rPr>
                      <w:rFonts w:hint="eastAsia"/>
                      <w:color w:val="auto"/>
                    </w:rPr>
                    <w:t>90</w:t>
                  </w:r>
                </w:p>
              </w:tc>
              <w:tc>
                <w:tcPr>
                  <w:tcW w:w="1053" w:type="pct"/>
                  <w:noWrap w:val="0"/>
                  <w:vAlign w:val="center"/>
                </w:tcPr>
                <w:p w14:paraId="0E12A6F1">
                  <w:pPr>
                    <w:pStyle w:val="28"/>
                    <w:rPr>
                      <w:color w:val="auto"/>
                    </w:rPr>
                  </w:pPr>
                  <w:r>
                    <w:rPr>
                      <w:rFonts w:hint="eastAsia"/>
                      <w:color w:val="auto"/>
                    </w:rPr>
                    <w:t>2</w:t>
                  </w:r>
                </w:p>
              </w:tc>
              <w:tc>
                <w:tcPr>
                  <w:tcW w:w="1063" w:type="pct"/>
                  <w:vMerge w:val="continue"/>
                  <w:noWrap w:val="0"/>
                  <w:vAlign w:val="center"/>
                </w:tcPr>
                <w:p w14:paraId="0396DD18">
                  <w:pPr>
                    <w:pStyle w:val="28"/>
                    <w:rPr>
                      <w:color w:val="auto"/>
                    </w:rPr>
                  </w:pPr>
                </w:p>
              </w:tc>
            </w:tr>
            <w:tr w14:paraId="40AA5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noWrap w:val="0"/>
                  <w:vAlign w:val="center"/>
                </w:tcPr>
                <w:p w14:paraId="4F65D787">
                  <w:pPr>
                    <w:pStyle w:val="28"/>
                    <w:rPr>
                      <w:color w:val="auto"/>
                    </w:rPr>
                  </w:pPr>
                  <w:r>
                    <w:rPr>
                      <w:color w:val="auto"/>
                    </w:rPr>
                    <w:t>11</w:t>
                  </w:r>
                </w:p>
              </w:tc>
              <w:tc>
                <w:tcPr>
                  <w:tcW w:w="1237" w:type="pct"/>
                  <w:noWrap w:val="0"/>
                  <w:vAlign w:val="center"/>
                </w:tcPr>
                <w:p w14:paraId="56850D09">
                  <w:pPr>
                    <w:pStyle w:val="28"/>
                    <w:rPr>
                      <w:color w:val="auto"/>
                    </w:rPr>
                  </w:pPr>
                  <w:r>
                    <w:rPr>
                      <w:rFonts w:hint="eastAsia"/>
                      <w:color w:val="auto"/>
                    </w:rPr>
                    <w:t>养护通道用液压推进装置</w:t>
                  </w:r>
                </w:p>
              </w:tc>
              <w:tc>
                <w:tcPr>
                  <w:tcW w:w="945" w:type="pct"/>
                  <w:noWrap w:val="0"/>
                  <w:vAlign w:val="center"/>
                </w:tcPr>
                <w:p w14:paraId="20E98205">
                  <w:pPr>
                    <w:pStyle w:val="28"/>
                    <w:rPr>
                      <w:color w:val="auto"/>
                    </w:rPr>
                  </w:pPr>
                  <w:r>
                    <w:rPr>
                      <w:rFonts w:hint="eastAsia"/>
                      <w:color w:val="auto"/>
                    </w:rPr>
                    <w:t>70</w:t>
                  </w:r>
                </w:p>
              </w:tc>
              <w:tc>
                <w:tcPr>
                  <w:tcW w:w="1053" w:type="pct"/>
                  <w:noWrap w:val="0"/>
                  <w:vAlign w:val="center"/>
                </w:tcPr>
                <w:p w14:paraId="004C061C">
                  <w:pPr>
                    <w:pStyle w:val="28"/>
                    <w:rPr>
                      <w:color w:val="auto"/>
                    </w:rPr>
                  </w:pPr>
                  <w:r>
                    <w:rPr>
                      <w:rFonts w:hint="eastAsia"/>
                      <w:color w:val="auto"/>
                    </w:rPr>
                    <w:t>2</w:t>
                  </w:r>
                </w:p>
              </w:tc>
              <w:tc>
                <w:tcPr>
                  <w:tcW w:w="1063" w:type="pct"/>
                  <w:vMerge w:val="continue"/>
                  <w:noWrap w:val="0"/>
                  <w:vAlign w:val="center"/>
                </w:tcPr>
                <w:p w14:paraId="063D6D61">
                  <w:pPr>
                    <w:pStyle w:val="28"/>
                    <w:rPr>
                      <w:color w:val="auto"/>
                    </w:rPr>
                  </w:pPr>
                </w:p>
              </w:tc>
            </w:tr>
            <w:tr w14:paraId="2429A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noWrap w:val="0"/>
                  <w:vAlign w:val="center"/>
                </w:tcPr>
                <w:p w14:paraId="2BB2348F">
                  <w:pPr>
                    <w:pStyle w:val="28"/>
                    <w:rPr>
                      <w:color w:val="auto"/>
                    </w:rPr>
                  </w:pPr>
                  <w:r>
                    <w:rPr>
                      <w:color w:val="auto"/>
                    </w:rPr>
                    <w:t>12</w:t>
                  </w:r>
                </w:p>
              </w:tc>
              <w:tc>
                <w:tcPr>
                  <w:tcW w:w="1237" w:type="pct"/>
                  <w:noWrap w:val="0"/>
                  <w:vAlign w:val="center"/>
                </w:tcPr>
                <w:p w14:paraId="28E4C2EE">
                  <w:pPr>
                    <w:pStyle w:val="28"/>
                    <w:rPr>
                      <w:color w:val="auto"/>
                    </w:rPr>
                  </w:pPr>
                  <w:r>
                    <w:rPr>
                      <w:rFonts w:hint="eastAsia"/>
                      <w:color w:val="auto"/>
                    </w:rPr>
                    <w:t>养护通道用钢丝绳传动装置</w:t>
                  </w:r>
                </w:p>
              </w:tc>
              <w:tc>
                <w:tcPr>
                  <w:tcW w:w="945" w:type="pct"/>
                  <w:noWrap w:val="0"/>
                  <w:vAlign w:val="center"/>
                </w:tcPr>
                <w:p w14:paraId="15FC7896">
                  <w:pPr>
                    <w:pStyle w:val="28"/>
                    <w:rPr>
                      <w:color w:val="auto"/>
                    </w:rPr>
                  </w:pPr>
                  <w:r>
                    <w:rPr>
                      <w:rFonts w:hint="eastAsia"/>
                      <w:color w:val="auto"/>
                    </w:rPr>
                    <w:t>60</w:t>
                  </w:r>
                </w:p>
              </w:tc>
              <w:tc>
                <w:tcPr>
                  <w:tcW w:w="1053" w:type="pct"/>
                  <w:noWrap w:val="0"/>
                  <w:vAlign w:val="center"/>
                </w:tcPr>
                <w:p w14:paraId="0E8D5A86">
                  <w:pPr>
                    <w:pStyle w:val="28"/>
                    <w:rPr>
                      <w:color w:val="auto"/>
                    </w:rPr>
                  </w:pPr>
                  <w:r>
                    <w:rPr>
                      <w:rFonts w:hint="eastAsia"/>
                      <w:color w:val="auto"/>
                    </w:rPr>
                    <w:t>2</w:t>
                  </w:r>
                </w:p>
              </w:tc>
              <w:tc>
                <w:tcPr>
                  <w:tcW w:w="1063" w:type="pct"/>
                  <w:vMerge w:val="continue"/>
                  <w:noWrap w:val="0"/>
                  <w:vAlign w:val="center"/>
                </w:tcPr>
                <w:p w14:paraId="0AC5E66D">
                  <w:pPr>
                    <w:pStyle w:val="28"/>
                    <w:rPr>
                      <w:color w:val="auto"/>
                    </w:rPr>
                  </w:pPr>
                </w:p>
              </w:tc>
            </w:tr>
            <w:tr w14:paraId="23D07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noWrap w:val="0"/>
                  <w:vAlign w:val="center"/>
                </w:tcPr>
                <w:p w14:paraId="6A3401BD">
                  <w:pPr>
                    <w:pStyle w:val="28"/>
                    <w:rPr>
                      <w:color w:val="auto"/>
                    </w:rPr>
                  </w:pPr>
                  <w:r>
                    <w:rPr>
                      <w:color w:val="auto"/>
                    </w:rPr>
                    <w:t>13</w:t>
                  </w:r>
                </w:p>
              </w:tc>
              <w:tc>
                <w:tcPr>
                  <w:tcW w:w="1237" w:type="pct"/>
                  <w:noWrap w:val="0"/>
                  <w:vAlign w:val="center"/>
                </w:tcPr>
                <w:p w14:paraId="75D822B2">
                  <w:pPr>
                    <w:pStyle w:val="28"/>
                    <w:rPr>
                      <w:color w:val="auto"/>
                    </w:rPr>
                  </w:pPr>
                  <w:r>
                    <w:rPr>
                      <w:rFonts w:hint="eastAsia"/>
                      <w:color w:val="auto"/>
                    </w:rPr>
                    <w:t>带提升装置的脱模站</w:t>
                  </w:r>
                </w:p>
              </w:tc>
              <w:tc>
                <w:tcPr>
                  <w:tcW w:w="945" w:type="pct"/>
                  <w:noWrap w:val="0"/>
                  <w:vAlign w:val="center"/>
                </w:tcPr>
                <w:p w14:paraId="68B93322">
                  <w:pPr>
                    <w:pStyle w:val="28"/>
                    <w:rPr>
                      <w:color w:val="auto"/>
                    </w:rPr>
                  </w:pPr>
                  <w:r>
                    <w:rPr>
                      <w:rFonts w:hint="eastAsia"/>
                      <w:color w:val="auto"/>
                    </w:rPr>
                    <w:t>70</w:t>
                  </w:r>
                </w:p>
              </w:tc>
              <w:tc>
                <w:tcPr>
                  <w:tcW w:w="1053" w:type="pct"/>
                  <w:noWrap w:val="0"/>
                  <w:vAlign w:val="center"/>
                </w:tcPr>
                <w:p w14:paraId="3609B5EA">
                  <w:pPr>
                    <w:pStyle w:val="28"/>
                    <w:rPr>
                      <w:color w:val="auto"/>
                    </w:rPr>
                  </w:pPr>
                  <w:r>
                    <w:rPr>
                      <w:color w:val="auto"/>
                    </w:rPr>
                    <w:t>1</w:t>
                  </w:r>
                </w:p>
              </w:tc>
              <w:tc>
                <w:tcPr>
                  <w:tcW w:w="1063" w:type="pct"/>
                  <w:vMerge w:val="continue"/>
                  <w:noWrap w:val="0"/>
                  <w:vAlign w:val="center"/>
                </w:tcPr>
                <w:p w14:paraId="64329900">
                  <w:pPr>
                    <w:pStyle w:val="28"/>
                    <w:rPr>
                      <w:color w:val="auto"/>
                    </w:rPr>
                  </w:pPr>
                </w:p>
              </w:tc>
            </w:tr>
            <w:tr w14:paraId="79AE7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noWrap w:val="0"/>
                  <w:vAlign w:val="center"/>
                </w:tcPr>
                <w:p w14:paraId="342DB89C">
                  <w:pPr>
                    <w:pStyle w:val="28"/>
                    <w:rPr>
                      <w:color w:val="auto"/>
                    </w:rPr>
                  </w:pPr>
                  <w:r>
                    <w:rPr>
                      <w:color w:val="auto"/>
                    </w:rPr>
                    <w:t>14</w:t>
                  </w:r>
                </w:p>
              </w:tc>
              <w:tc>
                <w:tcPr>
                  <w:tcW w:w="1237" w:type="pct"/>
                  <w:noWrap w:val="0"/>
                  <w:vAlign w:val="center"/>
                </w:tcPr>
                <w:p w14:paraId="3809A098">
                  <w:pPr>
                    <w:pStyle w:val="28"/>
                    <w:rPr>
                      <w:color w:val="auto"/>
                    </w:rPr>
                  </w:pPr>
                  <w:r>
                    <w:rPr>
                      <w:rFonts w:hint="eastAsia"/>
                      <w:color w:val="auto"/>
                    </w:rPr>
                    <w:t>链式传送机</w:t>
                  </w:r>
                </w:p>
              </w:tc>
              <w:tc>
                <w:tcPr>
                  <w:tcW w:w="945" w:type="pct"/>
                  <w:noWrap w:val="0"/>
                  <w:vAlign w:val="center"/>
                </w:tcPr>
                <w:p w14:paraId="163CFE18">
                  <w:pPr>
                    <w:pStyle w:val="28"/>
                    <w:rPr>
                      <w:color w:val="auto"/>
                    </w:rPr>
                  </w:pPr>
                  <w:r>
                    <w:rPr>
                      <w:color w:val="auto"/>
                    </w:rPr>
                    <w:t>75</w:t>
                  </w:r>
                </w:p>
              </w:tc>
              <w:tc>
                <w:tcPr>
                  <w:tcW w:w="1053" w:type="pct"/>
                  <w:noWrap w:val="0"/>
                  <w:vAlign w:val="center"/>
                </w:tcPr>
                <w:p w14:paraId="2A7EFB2D">
                  <w:pPr>
                    <w:pStyle w:val="28"/>
                    <w:rPr>
                      <w:color w:val="auto"/>
                    </w:rPr>
                  </w:pPr>
                  <w:r>
                    <w:rPr>
                      <w:color w:val="auto"/>
                    </w:rPr>
                    <w:t>1</w:t>
                  </w:r>
                </w:p>
              </w:tc>
              <w:tc>
                <w:tcPr>
                  <w:tcW w:w="1063" w:type="pct"/>
                  <w:vMerge w:val="continue"/>
                  <w:noWrap w:val="0"/>
                  <w:vAlign w:val="center"/>
                </w:tcPr>
                <w:p w14:paraId="4CC5DA78">
                  <w:pPr>
                    <w:pStyle w:val="28"/>
                    <w:rPr>
                      <w:color w:val="auto"/>
                    </w:rPr>
                  </w:pPr>
                </w:p>
              </w:tc>
            </w:tr>
            <w:tr w14:paraId="6DBF8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noWrap w:val="0"/>
                  <w:vAlign w:val="center"/>
                </w:tcPr>
                <w:p w14:paraId="0E4BEB2F">
                  <w:pPr>
                    <w:pStyle w:val="28"/>
                    <w:rPr>
                      <w:color w:val="auto"/>
                    </w:rPr>
                  </w:pPr>
                  <w:r>
                    <w:rPr>
                      <w:color w:val="auto"/>
                    </w:rPr>
                    <w:t>15</w:t>
                  </w:r>
                </w:p>
              </w:tc>
              <w:tc>
                <w:tcPr>
                  <w:tcW w:w="1237" w:type="pct"/>
                  <w:noWrap w:val="0"/>
                  <w:vAlign w:val="center"/>
                </w:tcPr>
                <w:p w14:paraId="3D271511">
                  <w:pPr>
                    <w:pStyle w:val="28"/>
                    <w:rPr>
                      <w:color w:val="auto"/>
                    </w:rPr>
                  </w:pPr>
                  <w:r>
                    <w:rPr>
                      <w:rFonts w:hint="eastAsia"/>
                      <w:color w:val="auto"/>
                    </w:rPr>
                    <w:t>单独的辊轴传送机</w:t>
                  </w:r>
                </w:p>
              </w:tc>
              <w:tc>
                <w:tcPr>
                  <w:tcW w:w="945" w:type="pct"/>
                  <w:noWrap w:val="0"/>
                  <w:vAlign w:val="center"/>
                </w:tcPr>
                <w:p w14:paraId="6C99BA1B">
                  <w:pPr>
                    <w:pStyle w:val="28"/>
                    <w:rPr>
                      <w:color w:val="auto"/>
                    </w:rPr>
                  </w:pPr>
                  <w:r>
                    <w:rPr>
                      <w:color w:val="auto"/>
                    </w:rPr>
                    <w:t>75</w:t>
                  </w:r>
                </w:p>
              </w:tc>
              <w:tc>
                <w:tcPr>
                  <w:tcW w:w="1053" w:type="pct"/>
                  <w:noWrap w:val="0"/>
                  <w:vAlign w:val="center"/>
                </w:tcPr>
                <w:p w14:paraId="5A96A0B0">
                  <w:pPr>
                    <w:pStyle w:val="28"/>
                    <w:rPr>
                      <w:color w:val="auto"/>
                    </w:rPr>
                  </w:pPr>
                  <w:r>
                    <w:rPr>
                      <w:rFonts w:hint="eastAsia"/>
                      <w:color w:val="auto"/>
                    </w:rPr>
                    <w:t>1</w:t>
                  </w:r>
                </w:p>
              </w:tc>
              <w:tc>
                <w:tcPr>
                  <w:tcW w:w="1063" w:type="pct"/>
                  <w:vMerge w:val="continue"/>
                  <w:noWrap w:val="0"/>
                  <w:vAlign w:val="center"/>
                </w:tcPr>
                <w:p w14:paraId="09D27E6C">
                  <w:pPr>
                    <w:pStyle w:val="28"/>
                    <w:rPr>
                      <w:color w:val="auto"/>
                    </w:rPr>
                  </w:pPr>
                </w:p>
              </w:tc>
            </w:tr>
            <w:tr w14:paraId="0173E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noWrap w:val="0"/>
                  <w:vAlign w:val="center"/>
                </w:tcPr>
                <w:p w14:paraId="5276EF9A">
                  <w:pPr>
                    <w:pStyle w:val="28"/>
                    <w:rPr>
                      <w:color w:val="auto"/>
                    </w:rPr>
                  </w:pPr>
                  <w:r>
                    <w:rPr>
                      <w:rFonts w:hint="eastAsia"/>
                      <w:color w:val="auto"/>
                    </w:rPr>
                    <w:t>16</w:t>
                  </w:r>
                </w:p>
              </w:tc>
              <w:tc>
                <w:tcPr>
                  <w:tcW w:w="1237" w:type="pct"/>
                  <w:noWrap w:val="0"/>
                  <w:vAlign w:val="center"/>
                </w:tcPr>
                <w:p w14:paraId="66133B64">
                  <w:pPr>
                    <w:pStyle w:val="28"/>
                    <w:rPr>
                      <w:rFonts w:hint="eastAsia"/>
                      <w:color w:val="auto"/>
                    </w:rPr>
                  </w:pPr>
                  <w:r>
                    <w:rPr>
                      <w:rFonts w:hint="eastAsia"/>
                      <w:color w:val="auto"/>
                    </w:rPr>
                    <w:t>倾斜台及辊轴传送机构</w:t>
                  </w:r>
                </w:p>
              </w:tc>
              <w:tc>
                <w:tcPr>
                  <w:tcW w:w="945" w:type="pct"/>
                  <w:noWrap w:val="0"/>
                  <w:vAlign w:val="center"/>
                </w:tcPr>
                <w:p w14:paraId="6D11A454">
                  <w:pPr>
                    <w:pStyle w:val="28"/>
                    <w:rPr>
                      <w:color w:val="auto"/>
                    </w:rPr>
                  </w:pPr>
                  <w:r>
                    <w:rPr>
                      <w:rFonts w:hint="eastAsia"/>
                      <w:color w:val="auto"/>
                    </w:rPr>
                    <w:t>75</w:t>
                  </w:r>
                </w:p>
              </w:tc>
              <w:tc>
                <w:tcPr>
                  <w:tcW w:w="1053" w:type="pct"/>
                  <w:noWrap w:val="0"/>
                  <w:vAlign w:val="center"/>
                </w:tcPr>
                <w:p w14:paraId="0B910034">
                  <w:pPr>
                    <w:pStyle w:val="28"/>
                    <w:rPr>
                      <w:color w:val="auto"/>
                    </w:rPr>
                  </w:pPr>
                  <w:r>
                    <w:rPr>
                      <w:rFonts w:hint="eastAsia"/>
                      <w:color w:val="auto"/>
                    </w:rPr>
                    <w:t>2</w:t>
                  </w:r>
                </w:p>
              </w:tc>
              <w:tc>
                <w:tcPr>
                  <w:tcW w:w="1063" w:type="pct"/>
                  <w:vMerge w:val="continue"/>
                  <w:noWrap w:val="0"/>
                  <w:vAlign w:val="center"/>
                </w:tcPr>
                <w:p w14:paraId="1064BEBF">
                  <w:pPr>
                    <w:pStyle w:val="28"/>
                    <w:rPr>
                      <w:color w:val="auto"/>
                    </w:rPr>
                  </w:pPr>
                </w:p>
              </w:tc>
            </w:tr>
            <w:tr w14:paraId="4CF50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2" w:type="pct"/>
                  <w:noWrap w:val="0"/>
                  <w:vAlign w:val="center"/>
                </w:tcPr>
                <w:p w14:paraId="1FA9E123">
                  <w:pPr>
                    <w:pStyle w:val="28"/>
                    <w:rPr>
                      <w:color w:val="auto"/>
                    </w:rPr>
                  </w:pPr>
                  <w:r>
                    <w:rPr>
                      <w:rFonts w:hint="eastAsia"/>
                      <w:color w:val="auto"/>
                    </w:rPr>
                    <w:t>17</w:t>
                  </w:r>
                </w:p>
              </w:tc>
              <w:tc>
                <w:tcPr>
                  <w:tcW w:w="1237" w:type="pct"/>
                  <w:noWrap w:val="0"/>
                  <w:vAlign w:val="center"/>
                </w:tcPr>
                <w:p w14:paraId="52BF965F">
                  <w:pPr>
                    <w:pStyle w:val="28"/>
                    <w:rPr>
                      <w:rFonts w:hint="eastAsia"/>
                      <w:color w:val="auto"/>
                    </w:rPr>
                  </w:pPr>
                  <w:r>
                    <w:rPr>
                      <w:rFonts w:hint="eastAsia"/>
                      <w:color w:val="auto"/>
                    </w:rPr>
                    <w:t>牵引装置</w:t>
                  </w:r>
                </w:p>
              </w:tc>
              <w:tc>
                <w:tcPr>
                  <w:tcW w:w="945" w:type="pct"/>
                  <w:noWrap w:val="0"/>
                  <w:vAlign w:val="center"/>
                </w:tcPr>
                <w:p w14:paraId="7D5D45F4">
                  <w:pPr>
                    <w:pStyle w:val="28"/>
                    <w:rPr>
                      <w:color w:val="auto"/>
                    </w:rPr>
                  </w:pPr>
                  <w:r>
                    <w:rPr>
                      <w:rFonts w:hint="eastAsia"/>
                      <w:color w:val="auto"/>
                    </w:rPr>
                    <w:t>60</w:t>
                  </w:r>
                </w:p>
              </w:tc>
              <w:tc>
                <w:tcPr>
                  <w:tcW w:w="1053" w:type="pct"/>
                  <w:noWrap w:val="0"/>
                  <w:vAlign w:val="center"/>
                </w:tcPr>
                <w:p w14:paraId="6B3D1C25">
                  <w:pPr>
                    <w:pStyle w:val="28"/>
                    <w:rPr>
                      <w:color w:val="auto"/>
                    </w:rPr>
                  </w:pPr>
                  <w:r>
                    <w:rPr>
                      <w:rFonts w:hint="eastAsia"/>
                      <w:color w:val="auto"/>
                    </w:rPr>
                    <w:t>2</w:t>
                  </w:r>
                </w:p>
              </w:tc>
              <w:tc>
                <w:tcPr>
                  <w:tcW w:w="1063" w:type="pct"/>
                  <w:vMerge w:val="continue"/>
                  <w:noWrap w:val="0"/>
                  <w:vAlign w:val="center"/>
                </w:tcPr>
                <w:p w14:paraId="49D8C65B">
                  <w:pPr>
                    <w:pStyle w:val="28"/>
                    <w:rPr>
                      <w:color w:val="auto"/>
                    </w:rPr>
                  </w:pPr>
                </w:p>
              </w:tc>
            </w:tr>
            <w:tr w14:paraId="18C05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02" w:type="pct"/>
                  <w:noWrap w:val="0"/>
                  <w:vAlign w:val="center"/>
                </w:tcPr>
                <w:p w14:paraId="05ED4599">
                  <w:pPr>
                    <w:pStyle w:val="28"/>
                    <w:rPr>
                      <w:color w:val="auto"/>
                    </w:rPr>
                  </w:pPr>
                  <w:r>
                    <w:rPr>
                      <w:rFonts w:hint="eastAsia"/>
                      <w:color w:val="auto"/>
                    </w:rPr>
                    <w:t>18</w:t>
                  </w:r>
                </w:p>
              </w:tc>
              <w:tc>
                <w:tcPr>
                  <w:tcW w:w="1237" w:type="pct"/>
                  <w:noWrap w:val="0"/>
                  <w:vAlign w:val="center"/>
                </w:tcPr>
                <w:p w14:paraId="7E7E6AFD">
                  <w:pPr>
                    <w:pStyle w:val="28"/>
                    <w:rPr>
                      <w:rFonts w:hint="eastAsia"/>
                      <w:color w:val="auto"/>
                    </w:rPr>
                  </w:pPr>
                  <w:r>
                    <w:rPr>
                      <w:rFonts w:hint="eastAsia"/>
                      <w:color w:val="auto"/>
                    </w:rPr>
                    <w:t>收线机</w:t>
                  </w:r>
                </w:p>
              </w:tc>
              <w:tc>
                <w:tcPr>
                  <w:tcW w:w="945" w:type="pct"/>
                  <w:noWrap w:val="0"/>
                  <w:vAlign w:val="center"/>
                </w:tcPr>
                <w:p w14:paraId="3AC0B804">
                  <w:pPr>
                    <w:pStyle w:val="28"/>
                    <w:rPr>
                      <w:color w:val="auto"/>
                    </w:rPr>
                  </w:pPr>
                  <w:r>
                    <w:rPr>
                      <w:rFonts w:hint="eastAsia"/>
                      <w:color w:val="auto"/>
                    </w:rPr>
                    <w:t>60</w:t>
                  </w:r>
                </w:p>
              </w:tc>
              <w:tc>
                <w:tcPr>
                  <w:tcW w:w="1053" w:type="pct"/>
                  <w:noWrap w:val="0"/>
                  <w:vAlign w:val="center"/>
                </w:tcPr>
                <w:p w14:paraId="41B81E19">
                  <w:pPr>
                    <w:pStyle w:val="28"/>
                    <w:rPr>
                      <w:color w:val="auto"/>
                    </w:rPr>
                  </w:pPr>
                  <w:r>
                    <w:rPr>
                      <w:rFonts w:hint="eastAsia"/>
                      <w:color w:val="auto"/>
                    </w:rPr>
                    <w:t>1</w:t>
                  </w:r>
                </w:p>
              </w:tc>
              <w:tc>
                <w:tcPr>
                  <w:tcW w:w="1063" w:type="pct"/>
                  <w:vMerge w:val="continue"/>
                  <w:noWrap w:val="0"/>
                  <w:vAlign w:val="center"/>
                </w:tcPr>
                <w:p w14:paraId="6DDC564A">
                  <w:pPr>
                    <w:pStyle w:val="28"/>
                    <w:rPr>
                      <w:color w:val="auto"/>
                    </w:rPr>
                  </w:pPr>
                </w:p>
              </w:tc>
            </w:tr>
            <w:tr w14:paraId="6A55D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noWrap w:val="0"/>
                  <w:vAlign w:val="center"/>
                </w:tcPr>
                <w:p w14:paraId="6C3BB569">
                  <w:pPr>
                    <w:pStyle w:val="28"/>
                    <w:rPr>
                      <w:color w:val="auto"/>
                    </w:rPr>
                  </w:pPr>
                  <w:r>
                    <w:rPr>
                      <w:rFonts w:hint="eastAsia"/>
                      <w:color w:val="auto"/>
                    </w:rPr>
                    <w:t>19</w:t>
                  </w:r>
                </w:p>
              </w:tc>
              <w:tc>
                <w:tcPr>
                  <w:tcW w:w="1237" w:type="pct"/>
                  <w:noWrap w:val="0"/>
                  <w:vAlign w:val="center"/>
                </w:tcPr>
                <w:p w14:paraId="541E25ED">
                  <w:pPr>
                    <w:pStyle w:val="28"/>
                    <w:rPr>
                      <w:rFonts w:hint="eastAsia"/>
                      <w:color w:val="auto"/>
                    </w:rPr>
                  </w:pPr>
                  <w:r>
                    <w:rPr>
                      <w:rFonts w:hint="eastAsia"/>
                      <w:color w:val="auto"/>
                    </w:rPr>
                    <w:t>除磷机</w:t>
                  </w:r>
                </w:p>
              </w:tc>
              <w:tc>
                <w:tcPr>
                  <w:tcW w:w="945" w:type="pct"/>
                  <w:noWrap w:val="0"/>
                  <w:vAlign w:val="center"/>
                </w:tcPr>
                <w:p w14:paraId="271665A6">
                  <w:pPr>
                    <w:pStyle w:val="28"/>
                    <w:rPr>
                      <w:color w:val="auto"/>
                    </w:rPr>
                  </w:pPr>
                  <w:r>
                    <w:rPr>
                      <w:rFonts w:hint="eastAsia"/>
                      <w:color w:val="auto"/>
                    </w:rPr>
                    <w:t>60</w:t>
                  </w:r>
                </w:p>
              </w:tc>
              <w:tc>
                <w:tcPr>
                  <w:tcW w:w="1053" w:type="pct"/>
                  <w:noWrap w:val="0"/>
                  <w:vAlign w:val="center"/>
                </w:tcPr>
                <w:p w14:paraId="09309380">
                  <w:pPr>
                    <w:pStyle w:val="28"/>
                    <w:rPr>
                      <w:color w:val="auto"/>
                    </w:rPr>
                  </w:pPr>
                  <w:r>
                    <w:rPr>
                      <w:rFonts w:hint="eastAsia"/>
                      <w:color w:val="auto"/>
                    </w:rPr>
                    <w:t>1</w:t>
                  </w:r>
                </w:p>
              </w:tc>
              <w:tc>
                <w:tcPr>
                  <w:tcW w:w="1063" w:type="pct"/>
                  <w:vMerge w:val="continue"/>
                  <w:noWrap w:val="0"/>
                  <w:vAlign w:val="center"/>
                </w:tcPr>
                <w:p w14:paraId="4B6FF37A">
                  <w:pPr>
                    <w:pStyle w:val="28"/>
                    <w:rPr>
                      <w:color w:val="auto"/>
                    </w:rPr>
                  </w:pPr>
                </w:p>
              </w:tc>
            </w:tr>
            <w:tr w14:paraId="6A8F5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noWrap w:val="0"/>
                  <w:vAlign w:val="center"/>
                </w:tcPr>
                <w:p w14:paraId="5040F61F">
                  <w:pPr>
                    <w:pStyle w:val="28"/>
                    <w:rPr>
                      <w:color w:val="auto"/>
                    </w:rPr>
                  </w:pPr>
                  <w:r>
                    <w:rPr>
                      <w:rFonts w:hint="eastAsia"/>
                      <w:color w:val="auto"/>
                    </w:rPr>
                    <w:t>20</w:t>
                  </w:r>
                </w:p>
              </w:tc>
              <w:tc>
                <w:tcPr>
                  <w:tcW w:w="1237" w:type="pct"/>
                  <w:noWrap w:val="0"/>
                  <w:vAlign w:val="center"/>
                </w:tcPr>
                <w:p w14:paraId="7A409A1B">
                  <w:pPr>
                    <w:pStyle w:val="28"/>
                    <w:rPr>
                      <w:rFonts w:hint="eastAsia"/>
                      <w:color w:val="auto"/>
                    </w:rPr>
                  </w:pPr>
                  <w:r>
                    <w:rPr>
                      <w:rFonts w:hint="eastAsia"/>
                      <w:color w:val="auto"/>
                    </w:rPr>
                    <w:t>润滑涂复机</w:t>
                  </w:r>
                </w:p>
              </w:tc>
              <w:tc>
                <w:tcPr>
                  <w:tcW w:w="945" w:type="pct"/>
                  <w:noWrap w:val="0"/>
                  <w:vAlign w:val="center"/>
                </w:tcPr>
                <w:p w14:paraId="5BD89499">
                  <w:pPr>
                    <w:pStyle w:val="28"/>
                    <w:rPr>
                      <w:color w:val="auto"/>
                    </w:rPr>
                  </w:pPr>
                  <w:r>
                    <w:rPr>
                      <w:rFonts w:hint="eastAsia"/>
                      <w:color w:val="auto"/>
                    </w:rPr>
                    <w:t>60</w:t>
                  </w:r>
                </w:p>
              </w:tc>
              <w:tc>
                <w:tcPr>
                  <w:tcW w:w="1053" w:type="pct"/>
                  <w:noWrap w:val="0"/>
                  <w:vAlign w:val="center"/>
                </w:tcPr>
                <w:p w14:paraId="521320CC">
                  <w:pPr>
                    <w:pStyle w:val="28"/>
                    <w:rPr>
                      <w:color w:val="auto"/>
                    </w:rPr>
                  </w:pPr>
                  <w:r>
                    <w:rPr>
                      <w:rFonts w:hint="eastAsia"/>
                      <w:color w:val="auto"/>
                    </w:rPr>
                    <w:t>1</w:t>
                  </w:r>
                </w:p>
              </w:tc>
              <w:tc>
                <w:tcPr>
                  <w:tcW w:w="1063" w:type="pct"/>
                  <w:vMerge w:val="continue"/>
                  <w:noWrap w:val="0"/>
                  <w:vAlign w:val="center"/>
                </w:tcPr>
                <w:p w14:paraId="0DAC72C2">
                  <w:pPr>
                    <w:pStyle w:val="28"/>
                    <w:rPr>
                      <w:color w:val="auto"/>
                    </w:rPr>
                  </w:pPr>
                </w:p>
              </w:tc>
            </w:tr>
            <w:tr w14:paraId="5CD8C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noWrap w:val="0"/>
                  <w:vAlign w:val="center"/>
                </w:tcPr>
                <w:p w14:paraId="0D327394">
                  <w:pPr>
                    <w:pStyle w:val="28"/>
                    <w:rPr>
                      <w:color w:val="auto"/>
                    </w:rPr>
                  </w:pPr>
                  <w:r>
                    <w:rPr>
                      <w:rFonts w:hint="eastAsia"/>
                      <w:color w:val="auto"/>
                    </w:rPr>
                    <w:t>21</w:t>
                  </w:r>
                </w:p>
              </w:tc>
              <w:tc>
                <w:tcPr>
                  <w:tcW w:w="1237" w:type="pct"/>
                  <w:noWrap w:val="0"/>
                  <w:vAlign w:val="center"/>
                </w:tcPr>
                <w:p w14:paraId="52998C7E">
                  <w:pPr>
                    <w:pStyle w:val="28"/>
                    <w:rPr>
                      <w:rFonts w:hint="eastAsia"/>
                      <w:color w:val="auto"/>
                    </w:rPr>
                  </w:pPr>
                  <w:r>
                    <w:rPr>
                      <w:rFonts w:hint="eastAsia"/>
                      <w:color w:val="auto"/>
                    </w:rPr>
                    <w:t>Y型轧机轧制机</w:t>
                  </w:r>
                </w:p>
              </w:tc>
              <w:tc>
                <w:tcPr>
                  <w:tcW w:w="945" w:type="pct"/>
                  <w:noWrap w:val="0"/>
                  <w:vAlign w:val="center"/>
                </w:tcPr>
                <w:p w14:paraId="18626ACE">
                  <w:pPr>
                    <w:pStyle w:val="28"/>
                    <w:rPr>
                      <w:color w:val="auto"/>
                    </w:rPr>
                  </w:pPr>
                  <w:r>
                    <w:rPr>
                      <w:rFonts w:hint="eastAsia"/>
                      <w:color w:val="auto"/>
                    </w:rPr>
                    <w:t>70</w:t>
                  </w:r>
                </w:p>
              </w:tc>
              <w:tc>
                <w:tcPr>
                  <w:tcW w:w="1053" w:type="pct"/>
                  <w:noWrap w:val="0"/>
                  <w:vAlign w:val="center"/>
                </w:tcPr>
                <w:p w14:paraId="4FFACA6E">
                  <w:pPr>
                    <w:pStyle w:val="28"/>
                    <w:rPr>
                      <w:color w:val="auto"/>
                    </w:rPr>
                  </w:pPr>
                  <w:r>
                    <w:rPr>
                      <w:rFonts w:hint="eastAsia"/>
                      <w:color w:val="auto"/>
                    </w:rPr>
                    <w:t>1</w:t>
                  </w:r>
                </w:p>
              </w:tc>
              <w:tc>
                <w:tcPr>
                  <w:tcW w:w="1063" w:type="pct"/>
                  <w:vMerge w:val="continue"/>
                  <w:noWrap w:val="0"/>
                  <w:vAlign w:val="center"/>
                </w:tcPr>
                <w:p w14:paraId="012ADCE4">
                  <w:pPr>
                    <w:pStyle w:val="28"/>
                    <w:rPr>
                      <w:color w:val="auto"/>
                    </w:rPr>
                  </w:pPr>
                </w:p>
              </w:tc>
            </w:tr>
            <w:tr w14:paraId="530B4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noWrap w:val="0"/>
                  <w:vAlign w:val="center"/>
                </w:tcPr>
                <w:p w14:paraId="3E198E0C">
                  <w:pPr>
                    <w:pStyle w:val="28"/>
                    <w:rPr>
                      <w:color w:val="auto"/>
                    </w:rPr>
                  </w:pPr>
                  <w:r>
                    <w:rPr>
                      <w:rFonts w:hint="eastAsia"/>
                      <w:color w:val="auto"/>
                    </w:rPr>
                    <w:t>22</w:t>
                  </w:r>
                </w:p>
              </w:tc>
              <w:tc>
                <w:tcPr>
                  <w:tcW w:w="1237" w:type="pct"/>
                  <w:noWrap w:val="0"/>
                  <w:vAlign w:val="center"/>
                </w:tcPr>
                <w:p w14:paraId="4CA6BB12">
                  <w:pPr>
                    <w:pStyle w:val="28"/>
                    <w:rPr>
                      <w:rFonts w:hint="eastAsia"/>
                      <w:color w:val="auto"/>
                    </w:rPr>
                  </w:pPr>
                  <w:r>
                    <w:rPr>
                      <w:rFonts w:hint="eastAsia"/>
                      <w:color w:val="auto"/>
                    </w:rPr>
                    <w:t>水平牵引机</w:t>
                  </w:r>
                </w:p>
              </w:tc>
              <w:tc>
                <w:tcPr>
                  <w:tcW w:w="945" w:type="pct"/>
                  <w:noWrap w:val="0"/>
                  <w:vAlign w:val="center"/>
                </w:tcPr>
                <w:p w14:paraId="276103AA">
                  <w:pPr>
                    <w:pStyle w:val="28"/>
                    <w:rPr>
                      <w:color w:val="auto"/>
                    </w:rPr>
                  </w:pPr>
                  <w:r>
                    <w:rPr>
                      <w:rFonts w:hint="eastAsia"/>
                      <w:color w:val="auto"/>
                    </w:rPr>
                    <w:t>60</w:t>
                  </w:r>
                </w:p>
              </w:tc>
              <w:tc>
                <w:tcPr>
                  <w:tcW w:w="1053" w:type="pct"/>
                  <w:noWrap w:val="0"/>
                  <w:vAlign w:val="center"/>
                </w:tcPr>
                <w:p w14:paraId="67EE09CA">
                  <w:pPr>
                    <w:pStyle w:val="28"/>
                    <w:rPr>
                      <w:color w:val="auto"/>
                    </w:rPr>
                  </w:pPr>
                  <w:r>
                    <w:rPr>
                      <w:rFonts w:hint="eastAsia"/>
                      <w:color w:val="auto"/>
                    </w:rPr>
                    <w:t>1</w:t>
                  </w:r>
                </w:p>
              </w:tc>
              <w:tc>
                <w:tcPr>
                  <w:tcW w:w="1063" w:type="pct"/>
                  <w:vMerge w:val="continue"/>
                  <w:noWrap w:val="0"/>
                  <w:vAlign w:val="center"/>
                </w:tcPr>
                <w:p w14:paraId="6F0D75CA">
                  <w:pPr>
                    <w:pStyle w:val="28"/>
                    <w:rPr>
                      <w:color w:val="auto"/>
                    </w:rPr>
                  </w:pPr>
                </w:p>
              </w:tc>
            </w:tr>
            <w:tr w14:paraId="2E9BB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noWrap w:val="0"/>
                  <w:vAlign w:val="center"/>
                </w:tcPr>
                <w:p w14:paraId="1FBC0825">
                  <w:pPr>
                    <w:pStyle w:val="28"/>
                    <w:rPr>
                      <w:color w:val="auto"/>
                    </w:rPr>
                  </w:pPr>
                  <w:r>
                    <w:rPr>
                      <w:rFonts w:hint="eastAsia"/>
                      <w:color w:val="auto"/>
                    </w:rPr>
                    <w:t>23</w:t>
                  </w:r>
                </w:p>
              </w:tc>
              <w:tc>
                <w:tcPr>
                  <w:tcW w:w="1237" w:type="pct"/>
                  <w:noWrap w:val="0"/>
                  <w:vAlign w:val="center"/>
                </w:tcPr>
                <w:p w14:paraId="0F9323C9">
                  <w:pPr>
                    <w:pStyle w:val="28"/>
                    <w:rPr>
                      <w:rFonts w:hint="eastAsia"/>
                      <w:color w:val="auto"/>
                    </w:rPr>
                  </w:pPr>
                  <w:r>
                    <w:rPr>
                      <w:rFonts w:hint="eastAsia"/>
                      <w:color w:val="auto"/>
                    </w:rPr>
                    <w:t>应力消除机</w:t>
                  </w:r>
                </w:p>
              </w:tc>
              <w:tc>
                <w:tcPr>
                  <w:tcW w:w="945" w:type="pct"/>
                  <w:noWrap w:val="0"/>
                  <w:vAlign w:val="center"/>
                </w:tcPr>
                <w:p w14:paraId="7549BFB6">
                  <w:pPr>
                    <w:pStyle w:val="28"/>
                    <w:rPr>
                      <w:color w:val="auto"/>
                    </w:rPr>
                  </w:pPr>
                  <w:r>
                    <w:rPr>
                      <w:rFonts w:hint="eastAsia"/>
                      <w:color w:val="auto"/>
                    </w:rPr>
                    <w:t>60</w:t>
                  </w:r>
                </w:p>
              </w:tc>
              <w:tc>
                <w:tcPr>
                  <w:tcW w:w="1053" w:type="pct"/>
                  <w:noWrap w:val="0"/>
                  <w:vAlign w:val="center"/>
                </w:tcPr>
                <w:p w14:paraId="28331F25">
                  <w:pPr>
                    <w:pStyle w:val="28"/>
                    <w:rPr>
                      <w:color w:val="auto"/>
                    </w:rPr>
                  </w:pPr>
                  <w:r>
                    <w:rPr>
                      <w:rFonts w:hint="eastAsia"/>
                      <w:color w:val="auto"/>
                    </w:rPr>
                    <w:t>1</w:t>
                  </w:r>
                </w:p>
              </w:tc>
              <w:tc>
                <w:tcPr>
                  <w:tcW w:w="1063" w:type="pct"/>
                  <w:vMerge w:val="continue"/>
                  <w:noWrap w:val="0"/>
                  <w:vAlign w:val="center"/>
                </w:tcPr>
                <w:p w14:paraId="35F798FA">
                  <w:pPr>
                    <w:pStyle w:val="28"/>
                    <w:rPr>
                      <w:color w:val="auto"/>
                    </w:rPr>
                  </w:pPr>
                </w:p>
              </w:tc>
            </w:tr>
            <w:tr w14:paraId="73402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noWrap w:val="0"/>
                  <w:vAlign w:val="center"/>
                </w:tcPr>
                <w:p w14:paraId="0CE71E4D">
                  <w:pPr>
                    <w:pStyle w:val="28"/>
                    <w:rPr>
                      <w:color w:val="auto"/>
                    </w:rPr>
                  </w:pPr>
                  <w:r>
                    <w:rPr>
                      <w:rFonts w:hint="eastAsia"/>
                      <w:color w:val="auto"/>
                    </w:rPr>
                    <w:t>24</w:t>
                  </w:r>
                </w:p>
              </w:tc>
              <w:tc>
                <w:tcPr>
                  <w:tcW w:w="1237" w:type="pct"/>
                  <w:noWrap w:val="0"/>
                  <w:vAlign w:val="center"/>
                </w:tcPr>
                <w:p w14:paraId="233EC2E1">
                  <w:pPr>
                    <w:pStyle w:val="28"/>
                    <w:rPr>
                      <w:rFonts w:hint="eastAsia"/>
                      <w:color w:val="auto"/>
                    </w:rPr>
                  </w:pPr>
                  <w:r>
                    <w:rPr>
                      <w:rFonts w:hint="eastAsia"/>
                      <w:color w:val="auto"/>
                    </w:rPr>
                    <w:t>桁架剪切机</w:t>
                  </w:r>
                </w:p>
              </w:tc>
              <w:tc>
                <w:tcPr>
                  <w:tcW w:w="945" w:type="pct"/>
                  <w:noWrap w:val="0"/>
                  <w:vAlign w:val="center"/>
                </w:tcPr>
                <w:p w14:paraId="6899FC79">
                  <w:pPr>
                    <w:pStyle w:val="28"/>
                    <w:rPr>
                      <w:color w:val="auto"/>
                    </w:rPr>
                  </w:pPr>
                  <w:r>
                    <w:rPr>
                      <w:rFonts w:hint="eastAsia"/>
                      <w:color w:val="auto"/>
                    </w:rPr>
                    <w:t>70</w:t>
                  </w:r>
                </w:p>
              </w:tc>
              <w:tc>
                <w:tcPr>
                  <w:tcW w:w="1053" w:type="pct"/>
                  <w:noWrap w:val="0"/>
                  <w:vAlign w:val="center"/>
                </w:tcPr>
                <w:p w14:paraId="4CC0B8C9">
                  <w:pPr>
                    <w:pStyle w:val="28"/>
                    <w:rPr>
                      <w:color w:val="auto"/>
                    </w:rPr>
                  </w:pPr>
                  <w:r>
                    <w:rPr>
                      <w:rFonts w:hint="eastAsia"/>
                      <w:color w:val="auto"/>
                    </w:rPr>
                    <w:t>1</w:t>
                  </w:r>
                </w:p>
              </w:tc>
              <w:tc>
                <w:tcPr>
                  <w:tcW w:w="1063" w:type="pct"/>
                  <w:vMerge w:val="continue"/>
                  <w:noWrap w:val="0"/>
                  <w:vAlign w:val="center"/>
                </w:tcPr>
                <w:p w14:paraId="4B8B5423">
                  <w:pPr>
                    <w:pStyle w:val="28"/>
                    <w:rPr>
                      <w:color w:val="auto"/>
                    </w:rPr>
                  </w:pPr>
                </w:p>
              </w:tc>
            </w:tr>
            <w:tr w14:paraId="09394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2" w:type="pct"/>
                  <w:noWrap w:val="0"/>
                  <w:vAlign w:val="center"/>
                </w:tcPr>
                <w:p w14:paraId="190352BF">
                  <w:pPr>
                    <w:pStyle w:val="28"/>
                    <w:rPr>
                      <w:color w:val="auto"/>
                    </w:rPr>
                  </w:pPr>
                  <w:r>
                    <w:rPr>
                      <w:rFonts w:hint="eastAsia"/>
                      <w:color w:val="auto"/>
                    </w:rPr>
                    <w:t>25</w:t>
                  </w:r>
                </w:p>
              </w:tc>
              <w:tc>
                <w:tcPr>
                  <w:tcW w:w="1237" w:type="pct"/>
                  <w:noWrap w:val="0"/>
                  <w:vAlign w:val="center"/>
                </w:tcPr>
                <w:p w14:paraId="74463314">
                  <w:pPr>
                    <w:pStyle w:val="28"/>
                    <w:rPr>
                      <w:rFonts w:hint="eastAsia"/>
                      <w:color w:val="auto"/>
                    </w:rPr>
                  </w:pPr>
                  <w:r>
                    <w:rPr>
                      <w:rFonts w:hint="eastAsia"/>
                      <w:color w:val="auto"/>
                    </w:rPr>
                    <w:t>收线机</w:t>
                  </w:r>
                </w:p>
              </w:tc>
              <w:tc>
                <w:tcPr>
                  <w:tcW w:w="945" w:type="pct"/>
                  <w:noWrap w:val="0"/>
                  <w:vAlign w:val="center"/>
                </w:tcPr>
                <w:p w14:paraId="289B795F">
                  <w:pPr>
                    <w:pStyle w:val="28"/>
                    <w:rPr>
                      <w:color w:val="auto"/>
                    </w:rPr>
                  </w:pPr>
                  <w:r>
                    <w:rPr>
                      <w:rFonts w:hint="eastAsia"/>
                      <w:color w:val="auto"/>
                    </w:rPr>
                    <w:t>60</w:t>
                  </w:r>
                </w:p>
              </w:tc>
              <w:tc>
                <w:tcPr>
                  <w:tcW w:w="1053" w:type="pct"/>
                  <w:noWrap w:val="0"/>
                  <w:vAlign w:val="center"/>
                </w:tcPr>
                <w:p w14:paraId="3B056A0D">
                  <w:pPr>
                    <w:pStyle w:val="28"/>
                    <w:rPr>
                      <w:color w:val="auto"/>
                    </w:rPr>
                  </w:pPr>
                  <w:r>
                    <w:rPr>
                      <w:rFonts w:hint="eastAsia"/>
                      <w:color w:val="auto"/>
                    </w:rPr>
                    <w:t>2</w:t>
                  </w:r>
                </w:p>
              </w:tc>
              <w:tc>
                <w:tcPr>
                  <w:tcW w:w="1063" w:type="pct"/>
                  <w:vMerge w:val="continue"/>
                  <w:noWrap w:val="0"/>
                  <w:vAlign w:val="center"/>
                </w:tcPr>
                <w:p w14:paraId="28EA6C74">
                  <w:pPr>
                    <w:pStyle w:val="28"/>
                    <w:rPr>
                      <w:color w:val="auto"/>
                    </w:rPr>
                  </w:pPr>
                </w:p>
              </w:tc>
            </w:tr>
          </w:tbl>
          <w:p w14:paraId="2B74912E">
            <w:pPr>
              <w:pStyle w:val="29"/>
              <w:spacing w:before="24" w:after="24"/>
              <w:rPr>
                <w:color w:val="auto"/>
              </w:rPr>
            </w:pPr>
          </w:p>
          <w:p w14:paraId="4C5760D0">
            <w:pPr>
              <w:pStyle w:val="29"/>
              <w:spacing w:before="24" w:after="24"/>
              <w:rPr>
                <w:color w:val="auto"/>
              </w:rPr>
            </w:pPr>
            <w:r>
              <w:rPr>
                <w:color w:val="auto"/>
              </w:rPr>
              <w:t>表</w:t>
            </w:r>
            <w:r>
              <w:rPr>
                <w:rFonts w:hint="eastAsia"/>
                <w:color w:val="auto"/>
                <w:lang w:val="en-US" w:eastAsia="zh-CN"/>
              </w:rPr>
              <w:t>4-14</w:t>
            </w:r>
            <w:r>
              <w:rPr>
                <w:color w:val="auto"/>
              </w:rPr>
              <w:t xml:space="preserve">  预测点四周厂界预测最近距离</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42"/>
              <w:gridCol w:w="1247"/>
              <w:gridCol w:w="746"/>
              <w:gridCol w:w="1510"/>
              <w:gridCol w:w="1482"/>
              <w:gridCol w:w="1485"/>
              <w:gridCol w:w="1482"/>
            </w:tblGrid>
            <w:tr w14:paraId="3568C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2" w:hRule="atLeast"/>
                <w:jc w:val="center"/>
              </w:trPr>
              <w:tc>
                <w:tcPr>
                  <w:tcW w:w="427" w:type="pct"/>
                  <w:noWrap w:val="0"/>
                  <w:vAlign w:val="center"/>
                </w:tcPr>
                <w:p w14:paraId="0EC2F466">
                  <w:pPr>
                    <w:pStyle w:val="28"/>
                    <w:rPr>
                      <w:b/>
                      <w:bCs/>
                      <w:color w:val="auto"/>
                    </w:rPr>
                  </w:pPr>
                  <w:r>
                    <w:rPr>
                      <w:b/>
                      <w:bCs/>
                      <w:color w:val="auto"/>
                    </w:rPr>
                    <w:t>序号</w:t>
                  </w:r>
                </w:p>
              </w:tc>
              <w:tc>
                <w:tcPr>
                  <w:tcW w:w="717" w:type="pct"/>
                  <w:noWrap w:val="0"/>
                  <w:vAlign w:val="center"/>
                </w:tcPr>
                <w:p w14:paraId="481002DA">
                  <w:pPr>
                    <w:pStyle w:val="28"/>
                    <w:rPr>
                      <w:b/>
                      <w:bCs/>
                      <w:color w:val="auto"/>
                    </w:rPr>
                  </w:pPr>
                  <w:r>
                    <w:rPr>
                      <w:b/>
                      <w:bCs/>
                      <w:color w:val="auto"/>
                    </w:rPr>
                    <w:t>设备名称</w:t>
                  </w:r>
                </w:p>
              </w:tc>
              <w:tc>
                <w:tcPr>
                  <w:tcW w:w="429" w:type="pct"/>
                  <w:noWrap w:val="0"/>
                  <w:vAlign w:val="center"/>
                </w:tcPr>
                <w:p w14:paraId="56ACDC30">
                  <w:pPr>
                    <w:pStyle w:val="28"/>
                    <w:rPr>
                      <w:b/>
                      <w:bCs/>
                      <w:color w:val="auto"/>
                    </w:rPr>
                  </w:pPr>
                  <w:r>
                    <w:rPr>
                      <w:b/>
                      <w:bCs/>
                      <w:color w:val="auto"/>
                    </w:rPr>
                    <w:t>台数</w:t>
                  </w:r>
                </w:p>
              </w:tc>
              <w:tc>
                <w:tcPr>
                  <w:tcW w:w="868" w:type="pct"/>
                  <w:noWrap w:val="0"/>
                  <w:vAlign w:val="center"/>
                </w:tcPr>
                <w:p w14:paraId="3E4A6132">
                  <w:pPr>
                    <w:pStyle w:val="28"/>
                    <w:rPr>
                      <w:b/>
                      <w:bCs/>
                      <w:color w:val="auto"/>
                    </w:rPr>
                  </w:pPr>
                  <w:r>
                    <w:rPr>
                      <w:rFonts w:hint="eastAsia"/>
                      <w:b/>
                      <w:bCs/>
                      <w:color w:val="auto"/>
                    </w:rPr>
                    <w:t>厂界北1m处</w:t>
                  </w:r>
                </w:p>
              </w:tc>
              <w:tc>
                <w:tcPr>
                  <w:tcW w:w="852" w:type="pct"/>
                  <w:noWrap w:val="0"/>
                  <w:vAlign w:val="center"/>
                </w:tcPr>
                <w:p w14:paraId="28045A82">
                  <w:pPr>
                    <w:pStyle w:val="28"/>
                    <w:rPr>
                      <w:rFonts w:hint="eastAsia"/>
                      <w:b/>
                      <w:bCs/>
                      <w:color w:val="auto"/>
                    </w:rPr>
                  </w:pPr>
                  <w:r>
                    <w:rPr>
                      <w:rFonts w:hint="eastAsia"/>
                      <w:b/>
                      <w:bCs/>
                      <w:color w:val="auto"/>
                    </w:rPr>
                    <w:t>厂界南1m处</w:t>
                  </w:r>
                </w:p>
              </w:tc>
              <w:tc>
                <w:tcPr>
                  <w:tcW w:w="854" w:type="pct"/>
                  <w:noWrap w:val="0"/>
                  <w:vAlign w:val="center"/>
                </w:tcPr>
                <w:p w14:paraId="68FB8547">
                  <w:pPr>
                    <w:pStyle w:val="28"/>
                    <w:rPr>
                      <w:rFonts w:hint="eastAsia"/>
                      <w:b/>
                      <w:bCs/>
                      <w:color w:val="auto"/>
                    </w:rPr>
                  </w:pPr>
                  <w:r>
                    <w:rPr>
                      <w:rFonts w:hint="eastAsia"/>
                      <w:b/>
                      <w:bCs/>
                      <w:color w:val="auto"/>
                    </w:rPr>
                    <w:t>厂界西1m处</w:t>
                  </w:r>
                </w:p>
              </w:tc>
              <w:tc>
                <w:tcPr>
                  <w:tcW w:w="852" w:type="pct"/>
                  <w:noWrap w:val="0"/>
                  <w:vAlign w:val="center"/>
                </w:tcPr>
                <w:p w14:paraId="514594D9">
                  <w:pPr>
                    <w:pStyle w:val="28"/>
                    <w:rPr>
                      <w:b/>
                      <w:bCs/>
                      <w:color w:val="auto"/>
                    </w:rPr>
                  </w:pPr>
                  <w:r>
                    <w:rPr>
                      <w:rFonts w:hint="eastAsia"/>
                      <w:b/>
                      <w:bCs/>
                      <w:color w:val="auto"/>
                    </w:rPr>
                    <w:t>厂界东1m处</w:t>
                  </w:r>
                </w:p>
              </w:tc>
            </w:tr>
            <w:tr w14:paraId="415BF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8" w:hRule="atLeast"/>
                <w:jc w:val="center"/>
              </w:trPr>
              <w:tc>
                <w:tcPr>
                  <w:tcW w:w="427" w:type="pct"/>
                  <w:noWrap w:val="0"/>
                  <w:vAlign w:val="center"/>
                </w:tcPr>
                <w:p w14:paraId="29830EE1">
                  <w:pPr>
                    <w:pStyle w:val="28"/>
                    <w:rPr>
                      <w:color w:val="auto"/>
                    </w:rPr>
                  </w:pPr>
                  <w:r>
                    <w:rPr>
                      <w:color w:val="auto"/>
                    </w:rPr>
                    <w:t>1</w:t>
                  </w:r>
                </w:p>
              </w:tc>
              <w:tc>
                <w:tcPr>
                  <w:tcW w:w="717" w:type="pct"/>
                  <w:noWrap w:val="0"/>
                  <w:vAlign w:val="center"/>
                </w:tcPr>
                <w:p w14:paraId="7B6981E2">
                  <w:pPr>
                    <w:pStyle w:val="28"/>
                    <w:rPr>
                      <w:color w:val="auto"/>
                    </w:rPr>
                  </w:pPr>
                  <w:r>
                    <w:rPr>
                      <w:rFonts w:hint="eastAsia"/>
                      <w:color w:val="auto"/>
                    </w:rPr>
                    <w:t>搅拌机</w:t>
                  </w:r>
                </w:p>
              </w:tc>
              <w:tc>
                <w:tcPr>
                  <w:tcW w:w="429" w:type="pct"/>
                  <w:noWrap w:val="0"/>
                  <w:vAlign w:val="center"/>
                </w:tcPr>
                <w:p w14:paraId="6DECD3D4">
                  <w:pPr>
                    <w:pStyle w:val="28"/>
                    <w:rPr>
                      <w:color w:val="auto"/>
                    </w:rPr>
                  </w:pPr>
                  <w:r>
                    <w:rPr>
                      <w:color w:val="auto"/>
                    </w:rPr>
                    <w:t>1</w:t>
                  </w:r>
                </w:p>
              </w:tc>
              <w:tc>
                <w:tcPr>
                  <w:tcW w:w="868" w:type="pct"/>
                  <w:noWrap w:val="0"/>
                  <w:vAlign w:val="center"/>
                </w:tcPr>
                <w:p w14:paraId="6FD5C53D">
                  <w:pPr>
                    <w:pStyle w:val="28"/>
                    <w:rPr>
                      <w:color w:val="auto"/>
                    </w:rPr>
                  </w:pPr>
                  <w:r>
                    <w:rPr>
                      <w:rFonts w:hint="eastAsia"/>
                      <w:color w:val="auto"/>
                    </w:rPr>
                    <w:t>40</w:t>
                  </w:r>
                </w:p>
              </w:tc>
              <w:tc>
                <w:tcPr>
                  <w:tcW w:w="852" w:type="pct"/>
                  <w:noWrap w:val="0"/>
                  <w:vAlign w:val="center"/>
                </w:tcPr>
                <w:p w14:paraId="104A2A80">
                  <w:pPr>
                    <w:pStyle w:val="28"/>
                    <w:rPr>
                      <w:color w:val="auto"/>
                    </w:rPr>
                  </w:pPr>
                  <w:r>
                    <w:rPr>
                      <w:rFonts w:hint="eastAsia"/>
                      <w:color w:val="auto"/>
                    </w:rPr>
                    <w:t>142</w:t>
                  </w:r>
                </w:p>
              </w:tc>
              <w:tc>
                <w:tcPr>
                  <w:tcW w:w="854" w:type="pct"/>
                  <w:noWrap w:val="0"/>
                  <w:vAlign w:val="center"/>
                </w:tcPr>
                <w:p w14:paraId="29D14110">
                  <w:pPr>
                    <w:pStyle w:val="28"/>
                    <w:rPr>
                      <w:color w:val="auto"/>
                    </w:rPr>
                  </w:pPr>
                  <w:r>
                    <w:rPr>
                      <w:rFonts w:hint="eastAsia"/>
                      <w:color w:val="auto"/>
                    </w:rPr>
                    <w:t>145</w:t>
                  </w:r>
                </w:p>
              </w:tc>
              <w:tc>
                <w:tcPr>
                  <w:tcW w:w="852" w:type="pct"/>
                  <w:noWrap w:val="0"/>
                  <w:vAlign w:val="center"/>
                </w:tcPr>
                <w:p w14:paraId="15EB7035">
                  <w:pPr>
                    <w:pStyle w:val="28"/>
                    <w:rPr>
                      <w:color w:val="auto"/>
                    </w:rPr>
                  </w:pPr>
                  <w:r>
                    <w:rPr>
                      <w:rFonts w:hint="eastAsia"/>
                      <w:color w:val="auto"/>
                    </w:rPr>
                    <w:t>178</w:t>
                  </w:r>
                </w:p>
              </w:tc>
            </w:tr>
            <w:tr w14:paraId="224B6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8" w:hRule="atLeast"/>
                <w:jc w:val="center"/>
              </w:trPr>
              <w:tc>
                <w:tcPr>
                  <w:tcW w:w="427" w:type="pct"/>
                  <w:noWrap w:val="0"/>
                  <w:vAlign w:val="center"/>
                </w:tcPr>
                <w:p w14:paraId="2C59181D">
                  <w:pPr>
                    <w:pStyle w:val="28"/>
                    <w:rPr>
                      <w:color w:val="auto"/>
                    </w:rPr>
                  </w:pPr>
                  <w:r>
                    <w:rPr>
                      <w:color w:val="auto"/>
                    </w:rPr>
                    <w:t>2</w:t>
                  </w:r>
                </w:p>
              </w:tc>
              <w:tc>
                <w:tcPr>
                  <w:tcW w:w="717" w:type="pct"/>
                  <w:noWrap w:val="0"/>
                  <w:vAlign w:val="top"/>
                </w:tcPr>
                <w:p w14:paraId="00238A89">
                  <w:pPr>
                    <w:pStyle w:val="28"/>
                    <w:rPr>
                      <w:color w:val="auto"/>
                    </w:rPr>
                  </w:pPr>
                  <w:r>
                    <w:rPr>
                      <w:rFonts w:hint="eastAsia"/>
                      <w:color w:val="auto"/>
                    </w:rPr>
                    <w:t>柴油发电机</w:t>
                  </w:r>
                </w:p>
              </w:tc>
              <w:tc>
                <w:tcPr>
                  <w:tcW w:w="429" w:type="pct"/>
                  <w:noWrap w:val="0"/>
                  <w:vAlign w:val="center"/>
                </w:tcPr>
                <w:p w14:paraId="6CD71DA7">
                  <w:pPr>
                    <w:pStyle w:val="28"/>
                    <w:rPr>
                      <w:color w:val="auto"/>
                    </w:rPr>
                  </w:pPr>
                  <w:r>
                    <w:rPr>
                      <w:rFonts w:hint="eastAsia"/>
                      <w:color w:val="auto"/>
                    </w:rPr>
                    <w:t>1</w:t>
                  </w:r>
                </w:p>
              </w:tc>
              <w:tc>
                <w:tcPr>
                  <w:tcW w:w="868" w:type="pct"/>
                  <w:noWrap w:val="0"/>
                  <w:vAlign w:val="center"/>
                </w:tcPr>
                <w:p w14:paraId="78966D5F">
                  <w:pPr>
                    <w:pStyle w:val="28"/>
                    <w:rPr>
                      <w:color w:val="auto"/>
                    </w:rPr>
                  </w:pPr>
                  <w:r>
                    <w:rPr>
                      <w:rFonts w:hint="eastAsia"/>
                      <w:color w:val="auto"/>
                    </w:rPr>
                    <w:t>60</w:t>
                  </w:r>
                </w:p>
              </w:tc>
              <w:tc>
                <w:tcPr>
                  <w:tcW w:w="852" w:type="pct"/>
                  <w:noWrap w:val="0"/>
                  <w:vAlign w:val="center"/>
                </w:tcPr>
                <w:p w14:paraId="65F16EEC">
                  <w:pPr>
                    <w:pStyle w:val="28"/>
                    <w:rPr>
                      <w:color w:val="auto"/>
                    </w:rPr>
                  </w:pPr>
                  <w:r>
                    <w:rPr>
                      <w:rFonts w:hint="eastAsia"/>
                      <w:color w:val="auto"/>
                    </w:rPr>
                    <w:t>135</w:t>
                  </w:r>
                </w:p>
              </w:tc>
              <w:tc>
                <w:tcPr>
                  <w:tcW w:w="854" w:type="pct"/>
                  <w:noWrap w:val="0"/>
                  <w:vAlign w:val="center"/>
                </w:tcPr>
                <w:p w14:paraId="0D530548">
                  <w:pPr>
                    <w:pStyle w:val="28"/>
                    <w:rPr>
                      <w:color w:val="auto"/>
                    </w:rPr>
                  </w:pPr>
                  <w:r>
                    <w:rPr>
                      <w:rFonts w:hint="eastAsia"/>
                      <w:color w:val="auto"/>
                    </w:rPr>
                    <w:t>148</w:t>
                  </w:r>
                </w:p>
              </w:tc>
              <w:tc>
                <w:tcPr>
                  <w:tcW w:w="852" w:type="pct"/>
                  <w:noWrap w:val="0"/>
                  <w:vAlign w:val="center"/>
                </w:tcPr>
                <w:p w14:paraId="2BC793A1">
                  <w:pPr>
                    <w:pStyle w:val="28"/>
                    <w:rPr>
                      <w:color w:val="auto"/>
                    </w:rPr>
                  </w:pPr>
                  <w:r>
                    <w:rPr>
                      <w:rFonts w:hint="eastAsia"/>
                      <w:color w:val="auto"/>
                    </w:rPr>
                    <w:t>164</w:t>
                  </w:r>
                </w:p>
              </w:tc>
            </w:tr>
            <w:tr w14:paraId="3A3BC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8" w:hRule="atLeast"/>
                <w:jc w:val="center"/>
              </w:trPr>
              <w:tc>
                <w:tcPr>
                  <w:tcW w:w="427" w:type="pct"/>
                  <w:noWrap w:val="0"/>
                  <w:vAlign w:val="center"/>
                </w:tcPr>
                <w:p w14:paraId="39565AC2">
                  <w:pPr>
                    <w:pStyle w:val="28"/>
                    <w:rPr>
                      <w:color w:val="auto"/>
                    </w:rPr>
                  </w:pPr>
                  <w:r>
                    <w:rPr>
                      <w:color w:val="auto"/>
                    </w:rPr>
                    <w:t>3</w:t>
                  </w:r>
                </w:p>
              </w:tc>
              <w:tc>
                <w:tcPr>
                  <w:tcW w:w="717" w:type="pct"/>
                  <w:noWrap w:val="0"/>
                  <w:vAlign w:val="top"/>
                </w:tcPr>
                <w:p w14:paraId="771EAACC">
                  <w:pPr>
                    <w:pStyle w:val="28"/>
                    <w:rPr>
                      <w:color w:val="auto"/>
                    </w:rPr>
                  </w:pPr>
                  <w:r>
                    <w:rPr>
                      <w:rFonts w:hint="eastAsia"/>
                      <w:color w:val="auto"/>
                    </w:rPr>
                    <w:t>空气压缩机</w:t>
                  </w:r>
                </w:p>
              </w:tc>
              <w:tc>
                <w:tcPr>
                  <w:tcW w:w="429" w:type="pct"/>
                  <w:noWrap w:val="0"/>
                  <w:vAlign w:val="center"/>
                </w:tcPr>
                <w:p w14:paraId="30FDCC18">
                  <w:pPr>
                    <w:pStyle w:val="28"/>
                    <w:rPr>
                      <w:color w:val="auto"/>
                    </w:rPr>
                  </w:pPr>
                  <w:r>
                    <w:rPr>
                      <w:rFonts w:hint="eastAsia"/>
                      <w:color w:val="auto"/>
                    </w:rPr>
                    <w:t>2</w:t>
                  </w:r>
                </w:p>
              </w:tc>
              <w:tc>
                <w:tcPr>
                  <w:tcW w:w="868" w:type="pct"/>
                  <w:noWrap w:val="0"/>
                  <w:vAlign w:val="center"/>
                </w:tcPr>
                <w:p w14:paraId="25C1BC85">
                  <w:pPr>
                    <w:pStyle w:val="28"/>
                    <w:rPr>
                      <w:color w:val="auto"/>
                    </w:rPr>
                  </w:pPr>
                  <w:r>
                    <w:rPr>
                      <w:rFonts w:hint="eastAsia"/>
                      <w:color w:val="auto"/>
                    </w:rPr>
                    <w:t>35</w:t>
                  </w:r>
                </w:p>
              </w:tc>
              <w:tc>
                <w:tcPr>
                  <w:tcW w:w="852" w:type="pct"/>
                  <w:noWrap w:val="0"/>
                  <w:vAlign w:val="center"/>
                </w:tcPr>
                <w:p w14:paraId="14953066">
                  <w:pPr>
                    <w:pStyle w:val="28"/>
                    <w:rPr>
                      <w:color w:val="auto"/>
                    </w:rPr>
                  </w:pPr>
                  <w:r>
                    <w:rPr>
                      <w:rFonts w:hint="eastAsia"/>
                      <w:color w:val="auto"/>
                    </w:rPr>
                    <w:t>147</w:t>
                  </w:r>
                </w:p>
              </w:tc>
              <w:tc>
                <w:tcPr>
                  <w:tcW w:w="854" w:type="pct"/>
                  <w:noWrap w:val="0"/>
                  <w:vAlign w:val="center"/>
                </w:tcPr>
                <w:p w14:paraId="27518944">
                  <w:pPr>
                    <w:pStyle w:val="28"/>
                    <w:rPr>
                      <w:color w:val="auto"/>
                    </w:rPr>
                  </w:pPr>
                  <w:r>
                    <w:rPr>
                      <w:rFonts w:hint="eastAsia"/>
                      <w:color w:val="auto"/>
                    </w:rPr>
                    <w:t>152</w:t>
                  </w:r>
                </w:p>
              </w:tc>
              <w:tc>
                <w:tcPr>
                  <w:tcW w:w="852" w:type="pct"/>
                  <w:noWrap w:val="0"/>
                  <w:vAlign w:val="center"/>
                </w:tcPr>
                <w:p w14:paraId="27EF796E">
                  <w:pPr>
                    <w:pStyle w:val="28"/>
                    <w:rPr>
                      <w:color w:val="auto"/>
                    </w:rPr>
                  </w:pPr>
                  <w:r>
                    <w:rPr>
                      <w:rFonts w:hint="eastAsia"/>
                      <w:color w:val="auto"/>
                    </w:rPr>
                    <w:t>165</w:t>
                  </w:r>
                </w:p>
              </w:tc>
            </w:tr>
            <w:tr w14:paraId="5BA4D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8" w:hRule="atLeast"/>
                <w:jc w:val="center"/>
              </w:trPr>
              <w:tc>
                <w:tcPr>
                  <w:tcW w:w="427" w:type="pct"/>
                  <w:noWrap w:val="0"/>
                  <w:vAlign w:val="center"/>
                </w:tcPr>
                <w:p w14:paraId="51FB04DB">
                  <w:pPr>
                    <w:pStyle w:val="28"/>
                    <w:rPr>
                      <w:color w:val="auto"/>
                    </w:rPr>
                  </w:pPr>
                  <w:r>
                    <w:rPr>
                      <w:color w:val="auto"/>
                    </w:rPr>
                    <w:t>4</w:t>
                  </w:r>
                </w:p>
              </w:tc>
              <w:tc>
                <w:tcPr>
                  <w:tcW w:w="717" w:type="pct"/>
                  <w:noWrap w:val="0"/>
                  <w:vAlign w:val="center"/>
                </w:tcPr>
                <w:p w14:paraId="1DAD4148">
                  <w:pPr>
                    <w:pStyle w:val="28"/>
                    <w:rPr>
                      <w:color w:val="auto"/>
                    </w:rPr>
                  </w:pPr>
                  <w:r>
                    <w:rPr>
                      <w:rFonts w:hint="eastAsia"/>
                      <w:color w:val="auto"/>
                    </w:rPr>
                    <w:t>叉车</w:t>
                  </w:r>
                </w:p>
              </w:tc>
              <w:tc>
                <w:tcPr>
                  <w:tcW w:w="429" w:type="pct"/>
                  <w:noWrap w:val="0"/>
                  <w:vAlign w:val="center"/>
                </w:tcPr>
                <w:p w14:paraId="0D8053F7">
                  <w:pPr>
                    <w:pStyle w:val="28"/>
                    <w:rPr>
                      <w:color w:val="auto"/>
                    </w:rPr>
                  </w:pPr>
                  <w:r>
                    <w:rPr>
                      <w:color w:val="auto"/>
                    </w:rPr>
                    <w:t>2</w:t>
                  </w:r>
                </w:p>
              </w:tc>
              <w:tc>
                <w:tcPr>
                  <w:tcW w:w="868" w:type="pct"/>
                  <w:noWrap w:val="0"/>
                  <w:vAlign w:val="center"/>
                </w:tcPr>
                <w:p w14:paraId="22F4C033">
                  <w:pPr>
                    <w:pStyle w:val="28"/>
                    <w:rPr>
                      <w:color w:val="auto"/>
                    </w:rPr>
                  </w:pPr>
                  <w:r>
                    <w:rPr>
                      <w:rFonts w:hint="eastAsia"/>
                      <w:color w:val="auto"/>
                    </w:rPr>
                    <w:t>40</w:t>
                  </w:r>
                </w:p>
              </w:tc>
              <w:tc>
                <w:tcPr>
                  <w:tcW w:w="852" w:type="pct"/>
                  <w:noWrap w:val="0"/>
                  <w:vAlign w:val="center"/>
                </w:tcPr>
                <w:p w14:paraId="4A38649D">
                  <w:pPr>
                    <w:pStyle w:val="28"/>
                    <w:rPr>
                      <w:color w:val="auto"/>
                    </w:rPr>
                  </w:pPr>
                  <w:r>
                    <w:rPr>
                      <w:rFonts w:hint="eastAsia"/>
                      <w:color w:val="auto"/>
                    </w:rPr>
                    <w:t>138</w:t>
                  </w:r>
                </w:p>
              </w:tc>
              <w:tc>
                <w:tcPr>
                  <w:tcW w:w="854" w:type="pct"/>
                  <w:noWrap w:val="0"/>
                  <w:vAlign w:val="center"/>
                </w:tcPr>
                <w:p w14:paraId="79E45D40">
                  <w:pPr>
                    <w:pStyle w:val="28"/>
                    <w:rPr>
                      <w:color w:val="auto"/>
                    </w:rPr>
                  </w:pPr>
                  <w:r>
                    <w:rPr>
                      <w:rFonts w:hint="eastAsia"/>
                      <w:color w:val="auto"/>
                    </w:rPr>
                    <w:t>143</w:t>
                  </w:r>
                </w:p>
              </w:tc>
              <w:tc>
                <w:tcPr>
                  <w:tcW w:w="852" w:type="pct"/>
                  <w:noWrap w:val="0"/>
                  <w:vAlign w:val="center"/>
                </w:tcPr>
                <w:p w14:paraId="581B0C59">
                  <w:pPr>
                    <w:pStyle w:val="28"/>
                    <w:rPr>
                      <w:color w:val="auto"/>
                    </w:rPr>
                  </w:pPr>
                  <w:r>
                    <w:rPr>
                      <w:rFonts w:hint="eastAsia"/>
                      <w:color w:val="auto"/>
                    </w:rPr>
                    <w:t>151</w:t>
                  </w:r>
                </w:p>
              </w:tc>
            </w:tr>
            <w:tr w14:paraId="6A378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427" w:type="pct"/>
                  <w:noWrap w:val="0"/>
                  <w:vAlign w:val="center"/>
                </w:tcPr>
                <w:p w14:paraId="172F100C">
                  <w:pPr>
                    <w:pStyle w:val="28"/>
                    <w:rPr>
                      <w:color w:val="auto"/>
                    </w:rPr>
                  </w:pPr>
                  <w:r>
                    <w:rPr>
                      <w:color w:val="auto"/>
                    </w:rPr>
                    <w:t>5</w:t>
                  </w:r>
                </w:p>
              </w:tc>
              <w:tc>
                <w:tcPr>
                  <w:tcW w:w="717" w:type="pct"/>
                  <w:noWrap w:val="0"/>
                  <w:vAlign w:val="center"/>
                </w:tcPr>
                <w:p w14:paraId="20069C01">
                  <w:pPr>
                    <w:pStyle w:val="28"/>
                    <w:rPr>
                      <w:color w:val="auto"/>
                    </w:rPr>
                  </w:pPr>
                  <w:r>
                    <w:rPr>
                      <w:rFonts w:hint="eastAsia"/>
                      <w:color w:val="auto"/>
                    </w:rPr>
                    <w:t>装载机</w:t>
                  </w:r>
                </w:p>
              </w:tc>
              <w:tc>
                <w:tcPr>
                  <w:tcW w:w="429" w:type="pct"/>
                  <w:noWrap w:val="0"/>
                  <w:vAlign w:val="center"/>
                </w:tcPr>
                <w:p w14:paraId="7EDE4660">
                  <w:pPr>
                    <w:pStyle w:val="28"/>
                    <w:rPr>
                      <w:color w:val="auto"/>
                    </w:rPr>
                  </w:pPr>
                  <w:r>
                    <w:rPr>
                      <w:color w:val="auto"/>
                    </w:rPr>
                    <w:t>1</w:t>
                  </w:r>
                </w:p>
              </w:tc>
              <w:tc>
                <w:tcPr>
                  <w:tcW w:w="868" w:type="pct"/>
                  <w:noWrap w:val="0"/>
                  <w:vAlign w:val="center"/>
                </w:tcPr>
                <w:p w14:paraId="496FB3F9">
                  <w:pPr>
                    <w:pStyle w:val="28"/>
                    <w:rPr>
                      <w:color w:val="auto"/>
                    </w:rPr>
                  </w:pPr>
                  <w:r>
                    <w:rPr>
                      <w:rFonts w:hint="eastAsia"/>
                      <w:color w:val="auto"/>
                    </w:rPr>
                    <w:t>50</w:t>
                  </w:r>
                </w:p>
              </w:tc>
              <w:tc>
                <w:tcPr>
                  <w:tcW w:w="852" w:type="pct"/>
                  <w:noWrap w:val="0"/>
                  <w:vAlign w:val="center"/>
                </w:tcPr>
                <w:p w14:paraId="789B12FB">
                  <w:pPr>
                    <w:pStyle w:val="28"/>
                    <w:rPr>
                      <w:color w:val="auto"/>
                    </w:rPr>
                  </w:pPr>
                  <w:r>
                    <w:rPr>
                      <w:rFonts w:hint="eastAsia"/>
                      <w:color w:val="auto"/>
                    </w:rPr>
                    <w:t>128</w:t>
                  </w:r>
                </w:p>
              </w:tc>
              <w:tc>
                <w:tcPr>
                  <w:tcW w:w="854" w:type="pct"/>
                  <w:noWrap w:val="0"/>
                  <w:vAlign w:val="center"/>
                </w:tcPr>
                <w:p w14:paraId="5A71C5C8">
                  <w:pPr>
                    <w:pStyle w:val="28"/>
                    <w:rPr>
                      <w:color w:val="auto"/>
                    </w:rPr>
                  </w:pPr>
                  <w:r>
                    <w:rPr>
                      <w:rFonts w:hint="eastAsia"/>
                      <w:color w:val="auto"/>
                    </w:rPr>
                    <w:t>147</w:t>
                  </w:r>
                </w:p>
              </w:tc>
              <w:tc>
                <w:tcPr>
                  <w:tcW w:w="852" w:type="pct"/>
                  <w:noWrap w:val="0"/>
                  <w:vAlign w:val="center"/>
                </w:tcPr>
                <w:p w14:paraId="0F231D06">
                  <w:pPr>
                    <w:pStyle w:val="28"/>
                    <w:rPr>
                      <w:color w:val="auto"/>
                    </w:rPr>
                  </w:pPr>
                  <w:r>
                    <w:rPr>
                      <w:rFonts w:hint="eastAsia"/>
                      <w:color w:val="auto"/>
                    </w:rPr>
                    <w:t>171</w:t>
                  </w:r>
                </w:p>
              </w:tc>
            </w:tr>
            <w:tr w14:paraId="23949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8" w:hRule="atLeast"/>
                <w:jc w:val="center"/>
              </w:trPr>
              <w:tc>
                <w:tcPr>
                  <w:tcW w:w="427" w:type="pct"/>
                  <w:noWrap w:val="0"/>
                  <w:vAlign w:val="center"/>
                </w:tcPr>
                <w:p w14:paraId="3B81DD94">
                  <w:pPr>
                    <w:pStyle w:val="28"/>
                    <w:rPr>
                      <w:color w:val="auto"/>
                    </w:rPr>
                  </w:pPr>
                  <w:r>
                    <w:rPr>
                      <w:color w:val="auto"/>
                    </w:rPr>
                    <w:t>6</w:t>
                  </w:r>
                </w:p>
              </w:tc>
              <w:tc>
                <w:tcPr>
                  <w:tcW w:w="717" w:type="pct"/>
                  <w:noWrap w:val="0"/>
                  <w:vAlign w:val="center"/>
                </w:tcPr>
                <w:p w14:paraId="6916FC10">
                  <w:pPr>
                    <w:pStyle w:val="28"/>
                    <w:rPr>
                      <w:color w:val="auto"/>
                    </w:rPr>
                  </w:pPr>
                  <w:r>
                    <w:rPr>
                      <w:rFonts w:hint="eastAsia"/>
                      <w:color w:val="auto"/>
                    </w:rPr>
                    <w:t>轨枕湿润养护控制设备</w:t>
                  </w:r>
                </w:p>
              </w:tc>
              <w:tc>
                <w:tcPr>
                  <w:tcW w:w="429" w:type="pct"/>
                  <w:noWrap w:val="0"/>
                  <w:vAlign w:val="center"/>
                </w:tcPr>
                <w:p w14:paraId="5DC5561C">
                  <w:pPr>
                    <w:pStyle w:val="28"/>
                    <w:rPr>
                      <w:color w:val="auto"/>
                    </w:rPr>
                  </w:pPr>
                  <w:r>
                    <w:rPr>
                      <w:color w:val="auto"/>
                    </w:rPr>
                    <w:t>1</w:t>
                  </w:r>
                </w:p>
              </w:tc>
              <w:tc>
                <w:tcPr>
                  <w:tcW w:w="868" w:type="pct"/>
                  <w:noWrap w:val="0"/>
                  <w:vAlign w:val="center"/>
                </w:tcPr>
                <w:p w14:paraId="03E4D823">
                  <w:pPr>
                    <w:pStyle w:val="28"/>
                    <w:rPr>
                      <w:color w:val="auto"/>
                    </w:rPr>
                  </w:pPr>
                  <w:r>
                    <w:rPr>
                      <w:rFonts w:hint="eastAsia"/>
                      <w:color w:val="auto"/>
                    </w:rPr>
                    <w:t>73</w:t>
                  </w:r>
                </w:p>
              </w:tc>
              <w:tc>
                <w:tcPr>
                  <w:tcW w:w="852" w:type="pct"/>
                  <w:noWrap w:val="0"/>
                  <w:vAlign w:val="center"/>
                </w:tcPr>
                <w:p w14:paraId="05E86E40">
                  <w:pPr>
                    <w:pStyle w:val="28"/>
                    <w:rPr>
                      <w:color w:val="auto"/>
                    </w:rPr>
                  </w:pPr>
                  <w:r>
                    <w:rPr>
                      <w:rFonts w:hint="eastAsia"/>
                      <w:color w:val="auto"/>
                    </w:rPr>
                    <w:t>120</w:t>
                  </w:r>
                </w:p>
              </w:tc>
              <w:tc>
                <w:tcPr>
                  <w:tcW w:w="854" w:type="pct"/>
                  <w:noWrap w:val="0"/>
                  <w:vAlign w:val="center"/>
                </w:tcPr>
                <w:p w14:paraId="4645856F">
                  <w:pPr>
                    <w:pStyle w:val="28"/>
                    <w:rPr>
                      <w:color w:val="auto"/>
                    </w:rPr>
                  </w:pPr>
                  <w:r>
                    <w:rPr>
                      <w:rFonts w:hint="eastAsia"/>
                      <w:color w:val="auto"/>
                    </w:rPr>
                    <w:t>54</w:t>
                  </w:r>
                </w:p>
              </w:tc>
              <w:tc>
                <w:tcPr>
                  <w:tcW w:w="852" w:type="pct"/>
                  <w:noWrap w:val="0"/>
                  <w:vAlign w:val="center"/>
                </w:tcPr>
                <w:p w14:paraId="17CBB916">
                  <w:pPr>
                    <w:pStyle w:val="28"/>
                    <w:rPr>
                      <w:color w:val="auto"/>
                    </w:rPr>
                  </w:pPr>
                  <w:r>
                    <w:rPr>
                      <w:rFonts w:hint="eastAsia"/>
                      <w:color w:val="auto"/>
                    </w:rPr>
                    <w:t>181</w:t>
                  </w:r>
                </w:p>
              </w:tc>
            </w:tr>
            <w:tr w14:paraId="1AC3B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8" w:hRule="atLeast"/>
                <w:jc w:val="center"/>
              </w:trPr>
              <w:tc>
                <w:tcPr>
                  <w:tcW w:w="427" w:type="pct"/>
                  <w:noWrap w:val="0"/>
                  <w:vAlign w:val="center"/>
                </w:tcPr>
                <w:p w14:paraId="379B2C5A">
                  <w:pPr>
                    <w:pStyle w:val="28"/>
                    <w:rPr>
                      <w:color w:val="auto"/>
                    </w:rPr>
                  </w:pPr>
                  <w:r>
                    <w:rPr>
                      <w:color w:val="auto"/>
                    </w:rPr>
                    <w:t>7</w:t>
                  </w:r>
                </w:p>
              </w:tc>
              <w:tc>
                <w:tcPr>
                  <w:tcW w:w="717" w:type="pct"/>
                  <w:noWrap w:val="0"/>
                  <w:vAlign w:val="center"/>
                </w:tcPr>
                <w:p w14:paraId="554E774C">
                  <w:pPr>
                    <w:pStyle w:val="28"/>
                    <w:rPr>
                      <w:color w:val="auto"/>
                    </w:rPr>
                  </w:pPr>
                  <w:r>
                    <w:rPr>
                      <w:rFonts w:hint="eastAsia"/>
                      <w:color w:val="auto"/>
                    </w:rPr>
                    <w:t>数控弯箍机</w:t>
                  </w:r>
                </w:p>
              </w:tc>
              <w:tc>
                <w:tcPr>
                  <w:tcW w:w="429" w:type="pct"/>
                  <w:noWrap w:val="0"/>
                  <w:vAlign w:val="center"/>
                </w:tcPr>
                <w:p w14:paraId="6725A5C4">
                  <w:pPr>
                    <w:pStyle w:val="28"/>
                    <w:rPr>
                      <w:color w:val="auto"/>
                    </w:rPr>
                  </w:pPr>
                  <w:r>
                    <w:rPr>
                      <w:color w:val="auto"/>
                    </w:rPr>
                    <w:t>1</w:t>
                  </w:r>
                </w:p>
              </w:tc>
              <w:tc>
                <w:tcPr>
                  <w:tcW w:w="868" w:type="pct"/>
                  <w:noWrap w:val="0"/>
                  <w:vAlign w:val="center"/>
                </w:tcPr>
                <w:p w14:paraId="5AAAC301">
                  <w:pPr>
                    <w:pStyle w:val="28"/>
                    <w:rPr>
                      <w:color w:val="auto"/>
                    </w:rPr>
                  </w:pPr>
                  <w:r>
                    <w:rPr>
                      <w:rFonts w:hint="eastAsia"/>
                      <w:color w:val="auto"/>
                    </w:rPr>
                    <w:t>48</w:t>
                  </w:r>
                </w:p>
              </w:tc>
              <w:tc>
                <w:tcPr>
                  <w:tcW w:w="852" w:type="pct"/>
                  <w:noWrap w:val="0"/>
                  <w:vAlign w:val="center"/>
                </w:tcPr>
                <w:p w14:paraId="107993C1">
                  <w:pPr>
                    <w:pStyle w:val="28"/>
                    <w:rPr>
                      <w:color w:val="auto"/>
                    </w:rPr>
                  </w:pPr>
                  <w:r>
                    <w:rPr>
                      <w:rFonts w:hint="eastAsia"/>
                      <w:color w:val="auto"/>
                    </w:rPr>
                    <w:t>134</w:t>
                  </w:r>
                </w:p>
              </w:tc>
              <w:tc>
                <w:tcPr>
                  <w:tcW w:w="854" w:type="pct"/>
                  <w:noWrap w:val="0"/>
                  <w:vAlign w:val="center"/>
                </w:tcPr>
                <w:p w14:paraId="6B2D4A82">
                  <w:pPr>
                    <w:pStyle w:val="28"/>
                    <w:rPr>
                      <w:color w:val="auto"/>
                    </w:rPr>
                  </w:pPr>
                  <w:r>
                    <w:rPr>
                      <w:rFonts w:hint="eastAsia"/>
                      <w:color w:val="auto"/>
                    </w:rPr>
                    <w:t>121</w:t>
                  </w:r>
                </w:p>
              </w:tc>
              <w:tc>
                <w:tcPr>
                  <w:tcW w:w="852" w:type="pct"/>
                  <w:noWrap w:val="0"/>
                  <w:vAlign w:val="center"/>
                </w:tcPr>
                <w:p w14:paraId="5B2E2A03">
                  <w:pPr>
                    <w:pStyle w:val="28"/>
                    <w:rPr>
                      <w:color w:val="auto"/>
                    </w:rPr>
                  </w:pPr>
                  <w:r>
                    <w:rPr>
                      <w:rFonts w:hint="eastAsia"/>
                      <w:color w:val="auto"/>
                    </w:rPr>
                    <w:t>154</w:t>
                  </w:r>
                </w:p>
              </w:tc>
            </w:tr>
            <w:tr w14:paraId="1E810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8" w:hRule="atLeast"/>
                <w:jc w:val="center"/>
              </w:trPr>
              <w:tc>
                <w:tcPr>
                  <w:tcW w:w="427" w:type="pct"/>
                  <w:noWrap w:val="0"/>
                  <w:vAlign w:val="center"/>
                </w:tcPr>
                <w:p w14:paraId="30886100">
                  <w:pPr>
                    <w:pStyle w:val="28"/>
                    <w:rPr>
                      <w:color w:val="auto"/>
                    </w:rPr>
                  </w:pPr>
                  <w:r>
                    <w:rPr>
                      <w:color w:val="auto"/>
                    </w:rPr>
                    <w:t>8</w:t>
                  </w:r>
                </w:p>
              </w:tc>
              <w:tc>
                <w:tcPr>
                  <w:tcW w:w="717" w:type="pct"/>
                  <w:noWrap w:val="0"/>
                  <w:vAlign w:val="center"/>
                </w:tcPr>
                <w:p w14:paraId="5EAABACD">
                  <w:pPr>
                    <w:pStyle w:val="28"/>
                    <w:rPr>
                      <w:color w:val="auto"/>
                    </w:rPr>
                  </w:pPr>
                  <w:r>
                    <w:rPr>
                      <w:rFonts w:hint="eastAsia"/>
                      <w:color w:val="auto"/>
                    </w:rPr>
                    <w:t>污水处理设备（压滤机）</w:t>
                  </w:r>
                </w:p>
              </w:tc>
              <w:tc>
                <w:tcPr>
                  <w:tcW w:w="429" w:type="pct"/>
                  <w:noWrap w:val="0"/>
                  <w:vAlign w:val="center"/>
                </w:tcPr>
                <w:p w14:paraId="773AFABB">
                  <w:pPr>
                    <w:pStyle w:val="28"/>
                    <w:rPr>
                      <w:color w:val="auto"/>
                    </w:rPr>
                  </w:pPr>
                  <w:r>
                    <w:rPr>
                      <w:color w:val="auto"/>
                    </w:rPr>
                    <w:t>1</w:t>
                  </w:r>
                </w:p>
              </w:tc>
              <w:tc>
                <w:tcPr>
                  <w:tcW w:w="868" w:type="pct"/>
                  <w:noWrap w:val="0"/>
                  <w:vAlign w:val="center"/>
                </w:tcPr>
                <w:p w14:paraId="2496E9B5">
                  <w:pPr>
                    <w:pStyle w:val="28"/>
                    <w:rPr>
                      <w:color w:val="auto"/>
                    </w:rPr>
                  </w:pPr>
                  <w:r>
                    <w:rPr>
                      <w:rFonts w:hint="eastAsia"/>
                      <w:color w:val="auto"/>
                    </w:rPr>
                    <w:t>45</w:t>
                  </w:r>
                </w:p>
              </w:tc>
              <w:tc>
                <w:tcPr>
                  <w:tcW w:w="852" w:type="pct"/>
                  <w:noWrap w:val="0"/>
                  <w:vAlign w:val="center"/>
                </w:tcPr>
                <w:p w14:paraId="4CBCAB61">
                  <w:pPr>
                    <w:pStyle w:val="28"/>
                    <w:rPr>
                      <w:color w:val="auto"/>
                    </w:rPr>
                  </w:pPr>
                  <w:r>
                    <w:rPr>
                      <w:rFonts w:hint="eastAsia"/>
                      <w:color w:val="auto"/>
                    </w:rPr>
                    <w:t>142</w:t>
                  </w:r>
                </w:p>
              </w:tc>
              <w:tc>
                <w:tcPr>
                  <w:tcW w:w="854" w:type="pct"/>
                  <w:noWrap w:val="0"/>
                  <w:vAlign w:val="center"/>
                </w:tcPr>
                <w:p w14:paraId="7CD6845F">
                  <w:pPr>
                    <w:pStyle w:val="28"/>
                    <w:rPr>
                      <w:color w:val="auto"/>
                    </w:rPr>
                  </w:pPr>
                  <w:r>
                    <w:rPr>
                      <w:rFonts w:hint="eastAsia"/>
                      <w:color w:val="auto"/>
                    </w:rPr>
                    <w:t>125</w:t>
                  </w:r>
                </w:p>
              </w:tc>
              <w:tc>
                <w:tcPr>
                  <w:tcW w:w="852" w:type="pct"/>
                  <w:noWrap w:val="0"/>
                  <w:vAlign w:val="center"/>
                </w:tcPr>
                <w:p w14:paraId="5CBB4A75">
                  <w:pPr>
                    <w:pStyle w:val="28"/>
                    <w:rPr>
                      <w:color w:val="auto"/>
                    </w:rPr>
                  </w:pPr>
                  <w:r>
                    <w:rPr>
                      <w:rFonts w:hint="eastAsia"/>
                      <w:color w:val="auto"/>
                    </w:rPr>
                    <w:t>150</w:t>
                  </w:r>
                </w:p>
              </w:tc>
            </w:tr>
            <w:tr w14:paraId="3602F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8" w:hRule="atLeast"/>
                <w:jc w:val="center"/>
              </w:trPr>
              <w:tc>
                <w:tcPr>
                  <w:tcW w:w="427" w:type="pct"/>
                  <w:noWrap w:val="0"/>
                  <w:vAlign w:val="center"/>
                </w:tcPr>
                <w:p w14:paraId="45850BFB">
                  <w:pPr>
                    <w:pStyle w:val="28"/>
                    <w:rPr>
                      <w:color w:val="auto"/>
                    </w:rPr>
                  </w:pPr>
                  <w:r>
                    <w:rPr>
                      <w:color w:val="auto"/>
                    </w:rPr>
                    <w:t>9</w:t>
                  </w:r>
                </w:p>
              </w:tc>
              <w:tc>
                <w:tcPr>
                  <w:tcW w:w="717" w:type="pct"/>
                  <w:noWrap w:val="0"/>
                  <w:vAlign w:val="center"/>
                </w:tcPr>
                <w:p w14:paraId="09855E31">
                  <w:pPr>
                    <w:pStyle w:val="28"/>
                    <w:rPr>
                      <w:color w:val="auto"/>
                    </w:rPr>
                  </w:pPr>
                  <w:r>
                    <w:rPr>
                      <w:rFonts w:hint="eastAsia"/>
                      <w:color w:val="auto"/>
                    </w:rPr>
                    <w:t>混凝土布料机</w:t>
                  </w:r>
                </w:p>
              </w:tc>
              <w:tc>
                <w:tcPr>
                  <w:tcW w:w="429" w:type="pct"/>
                  <w:noWrap w:val="0"/>
                  <w:vAlign w:val="center"/>
                </w:tcPr>
                <w:p w14:paraId="3668DCB0">
                  <w:pPr>
                    <w:pStyle w:val="28"/>
                    <w:rPr>
                      <w:color w:val="auto"/>
                    </w:rPr>
                  </w:pPr>
                  <w:r>
                    <w:rPr>
                      <w:color w:val="auto"/>
                    </w:rPr>
                    <w:t>1</w:t>
                  </w:r>
                </w:p>
              </w:tc>
              <w:tc>
                <w:tcPr>
                  <w:tcW w:w="868" w:type="pct"/>
                  <w:noWrap w:val="0"/>
                  <w:vAlign w:val="center"/>
                </w:tcPr>
                <w:p w14:paraId="14DD688D">
                  <w:pPr>
                    <w:pStyle w:val="28"/>
                    <w:rPr>
                      <w:color w:val="auto"/>
                    </w:rPr>
                  </w:pPr>
                  <w:r>
                    <w:rPr>
                      <w:rFonts w:hint="eastAsia"/>
                      <w:color w:val="auto"/>
                    </w:rPr>
                    <w:t>60</w:t>
                  </w:r>
                </w:p>
              </w:tc>
              <w:tc>
                <w:tcPr>
                  <w:tcW w:w="852" w:type="pct"/>
                  <w:noWrap w:val="0"/>
                  <w:vAlign w:val="center"/>
                </w:tcPr>
                <w:p w14:paraId="0950B570">
                  <w:pPr>
                    <w:pStyle w:val="28"/>
                    <w:rPr>
                      <w:rFonts w:hint="eastAsia"/>
                      <w:color w:val="auto"/>
                    </w:rPr>
                  </w:pPr>
                  <w:r>
                    <w:rPr>
                      <w:rFonts w:hint="eastAsia"/>
                      <w:color w:val="auto"/>
                    </w:rPr>
                    <w:t>115</w:t>
                  </w:r>
                </w:p>
              </w:tc>
              <w:tc>
                <w:tcPr>
                  <w:tcW w:w="854" w:type="pct"/>
                  <w:noWrap w:val="0"/>
                  <w:vAlign w:val="center"/>
                </w:tcPr>
                <w:p w14:paraId="1AF3994D">
                  <w:pPr>
                    <w:pStyle w:val="28"/>
                    <w:rPr>
                      <w:color w:val="auto"/>
                    </w:rPr>
                  </w:pPr>
                  <w:r>
                    <w:rPr>
                      <w:rFonts w:hint="eastAsia"/>
                      <w:color w:val="auto"/>
                    </w:rPr>
                    <w:t>167</w:t>
                  </w:r>
                </w:p>
              </w:tc>
              <w:tc>
                <w:tcPr>
                  <w:tcW w:w="852" w:type="pct"/>
                  <w:noWrap w:val="0"/>
                  <w:vAlign w:val="center"/>
                </w:tcPr>
                <w:p w14:paraId="1815F32C">
                  <w:pPr>
                    <w:pStyle w:val="28"/>
                    <w:rPr>
                      <w:color w:val="auto"/>
                    </w:rPr>
                  </w:pPr>
                  <w:r>
                    <w:rPr>
                      <w:rFonts w:hint="eastAsia"/>
                      <w:color w:val="auto"/>
                    </w:rPr>
                    <w:t>148</w:t>
                  </w:r>
                </w:p>
              </w:tc>
            </w:tr>
            <w:tr w14:paraId="50E8C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8" w:hRule="atLeast"/>
                <w:jc w:val="center"/>
              </w:trPr>
              <w:tc>
                <w:tcPr>
                  <w:tcW w:w="427" w:type="pct"/>
                  <w:noWrap w:val="0"/>
                  <w:vAlign w:val="center"/>
                </w:tcPr>
                <w:p w14:paraId="5E79DDC5">
                  <w:pPr>
                    <w:pStyle w:val="28"/>
                    <w:rPr>
                      <w:color w:val="auto"/>
                    </w:rPr>
                  </w:pPr>
                  <w:r>
                    <w:rPr>
                      <w:color w:val="auto"/>
                    </w:rPr>
                    <w:t>10</w:t>
                  </w:r>
                </w:p>
              </w:tc>
              <w:tc>
                <w:tcPr>
                  <w:tcW w:w="717" w:type="pct"/>
                  <w:noWrap w:val="0"/>
                  <w:vAlign w:val="center"/>
                </w:tcPr>
                <w:p w14:paraId="06085FA0">
                  <w:pPr>
                    <w:pStyle w:val="28"/>
                    <w:rPr>
                      <w:color w:val="auto"/>
                    </w:rPr>
                  </w:pPr>
                  <w:r>
                    <w:rPr>
                      <w:rFonts w:hint="eastAsia"/>
                      <w:color w:val="auto"/>
                      <w:lang w:eastAsia="zh-CN"/>
                    </w:rPr>
                    <w:t>混凝土浇筑</w:t>
                  </w:r>
                  <w:r>
                    <w:rPr>
                      <w:rFonts w:hint="eastAsia"/>
                      <w:color w:val="auto"/>
                    </w:rPr>
                    <w:t>/振动台</w:t>
                  </w:r>
                </w:p>
              </w:tc>
              <w:tc>
                <w:tcPr>
                  <w:tcW w:w="429" w:type="pct"/>
                  <w:noWrap w:val="0"/>
                  <w:vAlign w:val="center"/>
                </w:tcPr>
                <w:p w14:paraId="47A3FAB9">
                  <w:pPr>
                    <w:pStyle w:val="28"/>
                    <w:rPr>
                      <w:color w:val="auto"/>
                    </w:rPr>
                  </w:pPr>
                  <w:r>
                    <w:rPr>
                      <w:rFonts w:hint="eastAsia"/>
                      <w:color w:val="auto"/>
                    </w:rPr>
                    <w:t>2</w:t>
                  </w:r>
                </w:p>
              </w:tc>
              <w:tc>
                <w:tcPr>
                  <w:tcW w:w="868" w:type="pct"/>
                  <w:noWrap w:val="0"/>
                  <w:vAlign w:val="center"/>
                </w:tcPr>
                <w:p w14:paraId="0E32C7CA">
                  <w:pPr>
                    <w:pStyle w:val="28"/>
                    <w:rPr>
                      <w:color w:val="auto"/>
                    </w:rPr>
                  </w:pPr>
                  <w:r>
                    <w:rPr>
                      <w:rFonts w:hint="eastAsia"/>
                      <w:color w:val="auto"/>
                    </w:rPr>
                    <w:t>65</w:t>
                  </w:r>
                </w:p>
              </w:tc>
              <w:tc>
                <w:tcPr>
                  <w:tcW w:w="852" w:type="pct"/>
                  <w:noWrap w:val="0"/>
                  <w:vAlign w:val="center"/>
                </w:tcPr>
                <w:p w14:paraId="19C5818B">
                  <w:pPr>
                    <w:pStyle w:val="28"/>
                    <w:rPr>
                      <w:color w:val="auto"/>
                    </w:rPr>
                  </w:pPr>
                  <w:r>
                    <w:rPr>
                      <w:rFonts w:hint="eastAsia"/>
                      <w:color w:val="auto"/>
                    </w:rPr>
                    <w:t>115</w:t>
                  </w:r>
                </w:p>
              </w:tc>
              <w:tc>
                <w:tcPr>
                  <w:tcW w:w="854" w:type="pct"/>
                  <w:noWrap w:val="0"/>
                  <w:vAlign w:val="center"/>
                </w:tcPr>
                <w:p w14:paraId="5BF5BB65">
                  <w:pPr>
                    <w:pStyle w:val="28"/>
                    <w:rPr>
                      <w:color w:val="auto"/>
                    </w:rPr>
                  </w:pPr>
                  <w:r>
                    <w:rPr>
                      <w:rFonts w:hint="eastAsia"/>
                      <w:color w:val="auto"/>
                    </w:rPr>
                    <w:t>167</w:t>
                  </w:r>
                </w:p>
              </w:tc>
              <w:tc>
                <w:tcPr>
                  <w:tcW w:w="852" w:type="pct"/>
                  <w:noWrap w:val="0"/>
                  <w:vAlign w:val="center"/>
                </w:tcPr>
                <w:p w14:paraId="2348A02A">
                  <w:pPr>
                    <w:pStyle w:val="28"/>
                    <w:rPr>
                      <w:color w:val="auto"/>
                    </w:rPr>
                  </w:pPr>
                  <w:r>
                    <w:rPr>
                      <w:rFonts w:hint="eastAsia"/>
                      <w:color w:val="auto"/>
                    </w:rPr>
                    <w:t>148</w:t>
                  </w:r>
                </w:p>
              </w:tc>
            </w:tr>
            <w:tr w14:paraId="7FCDD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8" w:hRule="atLeast"/>
                <w:jc w:val="center"/>
              </w:trPr>
              <w:tc>
                <w:tcPr>
                  <w:tcW w:w="427" w:type="pct"/>
                  <w:noWrap w:val="0"/>
                  <w:vAlign w:val="center"/>
                </w:tcPr>
                <w:p w14:paraId="319E8E1C">
                  <w:pPr>
                    <w:pStyle w:val="28"/>
                    <w:rPr>
                      <w:color w:val="auto"/>
                    </w:rPr>
                  </w:pPr>
                  <w:r>
                    <w:rPr>
                      <w:color w:val="auto"/>
                    </w:rPr>
                    <w:t>11</w:t>
                  </w:r>
                </w:p>
              </w:tc>
              <w:tc>
                <w:tcPr>
                  <w:tcW w:w="717" w:type="pct"/>
                  <w:noWrap w:val="0"/>
                  <w:vAlign w:val="center"/>
                </w:tcPr>
                <w:p w14:paraId="797560F3">
                  <w:pPr>
                    <w:pStyle w:val="28"/>
                    <w:rPr>
                      <w:color w:val="auto"/>
                    </w:rPr>
                  </w:pPr>
                  <w:r>
                    <w:rPr>
                      <w:rFonts w:hint="eastAsia"/>
                      <w:color w:val="auto"/>
                    </w:rPr>
                    <w:t>养护通道用液压推进装置</w:t>
                  </w:r>
                </w:p>
              </w:tc>
              <w:tc>
                <w:tcPr>
                  <w:tcW w:w="429" w:type="pct"/>
                  <w:noWrap w:val="0"/>
                  <w:vAlign w:val="center"/>
                </w:tcPr>
                <w:p w14:paraId="635E7A05">
                  <w:pPr>
                    <w:pStyle w:val="28"/>
                    <w:rPr>
                      <w:color w:val="auto"/>
                    </w:rPr>
                  </w:pPr>
                  <w:r>
                    <w:rPr>
                      <w:rFonts w:hint="eastAsia"/>
                      <w:color w:val="auto"/>
                    </w:rPr>
                    <w:t>2</w:t>
                  </w:r>
                </w:p>
              </w:tc>
              <w:tc>
                <w:tcPr>
                  <w:tcW w:w="868" w:type="pct"/>
                  <w:noWrap w:val="0"/>
                  <w:vAlign w:val="center"/>
                </w:tcPr>
                <w:p w14:paraId="5E87B835">
                  <w:pPr>
                    <w:pStyle w:val="28"/>
                    <w:rPr>
                      <w:color w:val="auto"/>
                    </w:rPr>
                  </w:pPr>
                  <w:r>
                    <w:rPr>
                      <w:rFonts w:hint="eastAsia"/>
                      <w:color w:val="auto"/>
                    </w:rPr>
                    <w:t>75</w:t>
                  </w:r>
                </w:p>
              </w:tc>
              <w:tc>
                <w:tcPr>
                  <w:tcW w:w="852" w:type="pct"/>
                  <w:noWrap w:val="0"/>
                  <w:vAlign w:val="center"/>
                </w:tcPr>
                <w:p w14:paraId="52EBB423">
                  <w:pPr>
                    <w:pStyle w:val="28"/>
                    <w:rPr>
                      <w:color w:val="auto"/>
                    </w:rPr>
                  </w:pPr>
                  <w:r>
                    <w:rPr>
                      <w:rFonts w:hint="eastAsia"/>
                      <w:color w:val="auto"/>
                    </w:rPr>
                    <w:t>126</w:t>
                  </w:r>
                </w:p>
              </w:tc>
              <w:tc>
                <w:tcPr>
                  <w:tcW w:w="854" w:type="pct"/>
                  <w:noWrap w:val="0"/>
                  <w:vAlign w:val="center"/>
                </w:tcPr>
                <w:p w14:paraId="4A346A02">
                  <w:pPr>
                    <w:pStyle w:val="28"/>
                    <w:rPr>
                      <w:color w:val="auto"/>
                    </w:rPr>
                  </w:pPr>
                  <w:r>
                    <w:rPr>
                      <w:rFonts w:hint="eastAsia"/>
                      <w:color w:val="auto"/>
                    </w:rPr>
                    <w:t>64</w:t>
                  </w:r>
                </w:p>
              </w:tc>
              <w:tc>
                <w:tcPr>
                  <w:tcW w:w="852" w:type="pct"/>
                  <w:noWrap w:val="0"/>
                  <w:vAlign w:val="center"/>
                </w:tcPr>
                <w:p w14:paraId="709A8D9B">
                  <w:pPr>
                    <w:pStyle w:val="28"/>
                    <w:rPr>
                      <w:color w:val="auto"/>
                    </w:rPr>
                  </w:pPr>
                  <w:r>
                    <w:rPr>
                      <w:rFonts w:hint="eastAsia"/>
                      <w:color w:val="auto"/>
                    </w:rPr>
                    <w:t>181</w:t>
                  </w:r>
                </w:p>
              </w:tc>
            </w:tr>
            <w:tr w14:paraId="5EDF3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8" w:hRule="atLeast"/>
                <w:jc w:val="center"/>
              </w:trPr>
              <w:tc>
                <w:tcPr>
                  <w:tcW w:w="427" w:type="pct"/>
                  <w:noWrap w:val="0"/>
                  <w:vAlign w:val="center"/>
                </w:tcPr>
                <w:p w14:paraId="059941C9">
                  <w:pPr>
                    <w:pStyle w:val="28"/>
                    <w:rPr>
                      <w:color w:val="auto"/>
                    </w:rPr>
                  </w:pPr>
                  <w:r>
                    <w:rPr>
                      <w:color w:val="auto"/>
                    </w:rPr>
                    <w:t>12</w:t>
                  </w:r>
                </w:p>
              </w:tc>
              <w:tc>
                <w:tcPr>
                  <w:tcW w:w="717" w:type="pct"/>
                  <w:noWrap w:val="0"/>
                  <w:vAlign w:val="center"/>
                </w:tcPr>
                <w:p w14:paraId="56E7A7F2">
                  <w:pPr>
                    <w:pStyle w:val="28"/>
                    <w:rPr>
                      <w:color w:val="auto"/>
                    </w:rPr>
                  </w:pPr>
                  <w:r>
                    <w:rPr>
                      <w:rFonts w:hint="eastAsia"/>
                      <w:color w:val="auto"/>
                    </w:rPr>
                    <w:t>养护通道用钢丝绳传动装置</w:t>
                  </w:r>
                </w:p>
              </w:tc>
              <w:tc>
                <w:tcPr>
                  <w:tcW w:w="429" w:type="pct"/>
                  <w:noWrap w:val="0"/>
                  <w:vAlign w:val="center"/>
                </w:tcPr>
                <w:p w14:paraId="440CEB8B">
                  <w:pPr>
                    <w:pStyle w:val="28"/>
                    <w:rPr>
                      <w:color w:val="auto"/>
                    </w:rPr>
                  </w:pPr>
                  <w:r>
                    <w:rPr>
                      <w:rFonts w:hint="eastAsia"/>
                      <w:color w:val="auto"/>
                    </w:rPr>
                    <w:t>2</w:t>
                  </w:r>
                </w:p>
              </w:tc>
              <w:tc>
                <w:tcPr>
                  <w:tcW w:w="868" w:type="pct"/>
                  <w:noWrap w:val="0"/>
                  <w:vAlign w:val="center"/>
                </w:tcPr>
                <w:p w14:paraId="415D1EA5">
                  <w:pPr>
                    <w:pStyle w:val="28"/>
                    <w:rPr>
                      <w:color w:val="auto"/>
                    </w:rPr>
                  </w:pPr>
                  <w:r>
                    <w:rPr>
                      <w:rFonts w:hint="eastAsia"/>
                      <w:color w:val="auto"/>
                    </w:rPr>
                    <w:t>73</w:t>
                  </w:r>
                </w:p>
              </w:tc>
              <w:tc>
                <w:tcPr>
                  <w:tcW w:w="852" w:type="pct"/>
                  <w:noWrap w:val="0"/>
                  <w:vAlign w:val="center"/>
                </w:tcPr>
                <w:p w14:paraId="3D55A3AB">
                  <w:pPr>
                    <w:pStyle w:val="28"/>
                    <w:rPr>
                      <w:color w:val="auto"/>
                    </w:rPr>
                  </w:pPr>
                  <w:r>
                    <w:rPr>
                      <w:rFonts w:hint="eastAsia"/>
                      <w:color w:val="auto"/>
                    </w:rPr>
                    <w:t>131</w:t>
                  </w:r>
                </w:p>
              </w:tc>
              <w:tc>
                <w:tcPr>
                  <w:tcW w:w="854" w:type="pct"/>
                  <w:noWrap w:val="0"/>
                  <w:vAlign w:val="center"/>
                </w:tcPr>
                <w:p w14:paraId="6E9A98CB">
                  <w:pPr>
                    <w:pStyle w:val="28"/>
                    <w:rPr>
                      <w:color w:val="auto"/>
                    </w:rPr>
                  </w:pPr>
                  <w:r>
                    <w:rPr>
                      <w:rFonts w:hint="eastAsia"/>
                      <w:color w:val="auto"/>
                    </w:rPr>
                    <w:t>68</w:t>
                  </w:r>
                </w:p>
              </w:tc>
              <w:tc>
                <w:tcPr>
                  <w:tcW w:w="852" w:type="pct"/>
                  <w:noWrap w:val="0"/>
                  <w:vAlign w:val="center"/>
                </w:tcPr>
                <w:p w14:paraId="32A4E8D9">
                  <w:pPr>
                    <w:pStyle w:val="28"/>
                    <w:rPr>
                      <w:color w:val="auto"/>
                    </w:rPr>
                  </w:pPr>
                  <w:r>
                    <w:rPr>
                      <w:rFonts w:hint="eastAsia"/>
                      <w:color w:val="auto"/>
                    </w:rPr>
                    <w:t>162</w:t>
                  </w:r>
                </w:p>
              </w:tc>
            </w:tr>
            <w:tr w14:paraId="6330B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8" w:hRule="atLeast"/>
                <w:jc w:val="center"/>
              </w:trPr>
              <w:tc>
                <w:tcPr>
                  <w:tcW w:w="427" w:type="pct"/>
                  <w:noWrap w:val="0"/>
                  <w:vAlign w:val="center"/>
                </w:tcPr>
                <w:p w14:paraId="77201672">
                  <w:pPr>
                    <w:pStyle w:val="28"/>
                    <w:rPr>
                      <w:color w:val="auto"/>
                    </w:rPr>
                  </w:pPr>
                  <w:r>
                    <w:rPr>
                      <w:color w:val="auto"/>
                    </w:rPr>
                    <w:t>13</w:t>
                  </w:r>
                </w:p>
              </w:tc>
              <w:tc>
                <w:tcPr>
                  <w:tcW w:w="717" w:type="pct"/>
                  <w:noWrap w:val="0"/>
                  <w:vAlign w:val="center"/>
                </w:tcPr>
                <w:p w14:paraId="078377FA">
                  <w:pPr>
                    <w:pStyle w:val="28"/>
                    <w:rPr>
                      <w:color w:val="auto"/>
                    </w:rPr>
                  </w:pPr>
                  <w:r>
                    <w:rPr>
                      <w:rFonts w:hint="eastAsia"/>
                      <w:color w:val="auto"/>
                    </w:rPr>
                    <w:t>带提升装置的脱模站</w:t>
                  </w:r>
                </w:p>
              </w:tc>
              <w:tc>
                <w:tcPr>
                  <w:tcW w:w="429" w:type="pct"/>
                  <w:noWrap w:val="0"/>
                  <w:vAlign w:val="center"/>
                </w:tcPr>
                <w:p w14:paraId="6686A46B">
                  <w:pPr>
                    <w:pStyle w:val="28"/>
                    <w:rPr>
                      <w:color w:val="auto"/>
                    </w:rPr>
                  </w:pPr>
                  <w:r>
                    <w:rPr>
                      <w:color w:val="auto"/>
                    </w:rPr>
                    <w:t>1</w:t>
                  </w:r>
                </w:p>
              </w:tc>
              <w:tc>
                <w:tcPr>
                  <w:tcW w:w="868" w:type="pct"/>
                  <w:noWrap w:val="0"/>
                  <w:vAlign w:val="center"/>
                </w:tcPr>
                <w:p w14:paraId="4CB4C992">
                  <w:pPr>
                    <w:pStyle w:val="28"/>
                    <w:rPr>
                      <w:color w:val="auto"/>
                    </w:rPr>
                  </w:pPr>
                  <w:r>
                    <w:rPr>
                      <w:rFonts w:hint="eastAsia"/>
                      <w:color w:val="auto"/>
                    </w:rPr>
                    <w:t>60</w:t>
                  </w:r>
                </w:p>
              </w:tc>
              <w:tc>
                <w:tcPr>
                  <w:tcW w:w="852" w:type="pct"/>
                  <w:noWrap w:val="0"/>
                  <w:vAlign w:val="center"/>
                </w:tcPr>
                <w:p w14:paraId="37A6F68D">
                  <w:pPr>
                    <w:pStyle w:val="28"/>
                    <w:rPr>
                      <w:color w:val="auto"/>
                    </w:rPr>
                  </w:pPr>
                  <w:r>
                    <w:rPr>
                      <w:rFonts w:hint="eastAsia"/>
                      <w:color w:val="auto"/>
                    </w:rPr>
                    <w:t>138</w:t>
                  </w:r>
                </w:p>
              </w:tc>
              <w:tc>
                <w:tcPr>
                  <w:tcW w:w="854" w:type="pct"/>
                  <w:noWrap w:val="0"/>
                  <w:vAlign w:val="center"/>
                </w:tcPr>
                <w:p w14:paraId="6406209A">
                  <w:pPr>
                    <w:pStyle w:val="28"/>
                    <w:rPr>
                      <w:color w:val="auto"/>
                    </w:rPr>
                  </w:pPr>
                  <w:r>
                    <w:rPr>
                      <w:rFonts w:hint="eastAsia"/>
                      <w:color w:val="auto"/>
                    </w:rPr>
                    <w:t>151</w:t>
                  </w:r>
                </w:p>
              </w:tc>
              <w:tc>
                <w:tcPr>
                  <w:tcW w:w="852" w:type="pct"/>
                  <w:noWrap w:val="0"/>
                  <w:vAlign w:val="center"/>
                </w:tcPr>
                <w:p w14:paraId="63FA7D55">
                  <w:pPr>
                    <w:pStyle w:val="28"/>
                    <w:rPr>
                      <w:color w:val="auto"/>
                    </w:rPr>
                  </w:pPr>
                  <w:r>
                    <w:rPr>
                      <w:rFonts w:hint="eastAsia"/>
                      <w:color w:val="auto"/>
                    </w:rPr>
                    <w:t>160</w:t>
                  </w:r>
                </w:p>
              </w:tc>
            </w:tr>
            <w:tr w14:paraId="0E50C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8" w:hRule="atLeast"/>
                <w:jc w:val="center"/>
              </w:trPr>
              <w:tc>
                <w:tcPr>
                  <w:tcW w:w="427" w:type="pct"/>
                  <w:noWrap w:val="0"/>
                  <w:vAlign w:val="center"/>
                </w:tcPr>
                <w:p w14:paraId="7ACB0799">
                  <w:pPr>
                    <w:pStyle w:val="28"/>
                    <w:rPr>
                      <w:color w:val="auto"/>
                    </w:rPr>
                  </w:pPr>
                  <w:r>
                    <w:rPr>
                      <w:color w:val="auto"/>
                    </w:rPr>
                    <w:t>14</w:t>
                  </w:r>
                </w:p>
              </w:tc>
              <w:tc>
                <w:tcPr>
                  <w:tcW w:w="717" w:type="pct"/>
                  <w:noWrap w:val="0"/>
                  <w:vAlign w:val="center"/>
                </w:tcPr>
                <w:p w14:paraId="104419EA">
                  <w:pPr>
                    <w:pStyle w:val="28"/>
                    <w:rPr>
                      <w:color w:val="auto"/>
                    </w:rPr>
                  </w:pPr>
                  <w:r>
                    <w:rPr>
                      <w:rFonts w:hint="eastAsia"/>
                      <w:color w:val="auto"/>
                    </w:rPr>
                    <w:t>链式传送机</w:t>
                  </w:r>
                </w:p>
              </w:tc>
              <w:tc>
                <w:tcPr>
                  <w:tcW w:w="429" w:type="pct"/>
                  <w:noWrap w:val="0"/>
                  <w:vAlign w:val="center"/>
                </w:tcPr>
                <w:p w14:paraId="1FBBBB3E">
                  <w:pPr>
                    <w:pStyle w:val="28"/>
                    <w:rPr>
                      <w:color w:val="auto"/>
                    </w:rPr>
                  </w:pPr>
                  <w:r>
                    <w:rPr>
                      <w:color w:val="auto"/>
                    </w:rPr>
                    <w:t>1</w:t>
                  </w:r>
                </w:p>
              </w:tc>
              <w:tc>
                <w:tcPr>
                  <w:tcW w:w="868" w:type="pct"/>
                  <w:noWrap w:val="0"/>
                  <w:vAlign w:val="center"/>
                </w:tcPr>
                <w:p w14:paraId="12D3EFAE">
                  <w:pPr>
                    <w:pStyle w:val="28"/>
                    <w:rPr>
                      <w:color w:val="auto"/>
                    </w:rPr>
                  </w:pPr>
                  <w:r>
                    <w:rPr>
                      <w:rFonts w:hint="eastAsia"/>
                      <w:color w:val="auto"/>
                    </w:rPr>
                    <w:t>63</w:t>
                  </w:r>
                </w:p>
              </w:tc>
              <w:tc>
                <w:tcPr>
                  <w:tcW w:w="852" w:type="pct"/>
                  <w:noWrap w:val="0"/>
                  <w:vAlign w:val="center"/>
                </w:tcPr>
                <w:p w14:paraId="1C94AEE8">
                  <w:pPr>
                    <w:pStyle w:val="28"/>
                    <w:rPr>
                      <w:color w:val="auto"/>
                    </w:rPr>
                  </w:pPr>
                  <w:r>
                    <w:rPr>
                      <w:rFonts w:hint="eastAsia"/>
                      <w:color w:val="auto"/>
                    </w:rPr>
                    <w:t>142</w:t>
                  </w:r>
                </w:p>
              </w:tc>
              <w:tc>
                <w:tcPr>
                  <w:tcW w:w="854" w:type="pct"/>
                  <w:noWrap w:val="0"/>
                  <w:vAlign w:val="center"/>
                </w:tcPr>
                <w:p w14:paraId="52AC80AA">
                  <w:pPr>
                    <w:pStyle w:val="28"/>
                    <w:rPr>
                      <w:color w:val="auto"/>
                    </w:rPr>
                  </w:pPr>
                  <w:r>
                    <w:rPr>
                      <w:rFonts w:hint="eastAsia"/>
                      <w:color w:val="auto"/>
                    </w:rPr>
                    <w:t>158</w:t>
                  </w:r>
                </w:p>
              </w:tc>
              <w:tc>
                <w:tcPr>
                  <w:tcW w:w="852" w:type="pct"/>
                  <w:noWrap w:val="0"/>
                  <w:vAlign w:val="center"/>
                </w:tcPr>
                <w:p w14:paraId="092F209D">
                  <w:pPr>
                    <w:pStyle w:val="28"/>
                    <w:rPr>
                      <w:color w:val="auto"/>
                    </w:rPr>
                  </w:pPr>
                  <w:r>
                    <w:rPr>
                      <w:rFonts w:hint="eastAsia"/>
                      <w:color w:val="auto"/>
                    </w:rPr>
                    <w:t>171</w:t>
                  </w:r>
                </w:p>
              </w:tc>
            </w:tr>
            <w:tr w14:paraId="27858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8" w:hRule="atLeast"/>
                <w:jc w:val="center"/>
              </w:trPr>
              <w:tc>
                <w:tcPr>
                  <w:tcW w:w="427" w:type="pct"/>
                  <w:noWrap w:val="0"/>
                  <w:vAlign w:val="center"/>
                </w:tcPr>
                <w:p w14:paraId="6C502E4C">
                  <w:pPr>
                    <w:pStyle w:val="28"/>
                    <w:rPr>
                      <w:color w:val="auto"/>
                    </w:rPr>
                  </w:pPr>
                  <w:r>
                    <w:rPr>
                      <w:color w:val="auto"/>
                    </w:rPr>
                    <w:t>15</w:t>
                  </w:r>
                </w:p>
              </w:tc>
              <w:tc>
                <w:tcPr>
                  <w:tcW w:w="717" w:type="pct"/>
                  <w:noWrap w:val="0"/>
                  <w:vAlign w:val="center"/>
                </w:tcPr>
                <w:p w14:paraId="414FE6BA">
                  <w:pPr>
                    <w:pStyle w:val="28"/>
                    <w:rPr>
                      <w:color w:val="auto"/>
                    </w:rPr>
                  </w:pPr>
                  <w:r>
                    <w:rPr>
                      <w:rFonts w:hint="eastAsia"/>
                      <w:color w:val="auto"/>
                    </w:rPr>
                    <w:t>单独的辊轴传送机</w:t>
                  </w:r>
                </w:p>
              </w:tc>
              <w:tc>
                <w:tcPr>
                  <w:tcW w:w="429" w:type="pct"/>
                  <w:noWrap w:val="0"/>
                  <w:vAlign w:val="center"/>
                </w:tcPr>
                <w:p w14:paraId="6538CEF4">
                  <w:pPr>
                    <w:pStyle w:val="28"/>
                    <w:rPr>
                      <w:color w:val="auto"/>
                    </w:rPr>
                  </w:pPr>
                  <w:r>
                    <w:rPr>
                      <w:rFonts w:hint="eastAsia"/>
                      <w:color w:val="auto"/>
                    </w:rPr>
                    <w:t>1</w:t>
                  </w:r>
                </w:p>
              </w:tc>
              <w:tc>
                <w:tcPr>
                  <w:tcW w:w="868" w:type="pct"/>
                  <w:noWrap w:val="0"/>
                  <w:vAlign w:val="center"/>
                </w:tcPr>
                <w:p w14:paraId="1F3E02B4">
                  <w:pPr>
                    <w:pStyle w:val="28"/>
                    <w:rPr>
                      <w:color w:val="auto"/>
                    </w:rPr>
                  </w:pPr>
                  <w:r>
                    <w:rPr>
                      <w:rFonts w:hint="eastAsia"/>
                      <w:color w:val="auto"/>
                    </w:rPr>
                    <w:t>64</w:t>
                  </w:r>
                </w:p>
              </w:tc>
              <w:tc>
                <w:tcPr>
                  <w:tcW w:w="852" w:type="pct"/>
                  <w:noWrap w:val="0"/>
                  <w:vAlign w:val="center"/>
                </w:tcPr>
                <w:p w14:paraId="13157585">
                  <w:pPr>
                    <w:pStyle w:val="28"/>
                    <w:rPr>
                      <w:color w:val="auto"/>
                    </w:rPr>
                  </w:pPr>
                  <w:r>
                    <w:rPr>
                      <w:rFonts w:hint="eastAsia"/>
                      <w:color w:val="auto"/>
                    </w:rPr>
                    <w:t>143</w:t>
                  </w:r>
                </w:p>
              </w:tc>
              <w:tc>
                <w:tcPr>
                  <w:tcW w:w="854" w:type="pct"/>
                  <w:noWrap w:val="0"/>
                  <w:vAlign w:val="center"/>
                </w:tcPr>
                <w:p w14:paraId="317E0F09">
                  <w:pPr>
                    <w:pStyle w:val="28"/>
                    <w:rPr>
                      <w:color w:val="auto"/>
                    </w:rPr>
                  </w:pPr>
                  <w:r>
                    <w:rPr>
                      <w:rFonts w:hint="eastAsia"/>
                      <w:color w:val="auto"/>
                    </w:rPr>
                    <w:t>160</w:t>
                  </w:r>
                </w:p>
              </w:tc>
              <w:tc>
                <w:tcPr>
                  <w:tcW w:w="852" w:type="pct"/>
                  <w:noWrap w:val="0"/>
                  <w:vAlign w:val="center"/>
                </w:tcPr>
                <w:p w14:paraId="304BF4C2">
                  <w:pPr>
                    <w:pStyle w:val="28"/>
                    <w:rPr>
                      <w:color w:val="auto"/>
                    </w:rPr>
                  </w:pPr>
                  <w:r>
                    <w:rPr>
                      <w:rFonts w:hint="eastAsia"/>
                      <w:color w:val="auto"/>
                    </w:rPr>
                    <w:t>169</w:t>
                  </w:r>
                </w:p>
              </w:tc>
            </w:tr>
            <w:tr w14:paraId="4C227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8" w:hRule="atLeast"/>
                <w:jc w:val="center"/>
              </w:trPr>
              <w:tc>
                <w:tcPr>
                  <w:tcW w:w="427" w:type="pct"/>
                  <w:noWrap w:val="0"/>
                  <w:vAlign w:val="center"/>
                </w:tcPr>
                <w:p w14:paraId="028E92AC">
                  <w:pPr>
                    <w:pStyle w:val="28"/>
                    <w:rPr>
                      <w:color w:val="auto"/>
                    </w:rPr>
                  </w:pPr>
                  <w:r>
                    <w:rPr>
                      <w:rFonts w:hint="eastAsia"/>
                      <w:color w:val="auto"/>
                    </w:rPr>
                    <w:t>16</w:t>
                  </w:r>
                </w:p>
              </w:tc>
              <w:tc>
                <w:tcPr>
                  <w:tcW w:w="717" w:type="pct"/>
                  <w:noWrap w:val="0"/>
                  <w:vAlign w:val="center"/>
                </w:tcPr>
                <w:p w14:paraId="2FA819F6">
                  <w:pPr>
                    <w:pStyle w:val="28"/>
                    <w:rPr>
                      <w:color w:val="auto"/>
                    </w:rPr>
                  </w:pPr>
                  <w:r>
                    <w:rPr>
                      <w:rFonts w:hint="eastAsia"/>
                      <w:color w:val="auto"/>
                    </w:rPr>
                    <w:t>倾斜台及辊轴传送机构</w:t>
                  </w:r>
                </w:p>
              </w:tc>
              <w:tc>
                <w:tcPr>
                  <w:tcW w:w="429" w:type="pct"/>
                  <w:noWrap w:val="0"/>
                  <w:vAlign w:val="center"/>
                </w:tcPr>
                <w:p w14:paraId="0663744E">
                  <w:pPr>
                    <w:pStyle w:val="28"/>
                    <w:rPr>
                      <w:color w:val="auto"/>
                    </w:rPr>
                  </w:pPr>
                  <w:r>
                    <w:rPr>
                      <w:rFonts w:hint="eastAsia"/>
                      <w:color w:val="auto"/>
                    </w:rPr>
                    <w:t>2</w:t>
                  </w:r>
                </w:p>
              </w:tc>
              <w:tc>
                <w:tcPr>
                  <w:tcW w:w="868" w:type="pct"/>
                  <w:noWrap w:val="0"/>
                  <w:vAlign w:val="center"/>
                </w:tcPr>
                <w:p w14:paraId="71957BCC">
                  <w:pPr>
                    <w:pStyle w:val="28"/>
                    <w:rPr>
                      <w:color w:val="auto"/>
                    </w:rPr>
                  </w:pPr>
                  <w:r>
                    <w:rPr>
                      <w:rFonts w:hint="eastAsia"/>
                      <w:color w:val="auto"/>
                    </w:rPr>
                    <w:t>71</w:t>
                  </w:r>
                </w:p>
              </w:tc>
              <w:tc>
                <w:tcPr>
                  <w:tcW w:w="852" w:type="pct"/>
                  <w:noWrap w:val="0"/>
                  <w:vAlign w:val="center"/>
                </w:tcPr>
                <w:p w14:paraId="7E66372C">
                  <w:pPr>
                    <w:pStyle w:val="28"/>
                    <w:rPr>
                      <w:color w:val="auto"/>
                    </w:rPr>
                  </w:pPr>
                  <w:r>
                    <w:rPr>
                      <w:rFonts w:hint="eastAsia"/>
                      <w:color w:val="auto"/>
                    </w:rPr>
                    <w:t>151</w:t>
                  </w:r>
                </w:p>
              </w:tc>
              <w:tc>
                <w:tcPr>
                  <w:tcW w:w="854" w:type="pct"/>
                  <w:noWrap w:val="0"/>
                  <w:vAlign w:val="center"/>
                </w:tcPr>
                <w:p w14:paraId="0288ECB9">
                  <w:pPr>
                    <w:pStyle w:val="28"/>
                    <w:rPr>
                      <w:color w:val="auto"/>
                    </w:rPr>
                  </w:pPr>
                  <w:r>
                    <w:rPr>
                      <w:rFonts w:hint="eastAsia"/>
                      <w:color w:val="auto"/>
                    </w:rPr>
                    <w:t>158</w:t>
                  </w:r>
                </w:p>
              </w:tc>
              <w:tc>
                <w:tcPr>
                  <w:tcW w:w="852" w:type="pct"/>
                  <w:noWrap w:val="0"/>
                  <w:vAlign w:val="center"/>
                </w:tcPr>
                <w:p w14:paraId="64B97EC1">
                  <w:pPr>
                    <w:pStyle w:val="28"/>
                    <w:rPr>
                      <w:color w:val="auto"/>
                    </w:rPr>
                  </w:pPr>
                  <w:r>
                    <w:rPr>
                      <w:rFonts w:hint="eastAsia"/>
                      <w:color w:val="auto"/>
                    </w:rPr>
                    <w:t>171</w:t>
                  </w:r>
                </w:p>
              </w:tc>
            </w:tr>
            <w:tr w14:paraId="3D47B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8" w:hRule="atLeast"/>
                <w:jc w:val="center"/>
              </w:trPr>
              <w:tc>
                <w:tcPr>
                  <w:tcW w:w="427" w:type="pct"/>
                  <w:noWrap w:val="0"/>
                  <w:vAlign w:val="center"/>
                </w:tcPr>
                <w:p w14:paraId="6C0F8231">
                  <w:pPr>
                    <w:pStyle w:val="28"/>
                    <w:rPr>
                      <w:color w:val="auto"/>
                    </w:rPr>
                  </w:pPr>
                  <w:r>
                    <w:rPr>
                      <w:rFonts w:hint="eastAsia"/>
                      <w:color w:val="auto"/>
                    </w:rPr>
                    <w:t>17</w:t>
                  </w:r>
                </w:p>
              </w:tc>
              <w:tc>
                <w:tcPr>
                  <w:tcW w:w="717" w:type="pct"/>
                  <w:noWrap w:val="0"/>
                  <w:vAlign w:val="center"/>
                </w:tcPr>
                <w:p w14:paraId="6B2D02CE">
                  <w:pPr>
                    <w:pStyle w:val="28"/>
                    <w:rPr>
                      <w:color w:val="auto"/>
                    </w:rPr>
                  </w:pPr>
                  <w:r>
                    <w:rPr>
                      <w:rFonts w:hint="eastAsia"/>
                      <w:color w:val="auto"/>
                    </w:rPr>
                    <w:t>牵引装置</w:t>
                  </w:r>
                </w:p>
              </w:tc>
              <w:tc>
                <w:tcPr>
                  <w:tcW w:w="429" w:type="pct"/>
                  <w:noWrap w:val="0"/>
                  <w:vAlign w:val="center"/>
                </w:tcPr>
                <w:p w14:paraId="26644A89">
                  <w:pPr>
                    <w:pStyle w:val="28"/>
                    <w:rPr>
                      <w:color w:val="auto"/>
                    </w:rPr>
                  </w:pPr>
                  <w:r>
                    <w:rPr>
                      <w:rFonts w:hint="eastAsia"/>
                      <w:color w:val="auto"/>
                    </w:rPr>
                    <w:t>2</w:t>
                  </w:r>
                </w:p>
              </w:tc>
              <w:tc>
                <w:tcPr>
                  <w:tcW w:w="868" w:type="pct"/>
                  <w:noWrap w:val="0"/>
                  <w:vAlign w:val="center"/>
                </w:tcPr>
                <w:p w14:paraId="3FF7BA1C">
                  <w:pPr>
                    <w:pStyle w:val="28"/>
                    <w:rPr>
                      <w:color w:val="auto"/>
                    </w:rPr>
                  </w:pPr>
                  <w:r>
                    <w:rPr>
                      <w:rFonts w:hint="eastAsia"/>
                      <w:color w:val="auto"/>
                    </w:rPr>
                    <w:t>63</w:t>
                  </w:r>
                </w:p>
              </w:tc>
              <w:tc>
                <w:tcPr>
                  <w:tcW w:w="852" w:type="pct"/>
                  <w:noWrap w:val="0"/>
                  <w:vAlign w:val="center"/>
                </w:tcPr>
                <w:p w14:paraId="20413298">
                  <w:pPr>
                    <w:pStyle w:val="28"/>
                    <w:rPr>
                      <w:color w:val="auto"/>
                    </w:rPr>
                  </w:pPr>
                  <w:r>
                    <w:rPr>
                      <w:rFonts w:hint="eastAsia"/>
                      <w:color w:val="auto"/>
                    </w:rPr>
                    <w:t>145</w:t>
                  </w:r>
                </w:p>
              </w:tc>
              <w:tc>
                <w:tcPr>
                  <w:tcW w:w="854" w:type="pct"/>
                  <w:noWrap w:val="0"/>
                  <w:vAlign w:val="center"/>
                </w:tcPr>
                <w:p w14:paraId="01159595">
                  <w:pPr>
                    <w:pStyle w:val="28"/>
                    <w:rPr>
                      <w:color w:val="auto"/>
                    </w:rPr>
                  </w:pPr>
                  <w:r>
                    <w:rPr>
                      <w:rFonts w:hint="eastAsia"/>
                      <w:color w:val="auto"/>
                    </w:rPr>
                    <w:t>156</w:t>
                  </w:r>
                </w:p>
              </w:tc>
              <w:tc>
                <w:tcPr>
                  <w:tcW w:w="852" w:type="pct"/>
                  <w:noWrap w:val="0"/>
                  <w:vAlign w:val="center"/>
                </w:tcPr>
                <w:p w14:paraId="184E8805">
                  <w:pPr>
                    <w:pStyle w:val="28"/>
                    <w:rPr>
                      <w:color w:val="auto"/>
                    </w:rPr>
                  </w:pPr>
                  <w:r>
                    <w:rPr>
                      <w:rFonts w:hint="eastAsia"/>
                      <w:color w:val="auto"/>
                    </w:rPr>
                    <w:t>175</w:t>
                  </w:r>
                </w:p>
              </w:tc>
            </w:tr>
            <w:tr w14:paraId="56CE2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8" w:hRule="atLeast"/>
                <w:jc w:val="center"/>
              </w:trPr>
              <w:tc>
                <w:tcPr>
                  <w:tcW w:w="427" w:type="pct"/>
                  <w:noWrap w:val="0"/>
                  <w:vAlign w:val="center"/>
                </w:tcPr>
                <w:p w14:paraId="17FEFD00">
                  <w:pPr>
                    <w:pStyle w:val="28"/>
                    <w:rPr>
                      <w:color w:val="auto"/>
                    </w:rPr>
                  </w:pPr>
                  <w:r>
                    <w:rPr>
                      <w:rFonts w:hint="eastAsia"/>
                      <w:color w:val="auto"/>
                    </w:rPr>
                    <w:t>18</w:t>
                  </w:r>
                </w:p>
              </w:tc>
              <w:tc>
                <w:tcPr>
                  <w:tcW w:w="717" w:type="pct"/>
                  <w:noWrap w:val="0"/>
                  <w:vAlign w:val="center"/>
                </w:tcPr>
                <w:p w14:paraId="48785809">
                  <w:pPr>
                    <w:pStyle w:val="28"/>
                    <w:rPr>
                      <w:color w:val="auto"/>
                    </w:rPr>
                  </w:pPr>
                  <w:r>
                    <w:rPr>
                      <w:rFonts w:hint="eastAsia"/>
                      <w:color w:val="auto"/>
                    </w:rPr>
                    <w:t>收线机</w:t>
                  </w:r>
                </w:p>
              </w:tc>
              <w:tc>
                <w:tcPr>
                  <w:tcW w:w="429" w:type="pct"/>
                  <w:noWrap w:val="0"/>
                  <w:vAlign w:val="center"/>
                </w:tcPr>
                <w:p w14:paraId="61B64F91">
                  <w:pPr>
                    <w:pStyle w:val="28"/>
                    <w:rPr>
                      <w:color w:val="auto"/>
                    </w:rPr>
                  </w:pPr>
                  <w:r>
                    <w:rPr>
                      <w:rFonts w:hint="eastAsia"/>
                      <w:color w:val="auto"/>
                    </w:rPr>
                    <w:t>1</w:t>
                  </w:r>
                </w:p>
              </w:tc>
              <w:tc>
                <w:tcPr>
                  <w:tcW w:w="868" w:type="pct"/>
                  <w:noWrap w:val="0"/>
                  <w:vAlign w:val="center"/>
                </w:tcPr>
                <w:p w14:paraId="7D64EDA5">
                  <w:pPr>
                    <w:pStyle w:val="28"/>
                    <w:rPr>
                      <w:color w:val="auto"/>
                    </w:rPr>
                  </w:pPr>
                  <w:r>
                    <w:rPr>
                      <w:rFonts w:hint="eastAsia"/>
                      <w:color w:val="auto"/>
                    </w:rPr>
                    <w:t>64</w:t>
                  </w:r>
                </w:p>
              </w:tc>
              <w:tc>
                <w:tcPr>
                  <w:tcW w:w="852" w:type="pct"/>
                  <w:noWrap w:val="0"/>
                  <w:vAlign w:val="center"/>
                </w:tcPr>
                <w:p w14:paraId="07B9B7B9">
                  <w:pPr>
                    <w:pStyle w:val="28"/>
                    <w:rPr>
                      <w:color w:val="auto"/>
                    </w:rPr>
                  </w:pPr>
                  <w:r>
                    <w:rPr>
                      <w:rFonts w:hint="eastAsia"/>
                      <w:color w:val="auto"/>
                    </w:rPr>
                    <w:t>152</w:t>
                  </w:r>
                </w:p>
              </w:tc>
              <w:tc>
                <w:tcPr>
                  <w:tcW w:w="854" w:type="pct"/>
                  <w:noWrap w:val="0"/>
                  <w:vAlign w:val="center"/>
                </w:tcPr>
                <w:p w14:paraId="0D9DDCF3">
                  <w:pPr>
                    <w:pStyle w:val="28"/>
                    <w:rPr>
                      <w:color w:val="auto"/>
                    </w:rPr>
                  </w:pPr>
                  <w:r>
                    <w:rPr>
                      <w:rFonts w:hint="eastAsia"/>
                      <w:color w:val="auto"/>
                    </w:rPr>
                    <w:t>175</w:t>
                  </w:r>
                </w:p>
              </w:tc>
              <w:tc>
                <w:tcPr>
                  <w:tcW w:w="852" w:type="pct"/>
                  <w:noWrap w:val="0"/>
                  <w:vAlign w:val="center"/>
                </w:tcPr>
                <w:p w14:paraId="07617D15">
                  <w:pPr>
                    <w:pStyle w:val="28"/>
                    <w:rPr>
                      <w:color w:val="auto"/>
                    </w:rPr>
                  </w:pPr>
                  <w:r>
                    <w:rPr>
                      <w:rFonts w:hint="eastAsia"/>
                      <w:color w:val="auto"/>
                    </w:rPr>
                    <w:t>166</w:t>
                  </w:r>
                </w:p>
              </w:tc>
            </w:tr>
            <w:tr w14:paraId="07B4B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8" w:hRule="atLeast"/>
                <w:jc w:val="center"/>
              </w:trPr>
              <w:tc>
                <w:tcPr>
                  <w:tcW w:w="427" w:type="pct"/>
                  <w:noWrap w:val="0"/>
                  <w:vAlign w:val="center"/>
                </w:tcPr>
                <w:p w14:paraId="68A6DDC1">
                  <w:pPr>
                    <w:pStyle w:val="28"/>
                    <w:rPr>
                      <w:color w:val="auto"/>
                    </w:rPr>
                  </w:pPr>
                  <w:r>
                    <w:rPr>
                      <w:rFonts w:hint="eastAsia"/>
                      <w:color w:val="auto"/>
                    </w:rPr>
                    <w:t>19</w:t>
                  </w:r>
                </w:p>
              </w:tc>
              <w:tc>
                <w:tcPr>
                  <w:tcW w:w="717" w:type="pct"/>
                  <w:noWrap w:val="0"/>
                  <w:vAlign w:val="center"/>
                </w:tcPr>
                <w:p w14:paraId="1C1028DB">
                  <w:pPr>
                    <w:pStyle w:val="28"/>
                    <w:rPr>
                      <w:color w:val="auto"/>
                    </w:rPr>
                  </w:pPr>
                  <w:r>
                    <w:rPr>
                      <w:rFonts w:hint="eastAsia"/>
                      <w:color w:val="auto"/>
                    </w:rPr>
                    <w:t>除磷机</w:t>
                  </w:r>
                </w:p>
              </w:tc>
              <w:tc>
                <w:tcPr>
                  <w:tcW w:w="429" w:type="pct"/>
                  <w:noWrap w:val="0"/>
                  <w:vAlign w:val="center"/>
                </w:tcPr>
                <w:p w14:paraId="6F41DF37">
                  <w:pPr>
                    <w:pStyle w:val="28"/>
                    <w:rPr>
                      <w:color w:val="auto"/>
                    </w:rPr>
                  </w:pPr>
                  <w:r>
                    <w:rPr>
                      <w:rFonts w:hint="eastAsia"/>
                      <w:color w:val="auto"/>
                    </w:rPr>
                    <w:t>1</w:t>
                  </w:r>
                </w:p>
              </w:tc>
              <w:tc>
                <w:tcPr>
                  <w:tcW w:w="868" w:type="pct"/>
                  <w:noWrap w:val="0"/>
                  <w:vAlign w:val="center"/>
                </w:tcPr>
                <w:p w14:paraId="128D79CF">
                  <w:pPr>
                    <w:pStyle w:val="28"/>
                    <w:rPr>
                      <w:color w:val="auto"/>
                    </w:rPr>
                  </w:pPr>
                  <w:r>
                    <w:rPr>
                      <w:rFonts w:hint="eastAsia"/>
                      <w:color w:val="auto"/>
                    </w:rPr>
                    <w:t>70</w:t>
                  </w:r>
                </w:p>
              </w:tc>
              <w:tc>
                <w:tcPr>
                  <w:tcW w:w="852" w:type="pct"/>
                  <w:noWrap w:val="0"/>
                  <w:vAlign w:val="center"/>
                </w:tcPr>
                <w:p w14:paraId="7E040490">
                  <w:pPr>
                    <w:pStyle w:val="28"/>
                    <w:rPr>
                      <w:color w:val="auto"/>
                    </w:rPr>
                  </w:pPr>
                  <w:r>
                    <w:rPr>
                      <w:rFonts w:hint="eastAsia"/>
                      <w:color w:val="auto"/>
                    </w:rPr>
                    <w:t>147</w:t>
                  </w:r>
                </w:p>
              </w:tc>
              <w:tc>
                <w:tcPr>
                  <w:tcW w:w="854" w:type="pct"/>
                  <w:noWrap w:val="0"/>
                  <w:vAlign w:val="center"/>
                </w:tcPr>
                <w:p w14:paraId="3968F336">
                  <w:pPr>
                    <w:pStyle w:val="28"/>
                    <w:rPr>
                      <w:color w:val="auto"/>
                    </w:rPr>
                  </w:pPr>
                  <w:r>
                    <w:rPr>
                      <w:rFonts w:hint="eastAsia"/>
                      <w:color w:val="auto"/>
                    </w:rPr>
                    <w:t>162</w:t>
                  </w:r>
                </w:p>
              </w:tc>
              <w:tc>
                <w:tcPr>
                  <w:tcW w:w="852" w:type="pct"/>
                  <w:noWrap w:val="0"/>
                  <w:vAlign w:val="center"/>
                </w:tcPr>
                <w:p w14:paraId="5F5AF6D3">
                  <w:pPr>
                    <w:pStyle w:val="28"/>
                    <w:rPr>
                      <w:color w:val="auto"/>
                    </w:rPr>
                  </w:pPr>
                  <w:r>
                    <w:rPr>
                      <w:rFonts w:hint="eastAsia"/>
                      <w:color w:val="auto"/>
                    </w:rPr>
                    <w:t>175</w:t>
                  </w:r>
                </w:p>
              </w:tc>
            </w:tr>
            <w:tr w14:paraId="7F87A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8" w:hRule="atLeast"/>
                <w:jc w:val="center"/>
              </w:trPr>
              <w:tc>
                <w:tcPr>
                  <w:tcW w:w="427" w:type="pct"/>
                  <w:noWrap w:val="0"/>
                  <w:vAlign w:val="center"/>
                </w:tcPr>
                <w:p w14:paraId="0DBCE5E7">
                  <w:pPr>
                    <w:pStyle w:val="28"/>
                    <w:rPr>
                      <w:color w:val="auto"/>
                    </w:rPr>
                  </w:pPr>
                  <w:r>
                    <w:rPr>
                      <w:rFonts w:hint="eastAsia"/>
                      <w:color w:val="auto"/>
                    </w:rPr>
                    <w:t>20</w:t>
                  </w:r>
                </w:p>
              </w:tc>
              <w:tc>
                <w:tcPr>
                  <w:tcW w:w="717" w:type="pct"/>
                  <w:noWrap w:val="0"/>
                  <w:vAlign w:val="center"/>
                </w:tcPr>
                <w:p w14:paraId="5F8AF310">
                  <w:pPr>
                    <w:pStyle w:val="28"/>
                    <w:rPr>
                      <w:color w:val="auto"/>
                    </w:rPr>
                  </w:pPr>
                  <w:r>
                    <w:rPr>
                      <w:rFonts w:hint="eastAsia"/>
                      <w:color w:val="auto"/>
                    </w:rPr>
                    <w:t>润滑涂复机</w:t>
                  </w:r>
                </w:p>
              </w:tc>
              <w:tc>
                <w:tcPr>
                  <w:tcW w:w="429" w:type="pct"/>
                  <w:noWrap w:val="0"/>
                  <w:vAlign w:val="center"/>
                </w:tcPr>
                <w:p w14:paraId="4D388A9F">
                  <w:pPr>
                    <w:pStyle w:val="28"/>
                    <w:rPr>
                      <w:color w:val="auto"/>
                    </w:rPr>
                  </w:pPr>
                  <w:r>
                    <w:rPr>
                      <w:rFonts w:hint="eastAsia"/>
                      <w:color w:val="auto"/>
                    </w:rPr>
                    <w:t>1</w:t>
                  </w:r>
                </w:p>
              </w:tc>
              <w:tc>
                <w:tcPr>
                  <w:tcW w:w="868" w:type="pct"/>
                  <w:noWrap w:val="0"/>
                  <w:vAlign w:val="center"/>
                </w:tcPr>
                <w:p w14:paraId="6D8F54B5">
                  <w:pPr>
                    <w:pStyle w:val="28"/>
                    <w:rPr>
                      <w:color w:val="auto"/>
                    </w:rPr>
                  </w:pPr>
                  <w:r>
                    <w:rPr>
                      <w:rFonts w:hint="eastAsia"/>
                      <w:color w:val="auto"/>
                    </w:rPr>
                    <w:t>66</w:t>
                  </w:r>
                </w:p>
              </w:tc>
              <w:tc>
                <w:tcPr>
                  <w:tcW w:w="852" w:type="pct"/>
                  <w:noWrap w:val="0"/>
                  <w:vAlign w:val="center"/>
                </w:tcPr>
                <w:p w14:paraId="47CDA4A2">
                  <w:pPr>
                    <w:pStyle w:val="28"/>
                    <w:rPr>
                      <w:color w:val="auto"/>
                    </w:rPr>
                  </w:pPr>
                  <w:r>
                    <w:rPr>
                      <w:rFonts w:hint="eastAsia"/>
                      <w:color w:val="auto"/>
                    </w:rPr>
                    <w:t>144</w:t>
                  </w:r>
                </w:p>
              </w:tc>
              <w:tc>
                <w:tcPr>
                  <w:tcW w:w="854" w:type="pct"/>
                  <w:noWrap w:val="0"/>
                  <w:vAlign w:val="center"/>
                </w:tcPr>
                <w:p w14:paraId="56599255">
                  <w:pPr>
                    <w:pStyle w:val="28"/>
                    <w:rPr>
                      <w:color w:val="auto"/>
                    </w:rPr>
                  </w:pPr>
                  <w:r>
                    <w:rPr>
                      <w:rFonts w:hint="eastAsia"/>
                      <w:color w:val="auto"/>
                    </w:rPr>
                    <w:t>160</w:t>
                  </w:r>
                </w:p>
              </w:tc>
              <w:tc>
                <w:tcPr>
                  <w:tcW w:w="852" w:type="pct"/>
                  <w:noWrap w:val="0"/>
                  <w:vAlign w:val="center"/>
                </w:tcPr>
                <w:p w14:paraId="4F19A855">
                  <w:pPr>
                    <w:pStyle w:val="28"/>
                    <w:rPr>
                      <w:color w:val="auto"/>
                    </w:rPr>
                  </w:pPr>
                  <w:r>
                    <w:rPr>
                      <w:rFonts w:hint="eastAsia"/>
                      <w:color w:val="auto"/>
                    </w:rPr>
                    <w:t>175</w:t>
                  </w:r>
                </w:p>
              </w:tc>
            </w:tr>
            <w:tr w14:paraId="65850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8" w:hRule="atLeast"/>
                <w:jc w:val="center"/>
              </w:trPr>
              <w:tc>
                <w:tcPr>
                  <w:tcW w:w="427" w:type="pct"/>
                  <w:noWrap w:val="0"/>
                  <w:vAlign w:val="center"/>
                </w:tcPr>
                <w:p w14:paraId="7CD5A346">
                  <w:pPr>
                    <w:pStyle w:val="28"/>
                    <w:rPr>
                      <w:color w:val="auto"/>
                    </w:rPr>
                  </w:pPr>
                  <w:r>
                    <w:rPr>
                      <w:rFonts w:hint="eastAsia"/>
                      <w:color w:val="auto"/>
                    </w:rPr>
                    <w:t>21</w:t>
                  </w:r>
                </w:p>
              </w:tc>
              <w:tc>
                <w:tcPr>
                  <w:tcW w:w="717" w:type="pct"/>
                  <w:noWrap w:val="0"/>
                  <w:vAlign w:val="center"/>
                </w:tcPr>
                <w:p w14:paraId="65CB1C53">
                  <w:pPr>
                    <w:pStyle w:val="28"/>
                    <w:rPr>
                      <w:color w:val="auto"/>
                    </w:rPr>
                  </w:pPr>
                  <w:r>
                    <w:rPr>
                      <w:rFonts w:hint="eastAsia"/>
                      <w:color w:val="auto"/>
                    </w:rPr>
                    <w:t>Y型轧机轧制机</w:t>
                  </w:r>
                </w:p>
              </w:tc>
              <w:tc>
                <w:tcPr>
                  <w:tcW w:w="429" w:type="pct"/>
                  <w:noWrap w:val="0"/>
                  <w:vAlign w:val="center"/>
                </w:tcPr>
                <w:p w14:paraId="4B0D4334">
                  <w:pPr>
                    <w:pStyle w:val="28"/>
                    <w:rPr>
                      <w:color w:val="auto"/>
                    </w:rPr>
                  </w:pPr>
                  <w:r>
                    <w:rPr>
                      <w:rFonts w:hint="eastAsia"/>
                      <w:color w:val="auto"/>
                    </w:rPr>
                    <w:t>1</w:t>
                  </w:r>
                </w:p>
              </w:tc>
              <w:tc>
                <w:tcPr>
                  <w:tcW w:w="868" w:type="pct"/>
                  <w:noWrap w:val="0"/>
                  <w:vAlign w:val="center"/>
                </w:tcPr>
                <w:p w14:paraId="47545198">
                  <w:pPr>
                    <w:pStyle w:val="28"/>
                    <w:rPr>
                      <w:color w:val="auto"/>
                    </w:rPr>
                  </w:pPr>
                  <w:r>
                    <w:rPr>
                      <w:rFonts w:hint="eastAsia"/>
                      <w:color w:val="auto"/>
                    </w:rPr>
                    <w:t>54</w:t>
                  </w:r>
                </w:p>
              </w:tc>
              <w:tc>
                <w:tcPr>
                  <w:tcW w:w="852" w:type="pct"/>
                  <w:noWrap w:val="0"/>
                  <w:vAlign w:val="center"/>
                </w:tcPr>
                <w:p w14:paraId="2B85E1A3">
                  <w:pPr>
                    <w:pStyle w:val="28"/>
                    <w:rPr>
                      <w:color w:val="auto"/>
                    </w:rPr>
                  </w:pPr>
                  <w:r>
                    <w:rPr>
                      <w:rFonts w:hint="eastAsia"/>
                      <w:color w:val="auto"/>
                    </w:rPr>
                    <w:t>158</w:t>
                  </w:r>
                </w:p>
              </w:tc>
              <w:tc>
                <w:tcPr>
                  <w:tcW w:w="854" w:type="pct"/>
                  <w:noWrap w:val="0"/>
                  <w:vAlign w:val="center"/>
                </w:tcPr>
                <w:p w14:paraId="2E987B64">
                  <w:pPr>
                    <w:pStyle w:val="28"/>
                    <w:rPr>
                      <w:color w:val="auto"/>
                    </w:rPr>
                  </w:pPr>
                  <w:r>
                    <w:rPr>
                      <w:rFonts w:hint="eastAsia"/>
                      <w:color w:val="auto"/>
                    </w:rPr>
                    <w:t>77</w:t>
                  </w:r>
                </w:p>
              </w:tc>
              <w:tc>
                <w:tcPr>
                  <w:tcW w:w="852" w:type="pct"/>
                  <w:noWrap w:val="0"/>
                  <w:vAlign w:val="center"/>
                </w:tcPr>
                <w:p w14:paraId="72BD4E31">
                  <w:pPr>
                    <w:pStyle w:val="28"/>
                    <w:rPr>
                      <w:color w:val="auto"/>
                    </w:rPr>
                  </w:pPr>
                  <w:r>
                    <w:rPr>
                      <w:rFonts w:hint="eastAsia"/>
                      <w:color w:val="auto"/>
                    </w:rPr>
                    <w:t>154</w:t>
                  </w:r>
                </w:p>
              </w:tc>
            </w:tr>
            <w:tr w14:paraId="5DADE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8" w:hRule="atLeast"/>
                <w:jc w:val="center"/>
              </w:trPr>
              <w:tc>
                <w:tcPr>
                  <w:tcW w:w="427" w:type="pct"/>
                  <w:noWrap w:val="0"/>
                  <w:vAlign w:val="center"/>
                </w:tcPr>
                <w:p w14:paraId="0F24DAD8">
                  <w:pPr>
                    <w:pStyle w:val="28"/>
                    <w:rPr>
                      <w:color w:val="auto"/>
                    </w:rPr>
                  </w:pPr>
                  <w:r>
                    <w:rPr>
                      <w:rFonts w:hint="eastAsia"/>
                      <w:color w:val="auto"/>
                    </w:rPr>
                    <w:t>22</w:t>
                  </w:r>
                </w:p>
              </w:tc>
              <w:tc>
                <w:tcPr>
                  <w:tcW w:w="717" w:type="pct"/>
                  <w:noWrap w:val="0"/>
                  <w:vAlign w:val="center"/>
                </w:tcPr>
                <w:p w14:paraId="26BDD93B">
                  <w:pPr>
                    <w:pStyle w:val="28"/>
                    <w:rPr>
                      <w:color w:val="auto"/>
                    </w:rPr>
                  </w:pPr>
                  <w:r>
                    <w:rPr>
                      <w:rFonts w:hint="eastAsia"/>
                      <w:color w:val="auto"/>
                    </w:rPr>
                    <w:t>水平牵引机</w:t>
                  </w:r>
                </w:p>
              </w:tc>
              <w:tc>
                <w:tcPr>
                  <w:tcW w:w="429" w:type="pct"/>
                  <w:noWrap w:val="0"/>
                  <w:vAlign w:val="center"/>
                </w:tcPr>
                <w:p w14:paraId="3B707E8F">
                  <w:pPr>
                    <w:pStyle w:val="28"/>
                    <w:rPr>
                      <w:color w:val="auto"/>
                    </w:rPr>
                  </w:pPr>
                  <w:r>
                    <w:rPr>
                      <w:rFonts w:hint="eastAsia"/>
                      <w:color w:val="auto"/>
                    </w:rPr>
                    <w:t>1</w:t>
                  </w:r>
                </w:p>
              </w:tc>
              <w:tc>
                <w:tcPr>
                  <w:tcW w:w="868" w:type="pct"/>
                  <w:noWrap w:val="0"/>
                  <w:vAlign w:val="center"/>
                </w:tcPr>
                <w:p w14:paraId="26DE11B0">
                  <w:pPr>
                    <w:pStyle w:val="28"/>
                    <w:rPr>
                      <w:rFonts w:hint="eastAsia"/>
                      <w:color w:val="auto"/>
                    </w:rPr>
                  </w:pPr>
                  <w:r>
                    <w:rPr>
                      <w:rFonts w:hint="eastAsia"/>
                      <w:color w:val="auto"/>
                    </w:rPr>
                    <w:t>58</w:t>
                  </w:r>
                </w:p>
              </w:tc>
              <w:tc>
                <w:tcPr>
                  <w:tcW w:w="852" w:type="pct"/>
                  <w:noWrap w:val="0"/>
                  <w:vAlign w:val="center"/>
                </w:tcPr>
                <w:p w14:paraId="0D86E84D">
                  <w:pPr>
                    <w:pStyle w:val="28"/>
                    <w:rPr>
                      <w:color w:val="auto"/>
                    </w:rPr>
                  </w:pPr>
                  <w:r>
                    <w:rPr>
                      <w:rFonts w:hint="eastAsia"/>
                      <w:color w:val="auto"/>
                    </w:rPr>
                    <w:t>149</w:t>
                  </w:r>
                </w:p>
              </w:tc>
              <w:tc>
                <w:tcPr>
                  <w:tcW w:w="854" w:type="pct"/>
                  <w:noWrap w:val="0"/>
                  <w:vAlign w:val="center"/>
                </w:tcPr>
                <w:p w14:paraId="5E37EF30">
                  <w:pPr>
                    <w:pStyle w:val="28"/>
                    <w:rPr>
                      <w:color w:val="auto"/>
                    </w:rPr>
                  </w:pPr>
                  <w:r>
                    <w:rPr>
                      <w:rFonts w:hint="eastAsia"/>
                      <w:color w:val="auto"/>
                    </w:rPr>
                    <w:t>83</w:t>
                  </w:r>
                </w:p>
              </w:tc>
              <w:tc>
                <w:tcPr>
                  <w:tcW w:w="852" w:type="pct"/>
                  <w:noWrap w:val="0"/>
                  <w:vAlign w:val="center"/>
                </w:tcPr>
                <w:p w14:paraId="54EB5FE5">
                  <w:pPr>
                    <w:pStyle w:val="28"/>
                    <w:rPr>
                      <w:color w:val="auto"/>
                    </w:rPr>
                  </w:pPr>
                  <w:r>
                    <w:rPr>
                      <w:rFonts w:hint="eastAsia"/>
                      <w:color w:val="auto"/>
                    </w:rPr>
                    <w:t>158</w:t>
                  </w:r>
                </w:p>
              </w:tc>
            </w:tr>
            <w:tr w14:paraId="42478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8" w:hRule="atLeast"/>
                <w:jc w:val="center"/>
              </w:trPr>
              <w:tc>
                <w:tcPr>
                  <w:tcW w:w="427" w:type="pct"/>
                  <w:noWrap w:val="0"/>
                  <w:vAlign w:val="center"/>
                </w:tcPr>
                <w:p w14:paraId="059EC3F1">
                  <w:pPr>
                    <w:pStyle w:val="28"/>
                    <w:rPr>
                      <w:color w:val="auto"/>
                    </w:rPr>
                  </w:pPr>
                  <w:r>
                    <w:rPr>
                      <w:rFonts w:hint="eastAsia"/>
                      <w:color w:val="auto"/>
                    </w:rPr>
                    <w:t>23</w:t>
                  </w:r>
                </w:p>
              </w:tc>
              <w:tc>
                <w:tcPr>
                  <w:tcW w:w="717" w:type="pct"/>
                  <w:noWrap w:val="0"/>
                  <w:vAlign w:val="center"/>
                </w:tcPr>
                <w:p w14:paraId="1B1F19F5">
                  <w:pPr>
                    <w:pStyle w:val="28"/>
                    <w:rPr>
                      <w:color w:val="auto"/>
                    </w:rPr>
                  </w:pPr>
                  <w:r>
                    <w:rPr>
                      <w:rFonts w:hint="eastAsia"/>
                      <w:color w:val="auto"/>
                    </w:rPr>
                    <w:t>应力消除机</w:t>
                  </w:r>
                </w:p>
              </w:tc>
              <w:tc>
                <w:tcPr>
                  <w:tcW w:w="429" w:type="pct"/>
                  <w:noWrap w:val="0"/>
                  <w:vAlign w:val="center"/>
                </w:tcPr>
                <w:p w14:paraId="72D664FA">
                  <w:pPr>
                    <w:pStyle w:val="28"/>
                    <w:rPr>
                      <w:color w:val="auto"/>
                    </w:rPr>
                  </w:pPr>
                  <w:r>
                    <w:rPr>
                      <w:rFonts w:hint="eastAsia"/>
                      <w:color w:val="auto"/>
                    </w:rPr>
                    <w:t>1</w:t>
                  </w:r>
                </w:p>
              </w:tc>
              <w:tc>
                <w:tcPr>
                  <w:tcW w:w="868" w:type="pct"/>
                  <w:noWrap w:val="0"/>
                  <w:vAlign w:val="center"/>
                </w:tcPr>
                <w:p w14:paraId="7BE5B051">
                  <w:pPr>
                    <w:pStyle w:val="28"/>
                    <w:rPr>
                      <w:color w:val="auto"/>
                    </w:rPr>
                  </w:pPr>
                  <w:r>
                    <w:rPr>
                      <w:rFonts w:hint="eastAsia"/>
                      <w:color w:val="auto"/>
                    </w:rPr>
                    <w:t>62</w:t>
                  </w:r>
                </w:p>
              </w:tc>
              <w:tc>
                <w:tcPr>
                  <w:tcW w:w="852" w:type="pct"/>
                  <w:noWrap w:val="0"/>
                  <w:vAlign w:val="center"/>
                </w:tcPr>
                <w:p w14:paraId="4E3E2BF8">
                  <w:pPr>
                    <w:pStyle w:val="28"/>
                    <w:rPr>
                      <w:color w:val="auto"/>
                    </w:rPr>
                  </w:pPr>
                  <w:r>
                    <w:rPr>
                      <w:rFonts w:hint="eastAsia"/>
                      <w:color w:val="auto"/>
                    </w:rPr>
                    <w:t>153</w:t>
                  </w:r>
                </w:p>
              </w:tc>
              <w:tc>
                <w:tcPr>
                  <w:tcW w:w="854" w:type="pct"/>
                  <w:noWrap w:val="0"/>
                  <w:vAlign w:val="center"/>
                </w:tcPr>
                <w:p w14:paraId="29D7965F">
                  <w:pPr>
                    <w:pStyle w:val="28"/>
                    <w:rPr>
                      <w:color w:val="auto"/>
                    </w:rPr>
                  </w:pPr>
                  <w:r>
                    <w:rPr>
                      <w:rFonts w:hint="eastAsia"/>
                      <w:color w:val="auto"/>
                    </w:rPr>
                    <w:t>88</w:t>
                  </w:r>
                </w:p>
              </w:tc>
              <w:tc>
                <w:tcPr>
                  <w:tcW w:w="852" w:type="pct"/>
                  <w:noWrap w:val="0"/>
                  <w:vAlign w:val="center"/>
                </w:tcPr>
                <w:p w14:paraId="4E1BEF02">
                  <w:pPr>
                    <w:pStyle w:val="28"/>
                    <w:rPr>
                      <w:color w:val="auto"/>
                    </w:rPr>
                  </w:pPr>
                  <w:r>
                    <w:rPr>
                      <w:rFonts w:hint="eastAsia"/>
                      <w:color w:val="auto"/>
                    </w:rPr>
                    <w:t>169</w:t>
                  </w:r>
                </w:p>
              </w:tc>
            </w:tr>
            <w:tr w14:paraId="73282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8" w:hRule="atLeast"/>
                <w:jc w:val="center"/>
              </w:trPr>
              <w:tc>
                <w:tcPr>
                  <w:tcW w:w="427" w:type="pct"/>
                  <w:noWrap w:val="0"/>
                  <w:vAlign w:val="center"/>
                </w:tcPr>
                <w:p w14:paraId="7474BCFD">
                  <w:pPr>
                    <w:pStyle w:val="28"/>
                    <w:rPr>
                      <w:color w:val="auto"/>
                    </w:rPr>
                  </w:pPr>
                  <w:r>
                    <w:rPr>
                      <w:rFonts w:hint="eastAsia"/>
                      <w:color w:val="auto"/>
                    </w:rPr>
                    <w:t>24</w:t>
                  </w:r>
                </w:p>
              </w:tc>
              <w:tc>
                <w:tcPr>
                  <w:tcW w:w="717" w:type="pct"/>
                  <w:noWrap w:val="0"/>
                  <w:vAlign w:val="center"/>
                </w:tcPr>
                <w:p w14:paraId="05318B6F">
                  <w:pPr>
                    <w:pStyle w:val="28"/>
                    <w:rPr>
                      <w:color w:val="auto"/>
                    </w:rPr>
                  </w:pPr>
                  <w:r>
                    <w:rPr>
                      <w:rFonts w:hint="eastAsia"/>
                      <w:color w:val="auto"/>
                    </w:rPr>
                    <w:t>桁架剪切机</w:t>
                  </w:r>
                </w:p>
              </w:tc>
              <w:tc>
                <w:tcPr>
                  <w:tcW w:w="429" w:type="pct"/>
                  <w:noWrap w:val="0"/>
                  <w:vAlign w:val="center"/>
                </w:tcPr>
                <w:p w14:paraId="3481B518">
                  <w:pPr>
                    <w:pStyle w:val="28"/>
                    <w:rPr>
                      <w:color w:val="auto"/>
                    </w:rPr>
                  </w:pPr>
                  <w:r>
                    <w:rPr>
                      <w:rFonts w:hint="eastAsia"/>
                      <w:color w:val="auto"/>
                    </w:rPr>
                    <w:t>1</w:t>
                  </w:r>
                </w:p>
              </w:tc>
              <w:tc>
                <w:tcPr>
                  <w:tcW w:w="868" w:type="pct"/>
                  <w:noWrap w:val="0"/>
                  <w:vAlign w:val="center"/>
                </w:tcPr>
                <w:p w14:paraId="7D527A5E">
                  <w:pPr>
                    <w:pStyle w:val="28"/>
                    <w:rPr>
                      <w:color w:val="auto"/>
                    </w:rPr>
                  </w:pPr>
                  <w:r>
                    <w:rPr>
                      <w:rFonts w:hint="eastAsia"/>
                      <w:color w:val="auto"/>
                    </w:rPr>
                    <w:t>54</w:t>
                  </w:r>
                </w:p>
              </w:tc>
              <w:tc>
                <w:tcPr>
                  <w:tcW w:w="852" w:type="pct"/>
                  <w:noWrap w:val="0"/>
                  <w:vAlign w:val="center"/>
                </w:tcPr>
                <w:p w14:paraId="102EDB86">
                  <w:pPr>
                    <w:pStyle w:val="28"/>
                    <w:rPr>
                      <w:color w:val="auto"/>
                    </w:rPr>
                  </w:pPr>
                  <w:r>
                    <w:rPr>
                      <w:rFonts w:hint="eastAsia"/>
                      <w:color w:val="auto"/>
                    </w:rPr>
                    <w:t>135</w:t>
                  </w:r>
                </w:p>
              </w:tc>
              <w:tc>
                <w:tcPr>
                  <w:tcW w:w="854" w:type="pct"/>
                  <w:noWrap w:val="0"/>
                  <w:vAlign w:val="center"/>
                </w:tcPr>
                <w:p w14:paraId="76BCE599">
                  <w:pPr>
                    <w:pStyle w:val="28"/>
                    <w:rPr>
                      <w:color w:val="auto"/>
                    </w:rPr>
                  </w:pPr>
                  <w:r>
                    <w:rPr>
                      <w:rFonts w:hint="eastAsia"/>
                      <w:color w:val="auto"/>
                    </w:rPr>
                    <w:t>79</w:t>
                  </w:r>
                </w:p>
              </w:tc>
              <w:tc>
                <w:tcPr>
                  <w:tcW w:w="852" w:type="pct"/>
                  <w:noWrap w:val="0"/>
                  <w:vAlign w:val="center"/>
                </w:tcPr>
                <w:p w14:paraId="60193A13">
                  <w:pPr>
                    <w:pStyle w:val="28"/>
                    <w:rPr>
                      <w:color w:val="auto"/>
                    </w:rPr>
                  </w:pPr>
                  <w:r>
                    <w:rPr>
                      <w:rFonts w:hint="eastAsia"/>
                      <w:color w:val="auto"/>
                    </w:rPr>
                    <w:t>180</w:t>
                  </w:r>
                </w:p>
              </w:tc>
            </w:tr>
            <w:tr w14:paraId="641C6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8" w:hRule="atLeast"/>
                <w:jc w:val="center"/>
              </w:trPr>
              <w:tc>
                <w:tcPr>
                  <w:tcW w:w="427" w:type="pct"/>
                  <w:noWrap w:val="0"/>
                  <w:vAlign w:val="center"/>
                </w:tcPr>
                <w:p w14:paraId="3CCAADFA">
                  <w:pPr>
                    <w:pStyle w:val="28"/>
                    <w:rPr>
                      <w:color w:val="auto"/>
                    </w:rPr>
                  </w:pPr>
                  <w:r>
                    <w:rPr>
                      <w:rFonts w:hint="eastAsia"/>
                      <w:color w:val="auto"/>
                    </w:rPr>
                    <w:t>25</w:t>
                  </w:r>
                </w:p>
              </w:tc>
              <w:tc>
                <w:tcPr>
                  <w:tcW w:w="717" w:type="pct"/>
                  <w:noWrap w:val="0"/>
                  <w:vAlign w:val="center"/>
                </w:tcPr>
                <w:p w14:paraId="1E5B1777">
                  <w:pPr>
                    <w:pStyle w:val="28"/>
                    <w:rPr>
                      <w:color w:val="auto"/>
                    </w:rPr>
                  </w:pPr>
                  <w:r>
                    <w:rPr>
                      <w:rFonts w:hint="eastAsia"/>
                      <w:color w:val="auto"/>
                    </w:rPr>
                    <w:t>收线机</w:t>
                  </w:r>
                </w:p>
              </w:tc>
              <w:tc>
                <w:tcPr>
                  <w:tcW w:w="429" w:type="pct"/>
                  <w:noWrap w:val="0"/>
                  <w:vAlign w:val="center"/>
                </w:tcPr>
                <w:p w14:paraId="21D4BDB3">
                  <w:pPr>
                    <w:pStyle w:val="28"/>
                    <w:rPr>
                      <w:color w:val="auto"/>
                    </w:rPr>
                  </w:pPr>
                  <w:r>
                    <w:rPr>
                      <w:rFonts w:hint="eastAsia"/>
                      <w:color w:val="auto"/>
                    </w:rPr>
                    <w:t>2</w:t>
                  </w:r>
                </w:p>
              </w:tc>
              <w:tc>
                <w:tcPr>
                  <w:tcW w:w="868" w:type="pct"/>
                  <w:noWrap w:val="0"/>
                  <w:vAlign w:val="center"/>
                </w:tcPr>
                <w:p w14:paraId="0D46C4EA">
                  <w:pPr>
                    <w:pStyle w:val="28"/>
                    <w:rPr>
                      <w:color w:val="auto"/>
                    </w:rPr>
                  </w:pPr>
                  <w:r>
                    <w:rPr>
                      <w:rFonts w:hint="eastAsia"/>
                      <w:color w:val="auto"/>
                    </w:rPr>
                    <w:t>64</w:t>
                  </w:r>
                </w:p>
              </w:tc>
              <w:tc>
                <w:tcPr>
                  <w:tcW w:w="852" w:type="pct"/>
                  <w:noWrap w:val="0"/>
                  <w:vAlign w:val="center"/>
                </w:tcPr>
                <w:p w14:paraId="43DD56DA">
                  <w:pPr>
                    <w:pStyle w:val="28"/>
                    <w:rPr>
                      <w:color w:val="auto"/>
                    </w:rPr>
                  </w:pPr>
                  <w:r>
                    <w:rPr>
                      <w:rFonts w:hint="eastAsia"/>
                      <w:color w:val="auto"/>
                    </w:rPr>
                    <w:t>168</w:t>
                  </w:r>
                </w:p>
              </w:tc>
              <w:tc>
                <w:tcPr>
                  <w:tcW w:w="854" w:type="pct"/>
                  <w:noWrap w:val="0"/>
                  <w:vAlign w:val="center"/>
                </w:tcPr>
                <w:p w14:paraId="711685AE">
                  <w:pPr>
                    <w:pStyle w:val="28"/>
                    <w:rPr>
                      <w:color w:val="auto"/>
                    </w:rPr>
                  </w:pPr>
                  <w:r>
                    <w:rPr>
                      <w:rFonts w:hint="eastAsia"/>
                      <w:color w:val="auto"/>
                    </w:rPr>
                    <w:t>149</w:t>
                  </w:r>
                </w:p>
              </w:tc>
              <w:tc>
                <w:tcPr>
                  <w:tcW w:w="852" w:type="pct"/>
                  <w:noWrap w:val="0"/>
                  <w:vAlign w:val="center"/>
                </w:tcPr>
                <w:p w14:paraId="0B0DF77B">
                  <w:pPr>
                    <w:pStyle w:val="28"/>
                    <w:rPr>
                      <w:color w:val="auto"/>
                    </w:rPr>
                  </w:pPr>
                  <w:r>
                    <w:rPr>
                      <w:rFonts w:hint="eastAsia"/>
                      <w:color w:val="auto"/>
                    </w:rPr>
                    <w:t>152</w:t>
                  </w:r>
                </w:p>
              </w:tc>
            </w:tr>
          </w:tbl>
          <w:p w14:paraId="5499D034">
            <w:pPr>
              <w:ind w:firstLine="361"/>
              <w:rPr>
                <w:b/>
                <w:bCs/>
                <w:color w:val="auto"/>
                <w:sz w:val="18"/>
                <w:szCs w:val="18"/>
              </w:rPr>
            </w:pPr>
            <w:r>
              <w:rPr>
                <w:b/>
                <w:bCs/>
                <w:color w:val="auto"/>
                <w:sz w:val="18"/>
                <w:szCs w:val="18"/>
              </w:rPr>
              <w:t>备注：厂界距离为项目生产车间内设备距离边界的最近距离</w:t>
            </w:r>
          </w:p>
          <w:p w14:paraId="6F545376">
            <w:pPr>
              <w:ind w:firstLine="480"/>
              <w:rPr>
                <w:color w:val="auto"/>
              </w:rPr>
            </w:pPr>
            <w:r>
              <w:rPr>
                <w:rFonts w:hint="eastAsia"/>
                <w:color w:val="auto"/>
              </w:rPr>
              <w:t>采取降噪的措施：</w:t>
            </w:r>
          </w:p>
          <w:p w14:paraId="61380023">
            <w:pPr>
              <w:ind w:firstLine="480"/>
              <w:rPr>
                <w:color w:val="auto"/>
              </w:rPr>
            </w:pPr>
            <w:r>
              <w:rPr>
                <w:rFonts w:hint="eastAsia"/>
                <w:color w:val="auto"/>
              </w:rPr>
              <w:t>a</w:t>
            </w:r>
            <w:r>
              <w:rPr>
                <w:color w:val="auto"/>
                <w:szCs w:val="22"/>
              </w:rPr>
              <w:t>通过设备选型尽可能选用低噪声电机、振动小的设备；</w:t>
            </w:r>
            <w:r>
              <w:rPr>
                <w:rFonts w:hint="eastAsia"/>
                <w:color w:val="auto"/>
                <w:szCs w:val="22"/>
              </w:rPr>
              <w:t>b</w:t>
            </w:r>
            <w:r>
              <w:rPr>
                <w:color w:val="auto"/>
                <w:szCs w:val="22"/>
              </w:rPr>
              <w:t>减少高噪声设备同时运行，从源头降低噪声；</w:t>
            </w:r>
            <w:r>
              <w:rPr>
                <w:rFonts w:hint="eastAsia"/>
                <w:color w:val="auto"/>
                <w:szCs w:val="22"/>
              </w:rPr>
              <w:t>c风机进风口设置消声器、管道外壳阻尼</w:t>
            </w:r>
            <w:r>
              <w:rPr>
                <w:color w:val="auto"/>
                <w:szCs w:val="22"/>
              </w:rPr>
              <w:t>；</w:t>
            </w:r>
            <w:r>
              <w:rPr>
                <w:rFonts w:hint="eastAsia"/>
                <w:color w:val="auto"/>
                <w:szCs w:val="22"/>
              </w:rPr>
              <w:t>d</w:t>
            </w:r>
            <w:r>
              <w:rPr>
                <w:color w:val="auto"/>
                <w:szCs w:val="22"/>
              </w:rPr>
              <w:t>将</w:t>
            </w:r>
            <w:r>
              <w:rPr>
                <w:rFonts w:hint="eastAsia"/>
                <w:color w:val="auto"/>
                <w:szCs w:val="22"/>
              </w:rPr>
              <w:t>高噪声设备</w:t>
            </w:r>
            <w:r>
              <w:rPr>
                <w:color w:val="auto"/>
                <w:szCs w:val="22"/>
              </w:rPr>
              <w:t>置于封闭隔声车间，</w:t>
            </w:r>
            <w:r>
              <w:rPr>
                <w:rFonts w:hint="eastAsia"/>
                <w:color w:val="auto"/>
                <w:szCs w:val="22"/>
              </w:rPr>
              <w:t>在设备基础加装减震装置，降低设备振动引起的噪声</w:t>
            </w:r>
            <w:r>
              <w:rPr>
                <w:color w:val="auto"/>
                <w:szCs w:val="22"/>
              </w:rPr>
              <w:t>；</w:t>
            </w:r>
            <w:r>
              <w:rPr>
                <w:rFonts w:hint="eastAsia"/>
                <w:color w:val="auto"/>
                <w:szCs w:val="22"/>
              </w:rPr>
              <w:t>e厂房密闭，并设置隔墙隔声，充分利用建筑物隔声、距离衰减低噪声</w:t>
            </w:r>
            <w:r>
              <w:rPr>
                <w:color w:val="auto"/>
                <w:szCs w:val="22"/>
              </w:rPr>
              <w:t>。</w:t>
            </w:r>
            <w:r>
              <w:rPr>
                <w:rFonts w:hint="eastAsia"/>
                <w:color w:val="auto"/>
                <w:szCs w:val="22"/>
              </w:rPr>
              <w:t>f</w:t>
            </w:r>
            <w:r>
              <w:rPr>
                <w:color w:val="auto"/>
              </w:rPr>
              <w:t>加强对设备的维修保养，避免设备故障产生高</w:t>
            </w:r>
            <w:r>
              <w:rPr>
                <w:rFonts w:hint="eastAsia"/>
                <w:color w:val="auto"/>
              </w:rPr>
              <w:t>噪声扰民。</w:t>
            </w:r>
          </w:p>
          <w:p w14:paraId="5A6A8EEE">
            <w:pPr>
              <w:ind w:firstLine="480"/>
              <w:rPr>
                <w:b/>
                <w:color w:val="auto"/>
              </w:rPr>
            </w:pPr>
            <w:r>
              <w:rPr>
                <w:rFonts w:hint="eastAsia"/>
                <w:color w:val="auto"/>
                <w:szCs w:val="22"/>
              </w:rPr>
              <w:t>落实以上降噪、隔声治理措施后，可降噪15-20B(A)，按降噪15d</w:t>
            </w:r>
            <w:r>
              <w:rPr>
                <w:color w:val="auto"/>
                <w:szCs w:val="22"/>
              </w:rPr>
              <w:t>B</w:t>
            </w:r>
            <w:r>
              <w:rPr>
                <w:rFonts w:hint="eastAsia"/>
                <w:color w:val="auto"/>
                <w:szCs w:val="22"/>
              </w:rPr>
              <w:t>计。</w:t>
            </w:r>
            <w:r>
              <w:rPr>
                <w:rFonts w:hint="eastAsia"/>
                <w:color w:val="auto"/>
              </w:rPr>
              <w:t>本次环评按照同时运行最大数量来进行预测。</w:t>
            </w:r>
          </w:p>
          <w:p w14:paraId="299C5ECF">
            <w:pPr>
              <w:snapToGrid w:val="0"/>
              <w:ind w:firstLine="482"/>
              <w:jc w:val="left"/>
              <w:rPr>
                <w:b/>
                <w:color w:val="auto"/>
              </w:rPr>
            </w:pPr>
            <w:r>
              <w:rPr>
                <w:b/>
                <w:color w:val="auto"/>
              </w:rPr>
              <w:t>（1）达标情况</w:t>
            </w:r>
          </w:p>
          <w:p w14:paraId="1899D5B8">
            <w:pPr>
              <w:pStyle w:val="4"/>
              <w:ind w:firstLine="480"/>
              <w:jc w:val="both"/>
              <w:rPr>
                <w:rFonts w:hint="eastAsia"/>
                <w:color w:val="auto"/>
              </w:rPr>
            </w:pPr>
            <w:r>
              <w:rPr>
                <w:color w:val="auto"/>
                <w:szCs w:val="24"/>
              </w:rPr>
              <w:t>项目设备产生的噪声贡献值影响情况根据《环境影响评价技术导则 声环境》（HJ2.4-2021）推荐的模式进行估算，项目设备厂界及敏感点噪声估算结果如下：</w:t>
            </w:r>
          </w:p>
          <w:p w14:paraId="43DE3808">
            <w:pPr>
              <w:pStyle w:val="29"/>
              <w:spacing w:before="24" w:after="24"/>
              <w:rPr>
                <w:color w:val="auto"/>
              </w:rPr>
            </w:pPr>
            <w:r>
              <w:rPr>
                <w:color w:val="auto"/>
              </w:rPr>
              <w:t>表</w:t>
            </w:r>
            <w:r>
              <w:rPr>
                <w:rFonts w:hint="eastAsia"/>
                <w:color w:val="auto"/>
                <w:lang w:val="en-US" w:eastAsia="zh-CN"/>
              </w:rPr>
              <w:t>4-15</w:t>
            </w:r>
            <w:r>
              <w:rPr>
                <w:color w:val="auto"/>
              </w:rPr>
              <w:t xml:space="preserve">  厂界及敏感点噪声贡献值预测结果分析</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357"/>
              <w:gridCol w:w="1383"/>
              <w:gridCol w:w="541"/>
              <w:gridCol w:w="717"/>
              <w:gridCol w:w="1424"/>
              <w:gridCol w:w="1424"/>
              <w:gridCol w:w="1424"/>
              <w:gridCol w:w="1424"/>
            </w:tblGrid>
            <w:tr w14:paraId="7826A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1" w:hRule="atLeast"/>
                <w:jc w:val="center"/>
              </w:trPr>
              <w:tc>
                <w:tcPr>
                  <w:tcW w:w="1000" w:type="pct"/>
                  <w:gridSpan w:val="2"/>
                  <w:noWrap w:val="0"/>
                  <w:vAlign w:val="center"/>
                </w:tcPr>
                <w:p w14:paraId="51995B00">
                  <w:pPr>
                    <w:pStyle w:val="28"/>
                    <w:rPr>
                      <w:b/>
                      <w:bCs/>
                      <w:color w:val="auto"/>
                      <w:lang w:val="zh-CN"/>
                    </w:rPr>
                  </w:pPr>
                  <w:r>
                    <w:rPr>
                      <w:b/>
                      <w:bCs/>
                      <w:color w:val="auto"/>
                    </w:rPr>
                    <w:t>名称</w:t>
                  </w:r>
                </w:p>
              </w:tc>
              <w:tc>
                <w:tcPr>
                  <w:tcW w:w="311" w:type="pct"/>
                  <w:noWrap w:val="0"/>
                  <w:vAlign w:val="center"/>
                </w:tcPr>
                <w:p w14:paraId="55A1CE55">
                  <w:pPr>
                    <w:pStyle w:val="28"/>
                    <w:rPr>
                      <w:b/>
                      <w:bCs/>
                      <w:color w:val="auto"/>
                    </w:rPr>
                  </w:pPr>
                  <w:r>
                    <w:rPr>
                      <w:b/>
                      <w:bCs/>
                      <w:color w:val="auto"/>
                      <w:lang w:val="zh-CN"/>
                    </w:rPr>
                    <w:t>台数</w:t>
                  </w:r>
                </w:p>
              </w:tc>
              <w:tc>
                <w:tcPr>
                  <w:tcW w:w="412" w:type="pct"/>
                  <w:noWrap w:val="0"/>
                  <w:vAlign w:val="center"/>
                </w:tcPr>
                <w:p w14:paraId="21F1E0F7">
                  <w:pPr>
                    <w:pStyle w:val="28"/>
                    <w:rPr>
                      <w:b/>
                      <w:bCs/>
                      <w:color w:val="auto"/>
                    </w:rPr>
                  </w:pPr>
                  <w:r>
                    <w:rPr>
                      <w:b/>
                      <w:bCs/>
                      <w:color w:val="auto"/>
                    </w:rPr>
                    <w:t>时间</w:t>
                  </w:r>
                </w:p>
              </w:tc>
              <w:tc>
                <w:tcPr>
                  <w:tcW w:w="819" w:type="pct"/>
                  <w:noWrap w:val="0"/>
                  <w:vAlign w:val="center"/>
                </w:tcPr>
                <w:p w14:paraId="2AB37E81">
                  <w:pPr>
                    <w:pStyle w:val="28"/>
                    <w:jc w:val="both"/>
                    <w:rPr>
                      <w:b/>
                      <w:bCs/>
                      <w:color w:val="auto"/>
                    </w:rPr>
                  </w:pPr>
                  <w:r>
                    <w:rPr>
                      <w:rFonts w:hint="eastAsia"/>
                      <w:b/>
                      <w:bCs/>
                      <w:color w:val="auto"/>
                    </w:rPr>
                    <w:t>厂界北1m处</w:t>
                  </w:r>
                </w:p>
              </w:tc>
              <w:tc>
                <w:tcPr>
                  <w:tcW w:w="819" w:type="pct"/>
                  <w:noWrap w:val="0"/>
                  <w:vAlign w:val="center"/>
                </w:tcPr>
                <w:p w14:paraId="23B17B08">
                  <w:pPr>
                    <w:pStyle w:val="28"/>
                    <w:rPr>
                      <w:b/>
                      <w:bCs/>
                      <w:color w:val="auto"/>
                    </w:rPr>
                  </w:pPr>
                  <w:r>
                    <w:rPr>
                      <w:rFonts w:hint="eastAsia"/>
                      <w:b/>
                      <w:bCs/>
                      <w:color w:val="auto"/>
                    </w:rPr>
                    <w:t>厂界南1m处</w:t>
                  </w:r>
                </w:p>
              </w:tc>
              <w:tc>
                <w:tcPr>
                  <w:tcW w:w="819" w:type="pct"/>
                  <w:noWrap w:val="0"/>
                  <w:vAlign w:val="center"/>
                </w:tcPr>
                <w:p w14:paraId="3CC81107">
                  <w:pPr>
                    <w:pStyle w:val="28"/>
                    <w:rPr>
                      <w:b/>
                      <w:bCs/>
                      <w:color w:val="auto"/>
                    </w:rPr>
                  </w:pPr>
                  <w:r>
                    <w:rPr>
                      <w:rFonts w:hint="eastAsia"/>
                      <w:b/>
                      <w:bCs/>
                      <w:color w:val="auto"/>
                    </w:rPr>
                    <w:t>厂界西1m处</w:t>
                  </w:r>
                </w:p>
              </w:tc>
              <w:tc>
                <w:tcPr>
                  <w:tcW w:w="819" w:type="pct"/>
                  <w:noWrap w:val="0"/>
                  <w:vAlign w:val="center"/>
                </w:tcPr>
                <w:p w14:paraId="777CCF59">
                  <w:pPr>
                    <w:pStyle w:val="28"/>
                    <w:rPr>
                      <w:b/>
                      <w:bCs/>
                      <w:color w:val="auto"/>
                    </w:rPr>
                  </w:pPr>
                  <w:r>
                    <w:rPr>
                      <w:rFonts w:hint="eastAsia"/>
                      <w:b/>
                      <w:bCs/>
                      <w:color w:val="auto"/>
                    </w:rPr>
                    <w:t>厂界东1m处</w:t>
                  </w:r>
                </w:p>
              </w:tc>
            </w:tr>
            <w:tr w14:paraId="2BDB8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9" w:hRule="atLeast"/>
                <w:jc w:val="center"/>
              </w:trPr>
              <w:tc>
                <w:tcPr>
                  <w:tcW w:w="205" w:type="pct"/>
                  <w:vMerge w:val="restart"/>
                  <w:noWrap w:val="0"/>
                  <w:vAlign w:val="center"/>
                </w:tcPr>
                <w:p w14:paraId="3F5A7306">
                  <w:pPr>
                    <w:pStyle w:val="28"/>
                    <w:rPr>
                      <w:color w:val="auto"/>
                    </w:rPr>
                  </w:pPr>
                  <w:r>
                    <w:rPr>
                      <w:color w:val="auto"/>
                    </w:rPr>
                    <w:t>贡献值</w:t>
                  </w:r>
                </w:p>
              </w:tc>
              <w:tc>
                <w:tcPr>
                  <w:tcW w:w="794" w:type="pct"/>
                  <w:noWrap w:val="0"/>
                  <w:vAlign w:val="center"/>
                </w:tcPr>
                <w:p w14:paraId="1EF08E21">
                  <w:pPr>
                    <w:pStyle w:val="28"/>
                    <w:rPr>
                      <w:color w:val="auto"/>
                    </w:rPr>
                  </w:pPr>
                  <w:r>
                    <w:rPr>
                      <w:rFonts w:hint="eastAsia"/>
                      <w:color w:val="auto"/>
                    </w:rPr>
                    <w:t>搅拌机</w:t>
                  </w:r>
                </w:p>
              </w:tc>
              <w:tc>
                <w:tcPr>
                  <w:tcW w:w="311" w:type="pct"/>
                  <w:noWrap w:val="0"/>
                  <w:vAlign w:val="center"/>
                </w:tcPr>
                <w:p w14:paraId="44928803">
                  <w:pPr>
                    <w:pStyle w:val="28"/>
                    <w:rPr>
                      <w:color w:val="auto"/>
                    </w:rPr>
                  </w:pPr>
                  <w:r>
                    <w:rPr>
                      <w:rFonts w:hint="eastAsia"/>
                      <w:color w:val="auto"/>
                    </w:rPr>
                    <w:t>1</w:t>
                  </w:r>
                </w:p>
              </w:tc>
              <w:tc>
                <w:tcPr>
                  <w:tcW w:w="412" w:type="pct"/>
                  <w:noWrap w:val="0"/>
                  <w:vAlign w:val="center"/>
                </w:tcPr>
                <w:p w14:paraId="5A45E517">
                  <w:pPr>
                    <w:pStyle w:val="28"/>
                    <w:rPr>
                      <w:color w:val="auto"/>
                    </w:rPr>
                  </w:pPr>
                  <w:r>
                    <w:rPr>
                      <w:color w:val="auto"/>
                    </w:rPr>
                    <w:t>昼</w:t>
                  </w:r>
                  <w:r>
                    <w:rPr>
                      <w:rFonts w:hint="eastAsia"/>
                      <w:color w:val="auto"/>
                    </w:rPr>
                    <w:t>/夜</w:t>
                  </w:r>
                </w:p>
              </w:tc>
              <w:tc>
                <w:tcPr>
                  <w:tcW w:w="819" w:type="pct"/>
                  <w:noWrap w:val="0"/>
                  <w:vAlign w:val="center"/>
                </w:tcPr>
                <w:p w14:paraId="50EDF5C8">
                  <w:pPr>
                    <w:pStyle w:val="28"/>
                    <w:rPr>
                      <w:color w:val="auto"/>
                    </w:rPr>
                  </w:pPr>
                  <w:r>
                    <w:rPr>
                      <w:rFonts w:hint="eastAsia"/>
                      <w:color w:val="auto"/>
                    </w:rPr>
                    <w:t>43.0</w:t>
                  </w:r>
                </w:p>
              </w:tc>
              <w:tc>
                <w:tcPr>
                  <w:tcW w:w="819" w:type="pct"/>
                  <w:noWrap w:val="0"/>
                  <w:vAlign w:val="center"/>
                </w:tcPr>
                <w:p w14:paraId="0C3ABCD5">
                  <w:pPr>
                    <w:pStyle w:val="28"/>
                    <w:rPr>
                      <w:color w:val="auto"/>
                    </w:rPr>
                  </w:pPr>
                  <w:r>
                    <w:rPr>
                      <w:rFonts w:hint="eastAsia"/>
                      <w:color w:val="auto"/>
                    </w:rPr>
                    <w:t>32.0</w:t>
                  </w:r>
                </w:p>
              </w:tc>
              <w:tc>
                <w:tcPr>
                  <w:tcW w:w="819" w:type="pct"/>
                  <w:noWrap w:val="0"/>
                  <w:vAlign w:val="center"/>
                </w:tcPr>
                <w:p w14:paraId="3BB38DE6">
                  <w:pPr>
                    <w:pStyle w:val="28"/>
                    <w:rPr>
                      <w:color w:val="auto"/>
                    </w:rPr>
                  </w:pPr>
                  <w:r>
                    <w:rPr>
                      <w:rFonts w:hint="eastAsia"/>
                      <w:color w:val="auto"/>
                    </w:rPr>
                    <w:t>31.8</w:t>
                  </w:r>
                </w:p>
              </w:tc>
              <w:tc>
                <w:tcPr>
                  <w:tcW w:w="819" w:type="pct"/>
                  <w:noWrap w:val="0"/>
                  <w:vAlign w:val="center"/>
                </w:tcPr>
                <w:p w14:paraId="2FBCF090">
                  <w:pPr>
                    <w:pStyle w:val="28"/>
                    <w:rPr>
                      <w:color w:val="auto"/>
                    </w:rPr>
                  </w:pPr>
                  <w:r>
                    <w:rPr>
                      <w:rFonts w:hint="eastAsia"/>
                      <w:color w:val="auto"/>
                    </w:rPr>
                    <w:t>30.0</w:t>
                  </w:r>
                </w:p>
              </w:tc>
            </w:tr>
            <w:tr w14:paraId="27080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9" w:hRule="atLeast"/>
                <w:jc w:val="center"/>
              </w:trPr>
              <w:tc>
                <w:tcPr>
                  <w:tcW w:w="205" w:type="pct"/>
                  <w:vMerge w:val="continue"/>
                  <w:noWrap w:val="0"/>
                  <w:vAlign w:val="center"/>
                </w:tcPr>
                <w:p w14:paraId="78219461">
                  <w:pPr>
                    <w:pStyle w:val="28"/>
                    <w:rPr>
                      <w:color w:val="auto"/>
                    </w:rPr>
                  </w:pPr>
                </w:p>
              </w:tc>
              <w:tc>
                <w:tcPr>
                  <w:tcW w:w="794" w:type="pct"/>
                  <w:noWrap w:val="0"/>
                  <w:vAlign w:val="center"/>
                </w:tcPr>
                <w:p w14:paraId="2EB96C45">
                  <w:pPr>
                    <w:pStyle w:val="28"/>
                    <w:rPr>
                      <w:color w:val="auto"/>
                    </w:rPr>
                  </w:pPr>
                  <w:r>
                    <w:rPr>
                      <w:rFonts w:hint="eastAsia"/>
                      <w:color w:val="auto"/>
                    </w:rPr>
                    <w:t>柴油发电机</w:t>
                  </w:r>
                </w:p>
              </w:tc>
              <w:tc>
                <w:tcPr>
                  <w:tcW w:w="311" w:type="pct"/>
                  <w:noWrap w:val="0"/>
                  <w:vAlign w:val="center"/>
                </w:tcPr>
                <w:p w14:paraId="02FA5541">
                  <w:pPr>
                    <w:pStyle w:val="28"/>
                    <w:rPr>
                      <w:color w:val="auto"/>
                    </w:rPr>
                  </w:pPr>
                  <w:r>
                    <w:rPr>
                      <w:rFonts w:hint="eastAsia"/>
                      <w:color w:val="auto"/>
                    </w:rPr>
                    <w:t>1</w:t>
                  </w:r>
                </w:p>
              </w:tc>
              <w:tc>
                <w:tcPr>
                  <w:tcW w:w="412" w:type="pct"/>
                  <w:noWrap w:val="0"/>
                  <w:vAlign w:val="center"/>
                </w:tcPr>
                <w:p w14:paraId="549F0318">
                  <w:pPr>
                    <w:pStyle w:val="28"/>
                    <w:rPr>
                      <w:color w:val="auto"/>
                    </w:rPr>
                  </w:pPr>
                  <w:r>
                    <w:rPr>
                      <w:color w:val="auto"/>
                    </w:rPr>
                    <w:t>昼</w:t>
                  </w:r>
                  <w:r>
                    <w:rPr>
                      <w:rFonts w:hint="eastAsia"/>
                      <w:color w:val="auto"/>
                    </w:rPr>
                    <w:t>/夜</w:t>
                  </w:r>
                </w:p>
              </w:tc>
              <w:tc>
                <w:tcPr>
                  <w:tcW w:w="819" w:type="pct"/>
                  <w:noWrap w:val="0"/>
                  <w:vAlign w:val="center"/>
                </w:tcPr>
                <w:p w14:paraId="4E877BC8">
                  <w:pPr>
                    <w:pStyle w:val="28"/>
                    <w:rPr>
                      <w:color w:val="auto"/>
                    </w:rPr>
                  </w:pPr>
                  <w:r>
                    <w:rPr>
                      <w:rFonts w:hint="eastAsia"/>
                      <w:color w:val="auto"/>
                    </w:rPr>
                    <w:t>19.4</w:t>
                  </w:r>
                </w:p>
              </w:tc>
              <w:tc>
                <w:tcPr>
                  <w:tcW w:w="819" w:type="pct"/>
                  <w:noWrap w:val="0"/>
                  <w:vAlign w:val="center"/>
                </w:tcPr>
                <w:p w14:paraId="3B2E31A6">
                  <w:pPr>
                    <w:pStyle w:val="28"/>
                    <w:rPr>
                      <w:color w:val="auto"/>
                    </w:rPr>
                  </w:pPr>
                  <w:r>
                    <w:rPr>
                      <w:rFonts w:hint="eastAsia"/>
                      <w:color w:val="auto"/>
                    </w:rPr>
                    <w:t>12.4</w:t>
                  </w:r>
                </w:p>
              </w:tc>
              <w:tc>
                <w:tcPr>
                  <w:tcW w:w="819" w:type="pct"/>
                  <w:noWrap w:val="0"/>
                  <w:vAlign w:val="center"/>
                </w:tcPr>
                <w:p w14:paraId="06106236">
                  <w:pPr>
                    <w:pStyle w:val="28"/>
                    <w:rPr>
                      <w:color w:val="auto"/>
                    </w:rPr>
                  </w:pPr>
                  <w:r>
                    <w:rPr>
                      <w:rFonts w:hint="eastAsia"/>
                      <w:color w:val="auto"/>
                    </w:rPr>
                    <w:t>11.6</w:t>
                  </w:r>
                </w:p>
              </w:tc>
              <w:tc>
                <w:tcPr>
                  <w:tcW w:w="819" w:type="pct"/>
                  <w:noWrap w:val="0"/>
                  <w:vAlign w:val="center"/>
                </w:tcPr>
                <w:p w14:paraId="52588E6D">
                  <w:pPr>
                    <w:pStyle w:val="28"/>
                    <w:rPr>
                      <w:color w:val="auto"/>
                    </w:rPr>
                  </w:pPr>
                  <w:r>
                    <w:rPr>
                      <w:rFonts w:hint="eastAsia"/>
                      <w:color w:val="auto"/>
                    </w:rPr>
                    <w:t>10.7</w:t>
                  </w:r>
                </w:p>
              </w:tc>
            </w:tr>
            <w:tr w14:paraId="275D6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9" w:hRule="atLeast"/>
                <w:jc w:val="center"/>
              </w:trPr>
              <w:tc>
                <w:tcPr>
                  <w:tcW w:w="205" w:type="pct"/>
                  <w:vMerge w:val="continue"/>
                  <w:noWrap w:val="0"/>
                  <w:vAlign w:val="center"/>
                </w:tcPr>
                <w:p w14:paraId="66FED0B6">
                  <w:pPr>
                    <w:pStyle w:val="28"/>
                    <w:rPr>
                      <w:color w:val="auto"/>
                    </w:rPr>
                  </w:pPr>
                </w:p>
              </w:tc>
              <w:tc>
                <w:tcPr>
                  <w:tcW w:w="794" w:type="pct"/>
                  <w:noWrap w:val="0"/>
                  <w:vAlign w:val="center"/>
                </w:tcPr>
                <w:p w14:paraId="560C0315">
                  <w:pPr>
                    <w:pStyle w:val="28"/>
                    <w:rPr>
                      <w:color w:val="auto"/>
                    </w:rPr>
                  </w:pPr>
                  <w:r>
                    <w:rPr>
                      <w:rFonts w:hint="eastAsia"/>
                      <w:color w:val="auto"/>
                    </w:rPr>
                    <w:t>空气压缩机</w:t>
                  </w:r>
                </w:p>
              </w:tc>
              <w:tc>
                <w:tcPr>
                  <w:tcW w:w="311" w:type="pct"/>
                  <w:noWrap w:val="0"/>
                  <w:vAlign w:val="center"/>
                </w:tcPr>
                <w:p w14:paraId="4608AAD5">
                  <w:pPr>
                    <w:pStyle w:val="28"/>
                    <w:rPr>
                      <w:color w:val="auto"/>
                    </w:rPr>
                  </w:pPr>
                  <w:r>
                    <w:rPr>
                      <w:rFonts w:hint="eastAsia"/>
                      <w:color w:val="auto"/>
                    </w:rPr>
                    <w:t>2</w:t>
                  </w:r>
                </w:p>
              </w:tc>
              <w:tc>
                <w:tcPr>
                  <w:tcW w:w="412" w:type="pct"/>
                  <w:noWrap w:val="0"/>
                  <w:vAlign w:val="center"/>
                </w:tcPr>
                <w:p w14:paraId="6816DE6F">
                  <w:pPr>
                    <w:pStyle w:val="28"/>
                    <w:rPr>
                      <w:color w:val="auto"/>
                    </w:rPr>
                  </w:pPr>
                  <w:r>
                    <w:rPr>
                      <w:color w:val="auto"/>
                    </w:rPr>
                    <w:t>昼</w:t>
                  </w:r>
                  <w:r>
                    <w:rPr>
                      <w:rFonts w:hint="eastAsia"/>
                      <w:color w:val="auto"/>
                    </w:rPr>
                    <w:t>/夜</w:t>
                  </w:r>
                </w:p>
              </w:tc>
              <w:tc>
                <w:tcPr>
                  <w:tcW w:w="819" w:type="pct"/>
                  <w:noWrap w:val="0"/>
                  <w:vAlign w:val="center"/>
                </w:tcPr>
                <w:p w14:paraId="36DD49B2">
                  <w:pPr>
                    <w:pStyle w:val="28"/>
                    <w:rPr>
                      <w:color w:val="auto"/>
                    </w:rPr>
                  </w:pPr>
                  <w:r>
                    <w:rPr>
                      <w:rFonts w:hint="eastAsia"/>
                      <w:color w:val="auto"/>
                    </w:rPr>
                    <w:t>44.1</w:t>
                  </w:r>
                </w:p>
              </w:tc>
              <w:tc>
                <w:tcPr>
                  <w:tcW w:w="819" w:type="pct"/>
                  <w:noWrap w:val="0"/>
                  <w:vAlign w:val="center"/>
                </w:tcPr>
                <w:p w14:paraId="4768EC50">
                  <w:pPr>
                    <w:pStyle w:val="28"/>
                    <w:rPr>
                      <w:color w:val="auto"/>
                    </w:rPr>
                  </w:pPr>
                  <w:r>
                    <w:rPr>
                      <w:rFonts w:hint="eastAsia"/>
                      <w:color w:val="auto"/>
                    </w:rPr>
                    <w:t>31.7</w:t>
                  </w:r>
                </w:p>
              </w:tc>
              <w:tc>
                <w:tcPr>
                  <w:tcW w:w="819" w:type="pct"/>
                  <w:noWrap w:val="0"/>
                  <w:vAlign w:val="center"/>
                </w:tcPr>
                <w:p w14:paraId="50D0B17E">
                  <w:pPr>
                    <w:pStyle w:val="28"/>
                    <w:rPr>
                      <w:color w:val="auto"/>
                    </w:rPr>
                  </w:pPr>
                  <w:r>
                    <w:rPr>
                      <w:rFonts w:hint="eastAsia"/>
                      <w:color w:val="auto"/>
                    </w:rPr>
                    <w:t>31.4</w:t>
                  </w:r>
                </w:p>
              </w:tc>
              <w:tc>
                <w:tcPr>
                  <w:tcW w:w="819" w:type="pct"/>
                  <w:noWrap w:val="0"/>
                  <w:vAlign w:val="center"/>
                </w:tcPr>
                <w:p w14:paraId="17330F80">
                  <w:pPr>
                    <w:pStyle w:val="28"/>
                    <w:rPr>
                      <w:color w:val="auto"/>
                    </w:rPr>
                  </w:pPr>
                  <w:r>
                    <w:rPr>
                      <w:rFonts w:hint="eastAsia"/>
                      <w:color w:val="auto"/>
                    </w:rPr>
                    <w:t>30.7</w:t>
                  </w:r>
                </w:p>
              </w:tc>
            </w:tr>
            <w:tr w14:paraId="25A69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9" w:hRule="atLeast"/>
                <w:jc w:val="center"/>
              </w:trPr>
              <w:tc>
                <w:tcPr>
                  <w:tcW w:w="205" w:type="pct"/>
                  <w:vMerge w:val="continue"/>
                  <w:noWrap w:val="0"/>
                  <w:vAlign w:val="center"/>
                </w:tcPr>
                <w:p w14:paraId="4D666911">
                  <w:pPr>
                    <w:pStyle w:val="28"/>
                    <w:rPr>
                      <w:color w:val="auto"/>
                    </w:rPr>
                  </w:pPr>
                </w:p>
              </w:tc>
              <w:tc>
                <w:tcPr>
                  <w:tcW w:w="794" w:type="pct"/>
                  <w:noWrap w:val="0"/>
                  <w:vAlign w:val="center"/>
                </w:tcPr>
                <w:p w14:paraId="475EDD3F">
                  <w:pPr>
                    <w:pStyle w:val="28"/>
                    <w:rPr>
                      <w:color w:val="auto"/>
                    </w:rPr>
                  </w:pPr>
                  <w:r>
                    <w:rPr>
                      <w:rFonts w:hint="eastAsia"/>
                      <w:color w:val="auto"/>
                    </w:rPr>
                    <w:t>叉车</w:t>
                  </w:r>
                </w:p>
              </w:tc>
              <w:tc>
                <w:tcPr>
                  <w:tcW w:w="311" w:type="pct"/>
                  <w:noWrap w:val="0"/>
                  <w:vAlign w:val="center"/>
                </w:tcPr>
                <w:p w14:paraId="58A3F7C8">
                  <w:pPr>
                    <w:pStyle w:val="28"/>
                    <w:rPr>
                      <w:color w:val="auto"/>
                    </w:rPr>
                  </w:pPr>
                  <w:r>
                    <w:rPr>
                      <w:rFonts w:hint="eastAsia"/>
                      <w:color w:val="auto"/>
                    </w:rPr>
                    <w:t>2</w:t>
                  </w:r>
                </w:p>
              </w:tc>
              <w:tc>
                <w:tcPr>
                  <w:tcW w:w="412" w:type="pct"/>
                  <w:noWrap w:val="0"/>
                  <w:vAlign w:val="center"/>
                </w:tcPr>
                <w:p w14:paraId="75F67BEA">
                  <w:pPr>
                    <w:pStyle w:val="28"/>
                    <w:rPr>
                      <w:color w:val="auto"/>
                    </w:rPr>
                  </w:pPr>
                  <w:r>
                    <w:rPr>
                      <w:color w:val="auto"/>
                    </w:rPr>
                    <w:t>昼</w:t>
                  </w:r>
                  <w:r>
                    <w:rPr>
                      <w:rFonts w:hint="eastAsia"/>
                      <w:color w:val="auto"/>
                    </w:rPr>
                    <w:t>/夜</w:t>
                  </w:r>
                </w:p>
              </w:tc>
              <w:tc>
                <w:tcPr>
                  <w:tcW w:w="819" w:type="pct"/>
                  <w:noWrap w:val="0"/>
                  <w:vAlign w:val="center"/>
                </w:tcPr>
                <w:p w14:paraId="4FA3264B">
                  <w:pPr>
                    <w:pStyle w:val="28"/>
                    <w:rPr>
                      <w:color w:val="auto"/>
                    </w:rPr>
                  </w:pPr>
                  <w:r>
                    <w:rPr>
                      <w:rFonts w:hint="eastAsia"/>
                      <w:color w:val="auto"/>
                    </w:rPr>
                    <w:t>23.0</w:t>
                  </w:r>
                </w:p>
              </w:tc>
              <w:tc>
                <w:tcPr>
                  <w:tcW w:w="819" w:type="pct"/>
                  <w:noWrap w:val="0"/>
                  <w:vAlign w:val="center"/>
                </w:tcPr>
                <w:p w14:paraId="34A96163">
                  <w:pPr>
                    <w:pStyle w:val="28"/>
                    <w:rPr>
                      <w:color w:val="auto"/>
                    </w:rPr>
                  </w:pPr>
                  <w:r>
                    <w:rPr>
                      <w:rFonts w:hint="eastAsia"/>
                      <w:color w:val="auto"/>
                    </w:rPr>
                    <w:t>12.2</w:t>
                  </w:r>
                </w:p>
              </w:tc>
              <w:tc>
                <w:tcPr>
                  <w:tcW w:w="819" w:type="pct"/>
                  <w:noWrap w:val="0"/>
                  <w:vAlign w:val="center"/>
                </w:tcPr>
                <w:p w14:paraId="7A063B36">
                  <w:pPr>
                    <w:pStyle w:val="28"/>
                    <w:rPr>
                      <w:color w:val="auto"/>
                    </w:rPr>
                  </w:pPr>
                  <w:r>
                    <w:rPr>
                      <w:rFonts w:hint="eastAsia"/>
                      <w:color w:val="auto"/>
                    </w:rPr>
                    <w:t>11.9</w:t>
                  </w:r>
                </w:p>
              </w:tc>
              <w:tc>
                <w:tcPr>
                  <w:tcW w:w="819" w:type="pct"/>
                  <w:noWrap w:val="0"/>
                  <w:vAlign w:val="center"/>
                </w:tcPr>
                <w:p w14:paraId="5031BF5C">
                  <w:pPr>
                    <w:pStyle w:val="28"/>
                    <w:rPr>
                      <w:color w:val="auto"/>
                    </w:rPr>
                  </w:pPr>
                  <w:r>
                    <w:rPr>
                      <w:rFonts w:hint="eastAsia"/>
                      <w:color w:val="auto"/>
                    </w:rPr>
                    <w:t>11.4</w:t>
                  </w:r>
                </w:p>
              </w:tc>
            </w:tr>
            <w:tr w14:paraId="17F6E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9" w:hRule="atLeast"/>
                <w:jc w:val="center"/>
              </w:trPr>
              <w:tc>
                <w:tcPr>
                  <w:tcW w:w="205" w:type="pct"/>
                  <w:vMerge w:val="continue"/>
                  <w:noWrap w:val="0"/>
                  <w:vAlign w:val="center"/>
                </w:tcPr>
                <w:p w14:paraId="71F818C5">
                  <w:pPr>
                    <w:pStyle w:val="28"/>
                    <w:rPr>
                      <w:color w:val="auto"/>
                    </w:rPr>
                  </w:pPr>
                </w:p>
              </w:tc>
              <w:tc>
                <w:tcPr>
                  <w:tcW w:w="794" w:type="pct"/>
                  <w:noWrap w:val="0"/>
                  <w:vAlign w:val="center"/>
                </w:tcPr>
                <w:p w14:paraId="25E5D457">
                  <w:pPr>
                    <w:pStyle w:val="28"/>
                    <w:rPr>
                      <w:color w:val="auto"/>
                    </w:rPr>
                  </w:pPr>
                  <w:r>
                    <w:rPr>
                      <w:rFonts w:hint="eastAsia"/>
                      <w:color w:val="auto"/>
                    </w:rPr>
                    <w:t>装载机</w:t>
                  </w:r>
                </w:p>
              </w:tc>
              <w:tc>
                <w:tcPr>
                  <w:tcW w:w="311" w:type="pct"/>
                  <w:noWrap w:val="0"/>
                  <w:vAlign w:val="center"/>
                </w:tcPr>
                <w:p w14:paraId="135732B9">
                  <w:pPr>
                    <w:pStyle w:val="28"/>
                    <w:rPr>
                      <w:color w:val="auto"/>
                    </w:rPr>
                  </w:pPr>
                  <w:r>
                    <w:rPr>
                      <w:rFonts w:hint="eastAsia"/>
                      <w:color w:val="auto"/>
                    </w:rPr>
                    <w:t>1</w:t>
                  </w:r>
                </w:p>
              </w:tc>
              <w:tc>
                <w:tcPr>
                  <w:tcW w:w="412" w:type="pct"/>
                  <w:noWrap w:val="0"/>
                  <w:vAlign w:val="center"/>
                </w:tcPr>
                <w:p w14:paraId="17967B8A">
                  <w:pPr>
                    <w:pStyle w:val="28"/>
                    <w:rPr>
                      <w:color w:val="auto"/>
                    </w:rPr>
                  </w:pPr>
                  <w:r>
                    <w:rPr>
                      <w:color w:val="auto"/>
                    </w:rPr>
                    <w:t>昼</w:t>
                  </w:r>
                  <w:r>
                    <w:rPr>
                      <w:rFonts w:hint="eastAsia"/>
                      <w:color w:val="auto"/>
                    </w:rPr>
                    <w:t>/夜</w:t>
                  </w:r>
                </w:p>
              </w:tc>
              <w:tc>
                <w:tcPr>
                  <w:tcW w:w="819" w:type="pct"/>
                  <w:noWrap w:val="0"/>
                  <w:vAlign w:val="center"/>
                </w:tcPr>
                <w:p w14:paraId="4CBE4C84">
                  <w:pPr>
                    <w:pStyle w:val="28"/>
                    <w:rPr>
                      <w:color w:val="auto"/>
                    </w:rPr>
                  </w:pPr>
                  <w:r>
                    <w:rPr>
                      <w:rFonts w:hint="eastAsia"/>
                      <w:color w:val="auto"/>
                    </w:rPr>
                    <w:t>41.0</w:t>
                  </w:r>
                </w:p>
              </w:tc>
              <w:tc>
                <w:tcPr>
                  <w:tcW w:w="819" w:type="pct"/>
                  <w:noWrap w:val="0"/>
                  <w:vAlign w:val="center"/>
                </w:tcPr>
                <w:p w14:paraId="0D04420D">
                  <w:pPr>
                    <w:pStyle w:val="28"/>
                    <w:rPr>
                      <w:color w:val="auto"/>
                    </w:rPr>
                  </w:pPr>
                  <w:r>
                    <w:rPr>
                      <w:rFonts w:hint="eastAsia"/>
                      <w:color w:val="auto"/>
                    </w:rPr>
                    <w:t>32.9</w:t>
                  </w:r>
                </w:p>
              </w:tc>
              <w:tc>
                <w:tcPr>
                  <w:tcW w:w="819" w:type="pct"/>
                  <w:noWrap w:val="0"/>
                  <w:vAlign w:val="center"/>
                </w:tcPr>
                <w:p w14:paraId="119B563A">
                  <w:pPr>
                    <w:pStyle w:val="28"/>
                    <w:rPr>
                      <w:color w:val="auto"/>
                    </w:rPr>
                  </w:pPr>
                  <w:r>
                    <w:rPr>
                      <w:rFonts w:hint="eastAsia"/>
                      <w:color w:val="auto"/>
                    </w:rPr>
                    <w:t>31.7</w:t>
                  </w:r>
                </w:p>
              </w:tc>
              <w:tc>
                <w:tcPr>
                  <w:tcW w:w="819" w:type="pct"/>
                  <w:noWrap w:val="0"/>
                  <w:vAlign w:val="center"/>
                </w:tcPr>
                <w:p w14:paraId="3D6DA31B">
                  <w:pPr>
                    <w:pStyle w:val="28"/>
                    <w:rPr>
                      <w:color w:val="auto"/>
                    </w:rPr>
                  </w:pPr>
                  <w:r>
                    <w:rPr>
                      <w:rFonts w:hint="eastAsia"/>
                      <w:color w:val="auto"/>
                    </w:rPr>
                    <w:t>30.3</w:t>
                  </w:r>
                </w:p>
              </w:tc>
            </w:tr>
            <w:tr w14:paraId="62E01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9" w:hRule="atLeast"/>
                <w:jc w:val="center"/>
              </w:trPr>
              <w:tc>
                <w:tcPr>
                  <w:tcW w:w="205" w:type="pct"/>
                  <w:vMerge w:val="continue"/>
                  <w:noWrap w:val="0"/>
                  <w:vAlign w:val="center"/>
                </w:tcPr>
                <w:p w14:paraId="3B3B5A8D">
                  <w:pPr>
                    <w:pStyle w:val="28"/>
                    <w:rPr>
                      <w:color w:val="auto"/>
                    </w:rPr>
                  </w:pPr>
                </w:p>
              </w:tc>
              <w:tc>
                <w:tcPr>
                  <w:tcW w:w="794" w:type="pct"/>
                  <w:noWrap w:val="0"/>
                  <w:vAlign w:val="center"/>
                </w:tcPr>
                <w:p w14:paraId="38B9038E">
                  <w:pPr>
                    <w:pStyle w:val="28"/>
                    <w:rPr>
                      <w:color w:val="auto"/>
                    </w:rPr>
                  </w:pPr>
                  <w:r>
                    <w:rPr>
                      <w:rFonts w:hint="eastAsia"/>
                      <w:color w:val="auto"/>
                    </w:rPr>
                    <w:t>轨枕湿润养护控制设备</w:t>
                  </w:r>
                </w:p>
              </w:tc>
              <w:tc>
                <w:tcPr>
                  <w:tcW w:w="311" w:type="pct"/>
                  <w:noWrap w:val="0"/>
                  <w:vAlign w:val="center"/>
                </w:tcPr>
                <w:p w14:paraId="48368A37">
                  <w:pPr>
                    <w:pStyle w:val="28"/>
                    <w:rPr>
                      <w:color w:val="auto"/>
                    </w:rPr>
                  </w:pPr>
                  <w:r>
                    <w:rPr>
                      <w:rFonts w:hint="eastAsia"/>
                      <w:color w:val="auto"/>
                    </w:rPr>
                    <w:t>1</w:t>
                  </w:r>
                </w:p>
              </w:tc>
              <w:tc>
                <w:tcPr>
                  <w:tcW w:w="412" w:type="pct"/>
                  <w:noWrap w:val="0"/>
                  <w:vAlign w:val="center"/>
                </w:tcPr>
                <w:p w14:paraId="64306FF1">
                  <w:pPr>
                    <w:pStyle w:val="28"/>
                    <w:rPr>
                      <w:color w:val="auto"/>
                    </w:rPr>
                  </w:pPr>
                  <w:r>
                    <w:rPr>
                      <w:color w:val="auto"/>
                    </w:rPr>
                    <w:t>昼</w:t>
                  </w:r>
                  <w:r>
                    <w:rPr>
                      <w:rFonts w:hint="eastAsia"/>
                      <w:color w:val="auto"/>
                    </w:rPr>
                    <w:t>/夜</w:t>
                  </w:r>
                </w:p>
              </w:tc>
              <w:tc>
                <w:tcPr>
                  <w:tcW w:w="819" w:type="pct"/>
                  <w:noWrap w:val="0"/>
                  <w:vAlign w:val="center"/>
                </w:tcPr>
                <w:p w14:paraId="3A957B53">
                  <w:pPr>
                    <w:pStyle w:val="28"/>
                    <w:rPr>
                      <w:color w:val="auto"/>
                    </w:rPr>
                  </w:pPr>
                  <w:r>
                    <w:rPr>
                      <w:rFonts w:hint="eastAsia"/>
                      <w:color w:val="auto"/>
                    </w:rPr>
                    <w:t>7.7</w:t>
                  </w:r>
                </w:p>
              </w:tc>
              <w:tc>
                <w:tcPr>
                  <w:tcW w:w="819" w:type="pct"/>
                  <w:noWrap w:val="0"/>
                  <w:vAlign w:val="center"/>
                </w:tcPr>
                <w:p w14:paraId="4FEFAA70">
                  <w:pPr>
                    <w:pStyle w:val="28"/>
                    <w:rPr>
                      <w:color w:val="auto"/>
                    </w:rPr>
                  </w:pPr>
                  <w:r>
                    <w:rPr>
                      <w:rFonts w:hint="eastAsia"/>
                      <w:color w:val="auto"/>
                    </w:rPr>
                    <w:t>3.4</w:t>
                  </w:r>
                </w:p>
              </w:tc>
              <w:tc>
                <w:tcPr>
                  <w:tcW w:w="819" w:type="pct"/>
                  <w:noWrap w:val="0"/>
                  <w:vAlign w:val="center"/>
                </w:tcPr>
                <w:p w14:paraId="6D548101">
                  <w:pPr>
                    <w:pStyle w:val="28"/>
                    <w:rPr>
                      <w:color w:val="auto"/>
                    </w:rPr>
                  </w:pPr>
                  <w:r>
                    <w:rPr>
                      <w:rFonts w:hint="eastAsia"/>
                      <w:color w:val="auto"/>
                    </w:rPr>
                    <w:t>10.4</w:t>
                  </w:r>
                </w:p>
              </w:tc>
              <w:tc>
                <w:tcPr>
                  <w:tcW w:w="819" w:type="pct"/>
                  <w:noWrap w:val="0"/>
                  <w:vAlign w:val="center"/>
                </w:tcPr>
                <w:p w14:paraId="564C0F40">
                  <w:pPr>
                    <w:pStyle w:val="28"/>
                    <w:rPr>
                      <w:color w:val="auto"/>
                    </w:rPr>
                  </w:pPr>
                  <w:r>
                    <w:rPr>
                      <w:rFonts w:hint="eastAsia"/>
                      <w:color w:val="auto"/>
                    </w:rPr>
                    <w:t>0</w:t>
                  </w:r>
                </w:p>
              </w:tc>
            </w:tr>
            <w:tr w14:paraId="25C5C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9" w:hRule="atLeast"/>
                <w:jc w:val="center"/>
              </w:trPr>
              <w:tc>
                <w:tcPr>
                  <w:tcW w:w="205" w:type="pct"/>
                  <w:vMerge w:val="continue"/>
                  <w:noWrap w:val="0"/>
                  <w:vAlign w:val="center"/>
                </w:tcPr>
                <w:p w14:paraId="1D0519F5">
                  <w:pPr>
                    <w:pStyle w:val="28"/>
                    <w:rPr>
                      <w:color w:val="auto"/>
                    </w:rPr>
                  </w:pPr>
                </w:p>
              </w:tc>
              <w:tc>
                <w:tcPr>
                  <w:tcW w:w="794" w:type="pct"/>
                  <w:noWrap w:val="0"/>
                  <w:vAlign w:val="center"/>
                </w:tcPr>
                <w:p w14:paraId="344D8E6A">
                  <w:pPr>
                    <w:pStyle w:val="28"/>
                    <w:rPr>
                      <w:color w:val="auto"/>
                    </w:rPr>
                  </w:pPr>
                  <w:r>
                    <w:rPr>
                      <w:rFonts w:hint="eastAsia"/>
                      <w:color w:val="auto"/>
                    </w:rPr>
                    <w:t>数控弯箍机</w:t>
                  </w:r>
                </w:p>
              </w:tc>
              <w:tc>
                <w:tcPr>
                  <w:tcW w:w="311" w:type="pct"/>
                  <w:noWrap w:val="0"/>
                  <w:vAlign w:val="center"/>
                </w:tcPr>
                <w:p w14:paraId="0C231A5F">
                  <w:pPr>
                    <w:pStyle w:val="28"/>
                    <w:rPr>
                      <w:color w:val="auto"/>
                    </w:rPr>
                  </w:pPr>
                  <w:r>
                    <w:rPr>
                      <w:rFonts w:hint="eastAsia"/>
                      <w:color w:val="auto"/>
                    </w:rPr>
                    <w:t>1</w:t>
                  </w:r>
                </w:p>
              </w:tc>
              <w:tc>
                <w:tcPr>
                  <w:tcW w:w="412" w:type="pct"/>
                  <w:noWrap w:val="0"/>
                  <w:vAlign w:val="center"/>
                </w:tcPr>
                <w:p w14:paraId="7B0DF1E3">
                  <w:pPr>
                    <w:pStyle w:val="28"/>
                    <w:rPr>
                      <w:color w:val="auto"/>
                    </w:rPr>
                  </w:pPr>
                  <w:r>
                    <w:rPr>
                      <w:color w:val="auto"/>
                    </w:rPr>
                    <w:t>昼</w:t>
                  </w:r>
                  <w:r>
                    <w:rPr>
                      <w:rFonts w:hint="eastAsia"/>
                      <w:color w:val="auto"/>
                    </w:rPr>
                    <w:t>/夜</w:t>
                  </w:r>
                </w:p>
              </w:tc>
              <w:tc>
                <w:tcPr>
                  <w:tcW w:w="819" w:type="pct"/>
                  <w:noWrap w:val="0"/>
                  <w:vAlign w:val="center"/>
                </w:tcPr>
                <w:p w14:paraId="3CF0F476">
                  <w:pPr>
                    <w:pStyle w:val="28"/>
                    <w:rPr>
                      <w:color w:val="auto"/>
                    </w:rPr>
                  </w:pPr>
                  <w:r>
                    <w:rPr>
                      <w:rFonts w:hint="eastAsia"/>
                      <w:color w:val="auto"/>
                    </w:rPr>
                    <w:t>21.4</w:t>
                  </w:r>
                </w:p>
              </w:tc>
              <w:tc>
                <w:tcPr>
                  <w:tcW w:w="819" w:type="pct"/>
                  <w:noWrap w:val="0"/>
                  <w:vAlign w:val="center"/>
                </w:tcPr>
                <w:p w14:paraId="28B83920">
                  <w:pPr>
                    <w:pStyle w:val="28"/>
                    <w:rPr>
                      <w:color w:val="auto"/>
                    </w:rPr>
                  </w:pPr>
                  <w:r>
                    <w:rPr>
                      <w:rFonts w:hint="eastAsia"/>
                      <w:color w:val="auto"/>
                    </w:rPr>
                    <w:t>12.5</w:t>
                  </w:r>
                </w:p>
              </w:tc>
              <w:tc>
                <w:tcPr>
                  <w:tcW w:w="819" w:type="pct"/>
                  <w:noWrap w:val="0"/>
                  <w:vAlign w:val="center"/>
                </w:tcPr>
                <w:p w14:paraId="34555F7B">
                  <w:pPr>
                    <w:pStyle w:val="28"/>
                    <w:rPr>
                      <w:color w:val="auto"/>
                    </w:rPr>
                  </w:pPr>
                  <w:r>
                    <w:rPr>
                      <w:rFonts w:hint="eastAsia"/>
                      <w:color w:val="auto"/>
                    </w:rPr>
                    <w:t>13.3</w:t>
                  </w:r>
                </w:p>
              </w:tc>
              <w:tc>
                <w:tcPr>
                  <w:tcW w:w="819" w:type="pct"/>
                  <w:noWrap w:val="0"/>
                  <w:vAlign w:val="center"/>
                </w:tcPr>
                <w:p w14:paraId="72C3E6A7">
                  <w:pPr>
                    <w:pStyle w:val="28"/>
                    <w:rPr>
                      <w:color w:val="auto"/>
                    </w:rPr>
                  </w:pPr>
                  <w:r>
                    <w:rPr>
                      <w:rFonts w:hint="eastAsia"/>
                      <w:color w:val="auto"/>
                    </w:rPr>
                    <w:t>11.2</w:t>
                  </w:r>
                </w:p>
              </w:tc>
            </w:tr>
            <w:tr w14:paraId="1BFC3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9" w:hRule="atLeast"/>
                <w:jc w:val="center"/>
              </w:trPr>
              <w:tc>
                <w:tcPr>
                  <w:tcW w:w="205" w:type="pct"/>
                  <w:vMerge w:val="continue"/>
                  <w:noWrap w:val="0"/>
                  <w:vAlign w:val="center"/>
                </w:tcPr>
                <w:p w14:paraId="1C0AA50C">
                  <w:pPr>
                    <w:pStyle w:val="28"/>
                    <w:rPr>
                      <w:color w:val="auto"/>
                    </w:rPr>
                  </w:pPr>
                </w:p>
              </w:tc>
              <w:tc>
                <w:tcPr>
                  <w:tcW w:w="794" w:type="pct"/>
                  <w:noWrap w:val="0"/>
                  <w:vAlign w:val="center"/>
                </w:tcPr>
                <w:p w14:paraId="78C99C7A">
                  <w:pPr>
                    <w:pStyle w:val="28"/>
                    <w:rPr>
                      <w:color w:val="auto"/>
                    </w:rPr>
                  </w:pPr>
                  <w:r>
                    <w:rPr>
                      <w:rFonts w:hint="eastAsia"/>
                      <w:color w:val="auto"/>
                    </w:rPr>
                    <w:t>污水处理设备（压滤机）</w:t>
                  </w:r>
                </w:p>
              </w:tc>
              <w:tc>
                <w:tcPr>
                  <w:tcW w:w="311" w:type="pct"/>
                  <w:noWrap w:val="0"/>
                  <w:vAlign w:val="center"/>
                </w:tcPr>
                <w:p w14:paraId="2324018A">
                  <w:pPr>
                    <w:pStyle w:val="28"/>
                    <w:rPr>
                      <w:color w:val="auto"/>
                    </w:rPr>
                  </w:pPr>
                  <w:r>
                    <w:rPr>
                      <w:rFonts w:hint="eastAsia"/>
                      <w:color w:val="auto"/>
                    </w:rPr>
                    <w:t>1</w:t>
                  </w:r>
                </w:p>
              </w:tc>
              <w:tc>
                <w:tcPr>
                  <w:tcW w:w="412" w:type="pct"/>
                  <w:noWrap w:val="0"/>
                  <w:vAlign w:val="center"/>
                </w:tcPr>
                <w:p w14:paraId="09D4C01B">
                  <w:pPr>
                    <w:pStyle w:val="28"/>
                    <w:rPr>
                      <w:color w:val="auto"/>
                    </w:rPr>
                  </w:pPr>
                  <w:r>
                    <w:rPr>
                      <w:color w:val="auto"/>
                    </w:rPr>
                    <w:t>昼</w:t>
                  </w:r>
                  <w:r>
                    <w:rPr>
                      <w:rFonts w:hint="eastAsia"/>
                      <w:color w:val="auto"/>
                    </w:rPr>
                    <w:t>/夜</w:t>
                  </w:r>
                </w:p>
              </w:tc>
              <w:tc>
                <w:tcPr>
                  <w:tcW w:w="819" w:type="pct"/>
                  <w:noWrap w:val="0"/>
                  <w:vAlign w:val="center"/>
                </w:tcPr>
                <w:p w14:paraId="7DADFD3C">
                  <w:pPr>
                    <w:pStyle w:val="28"/>
                    <w:rPr>
                      <w:color w:val="auto"/>
                    </w:rPr>
                  </w:pPr>
                  <w:r>
                    <w:rPr>
                      <w:rFonts w:hint="eastAsia"/>
                      <w:color w:val="auto"/>
                    </w:rPr>
                    <w:t>21.9</w:t>
                  </w:r>
                </w:p>
              </w:tc>
              <w:tc>
                <w:tcPr>
                  <w:tcW w:w="819" w:type="pct"/>
                  <w:noWrap w:val="0"/>
                  <w:vAlign w:val="center"/>
                </w:tcPr>
                <w:p w14:paraId="51FBE5D6">
                  <w:pPr>
                    <w:pStyle w:val="28"/>
                    <w:rPr>
                      <w:color w:val="auto"/>
                    </w:rPr>
                  </w:pPr>
                  <w:r>
                    <w:rPr>
                      <w:rFonts w:hint="eastAsia"/>
                      <w:color w:val="auto"/>
                    </w:rPr>
                    <w:t>12.0</w:t>
                  </w:r>
                </w:p>
              </w:tc>
              <w:tc>
                <w:tcPr>
                  <w:tcW w:w="819" w:type="pct"/>
                  <w:noWrap w:val="0"/>
                  <w:vAlign w:val="center"/>
                </w:tcPr>
                <w:p w14:paraId="1280D29D">
                  <w:pPr>
                    <w:pStyle w:val="28"/>
                    <w:rPr>
                      <w:color w:val="auto"/>
                    </w:rPr>
                  </w:pPr>
                  <w:r>
                    <w:rPr>
                      <w:rFonts w:hint="eastAsia"/>
                      <w:color w:val="auto"/>
                    </w:rPr>
                    <w:t>13.1</w:t>
                  </w:r>
                </w:p>
              </w:tc>
              <w:tc>
                <w:tcPr>
                  <w:tcW w:w="819" w:type="pct"/>
                  <w:noWrap w:val="0"/>
                  <w:vAlign w:val="center"/>
                </w:tcPr>
                <w:p w14:paraId="1EA866A5">
                  <w:pPr>
                    <w:pStyle w:val="28"/>
                    <w:rPr>
                      <w:color w:val="auto"/>
                    </w:rPr>
                  </w:pPr>
                  <w:r>
                    <w:rPr>
                      <w:rFonts w:hint="eastAsia"/>
                      <w:color w:val="auto"/>
                    </w:rPr>
                    <w:t>11.5</w:t>
                  </w:r>
                </w:p>
              </w:tc>
            </w:tr>
            <w:tr w14:paraId="705C7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9" w:hRule="atLeast"/>
                <w:jc w:val="center"/>
              </w:trPr>
              <w:tc>
                <w:tcPr>
                  <w:tcW w:w="205" w:type="pct"/>
                  <w:vMerge w:val="continue"/>
                  <w:noWrap w:val="0"/>
                  <w:vAlign w:val="center"/>
                </w:tcPr>
                <w:p w14:paraId="735214FD">
                  <w:pPr>
                    <w:pStyle w:val="28"/>
                    <w:rPr>
                      <w:color w:val="auto"/>
                    </w:rPr>
                  </w:pPr>
                </w:p>
              </w:tc>
              <w:tc>
                <w:tcPr>
                  <w:tcW w:w="794" w:type="pct"/>
                  <w:noWrap w:val="0"/>
                  <w:vAlign w:val="center"/>
                </w:tcPr>
                <w:p w14:paraId="02107F5D">
                  <w:pPr>
                    <w:pStyle w:val="28"/>
                    <w:rPr>
                      <w:color w:val="auto"/>
                    </w:rPr>
                  </w:pPr>
                  <w:r>
                    <w:rPr>
                      <w:rFonts w:hint="eastAsia"/>
                      <w:color w:val="auto"/>
                    </w:rPr>
                    <w:t>混凝土布料机</w:t>
                  </w:r>
                </w:p>
              </w:tc>
              <w:tc>
                <w:tcPr>
                  <w:tcW w:w="311" w:type="pct"/>
                  <w:noWrap w:val="0"/>
                  <w:vAlign w:val="center"/>
                </w:tcPr>
                <w:p w14:paraId="4C1A8E79">
                  <w:pPr>
                    <w:pStyle w:val="28"/>
                    <w:rPr>
                      <w:color w:val="auto"/>
                    </w:rPr>
                  </w:pPr>
                  <w:r>
                    <w:rPr>
                      <w:rFonts w:hint="eastAsia"/>
                      <w:color w:val="auto"/>
                    </w:rPr>
                    <w:t>1</w:t>
                  </w:r>
                </w:p>
              </w:tc>
              <w:tc>
                <w:tcPr>
                  <w:tcW w:w="412" w:type="pct"/>
                  <w:noWrap w:val="0"/>
                  <w:vAlign w:val="center"/>
                </w:tcPr>
                <w:p w14:paraId="2655E696">
                  <w:pPr>
                    <w:pStyle w:val="28"/>
                    <w:rPr>
                      <w:color w:val="auto"/>
                    </w:rPr>
                  </w:pPr>
                  <w:r>
                    <w:rPr>
                      <w:color w:val="auto"/>
                    </w:rPr>
                    <w:t>昼</w:t>
                  </w:r>
                  <w:r>
                    <w:rPr>
                      <w:rFonts w:hint="eastAsia"/>
                      <w:color w:val="auto"/>
                    </w:rPr>
                    <w:t>/夜</w:t>
                  </w:r>
                </w:p>
              </w:tc>
              <w:tc>
                <w:tcPr>
                  <w:tcW w:w="819" w:type="pct"/>
                  <w:noWrap w:val="0"/>
                  <w:vAlign w:val="center"/>
                </w:tcPr>
                <w:p w14:paraId="7381F7F7">
                  <w:pPr>
                    <w:pStyle w:val="28"/>
                    <w:rPr>
                      <w:color w:val="auto"/>
                    </w:rPr>
                  </w:pPr>
                  <w:r>
                    <w:rPr>
                      <w:rFonts w:hint="eastAsia"/>
                      <w:color w:val="auto"/>
                    </w:rPr>
                    <w:t>39.4</w:t>
                  </w:r>
                </w:p>
              </w:tc>
              <w:tc>
                <w:tcPr>
                  <w:tcW w:w="819" w:type="pct"/>
                  <w:noWrap w:val="0"/>
                  <w:vAlign w:val="center"/>
                </w:tcPr>
                <w:p w14:paraId="33955FA5">
                  <w:pPr>
                    <w:pStyle w:val="28"/>
                    <w:rPr>
                      <w:color w:val="auto"/>
                    </w:rPr>
                  </w:pPr>
                  <w:r>
                    <w:rPr>
                      <w:rFonts w:hint="eastAsia"/>
                      <w:color w:val="auto"/>
                    </w:rPr>
                    <w:t>33.8</w:t>
                  </w:r>
                </w:p>
              </w:tc>
              <w:tc>
                <w:tcPr>
                  <w:tcW w:w="819" w:type="pct"/>
                  <w:noWrap w:val="0"/>
                  <w:vAlign w:val="center"/>
                </w:tcPr>
                <w:p w14:paraId="3313652F">
                  <w:pPr>
                    <w:pStyle w:val="28"/>
                    <w:rPr>
                      <w:color w:val="auto"/>
                    </w:rPr>
                  </w:pPr>
                  <w:r>
                    <w:rPr>
                      <w:rFonts w:hint="eastAsia"/>
                      <w:color w:val="auto"/>
                    </w:rPr>
                    <w:t>30.5</w:t>
                  </w:r>
                </w:p>
              </w:tc>
              <w:tc>
                <w:tcPr>
                  <w:tcW w:w="819" w:type="pct"/>
                  <w:noWrap w:val="0"/>
                  <w:vAlign w:val="center"/>
                </w:tcPr>
                <w:p w14:paraId="44FFF2BD">
                  <w:pPr>
                    <w:pStyle w:val="28"/>
                    <w:rPr>
                      <w:color w:val="auto"/>
                    </w:rPr>
                  </w:pPr>
                  <w:r>
                    <w:rPr>
                      <w:rFonts w:hint="eastAsia"/>
                      <w:color w:val="auto"/>
                    </w:rPr>
                    <w:t>31.6</w:t>
                  </w:r>
                </w:p>
              </w:tc>
            </w:tr>
            <w:tr w14:paraId="6FE60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9" w:hRule="atLeast"/>
                <w:jc w:val="center"/>
              </w:trPr>
              <w:tc>
                <w:tcPr>
                  <w:tcW w:w="205" w:type="pct"/>
                  <w:vMerge w:val="continue"/>
                  <w:noWrap w:val="0"/>
                  <w:vAlign w:val="center"/>
                </w:tcPr>
                <w:p w14:paraId="442CDD8D">
                  <w:pPr>
                    <w:pStyle w:val="28"/>
                    <w:rPr>
                      <w:color w:val="auto"/>
                    </w:rPr>
                  </w:pPr>
                </w:p>
              </w:tc>
              <w:tc>
                <w:tcPr>
                  <w:tcW w:w="794" w:type="pct"/>
                  <w:noWrap w:val="0"/>
                  <w:vAlign w:val="center"/>
                </w:tcPr>
                <w:p w14:paraId="3D32FC37">
                  <w:pPr>
                    <w:pStyle w:val="28"/>
                    <w:rPr>
                      <w:color w:val="auto"/>
                    </w:rPr>
                  </w:pPr>
                  <w:r>
                    <w:rPr>
                      <w:rFonts w:hint="eastAsia"/>
                      <w:color w:val="auto"/>
                      <w:lang w:eastAsia="zh-CN"/>
                    </w:rPr>
                    <w:t>混凝土浇筑</w:t>
                  </w:r>
                  <w:r>
                    <w:rPr>
                      <w:rFonts w:hint="eastAsia"/>
                      <w:color w:val="auto"/>
                    </w:rPr>
                    <w:t>/振动台</w:t>
                  </w:r>
                </w:p>
              </w:tc>
              <w:tc>
                <w:tcPr>
                  <w:tcW w:w="311" w:type="pct"/>
                  <w:noWrap w:val="0"/>
                  <w:vAlign w:val="center"/>
                </w:tcPr>
                <w:p w14:paraId="3F236A31">
                  <w:pPr>
                    <w:pStyle w:val="28"/>
                    <w:rPr>
                      <w:color w:val="auto"/>
                    </w:rPr>
                  </w:pPr>
                  <w:r>
                    <w:rPr>
                      <w:rFonts w:hint="eastAsia"/>
                      <w:color w:val="auto"/>
                    </w:rPr>
                    <w:t>2</w:t>
                  </w:r>
                </w:p>
              </w:tc>
              <w:tc>
                <w:tcPr>
                  <w:tcW w:w="412" w:type="pct"/>
                  <w:noWrap w:val="0"/>
                  <w:vAlign w:val="center"/>
                </w:tcPr>
                <w:p w14:paraId="0E2EC6DA">
                  <w:pPr>
                    <w:pStyle w:val="28"/>
                    <w:rPr>
                      <w:color w:val="auto"/>
                    </w:rPr>
                  </w:pPr>
                  <w:r>
                    <w:rPr>
                      <w:color w:val="auto"/>
                    </w:rPr>
                    <w:t>昼</w:t>
                  </w:r>
                  <w:r>
                    <w:rPr>
                      <w:rFonts w:hint="eastAsia"/>
                      <w:color w:val="auto"/>
                    </w:rPr>
                    <w:t>/夜</w:t>
                  </w:r>
                </w:p>
              </w:tc>
              <w:tc>
                <w:tcPr>
                  <w:tcW w:w="819" w:type="pct"/>
                  <w:noWrap w:val="0"/>
                  <w:vAlign w:val="center"/>
                </w:tcPr>
                <w:p w14:paraId="158E962B">
                  <w:pPr>
                    <w:pStyle w:val="28"/>
                    <w:rPr>
                      <w:color w:val="auto"/>
                    </w:rPr>
                  </w:pPr>
                  <w:r>
                    <w:rPr>
                      <w:rFonts w:hint="eastAsia"/>
                      <w:color w:val="auto"/>
                    </w:rPr>
                    <w:t>38.7</w:t>
                  </w:r>
                </w:p>
              </w:tc>
              <w:tc>
                <w:tcPr>
                  <w:tcW w:w="819" w:type="pct"/>
                  <w:noWrap w:val="0"/>
                  <w:vAlign w:val="center"/>
                </w:tcPr>
                <w:p w14:paraId="63B8C4A8">
                  <w:pPr>
                    <w:pStyle w:val="28"/>
                    <w:rPr>
                      <w:color w:val="auto"/>
                    </w:rPr>
                  </w:pPr>
                  <w:r>
                    <w:rPr>
                      <w:rFonts w:hint="eastAsia"/>
                      <w:color w:val="auto"/>
                    </w:rPr>
                    <w:t>33.8</w:t>
                  </w:r>
                </w:p>
              </w:tc>
              <w:tc>
                <w:tcPr>
                  <w:tcW w:w="819" w:type="pct"/>
                  <w:noWrap w:val="0"/>
                  <w:vAlign w:val="center"/>
                </w:tcPr>
                <w:p w14:paraId="48F53695">
                  <w:pPr>
                    <w:pStyle w:val="28"/>
                    <w:rPr>
                      <w:color w:val="auto"/>
                    </w:rPr>
                  </w:pPr>
                  <w:r>
                    <w:rPr>
                      <w:rFonts w:hint="eastAsia"/>
                      <w:color w:val="auto"/>
                    </w:rPr>
                    <w:t>30.5</w:t>
                  </w:r>
                </w:p>
              </w:tc>
              <w:tc>
                <w:tcPr>
                  <w:tcW w:w="819" w:type="pct"/>
                  <w:noWrap w:val="0"/>
                  <w:vAlign w:val="center"/>
                </w:tcPr>
                <w:p w14:paraId="787D21E2">
                  <w:pPr>
                    <w:pStyle w:val="28"/>
                    <w:rPr>
                      <w:color w:val="auto"/>
                    </w:rPr>
                  </w:pPr>
                  <w:r>
                    <w:rPr>
                      <w:rFonts w:hint="eastAsia"/>
                      <w:color w:val="auto"/>
                    </w:rPr>
                    <w:t>31.6</w:t>
                  </w:r>
                </w:p>
              </w:tc>
            </w:tr>
            <w:tr w14:paraId="597B7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9" w:hRule="atLeast"/>
                <w:jc w:val="center"/>
              </w:trPr>
              <w:tc>
                <w:tcPr>
                  <w:tcW w:w="205" w:type="pct"/>
                  <w:vMerge w:val="continue"/>
                  <w:noWrap w:val="0"/>
                  <w:vAlign w:val="center"/>
                </w:tcPr>
                <w:p w14:paraId="37E431CE">
                  <w:pPr>
                    <w:pStyle w:val="28"/>
                    <w:rPr>
                      <w:color w:val="auto"/>
                    </w:rPr>
                  </w:pPr>
                </w:p>
              </w:tc>
              <w:tc>
                <w:tcPr>
                  <w:tcW w:w="794" w:type="pct"/>
                  <w:noWrap w:val="0"/>
                  <w:vAlign w:val="center"/>
                </w:tcPr>
                <w:p w14:paraId="2FFC5353">
                  <w:pPr>
                    <w:pStyle w:val="28"/>
                    <w:rPr>
                      <w:color w:val="auto"/>
                    </w:rPr>
                  </w:pPr>
                  <w:r>
                    <w:rPr>
                      <w:rFonts w:hint="eastAsia"/>
                      <w:color w:val="auto"/>
                    </w:rPr>
                    <w:t>养护通道用液压推进装置</w:t>
                  </w:r>
                </w:p>
              </w:tc>
              <w:tc>
                <w:tcPr>
                  <w:tcW w:w="311" w:type="pct"/>
                  <w:noWrap w:val="0"/>
                  <w:vAlign w:val="center"/>
                </w:tcPr>
                <w:p w14:paraId="1F286C34">
                  <w:pPr>
                    <w:pStyle w:val="28"/>
                    <w:rPr>
                      <w:color w:val="auto"/>
                    </w:rPr>
                  </w:pPr>
                  <w:r>
                    <w:rPr>
                      <w:rFonts w:hint="eastAsia"/>
                      <w:color w:val="auto"/>
                    </w:rPr>
                    <w:t>2</w:t>
                  </w:r>
                </w:p>
              </w:tc>
              <w:tc>
                <w:tcPr>
                  <w:tcW w:w="412" w:type="pct"/>
                  <w:noWrap w:val="0"/>
                  <w:vAlign w:val="center"/>
                </w:tcPr>
                <w:p w14:paraId="18E71C9C">
                  <w:pPr>
                    <w:pStyle w:val="28"/>
                    <w:rPr>
                      <w:color w:val="auto"/>
                    </w:rPr>
                  </w:pPr>
                  <w:r>
                    <w:rPr>
                      <w:color w:val="auto"/>
                    </w:rPr>
                    <w:t>昼</w:t>
                  </w:r>
                  <w:r>
                    <w:rPr>
                      <w:rFonts w:hint="eastAsia"/>
                      <w:color w:val="auto"/>
                    </w:rPr>
                    <w:t>/夜</w:t>
                  </w:r>
                </w:p>
              </w:tc>
              <w:tc>
                <w:tcPr>
                  <w:tcW w:w="819" w:type="pct"/>
                  <w:noWrap w:val="0"/>
                  <w:vAlign w:val="center"/>
                </w:tcPr>
                <w:p w14:paraId="19AC3937">
                  <w:pPr>
                    <w:pStyle w:val="28"/>
                    <w:rPr>
                      <w:color w:val="auto"/>
                    </w:rPr>
                  </w:pPr>
                  <w:r>
                    <w:rPr>
                      <w:rFonts w:hint="eastAsia"/>
                      <w:color w:val="auto"/>
                    </w:rPr>
                    <w:t>17.5</w:t>
                  </w:r>
                </w:p>
              </w:tc>
              <w:tc>
                <w:tcPr>
                  <w:tcW w:w="819" w:type="pct"/>
                  <w:noWrap w:val="0"/>
                  <w:vAlign w:val="center"/>
                </w:tcPr>
                <w:p w14:paraId="02F1978B">
                  <w:pPr>
                    <w:pStyle w:val="28"/>
                    <w:rPr>
                      <w:color w:val="auto"/>
                    </w:rPr>
                  </w:pPr>
                  <w:r>
                    <w:rPr>
                      <w:rFonts w:hint="eastAsia"/>
                      <w:color w:val="auto"/>
                    </w:rPr>
                    <w:t>13.0</w:t>
                  </w:r>
                </w:p>
              </w:tc>
              <w:tc>
                <w:tcPr>
                  <w:tcW w:w="819" w:type="pct"/>
                  <w:noWrap w:val="0"/>
                  <w:vAlign w:val="center"/>
                </w:tcPr>
                <w:p w14:paraId="06334B91">
                  <w:pPr>
                    <w:pStyle w:val="28"/>
                    <w:rPr>
                      <w:color w:val="auto"/>
                    </w:rPr>
                  </w:pPr>
                  <w:r>
                    <w:rPr>
                      <w:rFonts w:hint="eastAsia"/>
                      <w:color w:val="auto"/>
                    </w:rPr>
                    <w:t>18.9</w:t>
                  </w:r>
                </w:p>
              </w:tc>
              <w:tc>
                <w:tcPr>
                  <w:tcW w:w="819" w:type="pct"/>
                  <w:noWrap w:val="0"/>
                  <w:vAlign w:val="center"/>
                </w:tcPr>
                <w:p w14:paraId="43B406CD">
                  <w:pPr>
                    <w:pStyle w:val="28"/>
                    <w:rPr>
                      <w:color w:val="auto"/>
                    </w:rPr>
                  </w:pPr>
                  <w:r>
                    <w:rPr>
                      <w:rFonts w:hint="eastAsia"/>
                      <w:color w:val="auto"/>
                    </w:rPr>
                    <w:t>9.8</w:t>
                  </w:r>
                </w:p>
              </w:tc>
            </w:tr>
            <w:tr w14:paraId="3A18D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9" w:hRule="atLeast"/>
                <w:jc w:val="center"/>
              </w:trPr>
              <w:tc>
                <w:tcPr>
                  <w:tcW w:w="205" w:type="pct"/>
                  <w:vMerge w:val="continue"/>
                  <w:noWrap w:val="0"/>
                  <w:vAlign w:val="center"/>
                </w:tcPr>
                <w:p w14:paraId="561201C5">
                  <w:pPr>
                    <w:pStyle w:val="28"/>
                    <w:rPr>
                      <w:color w:val="auto"/>
                    </w:rPr>
                  </w:pPr>
                </w:p>
              </w:tc>
              <w:tc>
                <w:tcPr>
                  <w:tcW w:w="794" w:type="pct"/>
                  <w:noWrap w:val="0"/>
                  <w:vAlign w:val="center"/>
                </w:tcPr>
                <w:p w14:paraId="4E5A7E5B">
                  <w:pPr>
                    <w:pStyle w:val="28"/>
                    <w:rPr>
                      <w:color w:val="auto"/>
                    </w:rPr>
                  </w:pPr>
                  <w:r>
                    <w:rPr>
                      <w:rFonts w:hint="eastAsia"/>
                      <w:color w:val="auto"/>
                    </w:rPr>
                    <w:t>养护通道用钢丝绳传动装置</w:t>
                  </w:r>
                </w:p>
              </w:tc>
              <w:tc>
                <w:tcPr>
                  <w:tcW w:w="311" w:type="pct"/>
                  <w:noWrap w:val="0"/>
                  <w:vAlign w:val="center"/>
                </w:tcPr>
                <w:p w14:paraId="2A17A4F7">
                  <w:pPr>
                    <w:pStyle w:val="28"/>
                    <w:rPr>
                      <w:color w:val="auto"/>
                    </w:rPr>
                  </w:pPr>
                  <w:r>
                    <w:rPr>
                      <w:rFonts w:hint="eastAsia"/>
                      <w:color w:val="auto"/>
                    </w:rPr>
                    <w:t>2</w:t>
                  </w:r>
                </w:p>
              </w:tc>
              <w:tc>
                <w:tcPr>
                  <w:tcW w:w="412" w:type="pct"/>
                  <w:noWrap w:val="0"/>
                  <w:vAlign w:val="center"/>
                </w:tcPr>
                <w:p w14:paraId="0878C81D">
                  <w:pPr>
                    <w:pStyle w:val="28"/>
                    <w:rPr>
                      <w:color w:val="auto"/>
                    </w:rPr>
                  </w:pPr>
                  <w:r>
                    <w:rPr>
                      <w:color w:val="auto"/>
                    </w:rPr>
                    <w:t>昼</w:t>
                  </w:r>
                  <w:r>
                    <w:rPr>
                      <w:rFonts w:hint="eastAsia"/>
                      <w:color w:val="auto"/>
                    </w:rPr>
                    <w:t>/夜</w:t>
                  </w:r>
                </w:p>
              </w:tc>
              <w:tc>
                <w:tcPr>
                  <w:tcW w:w="819" w:type="pct"/>
                  <w:noWrap w:val="0"/>
                  <w:vAlign w:val="center"/>
                </w:tcPr>
                <w:p w14:paraId="549FA099">
                  <w:pPr>
                    <w:pStyle w:val="28"/>
                    <w:rPr>
                      <w:color w:val="auto"/>
                    </w:rPr>
                  </w:pPr>
                  <w:r>
                    <w:rPr>
                      <w:rFonts w:hint="eastAsia"/>
                      <w:color w:val="auto"/>
                    </w:rPr>
                    <w:t>7.7</w:t>
                  </w:r>
                </w:p>
              </w:tc>
              <w:tc>
                <w:tcPr>
                  <w:tcW w:w="819" w:type="pct"/>
                  <w:noWrap w:val="0"/>
                  <w:vAlign w:val="center"/>
                </w:tcPr>
                <w:p w14:paraId="1F1D1FB4">
                  <w:pPr>
                    <w:pStyle w:val="28"/>
                    <w:rPr>
                      <w:color w:val="auto"/>
                    </w:rPr>
                  </w:pPr>
                  <w:r>
                    <w:rPr>
                      <w:rFonts w:hint="eastAsia"/>
                      <w:color w:val="auto"/>
                    </w:rPr>
                    <w:t>2.7</w:t>
                  </w:r>
                </w:p>
              </w:tc>
              <w:tc>
                <w:tcPr>
                  <w:tcW w:w="819" w:type="pct"/>
                  <w:noWrap w:val="0"/>
                  <w:vAlign w:val="center"/>
                </w:tcPr>
                <w:p w14:paraId="74F16D80">
                  <w:pPr>
                    <w:pStyle w:val="28"/>
                    <w:rPr>
                      <w:color w:val="auto"/>
                    </w:rPr>
                  </w:pPr>
                  <w:r>
                    <w:rPr>
                      <w:rFonts w:hint="eastAsia"/>
                      <w:color w:val="auto"/>
                    </w:rPr>
                    <w:t>8.3</w:t>
                  </w:r>
                </w:p>
              </w:tc>
              <w:tc>
                <w:tcPr>
                  <w:tcW w:w="819" w:type="pct"/>
                  <w:noWrap w:val="0"/>
                  <w:vAlign w:val="center"/>
                </w:tcPr>
                <w:p w14:paraId="5A4B9B36">
                  <w:pPr>
                    <w:pStyle w:val="28"/>
                    <w:rPr>
                      <w:color w:val="auto"/>
                    </w:rPr>
                  </w:pPr>
                  <w:r>
                    <w:rPr>
                      <w:rFonts w:hint="eastAsia"/>
                      <w:color w:val="auto"/>
                    </w:rPr>
                    <w:t>0</w:t>
                  </w:r>
                </w:p>
              </w:tc>
            </w:tr>
            <w:tr w14:paraId="06E3F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9" w:hRule="atLeast"/>
                <w:jc w:val="center"/>
              </w:trPr>
              <w:tc>
                <w:tcPr>
                  <w:tcW w:w="205" w:type="pct"/>
                  <w:vMerge w:val="continue"/>
                  <w:noWrap w:val="0"/>
                  <w:vAlign w:val="center"/>
                </w:tcPr>
                <w:p w14:paraId="51FBD458">
                  <w:pPr>
                    <w:pStyle w:val="28"/>
                    <w:rPr>
                      <w:color w:val="auto"/>
                    </w:rPr>
                  </w:pPr>
                </w:p>
              </w:tc>
              <w:tc>
                <w:tcPr>
                  <w:tcW w:w="794" w:type="pct"/>
                  <w:noWrap w:val="0"/>
                  <w:vAlign w:val="center"/>
                </w:tcPr>
                <w:p w14:paraId="6FF77082">
                  <w:pPr>
                    <w:pStyle w:val="28"/>
                    <w:rPr>
                      <w:color w:val="auto"/>
                    </w:rPr>
                  </w:pPr>
                  <w:r>
                    <w:rPr>
                      <w:rFonts w:hint="eastAsia"/>
                      <w:color w:val="auto"/>
                    </w:rPr>
                    <w:t>带提升装置的脱模站</w:t>
                  </w:r>
                </w:p>
              </w:tc>
              <w:tc>
                <w:tcPr>
                  <w:tcW w:w="311" w:type="pct"/>
                  <w:noWrap w:val="0"/>
                  <w:vAlign w:val="center"/>
                </w:tcPr>
                <w:p w14:paraId="47CDAC80">
                  <w:pPr>
                    <w:pStyle w:val="28"/>
                    <w:rPr>
                      <w:color w:val="auto"/>
                    </w:rPr>
                  </w:pPr>
                  <w:r>
                    <w:rPr>
                      <w:rFonts w:hint="eastAsia"/>
                      <w:color w:val="auto"/>
                    </w:rPr>
                    <w:t>1</w:t>
                  </w:r>
                </w:p>
              </w:tc>
              <w:tc>
                <w:tcPr>
                  <w:tcW w:w="412" w:type="pct"/>
                  <w:noWrap w:val="0"/>
                  <w:vAlign w:val="center"/>
                </w:tcPr>
                <w:p w14:paraId="3CE21F6F">
                  <w:pPr>
                    <w:pStyle w:val="28"/>
                    <w:rPr>
                      <w:color w:val="auto"/>
                    </w:rPr>
                  </w:pPr>
                  <w:r>
                    <w:rPr>
                      <w:color w:val="auto"/>
                    </w:rPr>
                    <w:t>昼</w:t>
                  </w:r>
                  <w:r>
                    <w:rPr>
                      <w:rFonts w:hint="eastAsia"/>
                      <w:color w:val="auto"/>
                    </w:rPr>
                    <w:t>/夜</w:t>
                  </w:r>
                </w:p>
              </w:tc>
              <w:tc>
                <w:tcPr>
                  <w:tcW w:w="819" w:type="pct"/>
                  <w:noWrap w:val="0"/>
                  <w:vAlign w:val="center"/>
                </w:tcPr>
                <w:p w14:paraId="1BEF9D85">
                  <w:pPr>
                    <w:pStyle w:val="28"/>
                    <w:rPr>
                      <w:color w:val="auto"/>
                    </w:rPr>
                  </w:pPr>
                  <w:r>
                    <w:rPr>
                      <w:rFonts w:hint="eastAsia"/>
                      <w:color w:val="auto"/>
                    </w:rPr>
                    <w:t>19.4</w:t>
                  </w:r>
                </w:p>
              </w:tc>
              <w:tc>
                <w:tcPr>
                  <w:tcW w:w="819" w:type="pct"/>
                  <w:noWrap w:val="0"/>
                  <w:vAlign w:val="center"/>
                </w:tcPr>
                <w:p w14:paraId="4C6BA3A5">
                  <w:pPr>
                    <w:pStyle w:val="28"/>
                    <w:rPr>
                      <w:color w:val="auto"/>
                    </w:rPr>
                  </w:pPr>
                  <w:r>
                    <w:rPr>
                      <w:rFonts w:hint="eastAsia"/>
                      <w:color w:val="auto"/>
                    </w:rPr>
                    <w:t>12.2</w:t>
                  </w:r>
                </w:p>
              </w:tc>
              <w:tc>
                <w:tcPr>
                  <w:tcW w:w="819" w:type="pct"/>
                  <w:noWrap w:val="0"/>
                  <w:vAlign w:val="center"/>
                </w:tcPr>
                <w:p w14:paraId="7634E9B1">
                  <w:pPr>
                    <w:pStyle w:val="28"/>
                    <w:rPr>
                      <w:color w:val="auto"/>
                    </w:rPr>
                  </w:pPr>
                  <w:r>
                    <w:rPr>
                      <w:rFonts w:hint="eastAsia"/>
                      <w:color w:val="auto"/>
                    </w:rPr>
                    <w:t>11.4</w:t>
                  </w:r>
                </w:p>
              </w:tc>
              <w:tc>
                <w:tcPr>
                  <w:tcW w:w="819" w:type="pct"/>
                  <w:noWrap w:val="0"/>
                  <w:vAlign w:val="center"/>
                </w:tcPr>
                <w:p w14:paraId="6781F205">
                  <w:pPr>
                    <w:pStyle w:val="28"/>
                    <w:rPr>
                      <w:color w:val="auto"/>
                    </w:rPr>
                  </w:pPr>
                  <w:r>
                    <w:rPr>
                      <w:rFonts w:hint="eastAsia"/>
                      <w:color w:val="auto"/>
                    </w:rPr>
                    <w:t>10.9</w:t>
                  </w:r>
                </w:p>
              </w:tc>
            </w:tr>
            <w:tr w14:paraId="602C3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9" w:hRule="atLeast"/>
                <w:jc w:val="center"/>
              </w:trPr>
              <w:tc>
                <w:tcPr>
                  <w:tcW w:w="205" w:type="pct"/>
                  <w:vMerge w:val="continue"/>
                  <w:noWrap w:val="0"/>
                  <w:vAlign w:val="center"/>
                </w:tcPr>
                <w:p w14:paraId="4688260E">
                  <w:pPr>
                    <w:pStyle w:val="28"/>
                    <w:rPr>
                      <w:color w:val="auto"/>
                    </w:rPr>
                  </w:pPr>
                </w:p>
              </w:tc>
              <w:tc>
                <w:tcPr>
                  <w:tcW w:w="794" w:type="pct"/>
                  <w:noWrap w:val="0"/>
                  <w:vAlign w:val="center"/>
                </w:tcPr>
                <w:p w14:paraId="402AC9F4">
                  <w:pPr>
                    <w:pStyle w:val="28"/>
                    <w:rPr>
                      <w:color w:val="auto"/>
                    </w:rPr>
                  </w:pPr>
                  <w:r>
                    <w:rPr>
                      <w:rFonts w:hint="eastAsia"/>
                      <w:color w:val="auto"/>
                    </w:rPr>
                    <w:t>链式传送机</w:t>
                  </w:r>
                </w:p>
              </w:tc>
              <w:tc>
                <w:tcPr>
                  <w:tcW w:w="311" w:type="pct"/>
                  <w:noWrap w:val="0"/>
                  <w:vAlign w:val="center"/>
                </w:tcPr>
                <w:p w14:paraId="1286ED14">
                  <w:pPr>
                    <w:pStyle w:val="28"/>
                    <w:rPr>
                      <w:color w:val="auto"/>
                    </w:rPr>
                  </w:pPr>
                  <w:r>
                    <w:rPr>
                      <w:rFonts w:hint="eastAsia"/>
                      <w:color w:val="auto"/>
                    </w:rPr>
                    <w:t>1</w:t>
                  </w:r>
                </w:p>
              </w:tc>
              <w:tc>
                <w:tcPr>
                  <w:tcW w:w="412" w:type="pct"/>
                  <w:noWrap w:val="0"/>
                  <w:vAlign w:val="center"/>
                </w:tcPr>
                <w:p w14:paraId="047FEF91">
                  <w:pPr>
                    <w:pStyle w:val="28"/>
                    <w:rPr>
                      <w:color w:val="auto"/>
                    </w:rPr>
                  </w:pPr>
                  <w:r>
                    <w:rPr>
                      <w:color w:val="auto"/>
                    </w:rPr>
                    <w:t>昼</w:t>
                  </w:r>
                  <w:r>
                    <w:rPr>
                      <w:rFonts w:hint="eastAsia"/>
                      <w:color w:val="auto"/>
                    </w:rPr>
                    <w:t>/夜</w:t>
                  </w:r>
                </w:p>
              </w:tc>
              <w:tc>
                <w:tcPr>
                  <w:tcW w:w="819" w:type="pct"/>
                  <w:noWrap w:val="0"/>
                  <w:vAlign w:val="center"/>
                </w:tcPr>
                <w:p w14:paraId="1B2B947F">
                  <w:pPr>
                    <w:pStyle w:val="28"/>
                    <w:rPr>
                      <w:color w:val="auto"/>
                    </w:rPr>
                  </w:pPr>
                  <w:r>
                    <w:rPr>
                      <w:rFonts w:hint="eastAsia"/>
                      <w:color w:val="auto"/>
                    </w:rPr>
                    <w:t>24.0</w:t>
                  </w:r>
                </w:p>
              </w:tc>
              <w:tc>
                <w:tcPr>
                  <w:tcW w:w="819" w:type="pct"/>
                  <w:noWrap w:val="0"/>
                  <w:vAlign w:val="center"/>
                </w:tcPr>
                <w:p w14:paraId="7C985BAC">
                  <w:pPr>
                    <w:pStyle w:val="28"/>
                    <w:rPr>
                      <w:color w:val="auto"/>
                    </w:rPr>
                  </w:pPr>
                  <w:r>
                    <w:rPr>
                      <w:rFonts w:hint="eastAsia"/>
                      <w:color w:val="auto"/>
                    </w:rPr>
                    <w:t>17.0</w:t>
                  </w:r>
                </w:p>
              </w:tc>
              <w:tc>
                <w:tcPr>
                  <w:tcW w:w="819" w:type="pct"/>
                  <w:noWrap w:val="0"/>
                  <w:vAlign w:val="center"/>
                </w:tcPr>
                <w:p w14:paraId="3E23BDA5">
                  <w:pPr>
                    <w:pStyle w:val="28"/>
                    <w:rPr>
                      <w:color w:val="auto"/>
                    </w:rPr>
                  </w:pPr>
                  <w:r>
                    <w:rPr>
                      <w:rFonts w:hint="eastAsia"/>
                      <w:color w:val="auto"/>
                    </w:rPr>
                    <w:t>16.0</w:t>
                  </w:r>
                </w:p>
              </w:tc>
              <w:tc>
                <w:tcPr>
                  <w:tcW w:w="819" w:type="pct"/>
                  <w:noWrap w:val="0"/>
                  <w:vAlign w:val="center"/>
                </w:tcPr>
                <w:p w14:paraId="346FEB33">
                  <w:pPr>
                    <w:pStyle w:val="28"/>
                    <w:rPr>
                      <w:color w:val="auto"/>
                    </w:rPr>
                  </w:pPr>
                  <w:r>
                    <w:rPr>
                      <w:rFonts w:hint="eastAsia"/>
                      <w:color w:val="auto"/>
                    </w:rPr>
                    <w:t>15.3</w:t>
                  </w:r>
                </w:p>
              </w:tc>
            </w:tr>
            <w:tr w14:paraId="6F287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9" w:hRule="atLeast"/>
                <w:jc w:val="center"/>
              </w:trPr>
              <w:tc>
                <w:tcPr>
                  <w:tcW w:w="205" w:type="pct"/>
                  <w:vMerge w:val="continue"/>
                  <w:noWrap w:val="0"/>
                  <w:vAlign w:val="center"/>
                </w:tcPr>
                <w:p w14:paraId="2E713259">
                  <w:pPr>
                    <w:pStyle w:val="28"/>
                    <w:rPr>
                      <w:color w:val="auto"/>
                    </w:rPr>
                  </w:pPr>
                </w:p>
              </w:tc>
              <w:tc>
                <w:tcPr>
                  <w:tcW w:w="794" w:type="pct"/>
                  <w:noWrap w:val="0"/>
                  <w:vAlign w:val="center"/>
                </w:tcPr>
                <w:p w14:paraId="68502DB1">
                  <w:pPr>
                    <w:pStyle w:val="28"/>
                    <w:rPr>
                      <w:color w:val="auto"/>
                    </w:rPr>
                  </w:pPr>
                  <w:r>
                    <w:rPr>
                      <w:rFonts w:hint="eastAsia"/>
                      <w:color w:val="auto"/>
                    </w:rPr>
                    <w:t>单独的辊轴传送机</w:t>
                  </w:r>
                </w:p>
              </w:tc>
              <w:tc>
                <w:tcPr>
                  <w:tcW w:w="311" w:type="pct"/>
                  <w:noWrap w:val="0"/>
                  <w:vAlign w:val="center"/>
                </w:tcPr>
                <w:p w14:paraId="68DD90EF">
                  <w:pPr>
                    <w:pStyle w:val="28"/>
                    <w:rPr>
                      <w:color w:val="auto"/>
                    </w:rPr>
                  </w:pPr>
                  <w:r>
                    <w:rPr>
                      <w:rFonts w:hint="eastAsia"/>
                      <w:color w:val="auto"/>
                    </w:rPr>
                    <w:t>1</w:t>
                  </w:r>
                </w:p>
              </w:tc>
              <w:tc>
                <w:tcPr>
                  <w:tcW w:w="412" w:type="pct"/>
                  <w:noWrap w:val="0"/>
                  <w:vAlign w:val="center"/>
                </w:tcPr>
                <w:p w14:paraId="2A50B246">
                  <w:pPr>
                    <w:pStyle w:val="28"/>
                    <w:rPr>
                      <w:color w:val="auto"/>
                    </w:rPr>
                  </w:pPr>
                  <w:r>
                    <w:rPr>
                      <w:color w:val="auto"/>
                    </w:rPr>
                    <w:t>昼</w:t>
                  </w:r>
                  <w:r>
                    <w:rPr>
                      <w:rFonts w:hint="eastAsia"/>
                      <w:color w:val="auto"/>
                    </w:rPr>
                    <w:t>/夜</w:t>
                  </w:r>
                </w:p>
              </w:tc>
              <w:tc>
                <w:tcPr>
                  <w:tcW w:w="819" w:type="pct"/>
                  <w:noWrap w:val="0"/>
                  <w:vAlign w:val="center"/>
                </w:tcPr>
                <w:p w14:paraId="6CB0EF3B">
                  <w:pPr>
                    <w:pStyle w:val="28"/>
                    <w:rPr>
                      <w:color w:val="auto"/>
                    </w:rPr>
                  </w:pPr>
                  <w:r>
                    <w:rPr>
                      <w:rFonts w:hint="eastAsia"/>
                      <w:color w:val="auto"/>
                    </w:rPr>
                    <w:t>23.9</w:t>
                  </w:r>
                </w:p>
              </w:tc>
              <w:tc>
                <w:tcPr>
                  <w:tcW w:w="819" w:type="pct"/>
                  <w:noWrap w:val="0"/>
                  <w:vAlign w:val="center"/>
                </w:tcPr>
                <w:p w14:paraId="2A95965A">
                  <w:pPr>
                    <w:pStyle w:val="28"/>
                    <w:rPr>
                      <w:color w:val="auto"/>
                    </w:rPr>
                  </w:pPr>
                  <w:r>
                    <w:rPr>
                      <w:rFonts w:hint="eastAsia"/>
                      <w:color w:val="auto"/>
                    </w:rPr>
                    <w:t>16.9</w:t>
                  </w:r>
                </w:p>
              </w:tc>
              <w:tc>
                <w:tcPr>
                  <w:tcW w:w="819" w:type="pct"/>
                  <w:noWrap w:val="0"/>
                  <w:vAlign w:val="center"/>
                </w:tcPr>
                <w:p w14:paraId="32B48CDE">
                  <w:pPr>
                    <w:pStyle w:val="28"/>
                    <w:rPr>
                      <w:color w:val="auto"/>
                    </w:rPr>
                  </w:pPr>
                  <w:r>
                    <w:rPr>
                      <w:rFonts w:hint="eastAsia"/>
                      <w:color w:val="auto"/>
                    </w:rPr>
                    <w:t>15.9</w:t>
                  </w:r>
                </w:p>
              </w:tc>
              <w:tc>
                <w:tcPr>
                  <w:tcW w:w="819" w:type="pct"/>
                  <w:noWrap w:val="0"/>
                  <w:vAlign w:val="center"/>
                </w:tcPr>
                <w:p w14:paraId="1AE30186">
                  <w:pPr>
                    <w:pStyle w:val="28"/>
                    <w:rPr>
                      <w:color w:val="auto"/>
                    </w:rPr>
                  </w:pPr>
                  <w:r>
                    <w:rPr>
                      <w:rFonts w:hint="eastAsia"/>
                      <w:color w:val="auto"/>
                    </w:rPr>
                    <w:t>15.4</w:t>
                  </w:r>
                </w:p>
              </w:tc>
            </w:tr>
            <w:tr w14:paraId="4F95C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9" w:hRule="atLeast"/>
                <w:jc w:val="center"/>
              </w:trPr>
              <w:tc>
                <w:tcPr>
                  <w:tcW w:w="205" w:type="pct"/>
                  <w:vMerge w:val="continue"/>
                  <w:noWrap w:val="0"/>
                  <w:vAlign w:val="center"/>
                </w:tcPr>
                <w:p w14:paraId="757D5ACF">
                  <w:pPr>
                    <w:pStyle w:val="28"/>
                    <w:rPr>
                      <w:color w:val="auto"/>
                    </w:rPr>
                  </w:pPr>
                </w:p>
              </w:tc>
              <w:tc>
                <w:tcPr>
                  <w:tcW w:w="794" w:type="pct"/>
                  <w:noWrap w:val="0"/>
                  <w:vAlign w:val="center"/>
                </w:tcPr>
                <w:p w14:paraId="6C65E0A2">
                  <w:pPr>
                    <w:pStyle w:val="28"/>
                    <w:rPr>
                      <w:color w:val="auto"/>
                    </w:rPr>
                  </w:pPr>
                  <w:r>
                    <w:rPr>
                      <w:rFonts w:hint="eastAsia"/>
                      <w:color w:val="auto"/>
                    </w:rPr>
                    <w:t>倾斜台及辊轴传送机构</w:t>
                  </w:r>
                </w:p>
              </w:tc>
              <w:tc>
                <w:tcPr>
                  <w:tcW w:w="311" w:type="pct"/>
                  <w:noWrap w:val="0"/>
                  <w:vAlign w:val="center"/>
                </w:tcPr>
                <w:p w14:paraId="2030AF41">
                  <w:pPr>
                    <w:pStyle w:val="28"/>
                    <w:rPr>
                      <w:color w:val="auto"/>
                    </w:rPr>
                  </w:pPr>
                  <w:r>
                    <w:rPr>
                      <w:rFonts w:hint="eastAsia"/>
                      <w:color w:val="auto"/>
                    </w:rPr>
                    <w:t>2</w:t>
                  </w:r>
                </w:p>
              </w:tc>
              <w:tc>
                <w:tcPr>
                  <w:tcW w:w="412" w:type="pct"/>
                  <w:noWrap w:val="0"/>
                  <w:vAlign w:val="center"/>
                </w:tcPr>
                <w:p w14:paraId="63EC4F00">
                  <w:pPr>
                    <w:pStyle w:val="28"/>
                    <w:rPr>
                      <w:color w:val="auto"/>
                    </w:rPr>
                  </w:pPr>
                  <w:r>
                    <w:rPr>
                      <w:color w:val="auto"/>
                    </w:rPr>
                    <w:t>昼</w:t>
                  </w:r>
                  <w:r>
                    <w:rPr>
                      <w:rFonts w:hint="eastAsia"/>
                      <w:color w:val="auto"/>
                    </w:rPr>
                    <w:t>/夜</w:t>
                  </w:r>
                </w:p>
              </w:tc>
              <w:tc>
                <w:tcPr>
                  <w:tcW w:w="819" w:type="pct"/>
                  <w:noWrap w:val="0"/>
                  <w:vAlign w:val="center"/>
                </w:tcPr>
                <w:p w14:paraId="4FDE049B">
                  <w:pPr>
                    <w:pStyle w:val="28"/>
                    <w:rPr>
                      <w:color w:val="auto"/>
                    </w:rPr>
                  </w:pPr>
                  <w:r>
                    <w:rPr>
                      <w:rFonts w:hint="eastAsia"/>
                      <w:color w:val="auto"/>
                    </w:rPr>
                    <w:t>23.0</w:t>
                  </w:r>
                </w:p>
              </w:tc>
              <w:tc>
                <w:tcPr>
                  <w:tcW w:w="819" w:type="pct"/>
                  <w:noWrap w:val="0"/>
                  <w:vAlign w:val="center"/>
                </w:tcPr>
                <w:p w14:paraId="63E1A01A">
                  <w:pPr>
                    <w:pStyle w:val="28"/>
                    <w:rPr>
                      <w:color w:val="auto"/>
                    </w:rPr>
                  </w:pPr>
                  <w:r>
                    <w:rPr>
                      <w:rFonts w:hint="eastAsia"/>
                      <w:color w:val="auto"/>
                    </w:rPr>
                    <w:t>16.4</w:t>
                  </w:r>
                </w:p>
              </w:tc>
              <w:tc>
                <w:tcPr>
                  <w:tcW w:w="819" w:type="pct"/>
                  <w:noWrap w:val="0"/>
                  <w:vAlign w:val="center"/>
                </w:tcPr>
                <w:p w14:paraId="369836D3">
                  <w:pPr>
                    <w:pStyle w:val="28"/>
                    <w:rPr>
                      <w:color w:val="auto"/>
                    </w:rPr>
                  </w:pPr>
                  <w:r>
                    <w:rPr>
                      <w:rFonts w:hint="eastAsia"/>
                      <w:color w:val="auto"/>
                    </w:rPr>
                    <w:t>16.0</w:t>
                  </w:r>
                </w:p>
              </w:tc>
              <w:tc>
                <w:tcPr>
                  <w:tcW w:w="819" w:type="pct"/>
                  <w:noWrap w:val="0"/>
                  <w:vAlign w:val="center"/>
                </w:tcPr>
                <w:p w14:paraId="742680C7">
                  <w:pPr>
                    <w:pStyle w:val="28"/>
                    <w:rPr>
                      <w:color w:val="auto"/>
                    </w:rPr>
                  </w:pPr>
                  <w:r>
                    <w:rPr>
                      <w:rFonts w:hint="eastAsia"/>
                      <w:color w:val="auto"/>
                    </w:rPr>
                    <w:t>15.3</w:t>
                  </w:r>
                </w:p>
              </w:tc>
            </w:tr>
            <w:tr w14:paraId="0E597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9" w:hRule="atLeast"/>
                <w:jc w:val="center"/>
              </w:trPr>
              <w:tc>
                <w:tcPr>
                  <w:tcW w:w="205" w:type="pct"/>
                  <w:vMerge w:val="continue"/>
                  <w:noWrap w:val="0"/>
                  <w:vAlign w:val="center"/>
                </w:tcPr>
                <w:p w14:paraId="57EEAB10">
                  <w:pPr>
                    <w:pStyle w:val="28"/>
                    <w:rPr>
                      <w:color w:val="auto"/>
                    </w:rPr>
                  </w:pPr>
                </w:p>
              </w:tc>
              <w:tc>
                <w:tcPr>
                  <w:tcW w:w="794" w:type="pct"/>
                  <w:noWrap w:val="0"/>
                  <w:vAlign w:val="center"/>
                </w:tcPr>
                <w:p w14:paraId="31D61BC4">
                  <w:pPr>
                    <w:pStyle w:val="28"/>
                    <w:rPr>
                      <w:color w:val="auto"/>
                    </w:rPr>
                  </w:pPr>
                  <w:r>
                    <w:rPr>
                      <w:rFonts w:hint="eastAsia"/>
                      <w:color w:val="auto"/>
                    </w:rPr>
                    <w:t>牵引装置</w:t>
                  </w:r>
                </w:p>
              </w:tc>
              <w:tc>
                <w:tcPr>
                  <w:tcW w:w="311" w:type="pct"/>
                  <w:noWrap w:val="0"/>
                  <w:vAlign w:val="center"/>
                </w:tcPr>
                <w:p w14:paraId="4C21533B">
                  <w:pPr>
                    <w:pStyle w:val="28"/>
                    <w:rPr>
                      <w:color w:val="auto"/>
                    </w:rPr>
                  </w:pPr>
                  <w:r>
                    <w:rPr>
                      <w:rFonts w:hint="eastAsia"/>
                      <w:color w:val="auto"/>
                    </w:rPr>
                    <w:t>2</w:t>
                  </w:r>
                </w:p>
              </w:tc>
              <w:tc>
                <w:tcPr>
                  <w:tcW w:w="412" w:type="pct"/>
                  <w:noWrap w:val="0"/>
                  <w:vAlign w:val="center"/>
                </w:tcPr>
                <w:p w14:paraId="62315E84">
                  <w:pPr>
                    <w:pStyle w:val="28"/>
                    <w:rPr>
                      <w:color w:val="auto"/>
                    </w:rPr>
                  </w:pPr>
                  <w:r>
                    <w:rPr>
                      <w:color w:val="auto"/>
                    </w:rPr>
                    <w:t>昼</w:t>
                  </w:r>
                  <w:r>
                    <w:rPr>
                      <w:rFonts w:hint="eastAsia"/>
                      <w:color w:val="auto"/>
                    </w:rPr>
                    <w:t>/夜</w:t>
                  </w:r>
                </w:p>
              </w:tc>
              <w:tc>
                <w:tcPr>
                  <w:tcW w:w="819" w:type="pct"/>
                  <w:noWrap w:val="0"/>
                  <w:vAlign w:val="center"/>
                </w:tcPr>
                <w:p w14:paraId="6150C0F9">
                  <w:pPr>
                    <w:pStyle w:val="28"/>
                    <w:rPr>
                      <w:color w:val="auto"/>
                    </w:rPr>
                  </w:pPr>
                  <w:r>
                    <w:rPr>
                      <w:rFonts w:hint="eastAsia"/>
                      <w:color w:val="auto"/>
                    </w:rPr>
                    <w:t>9.0</w:t>
                  </w:r>
                </w:p>
              </w:tc>
              <w:tc>
                <w:tcPr>
                  <w:tcW w:w="819" w:type="pct"/>
                  <w:noWrap w:val="0"/>
                  <w:vAlign w:val="center"/>
                </w:tcPr>
                <w:p w14:paraId="0163A71A">
                  <w:pPr>
                    <w:pStyle w:val="28"/>
                    <w:rPr>
                      <w:color w:val="auto"/>
                    </w:rPr>
                  </w:pPr>
                  <w:r>
                    <w:rPr>
                      <w:rFonts w:hint="eastAsia"/>
                      <w:color w:val="auto"/>
                    </w:rPr>
                    <w:t>1.8</w:t>
                  </w:r>
                </w:p>
              </w:tc>
              <w:tc>
                <w:tcPr>
                  <w:tcW w:w="819" w:type="pct"/>
                  <w:noWrap w:val="0"/>
                  <w:vAlign w:val="center"/>
                </w:tcPr>
                <w:p w14:paraId="19631534">
                  <w:pPr>
                    <w:pStyle w:val="28"/>
                    <w:rPr>
                      <w:color w:val="auto"/>
                    </w:rPr>
                  </w:pPr>
                  <w:r>
                    <w:rPr>
                      <w:rFonts w:hint="eastAsia"/>
                      <w:color w:val="auto"/>
                    </w:rPr>
                    <w:t>1.1</w:t>
                  </w:r>
                </w:p>
              </w:tc>
              <w:tc>
                <w:tcPr>
                  <w:tcW w:w="819" w:type="pct"/>
                  <w:noWrap w:val="0"/>
                  <w:vAlign w:val="center"/>
                </w:tcPr>
                <w:p w14:paraId="3EB4376F">
                  <w:pPr>
                    <w:pStyle w:val="28"/>
                    <w:rPr>
                      <w:color w:val="auto"/>
                    </w:rPr>
                  </w:pPr>
                  <w:r>
                    <w:rPr>
                      <w:rFonts w:hint="eastAsia"/>
                      <w:color w:val="auto"/>
                    </w:rPr>
                    <w:t>0.1</w:t>
                  </w:r>
                </w:p>
              </w:tc>
            </w:tr>
            <w:tr w14:paraId="79EC1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9" w:hRule="atLeast"/>
                <w:jc w:val="center"/>
              </w:trPr>
              <w:tc>
                <w:tcPr>
                  <w:tcW w:w="205" w:type="pct"/>
                  <w:vMerge w:val="continue"/>
                  <w:noWrap w:val="0"/>
                  <w:vAlign w:val="center"/>
                </w:tcPr>
                <w:p w14:paraId="27703934">
                  <w:pPr>
                    <w:pStyle w:val="28"/>
                    <w:rPr>
                      <w:color w:val="auto"/>
                    </w:rPr>
                  </w:pPr>
                </w:p>
              </w:tc>
              <w:tc>
                <w:tcPr>
                  <w:tcW w:w="794" w:type="pct"/>
                  <w:noWrap w:val="0"/>
                  <w:vAlign w:val="center"/>
                </w:tcPr>
                <w:p w14:paraId="6E3F2945">
                  <w:pPr>
                    <w:pStyle w:val="28"/>
                    <w:rPr>
                      <w:color w:val="auto"/>
                    </w:rPr>
                  </w:pPr>
                  <w:r>
                    <w:rPr>
                      <w:rFonts w:hint="eastAsia"/>
                      <w:color w:val="auto"/>
                    </w:rPr>
                    <w:t>收线机</w:t>
                  </w:r>
                </w:p>
              </w:tc>
              <w:tc>
                <w:tcPr>
                  <w:tcW w:w="311" w:type="pct"/>
                  <w:noWrap w:val="0"/>
                  <w:vAlign w:val="center"/>
                </w:tcPr>
                <w:p w14:paraId="59F05842">
                  <w:pPr>
                    <w:pStyle w:val="28"/>
                    <w:rPr>
                      <w:color w:val="auto"/>
                    </w:rPr>
                  </w:pPr>
                  <w:r>
                    <w:rPr>
                      <w:rFonts w:hint="eastAsia"/>
                      <w:color w:val="auto"/>
                    </w:rPr>
                    <w:t>1</w:t>
                  </w:r>
                </w:p>
              </w:tc>
              <w:tc>
                <w:tcPr>
                  <w:tcW w:w="412" w:type="pct"/>
                  <w:noWrap w:val="0"/>
                  <w:vAlign w:val="center"/>
                </w:tcPr>
                <w:p w14:paraId="28CF884D">
                  <w:pPr>
                    <w:pStyle w:val="28"/>
                    <w:rPr>
                      <w:color w:val="auto"/>
                    </w:rPr>
                  </w:pPr>
                  <w:r>
                    <w:rPr>
                      <w:color w:val="auto"/>
                    </w:rPr>
                    <w:t>昼</w:t>
                  </w:r>
                  <w:r>
                    <w:rPr>
                      <w:rFonts w:hint="eastAsia"/>
                      <w:color w:val="auto"/>
                    </w:rPr>
                    <w:t>/夜</w:t>
                  </w:r>
                </w:p>
              </w:tc>
              <w:tc>
                <w:tcPr>
                  <w:tcW w:w="819" w:type="pct"/>
                  <w:noWrap w:val="0"/>
                  <w:vAlign w:val="center"/>
                </w:tcPr>
                <w:p w14:paraId="573A79C8">
                  <w:pPr>
                    <w:pStyle w:val="28"/>
                    <w:rPr>
                      <w:color w:val="auto"/>
                    </w:rPr>
                  </w:pPr>
                  <w:r>
                    <w:rPr>
                      <w:rFonts w:hint="eastAsia"/>
                      <w:color w:val="auto"/>
                    </w:rPr>
                    <w:t>8.9</w:t>
                  </w:r>
                </w:p>
              </w:tc>
              <w:tc>
                <w:tcPr>
                  <w:tcW w:w="819" w:type="pct"/>
                  <w:noWrap w:val="0"/>
                  <w:vAlign w:val="center"/>
                </w:tcPr>
                <w:p w14:paraId="3566A987">
                  <w:pPr>
                    <w:pStyle w:val="28"/>
                    <w:rPr>
                      <w:color w:val="auto"/>
                    </w:rPr>
                  </w:pPr>
                  <w:r>
                    <w:rPr>
                      <w:rFonts w:hint="eastAsia"/>
                      <w:color w:val="auto"/>
                    </w:rPr>
                    <w:t>1.4</w:t>
                  </w:r>
                </w:p>
              </w:tc>
              <w:tc>
                <w:tcPr>
                  <w:tcW w:w="819" w:type="pct"/>
                  <w:noWrap w:val="0"/>
                  <w:vAlign w:val="center"/>
                </w:tcPr>
                <w:p w14:paraId="2805995F">
                  <w:pPr>
                    <w:pStyle w:val="28"/>
                    <w:rPr>
                      <w:color w:val="auto"/>
                    </w:rPr>
                  </w:pPr>
                  <w:r>
                    <w:rPr>
                      <w:rFonts w:hint="eastAsia"/>
                      <w:color w:val="auto"/>
                    </w:rPr>
                    <w:t>0.1</w:t>
                  </w:r>
                </w:p>
              </w:tc>
              <w:tc>
                <w:tcPr>
                  <w:tcW w:w="819" w:type="pct"/>
                  <w:noWrap w:val="0"/>
                  <w:vAlign w:val="center"/>
                </w:tcPr>
                <w:p w14:paraId="1FA6C96F">
                  <w:pPr>
                    <w:pStyle w:val="28"/>
                    <w:rPr>
                      <w:color w:val="auto"/>
                    </w:rPr>
                  </w:pPr>
                  <w:r>
                    <w:rPr>
                      <w:rFonts w:hint="eastAsia"/>
                      <w:color w:val="auto"/>
                    </w:rPr>
                    <w:t>0.6</w:t>
                  </w:r>
                </w:p>
              </w:tc>
            </w:tr>
            <w:tr w14:paraId="78F02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9" w:hRule="atLeast"/>
                <w:jc w:val="center"/>
              </w:trPr>
              <w:tc>
                <w:tcPr>
                  <w:tcW w:w="205" w:type="pct"/>
                  <w:vMerge w:val="continue"/>
                  <w:noWrap w:val="0"/>
                  <w:vAlign w:val="center"/>
                </w:tcPr>
                <w:p w14:paraId="61A7BC06">
                  <w:pPr>
                    <w:pStyle w:val="28"/>
                    <w:rPr>
                      <w:color w:val="auto"/>
                    </w:rPr>
                  </w:pPr>
                </w:p>
              </w:tc>
              <w:tc>
                <w:tcPr>
                  <w:tcW w:w="794" w:type="pct"/>
                  <w:noWrap w:val="0"/>
                  <w:vAlign w:val="center"/>
                </w:tcPr>
                <w:p w14:paraId="2EED4061">
                  <w:pPr>
                    <w:pStyle w:val="28"/>
                    <w:rPr>
                      <w:color w:val="auto"/>
                    </w:rPr>
                  </w:pPr>
                  <w:r>
                    <w:rPr>
                      <w:rFonts w:hint="eastAsia"/>
                      <w:color w:val="auto"/>
                    </w:rPr>
                    <w:t>除磷机</w:t>
                  </w:r>
                </w:p>
              </w:tc>
              <w:tc>
                <w:tcPr>
                  <w:tcW w:w="311" w:type="pct"/>
                  <w:noWrap w:val="0"/>
                  <w:vAlign w:val="center"/>
                </w:tcPr>
                <w:p w14:paraId="29E2C156">
                  <w:pPr>
                    <w:pStyle w:val="28"/>
                    <w:rPr>
                      <w:color w:val="auto"/>
                    </w:rPr>
                  </w:pPr>
                  <w:r>
                    <w:rPr>
                      <w:rFonts w:hint="eastAsia"/>
                      <w:color w:val="auto"/>
                    </w:rPr>
                    <w:t>1</w:t>
                  </w:r>
                </w:p>
              </w:tc>
              <w:tc>
                <w:tcPr>
                  <w:tcW w:w="412" w:type="pct"/>
                  <w:noWrap w:val="0"/>
                  <w:vAlign w:val="center"/>
                </w:tcPr>
                <w:p w14:paraId="25659DE6">
                  <w:pPr>
                    <w:pStyle w:val="28"/>
                    <w:rPr>
                      <w:color w:val="auto"/>
                    </w:rPr>
                  </w:pPr>
                  <w:r>
                    <w:rPr>
                      <w:color w:val="auto"/>
                    </w:rPr>
                    <w:t>昼</w:t>
                  </w:r>
                  <w:r>
                    <w:rPr>
                      <w:rFonts w:hint="eastAsia"/>
                      <w:color w:val="auto"/>
                    </w:rPr>
                    <w:t>/夜</w:t>
                  </w:r>
                </w:p>
              </w:tc>
              <w:tc>
                <w:tcPr>
                  <w:tcW w:w="819" w:type="pct"/>
                  <w:noWrap w:val="0"/>
                  <w:vAlign w:val="center"/>
                </w:tcPr>
                <w:p w14:paraId="02893FB6">
                  <w:pPr>
                    <w:pStyle w:val="28"/>
                    <w:rPr>
                      <w:color w:val="auto"/>
                    </w:rPr>
                  </w:pPr>
                  <w:r>
                    <w:rPr>
                      <w:rFonts w:hint="eastAsia"/>
                      <w:color w:val="auto"/>
                    </w:rPr>
                    <w:t>8.1</w:t>
                  </w:r>
                </w:p>
              </w:tc>
              <w:tc>
                <w:tcPr>
                  <w:tcW w:w="819" w:type="pct"/>
                  <w:noWrap w:val="0"/>
                  <w:vAlign w:val="center"/>
                </w:tcPr>
                <w:p w14:paraId="7D0F410B">
                  <w:pPr>
                    <w:pStyle w:val="28"/>
                    <w:rPr>
                      <w:color w:val="auto"/>
                    </w:rPr>
                  </w:pPr>
                  <w:r>
                    <w:rPr>
                      <w:rFonts w:hint="eastAsia"/>
                      <w:color w:val="auto"/>
                    </w:rPr>
                    <w:t>1.7</w:t>
                  </w:r>
                </w:p>
              </w:tc>
              <w:tc>
                <w:tcPr>
                  <w:tcW w:w="819" w:type="pct"/>
                  <w:noWrap w:val="0"/>
                  <w:vAlign w:val="center"/>
                </w:tcPr>
                <w:p w14:paraId="2F3F5983">
                  <w:pPr>
                    <w:pStyle w:val="28"/>
                    <w:rPr>
                      <w:color w:val="auto"/>
                    </w:rPr>
                  </w:pPr>
                  <w:r>
                    <w:rPr>
                      <w:rFonts w:hint="eastAsia"/>
                      <w:color w:val="auto"/>
                    </w:rPr>
                    <w:t>0.8</w:t>
                  </w:r>
                </w:p>
              </w:tc>
              <w:tc>
                <w:tcPr>
                  <w:tcW w:w="819" w:type="pct"/>
                  <w:noWrap w:val="0"/>
                  <w:vAlign w:val="center"/>
                </w:tcPr>
                <w:p w14:paraId="3E11FB80">
                  <w:pPr>
                    <w:pStyle w:val="28"/>
                    <w:rPr>
                      <w:color w:val="auto"/>
                    </w:rPr>
                  </w:pPr>
                  <w:r>
                    <w:rPr>
                      <w:rFonts w:hint="eastAsia"/>
                      <w:color w:val="auto"/>
                    </w:rPr>
                    <w:t>0.1</w:t>
                  </w:r>
                </w:p>
              </w:tc>
            </w:tr>
            <w:tr w14:paraId="16701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9" w:hRule="atLeast"/>
                <w:jc w:val="center"/>
              </w:trPr>
              <w:tc>
                <w:tcPr>
                  <w:tcW w:w="205" w:type="pct"/>
                  <w:vMerge w:val="continue"/>
                  <w:noWrap w:val="0"/>
                  <w:vAlign w:val="center"/>
                </w:tcPr>
                <w:p w14:paraId="48A59BC0">
                  <w:pPr>
                    <w:pStyle w:val="28"/>
                    <w:rPr>
                      <w:color w:val="auto"/>
                    </w:rPr>
                  </w:pPr>
                </w:p>
              </w:tc>
              <w:tc>
                <w:tcPr>
                  <w:tcW w:w="794" w:type="pct"/>
                  <w:noWrap w:val="0"/>
                  <w:vAlign w:val="center"/>
                </w:tcPr>
                <w:p w14:paraId="7183BC2F">
                  <w:pPr>
                    <w:pStyle w:val="28"/>
                    <w:rPr>
                      <w:color w:val="auto"/>
                    </w:rPr>
                  </w:pPr>
                  <w:r>
                    <w:rPr>
                      <w:rFonts w:hint="eastAsia"/>
                      <w:color w:val="auto"/>
                    </w:rPr>
                    <w:t>润滑涂复机</w:t>
                  </w:r>
                </w:p>
              </w:tc>
              <w:tc>
                <w:tcPr>
                  <w:tcW w:w="311" w:type="pct"/>
                  <w:noWrap w:val="0"/>
                  <w:vAlign w:val="center"/>
                </w:tcPr>
                <w:p w14:paraId="5ABA8E71">
                  <w:pPr>
                    <w:pStyle w:val="28"/>
                    <w:rPr>
                      <w:color w:val="auto"/>
                    </w:rPr>
                  </w:pPr>
                  <w:r>
                    <w:rPr>
                      <w:rFonts w:hint="eastAsia"/>
                      <w:color w:val="auto"/>
                    </w:rPr>
                    <w:t>1</w:t>
                  </w:r>
                </w:p>
              </w:tc>
              <w:tc>
                <w:tcPr>
                  <w:tcW w:w="412" w:type="pct"/>
                  <w:noWrap w:val="0"/>
                  <w:vAlign w:val="center"/>
                </w:tcPr>
                <w:p w14:paraId="3277EA04">
                  <w:pPr>
                    <w:pStyle w:val="28"/>
                    <w:rPr>
                      <w:color w:val="auto"/>
                    </w:rPr>
                  </w:pPr>
                  <w:r>
                    <w:rPr>
                      <w:color w:val="auto"/>
                    </w:rPr>
                    <w:t>昼</w:t>
                  </w:r>
                  <w:r>
                    <w:rPr>
                      <w:rFonts w:hint="eastAsia"/>
                      <w:color w:val="auto"/>
                    </w:rPr>
                    <w:t>/夜</w:t>
                  </w:r>
                </w:p>
              </w:tc>
              <w:tc>
                <w:tcPr>
                  <w:tcW w:w="819" w:type="pct"/>
                  <w:noWrap w:val="0"/>
                  <w:vAlign w:val="center"/>
                </w:tcPr>
                <w:p w14:paraId="5E80C918">
                  <w:pPr>
                    <w:pStyle w:val="28"/>
                    <w:rPr>
                      <w:color w:val="auto"/>
                    </w:rPr>
                  </w:pPr>
                  <w:r>
                    <w:rPr>
                      <w:rFonts w:hint="eastAsia"/>
                      <w:color w:val="auto"/>
                    </w:rPr>
                    <w:t>8.6</w:t>
                  </w:r>
                </w:p>
              </w:tc>
              <w:tc>
                <w:tcPr>
                  <w:tcW w:w="819" w:type="pct"/>
                  <w:noWrap w:val="0"/>
                  <w:vAlign w:val="center"/>
                </w:tcPr>
                <w:p w14:paraId="0625259E">
                  <w:pPr>
                    <w:pStyle w:val="28"/>
                    <w:rPr>
                      <w:color w:val="auto"/>
                    </w:rPr>
                  </w:pPr>
                  <w:r>
                    <w:rPr>
                      <w:rFonts w:hint="eastAsia"/>
                      <w:color w:val="auto"/>
                    </w:rPr>
                    <w:t>1.8</w:t>
                  </w:r>
                </w:p>
              </w:tc>
              <w:tc>
                <w:tcPr>
                  <w:tcW w:w="819" w:type="pct"/>
                  <w:noWrap w:val="0"/>
                  <w:vAlign w:val="center"/>
                </w:tcPr>
                <w:p w14:paraId="7E5E541B">
                  <w:pPr>
                    <w:pStyle w:val="28"/>
                    <w:rPr>
                      <w:color w:val="auto"/>
                    </w:rPr>
                  </w:pPr>
                  <w:r>
                    <w:rPr>
                      <w:rFonts w:hint="eastAsia"/>
                      <w:color w:val="auto"/>
                    </w:rPr>
                    <w:t>0.9</w:t>
                  </w:r>
                </w:p>
              </w:tc>
              <w:tc>
                <w:tcPr>
                  <w:tcW w:w="819" w:type="pct"/>
                  <w:noWrap w:val="0"/>
                  <w:vAlign w:val="center"/>
                </w:tcPr>
                <w:p w14:paraId="0DE70F5B">
                  <w:pPr>
                    <w:pStyle w:val="28"/>
                    <w:rPr>
                      <w:color w:val="auto"/>
                    </w:rPr>
                  </w:pPr>
                  <w:r>
                    <w:rPr>
                      <w:rFonts w:hint="eastAsia"/>
                      <w:color w:val="auto"/>
                    </w:rPr>
                    <w:t>0.1</w:t>
                  </w:r>
                </w:p>
              </w:tc>
            </w:tr>
            <w:tr w14:paraId="58942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9" w:hRule="atLeast"/>
                <w:jc w:val="center"/>
              </w:trPr>
              <w:tc>
                <w:tcPr>
                  <w:tcW w:w="205" w:type="pct"/>
                  <w:vMerge w:val="continue"/>
                  <w:noWrap w:val="0"/>
                  <w:vAlign w:val="center"/>
                </w:tcPr>
                <w:p w14:paraId="7C674217">
                  <w:pPr>
                    <w:pStyle w:val="28"/>
                    <w:rPr>
                      <w:color w:val="auto"/>
                    </w:rPr>
                  </w:pPr>
                </w:p>
              </w:tc>
              <w:tc>
                <w:tcPr>
                  <w:tcW w:w="794" w:type="pct"/>
                  <w:noWrap w:val="0"/>
                  <w:vAlign w:val="center"/>
                </w:tcPr>
                <w:p w14:paraId="41D1D389">
                  <w:pPr>
                    <w:pStyle w:val="28"/>
                    <w:rPr>
                      <w:color w:val="auto"/>
                    </w:rPr>
                  </w:pPr>
                  <w:r>
                    <w:rPr>
                      <w:rFonts w:hint="eastAsia"/>
                      <w:color w:val="auto"/>
                    </w:rPr>
                    <w:t>Y型轧机轧制机</w:t>
                  </w:r>
                </w:p>
              </w:tc>
              <w:tc>
                <w:tcPr>
                  <w:tcW w:w="311" w:type="pct"/>
                  <w:noWrap w:val="0"/>
                  <w:vAlign w:val="center"/>
                </w:tcPr>
                <w:p w14:paraId="0C037165">
                  <w:pPr>
                    <w:pStyle w:val="28"/>
                    <w:rPr>
                      <w:color w:val="auto"/>
                    </w:rPr>
                  </w:pPr>
                  <w:r>
                    <w:rPr>
                      <w:rFonts w:hint="eastAsia"/>
                      <w:color w:val="auto"/>
                    </w:rPr>
                    <w:t>1</w:t>
                  </w:r>
                </w:p>
              </w:tc>
              <w:tc>
                <w:tcPr>
                  <w:tcW w:w="412" w:type="pct"/>
                  <w:noWrap w:val="0"/>
                  <w:vAlign w:val="center"/>
                </w:tcPr>
                <w:p w14:paraId="2B2B83A1">
                  <w:pPr>
                    <w:pStyle w:val="28"/>
                    <w:rPr>
                      <w:color w:val="auto"/>
                    </w:rPr>
                  </w:pPr>
                  <w:r>
                    <w:rPr>
                      <w:color w:val="auto"/>
                    </w:rPr>
                    <w:t>昼</w:t>
                  </w:r>
                  <w:r>
                    <w:rPr>
                      <w:rFonts w:hint="eastAsia"/>
                      <w:color w:val="auto"/>
                    </w:rPr>
                    <w:t>/夜</w:t>
                  </w:r>
                </w:p>
              </w:tc>
              <w:tc>
                <w:tcPr>
                  <w:tcW w:w="819" w:type="pct"/>
                  <w:noWrap w:val="0"/>
                  <w:vAlign w:val="center"/>
                </w:tcPr>
                <w:p w14:paraId="136349EC">
                  <w:pPr>
                    <w:pStyle w:val="28"/>
                    <w:rPr>
                      <w:color w:val="auto"/>
                    </w:rPr>
                  </w:pPr>
                  <w:r>
                    <w:rPr>
                      <w:rFonts w:hint="eastAsia"/>
                      <w:color w:val="auto"/>
                    </w:rPr>
                    <w:t>10.4</w:t>
                  </w:r>
                </w:p>
              </w:tc>
              <w:tc>
                <w:tcPr>
                  <w:tcW w:w="819" w:type="pct"/>
                  <w:noWrap w:val="0"/>
                  <w:vAlign w:val="center"/>
                </w:tcPr>
                <w:p w14:paraId="4D27C251">
                  <w:pPr>
                    <w:pStyle w:val="28"/>
                    <w:rPr>
                      <w:color w:val="auto"/>
                    </w:rPr>
                  </w:pPr>
                  <w:r>
                    <w:rPr>
                      <w:rFonts w:hint="eastAsia"/>
                      <w:color w:val="auto"/>
                    </w:rPr>
                    <w:t>1.0</w:t>
                  </w:r>
                </w:p>
              </w:tc>
              <w:tc>
                <w:tcPr>
                  <w:tcW w:w="819" w:type="pct"/>
                  <w:noWrap w:val="0"/>
                  <w:vAlign w:val="center"/>
                </w:tcPr>
                <w:p w14:paraId="425DD349">
                  <w:pPr>
                    <w:pStyle w:val="28"/>
                    <w:rPr>
                      <w:color w:val="auto"/>
                    </w:rPr>
                  </w:pPr>
                  <w:r>
                    <w:rPr>
                      <w:rFonts w:hint="eastAsia"/>
                      <w:color w:val="auto"/>
                    </w:rPr>
                    <w:t>7.3</w:t>
                  </w:r>
                </w:p>
              </w:tc>
              <w:tc>
                <w:tcPr>
                  <w:tcW w:w="819" w:type="pct"/>
                  <w:noWrap w:val="0"/>
                  <w:vAlign w:val="center"/>
                </w:tcPr>
                <w:p w14:paraId="7CE21105">
                  <w:pPr>
                    <w:pStyle w:val="28"/>
                    <w:rPr>
                      <w:color w:val="auto"/>
                    </w:rPr>
                  </w:pPr>
                  <w:r>
                    <w:rPr>
                      <w:rFonts w:hint="eastAsia"/>
                      <w:color w:val="auto"/>
                    </w:rPr>
                    <w:t>1.2</w:t>
                  </w:r>
                </w:p>
              </w:tc>
            </w:tr>
            <w:tr w14:paraId="434DD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9" w:hRule="atLeast"/>
                <w:jc w:val="center"/>
              </w:trPr>
              <w:tc>
                <w:tcPr>
                  <w:tcW w:w="205" w:type="pct"/>
                  <w:vMerge w:val="continue"/>
                  <w:noWrap w:val="0"/>
                  <w:vAlign w:val="center"/>
                </w:tcPr>
                <w:p w14:paraId="65E13B63">
                  <w:pPr>
                    <w:pStyle w:val="28"/>
                    <w:rPr>
                      <w:color w:val="auto"/>
                    </w:rPr>
                  </w:pPr>
                </w:p>
              </w:tc>
              <w:tc>
                <w:tcPr>
                  <w:tcW w:w="794" w:type="pct"/>
                  <w:noWrap w:val="0"/>
                  <w:vAlign w:val="center"/>
                </w:tcPr>
                <w:p w14:paraId="33E454F2">
                  <w:pPr>
                    <w:pStyle w:val="28"/>
                    <w:rPr>
                      <w:color w:val="auto"/>
                    </w:rPr>
                  </w:pPr>
                  <w:r>
                    <w:rPr>
                      <w:rFonts w:hint="eastAsia"/>
                      <w:color w:val="auto"/>
                    </w:rPr>
                    <w:t>水平牵引机</w:t>
                  </w:r>
                </w:p>
              </w:tc>
              <w:tc>
                <w:tcPr>
                  <w:tcW w:w="311" w:type="pct"/>
                  <w:noWrap w:val="0"/>
                  <w:vAlign w:val="center"/>
                </w:tcPr>
                <w:p w14:paraId="0537F5F8">
                  <w:pPr>
                    <w:pStyle w:val="28"/>
                    <w:rPr>
                      <w:color w:val="auto"/>
                    </w:rPr>
                  </w:pPr>
                  <w:r>
                    <w:rPr>
                      <w:rFonts w:hint="eastAsia"/>
                      <w:color w:val="auto"/>
                    </w:rPr>
                    <w:t>1</w:t>
                  </w:r>
                </w:p>
              </w:tc>
              <w:tc>
                <w:tcPr>
                  <w:tcW w:w="412" w:type="pct"/>
                  <w:noWrap w:val="0"/>
                  <w:vAlign w:val="center"/>
                </w:tcPr>
                <w:p w14:paraId="07116E9F">
                  <w:pPr>
                    <w:pStyle w:val="28"/>
                    <w:rPr>
                      <w:color w:val="auto"/>
                    </w:rPr>
                  </w:pPr>
                  <w:r>
                    <w:rPr>
                      <w:color w:val="auto"/>
                    </w:rPr>
                    <w:t>昼</w:t>
                  </w:r>
                  <w:r>
                    <w:rPr>
                      <w:rFonts w:hint="eastAsia"/>
                      <w:color w:val="auto"/>
                    </w:rPr>
                    <w:t>/夜</w:t>
                  </w:r>
                </w:p>
              </w:tc>
              <w:tc>
                <w:tcPr>
                  <w:tcW w:w="819" w:type="pct"/>
                  <w:noWrap w:val="0"/>
                  <w:vAlign w:val="center"/>
                </w:tcPr>
                <w:p w14:paraId="733839D1">
                  <w:pPr>
                    <w:pStyle w:val="28"/>
                    <w:rPr>
                      <w:color w:val="auto"/>
                    </w:rPr>
                  </w:pPr>
                  <w:r>
                    <w:rPr>
                      <w:rFonts w:hint="eastAsia"/>
                      <w:color w:val="auto"/>
                    </w:rPr>
                    <w:t>9.7</w:t>
                  </w:r>
                </w:p>
              </w:tc>
              <w:tc>
                <w:tcPr>
                  <w:tcW w:w="819" w:type="pct"/>
                  <w:noWrap w:val="0"/>
                  <w:vAlign w:val="center"/>
                </w:tcPr>
                <w:p w14:paraId="3CD9E89A">
                  <w:pPr>
                    <w:pStyle w:val="28"/>
                    <w:rPr>
                      <w:color w:val="auto"/>
                    </w:rPr>
                  </w:pPr>
                  <w:r>
                    <w:rPr>
                      <w:rFonts w:hint="eastAsia"/>
                      <w:color w:val="auto"/>
                    </w:rPr>
                    <w:t>1.5</w:t>
                  </w:r>
                </w:p>
              </w:tc>
              <w:tc>
                <w:tcPr>
                  <w:tcW w:w="819" w:type="pct"/>
                  <w:noWrap w:val="0"/>
                  <w:vAlign w:val="center"/>
                </w:tcPr>
                <w:p w14:paraId="313BE9BF">
                  <w:pPr>
                    <w:pStyle w:val="28"/>
                    <w:rPr>
                      <w:color w:val="auto"/>
                    </w:rPr>
                  </w:pPr>
                  <w:r>
                    <w:rPr>
                      <w:rFonts w:hint="eastAsia"/>
                      <w:color w:val="auto"/>
                    </w:rPr>
                    <w:t>6.6</w:t>
                  </w:r>
                </w:p>
              </w:tc>
              <w:tc>
                <w:tcPr>
                  <w:tcW w:w="819" w:type="pct"/>
                  <w:noWrap w:val="0"/>
                  <w:vAlign w:val="center"/>
                </w:tcPr>
                <w:p w14:paraId="775EC9F6">
                  <w:pPr>
                    <w:pStyle w:val="28"/>
                    <w:rPr>
                      <w:color w:val="auto"/>
                    </w:rPr>
                  </w:pPr>
                  <w:r>
                    <w:rPr>
                      <w:rFonts w:hint="eastAsia"/>
                      <w:color w:val="auto"/>
                    </w:rPr>
                    <w:t>1.0</w:t>
                  </w:r>
                </w:p>
              </w:tc>
            </w:tr>
            <w:tr w14:paraId="4053E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9" w:hRule="atLeast"/>
                <w:jc w:val="center"/>
              </w:trPr>
              <w:tc>
                <w:tcPr>
                  <w:tcW w:w="205" w:type="pct"/>
                  <w:vMerge w:val="continue"/>
                  <w:noWrap w:val="0"/>
                  <w:vAlign w:val="center"/>
                </w:tcPr>
                <w:p w14:paraId="17232ED9">
                  <w:pPr>
                    <w:pStyle w:val="28"/>
                    <w:rPr>
                      <w:color w:val="auto"/>
                    </w:rPr>
                  </w:pPr>
                </w:p>
              </w:tc>
              <w:tc>
                <w:tcPr>
                  <w:tcW w:w="794" w:type="pct"/>
                  <w:noWrap w:val="0"/>
                  <w:vAlign w:val="center"/>
                </w:tcPr>
                <w:p w14:paraId="17850E21">
                  <w:pPr>
                    <w:pStyle w:val="28"/>
                    <w:rPr>
                      <w:color w:val="auto"/>
                    </w:rPr>
                  </w:pPr>
                  <w:r>
                    <w:rPr>
                      <w:rFonts w:hint="eastAsia"/>
                      <w:color w:val="auto"/>
                    </w:rPr>
                    <w:t>应力消除机</w:t>
                  </w:r>
                </w:p>
              </w:tc>
              <w:tc>
                <w:tcPr>
                  <w:tcW w:w="311" w:type="pct"/>
                  <w:noWrap w:val="0"/>
                  <w:vAlign w:val="center"/>
                </w:tcPr>
                <w:p w14:paraId="4E74F174">
                  <w:pPr>
                    <w:pStyle w:val="28"/>
                    <w:rPr>
                      <w:color w:val="auto"/>
                    </w:rPr>
                  </w:pPr>
                  <w:r>
                    <w:rPr>
                      <w:rFonts w:hint="eastAsia"/>
                      <w:color w:val="auto"/>
                    </w:rPr>
                    <w:t>1</w:t>
                  </w:r>
                </w:p>
              </w:tc>
              <w:tc>
                <w:tcPr>
                  <w:tcW w:w="412" w:type="pct"/>
                  <w:noWrap w:val="0"/>
                  <w:vAlign w:val="center"/>
                </w:tcPr>
                <w:p w14:paraId="24F9B2F9">
                  <w:pPr>
                    <w:pStyle w:val="28"/>
                    <w:rPr>
                      <w:color w:val="auto"/>
                    </w:rPr>
                  </w:pPr>
                  <w:r>
                    <w:rPr>
                      <w:color w:val="auto"/>
                    </w:rPr>
                    <w:t>昼</w:t>
                  </w:r>
                  <w:r>
                    <w:rPr>
                      <w:rFonts w:hint="eastAsia"/>
                      <w:color w:val="auto"/>
                    </w:rPr>
                    <w:t>/夜</w:t>
                  </w:r>
                </w:p>
              </w:tc>
              <w:tc>
                <w:tcPr>
                  <w:tcW w:w="819" w:type="pct"/>
                  <w:noWrap w:val="0"/>
                  <w:vAlign w:val="center"/>
                </w:tcPr>
                <w:p w14:paraId="42AF25FA">
                  <w:pPr>
                    <w:pStyle w:val="28"/>
                    <w:rPr>
                      <w:color w:val="auto"/>
                    </w:rPr>
                  </w:pPr>
                  <w:r>
                    <w:rPr>
                      <w:rFonts w:hint="eastAsia"/>
                      <w:color w:val="auto"/>
                    </w:rPr>
                    <w:t>9.1</w:t>
                  </w:r>
                </w:p>
              </w:tc>
              <w:tc>
                <w:tcPr>
                  <w:tcW w:w="819" w:type="pct"/>
                  <w:noWrap w:val="0"/>
                  <w:vAlign w:val="center"/>
                </w:tcPr>
                <w:p w14:paraId="04F82137">
                  <w:pPr>
                    <w:pStyle w:val="28"/>
                    <w:rPr>
                      <w:color w:val="auto"/>
                    </w:rPr>
                  </w:pPr>
                  <w:r>
                    <w:rPr>
                      <w:rFonts w:hint="eastAsia"/>
                      <w:color w:val="auto"/>
                    </w:rPr>
                    <w:t>1.3</w:t>
                  </w:r>
                </w:p>
              </w:tc>
              <w:tc>
                <w:tcPr>
                  <w:tcW w:w="819" w:type="pct"/>
                  <w:noWrap w:val="0"/>
                  <w:vAlign w:val="center"/>
                </w:tcPr>
                <w:p w14:paraId="05E18FBE">
                  <w:pPr>
                    <w:pStyle w:val="28"/>
                    <w:rPr>
                      <w:color w:val="auto"/>
                    </w:rPr>
                  </w:pPr>
                  <w:r>
                    <w:rPr>
                      <w:rFonts w:hint="eastAsia"/>
                      <w:color w:val="auto"/>
                    </w:rPr>
                    <w:t>6.1</w:t>
                  </w:r>
                </w:p>
              </w:tc>
              <w:tc>
                <w:tcPr>
                  <w:tcW w:w="819" w:type="pct"/>
                  <w:noWrap w:val="0"/>
                  <w:vAlign w:val="center"/>
                </w:tcPr>
                <w:p w14:paraId="19D48002">
                  <w:pPr>
                    <w:pStyle w:val="28"/>
                    <w:rPr>
                      <w:color w:val="auto"/>
                    </w:rPr>
                  </w:pPr>
                  <w:r>
                    <w:rPr>
                      <w:rFonts w:hint="eastAsia"/>
                      <w:color w:val="auto"/>
                    </w:rPr>
                    <w:t>1.0</w:t>
                  </w:r>
                </w:p>
              </w:tc>
            </w:tr>
            <w:tr w14:paraId="726FB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9" w:hRule="atLeast"/>
                <w:jc w:val="center"/>
              </w:trPr>
              <w:tc>
                <w:tcPr>
                  <w:tcW w:w="205" w:type="pct"/>
                  <w:vMerge w:val="continue"/>
                  <w:noWrap w:val="0"/>
                  <w:vAlign w:val="center"/>
                </w:tcPr>
                <w:p w14:paraId="7393ED53">
                  <w:pPr>
                    <w:pStyle w:val="28"/>
                    <w:rPr>
                      <w:color w:val="auto"/>
                    </w:rPr>
                  </w:pPr>
                </w:p>
              </w:tc>
              <w:tc>
                <w:tcPr>
                  <w:tcW w:w="794" w:type="pct"/>
                  <w:noWrap w:val="0"/>
                  <w:vAlign w:val="center"/>
                </w:tcPr>
                <w:p w14:paraId="65BF5EF7">
                  <w:pPr>
                    <w:pStyle w:val="28"/>
                    <w:rPr>
                      <w:color w:val="auto"/>
                    </w:rPr>
                  </w:pPr>
                  <w:r>
                    <w:rPr>
                      <w:rFonts w:hint="eastAsia"/>
                      <w:color w:val="auto"/>
                    </w:rPr>
                    <w:t>桁架剪切机</w:t>
                  </w:r>
                </w:p>
              </w:tc>
              <w:tc>
                <w:tcPr>
                  <w:tcW w:w="311" w:type="pct"/>
                  <w:noWrap w:val="0"/>
                  <w:vAlign w:val="center"/>
                </w:tcPr>
                <w:p w14:paraId="7C1CAE2A">
                  <w:pPr>
                    <w:pStyle w:val="28"/>
                    <w:rPr>
                      <w:color w:val="auto"/>
                    </w:rPr>
                  </w:pPr>
                  <w:r>
                    <w:rPr>
                      <w:rFonts w:hint="eastAsia"/>
                      <w:color w:val="auto"/>
                    </w:rPr>
                    <w:t>1</w:t>
                  </w:r>
                </w:p>
              </w:tc>
              <w:tc>
                <w:tcPr>
                  <w:tcW w:w="412" w:type="pct"/>
                  <w:noWrap w:val="0"/>
                  <w:vAlign w:val="center"/>
                </w:tcPr>
                <w:p w14:paraId="29D4BB92">
                  <w:pPr>
                    <w:pStyle w:val="28"/>
                    <w:rPr>
                      <w:color w:val="auto"/>
                    </w:rPr>
                  </w:pPr>
                  <w:r>
                    <w:rPr>
                      <w:color w:val="auto"/>
                    </w:rPr>
                    <w:t>昼</w:t>
                  </w:r>
                  <w:r>
                    <w:rPr>
                      <w:rFonts w:hint="eastAsia"/>
                      <w:color w:val="auto"/>
                    </w:rPr>
                    <w:t>/夜</w:t>
                  </w:r>
                </w:p>
              </w:tc>
              <w:tc>
                <w:tcPr>
                  <w:tcW w:w="819" w:type="pct"/>
                  <w:noWrap w:val="0"/>
                  <w:vAlign w:val="center"/>
                </w:tcPr>
                <w:p w14:paraId="4F1198A4">
                  <w:pPr>
                    <w:pStyle w:val="28"/>
                    <w:rPr>
                      <w:color w:val="auto"/>
                    </w:rPr>
                  </w:pPr>
                  <w:r>
                    <w:rPr>
                      <w:rFonts w:hint="eastAsia"/>
                      <w:color w:val="auto"/>
                    </w:rPr>
                    <w:t>20.4</w:t>
                  </w:r>
                </w:p>
              </w:tc>
              <w:tc>
                <w:tcPr>
                  <w:tcW w:w="819" w:type="pct"/>
                  <w:noWrap w:val="0"/>
                  <w:vAlign w:val="center"/>
                </w:tcPr>
                <w:p w14:paraId="37CC55B4">
                  <w:pPr>
                    <w:pStyle w:val="28"/>
                    <w:rPr>
                      <w:color w:val="auto"/>
                    </w:rPr>
                  </w:pPr>
                  <w:r>
                    <w:rPr>
                      <w:rFonts w:hint="eastAsia"/>
                      <w:color w:val="auto"/>
                    </w:rPr>
                    <w:t>12.4</w:t>
                  </w:r>
                </w:p>
              </w:tc>
              <w:tc>
                <w:tcPr>
                  <w:tcW w:w="819" w:type="pct"/>
                  <w:noWrap w:val="0"/>
                  <w:vAlign w:val="center"/>
                </w:tcPr>
                <w:p w14:paraId="33C11A24">
                  <w:pPr>
                    <w:pStyle w:val="28"/>
                    <w:rPr>
                      <w:color w:val="auto"/>
                    </w:rPr>
                  </w:pPr>
                  <w:r>
                    <w:rPr>
                      <w:rFonts w:hint="eastAsia"/>
                      <w:color w:val="auto"/>
                    </w:rPr>
                    <w:t>17.0</w:t>
                  </w:r>
                </w:p>
              </w:tc>
              <w:tc>
                <w:tcPr>
                  <w:tcW w:w="819" w:type="pct"/>
                  <w:noWrap w:val="0"/>
                  <w:vAlign w:val="center"/>
                </w:tcPr>
                <w:p w14:paraId="10BACEB5">
                  <w:pPr>
                    <w:pStyle w:val="28"/>
                    <w:rPr>
                      <w:color w:val="auto"/>
                    </w:rPr>
                  </w:pPr>
                  <w:r>
                    <w:rPr>
                      <w:rFonts w:hint="eastAsia"/>
                      <w:color w:val="auto"/>
                    </w:rPr>
                    <w:t>9.9</w:t>
                  </w:r>
                </w:p>
              </w:tc>
            </w:tr>
            <w:tr w14:paraId="5C2EA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9" w:hRule="atLeast"/>
                <w:jc w:val="center"/>
              </w:trPr>
              <w:tc>
                <w:tcPr>
                  <w:tcW w:w="205" w:type="pct"/>
                  <w:vMerge w:val="continue"/>
                  <w:noWrap w:val="0"/>
                  <w:vAlign w:val="center"/>
                </w:tcPr>
                <w:p w14:paraId="533397F8">
                  <w:pPr>
                    <w:pStyle w:val="28"/>
                    <w:rPr>
                      <w:color w:val="auto"/>
                    </w:rPr>
                  </w:pPr>
                </w:p>
              </w:tc>
              <w:tc>
                <w:tcPr>
                  <w:tcW w:w="794" w:type="pct"/>
                  <w:noWrap w:val="0"/>
                  <w:vAlign w:val="center"/>
                </w:tcPr>
                <w:p w14:paraId="5384C7C7">
                  <w:pPr>
                    <w:pStyle w:val="28"/>
                    <w:rPr>
                      <w:color w:val="auto"/>
                    </w:rPr>
                  </w:pPr>
                  <w:r>
                    <w:rPr>
                      <w:rFonts w:hint="eastAsia"/>
                      <w:color w:val="auto"/>
                    </w:rPr>
                    <w:t>收线机</w:t>
                  </w:r>
                </w:p>
              </w:tc>
              <w:tc>
                <w:tcPr>
                  <w:tcW w:w="311" w:type="pct"/>
                  <w:noWrap w:val="0"/>
                  <w:vAlign w:val="center"/>
                </w:tcPr>
                <w:p w14:paraId="1F87ACD8">
                  <w:pPr>
                    <w:pStyle w:val="28"/>
                    <w:rPr>
                      <w:color w:val="auto"/>
                    </w:rPr>
                  </w:pPr>
                  <w:r>
                    <w:rPr>
                      <w:rFonts w:hint="eastAsia"/>
                      <w:color w:val="auto"/>
                    </w:rPr>
                    <w:t>2</w:t>
                  </w:r>
                </w:p>
              </w:tc>
              <w:tc>
                <w:tcPr>
                  <w:tcW w:w="412" w:type="pct"/>
                  <w:noWrap w:val="0"/>
                  <w:vAlign w:val="center"/>
                </w:tcPr>
                <w:p w14:paraId="3676D5A3">
                  <w:pPr>
                    <w:pStyle w:val="28"/>
                    <w:rPr>
                      <w:color w:val="auto"/>
                    </w:rPr>
                  </w:pPr>
                  <w:r>
                    <w:rPr>
                      <w:color w:val="auto"/>
                    </w:rPr>
                    <w:t>昼</w:t>
                  </w:r>
                  <w:r>
                    <w:rPr>
                      <w:rFonts w:hint="eastAsia"/>
                      <w:color w:val="auto"/>
                    </w:rPr>
                    <w:t>/夜</w:t>
                  </w:r>
                </w:p>
              </w:tc>
              <w:tc>
                <w:tcPr>
                  <w:tcW w:w="819" w:type="pct"/>
                  <w:noWrap w:val="0"/>
                  <w:vAlign w:val="center"/>
                </w:tcPr>
                <w:p w14:paraId="0391274E">
                  <w:pPr>
                    <w:pStyle w:val="28"/>
                    <w:rPr>
                      <w:color w:val="auto"/>
                    </w:rPr>
                  </w:pPr>
                  <w:r>
                    <w:rPr>
                      <w:rFonts w:hint="eastAsia"/>
                      <w:color w:val="auto"/>
                    </w:rPr>
                    <w:t>8.9</w:t>
                  </w:r>
                </w:p>
              </w:tc>
              <w:tc>
                <w:tcPr>
                  <w:tcW w:w="819" w:type="pct"/>
                  <w:noWrap w:val="0"/>
                  <w:vAlign w:val="center"/>
                </w:tcPr>
                <w:p w14:paraId="240D7BE1">
                  <w:pPr>
                    <w:pStyle w:val="28"/>
                    <w:rPr>
                      <w:color w:val="auto"/>
                    </w:rPr>
                  </w:pPr>
                  <w:r>
                    <w:rPr>
                      <w:rFonts w:hint="eastAsia"/>
                      <w:color w:val="auto"/>
                    </w:rPr>
                    <w:t>0.5</w:t>
                  </w:r>
                </w:p>
              </w:tc>
              <w:tc>
                <w:tcPr>
                  <w:tcW w:w="819" w:type="pct"/>
                  <w:noWrap w:val="0"/>
                  <w:vAlign w:val="center"/>
                </w:tcPr>
                <w:p w14:paraId="4EDE521A">
                  <w:pPr>
                    <w:pStyle w:val="28"/>
                    <w:rPr>
                      <w:color w:val="auto"/>
                    </w:rPr>
                  </w:pPr>
                  <w:r>
                    <w:rPr>
                      <w:rFonts w:hint="eastAsia"/>
                      <w:color w:val="auto"/>
                    </w:rPr>
                    <w:t>1.5</w:t>
                  </w:r>
                </w:p>
              </w:tc>
              <w:tc>
                <w:tcPr>
                  <w:tcW w:w="819" w:type="pct"/>
                  <w:noWrap w:val="0"/>
                  <w:vAlign w:val="center"/>
                </w:tcPr>
                <w:p w14:paraId="27804DAD">
                  <w:pPr>
                    <w:pStyle w:val="28"/>
                    <w:rPr>
                      <w:color w:val="auto"/>
                    </w:rPr>
                  </w:pPr>
                  <w:r>
                    <w:rPr>
                      <w:rFonts w:hint="eastAsia"/>
                      <w:color w:val="auto"/>
                    </w:rPr>
                    <w:t>1.4</w:t>
                  </w:r>
                </w:p>
              </w:tc>
            </w:tr>
            <w:tr w14:paraId="53AB8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9" w:hRule="atLeast"/>
                <w:jc w:val="center"/>
              </w:trPr>
              <w:tc>
                <w:tcPr>
                  <w:tcW w:w="1311" w:type="pct"/>
                  <w:gridSpan w:val="3"/>
                  <w:noWrap w:val="0"/>
                  <w:vAlign w:val="center"/>
                </w:tcPr>
                <w:p w14:paraId="6C6EBB78">
                  <w:pPr>
                    <w:pStyle w:val="28"/>
                    <w:rPr>
                      <w:color w:val="auto"/>
                    </w:rPr>
                  </w:pPr>
                  <w:r>
                    <w:rPr>
                      <w:color w:val="auto"/>
                    </w:rPr>
                    <w:t>叠加值</w:t>
                  </w:r>
                </w:p>
              </w:tc>
              <w:tc>
                <w:tcPr>
                  <w:tcW w:w="412" w:type="pct"/>
                  <w:noWrap w:val="0"/>
                  <w:vAlign w:val="center"/>
                </w:tcPr>
                <w:p w14:paraId="3CE703E2">
                  <w:pPr>
                    <w:pStyle w:val="28"/>
                    <w:rPr>
                      <w:color w:val="auto"/>
                    </w:rPr>
                  </w:pPr>
                  <w:r>
                    <w:rPr>
                      <w:color w:val="auto"/>
                    </w:rPr>
                    <w:t>昼</w:t>
                  </w:r>
                  <w:r>
                    <w:rPr>
                      <w:rFonts w:hint="eastAsia"/>
                      <w:color w:val="auto"/>
                    </w:rPr>
                    <w:t>/夜</w:t>
                  </w:r>
                </w:p>
              </w:tc>
              <w:tc>
                <w:tcPr>
                  <w:tcW w:w="819" w:type="pct"/>
                  <w:noWrap w:val="0"/>
                  <w:vAlign w:val="center"/>
                </w:tcPr>
                <w:p w14:paraId="2B948756">
                  <w:pPr>
                    <w:pStyle w:val="28"/>
                    <w:rPr>
                      <w:color w:val="auto"/>
                    </w:rPr>
                  </w:pPr>
                  <w:r>
                    <w:rPr>
                      <w:color w:val="auto"/>
                    </w:rPr>
                    <w:t>50.</w:t>
                  </w:r>
                  <w:r>
                    <w:rPr>
                      <w:rFonts w:hint="eastAsia"/>
                      <w:color w:val="auto"/>
                    </w:rPr>
                    <w:t>4</w:t>
                  </w:r>
                </w:p>
              </w:tc>
              <w:tc>
                <w:tcPr>
                  <w:tcW w:w="819" w:type="pct"/>
                  <w:noWrap w:val="0"/>
                  <w:vAlign w:val="center"/>
                </w:tcPr>
                <w:p w14:paraId="2AD21140">
                  <w:pPr>
                    <w:pStyle w:val="28"/>
                    <w:rPr>
                      <w:color w:val="auto"/>
                    </w:rPr>
                  </w:pPr>
                  <w:r>
                    <w:rPr>
                      <w:rFonts w:hint="eastAsia"/>
                      <w:color w:val="auto"/>
                    </w:rPr>
                    <w:t>41.5</w:t>
                  </w:r>
                </w:p>
              </w:tc>
              <w:tc>
                <w:tcPr>
                  <w:tcW w:w="819" w:type="pct"/>
                  <w:noWrap w:val="0"/>
                  <w:vAlign w:val="center"/>
                </w:tcPr>
                <w:p w14:paraId="6C450FFC">
                  <w:pPr>
                    <w:pStyle w:val="28"/>
                    <w:rPr>
                      <w:color w:val="auto"/>
                    </w:rPr>
                  </w:pPr>
                  <w:r>
                    <w:rPr>
                      <w:rFonts w:hint="eastAsia"/>
                      <w:color w:val="auto"/>
                    </w:rPr>
                    <w:t>39.9</w:t>
                  </w:r>
                </w:p>
              </w:tc>
              <w:tc>
                <w:tcPr>
                  <w:tcW w:w="819" w:type="pct"/>
                  <w:noWrap w:val="0"/>
                  <w:vAlign w:val="center"/>
                </w:tcPr>
                <w:p w14:paraId="74231524">
                  <w:pPr>
                    <w:pStyle w:val="28"/>
                    <w:rPr>
                      <w:color w:val="auto"/>
                    </w:rPr>
                  </w:pPr>
                  <w:r>
                    <w:rPr>
                      <w:rFonts w:hint="eastAsia"/>
                      <w:color w:val="auto"/>
                    </w:rPr>
                    <w:t>39.5</w:t>
                  </w:r>
                </w:p>
              </w:tc>
            </w:tr>
            <w:tr w14:paraId="7A09E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9" w:hRule="atLeast"/>
                <w:jc w:val="center"/>
              </w:trPr>
              <w:tc>
                <w:tcPr>
                  <w:tcW w:w="1311" w:type="pct"/>
                  <w:gridSpan w:val="3"/>
                  <w:vMerge w:val="restart"/>
                  <w:noWrap w:val="0"/>
                  <w:vAlign w:val="center"/>
                </w:tcPr>
                <w:p w14:paraId="622F952F">
                  <w:pPr>
                    <w:pStyle w:val="28"/>
                    <w:rPr>
                      <w:color w:val="auto"/>
                    </w:rPr>
                  </w:pPr>
                  <w:r>
                    <w:rPr>
                      <w:color w:val="auto"/>
                    </w:rPr>
                    <w:t>标准值</w:t>
                  </w:r>
                </w:p>
              </w:tc>
              <w:tc>
                <w:tcPr>
                  <w:tcW w:w="412" w:type="pct"/>
                  <w:noWrap w:val="0"/>
                  <w:vAlign w:val="center"/>
                </w:tcPr>
                <w:p w14:paraId="165B1426">
                  <w:pPr>
                    <w:pStyle w:val="28"/>
                    <w:rPr>
                      <w:color w:val="auto"/>
                    </w:rPr>
                  </w:pPr>
                  <w:r>
                    <w:rPr>
                      <w:color w:val="auto"/>
                    </w:rPr>
                    <w:t>昼间</w:t>
                  </w:r>
                </w:p>
              </w:tc>
              <w:tc>
                <w:tcPr>
                  <w:tcW w:w="819" w:type="pct"/>
                  <w:noWrap w:val="0"/>
                  <w:vAlign w:val="center"/>
                </w:tcPr>
                <w:p w14:paraId="0E276AEA">
                  <w:pPr>
                    <w:pStyle w:val="28"/>
                    <w:rPr>
                      <w:color w:val="auto"/>
                    </w:rPr>
                  </w:pPr>
                  <w:r>
                    <w:rPr>
                      <w:rFonts w:hint="eastAsia"/>
                      <w:color w:val="auto"/>
                    </w:rPr>
                    <w:t>70</w:t>
                  </w:r>
                </w:p>
              </w:tc>
              <w:tc>
                <w:tcPr>
                  <w:tcW w:w="819" w:type="pct"/>
                  <w:noWrap w:val="0"/>
                  <w:vAlign w:val="center"/>
                </w:tcPr>
                <w:p w14:paraId="076A16AE">
                  <w:pPr>
                    <w:pStyle w:val="28"/>
                    <w:rPr>
                      <w:color w:val="auto"/>
                    </w:rPr>
                  </w:pPr>
                  <w:r>
                    <w:rPr>
                      <w:color w:val="auto"/>
                    </w:rPr>
                    <w:t>60</w:t>
                  </w:r>
                </w:p>
              </w:tc>
              <w:tc>
                <w:tcPr>
                  <w:tcW w:w="819" w:type="pct"/>
                  <w:noWrap w:val="0"/>
                  <w:vAlign w:val="center"/>
                </w:tcPr>
                <w:p w14:paraId="01FC92F1">
                  <w:pPr>
                    <w:pStyle w:val="28"/>
                    <w:rPr>
                      <w:color w:val="auto"/>
                    </w:rPr>
                  </w:pPr>
                  <w:r>
                    <w:rPr>
                      <w:color w:val="auto"/>
                    </w:rPr>
                    <w:t>60</w:t>
                  </w:r>
                </w:p>
              </w:tc>
              <w:tc>
                <w:tcPr>
                  <w:tcW w:w="819" w:type="pct"/>
                  <w:noWrap w:val="0"/>
                  <w:vAlign w:val="center"/>
                </w:tcPr>
                <w:p w14:paraId="6F4A801D">
                  <w:pPr>
                    <w:pStyle w:val="28"/>
                    <w:rPr>
                      <w:color w:val="auto"/>
                    </w:rPr>
                  </w:pPr>
                  <w:r>
                    <w:rPr>
                      <w:color w:val="auto"/>
                    </w:rPr>
                    <w:t>60</w:t>
                  </w:r>
                </w:p>
              </w:tc>
            </w:tr>
            <w:tr w14:paraId="09374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9" w:hRule="atLeast"/>
                <w:jc w:val="center"/>
              </w:trPr>
              <w:tc>
                <w:tcPr>
                  <w:tcW w:w="1311" w:type="pct"/>
                  <w:gridSpan w:val="3"/>
                  <w:vMerge w:val="continue"/>
                  <w:noWrap w:val="0"/>
                  <w:vAlign w:val="center"/>
                </w:tcPr>
                <w:p w14:paraId="1C5CF97F">
                  <w:pPr>
                    <w:pStyle w:val="28"/>
                    <w:rPr>
                      <w:color w:val="auto"/>
                    </w:rPr>
                  </w:pPr>
                </w:p>
              </w:tc>
              <w:tc>
                <w:tcPr>
                  <w:tcW w:w="412" w:type="pct"/>
                  <w:noWrap w:val="0"/>
                  <w:vAlign w:val="center"/>
                </w:tcPr>
                <w:p w14:paraId="18633CDE">
                  <w:pPr>
                    <w:pStyle w:val="28"/>
                    <w:rPr>
                      <w:color w:val="auto"/>
                    </w:rPr>
                  </w:pPr>
                  <w:r>
                    <w:rPr>
                      <w:rFonts w:hint="eastAsia"/>
                      <w:color w:val="auto"/>
                    </w:rPr>
                    <w:t>夜间</w:t>
                  </w:r>
                </w:p>
              </w:tc>
              <w:tc>
                <w:tcPr>
                  <w:tcW w:w="819" w:type="pct"/>
                  <w:noWrap w:val="0"/>
                  <w:vAlign w:val="center"/>
                </w:tcPr>
                <w:p w14:paraId="1D2FF1C1">
                  <w:pPr>
                    <w:pStyle w:val="28"/>
                    <w:rPr>
                      <w:rFonts w:hint="eastAsia"/>
                      <w:color w:val="auto"/>
                    </w:rPr>
                  </w:pPr>
                  <w:r>
                    <w:rPr>
                      <w:rFonts w:hint="eastAsia"/>
                      <w:color w:val="auto"/>
                    </w:rPr>
                    <w:t>55</w:t>
                  </w:r>
                </w:p>
              </w:tc>
              <w:tc>
                <w:tcPr>
                  <w:tcW w:w="819" w:type="pct"/>
                  <w:noWrap w:val="0"/>
                  <w:vAlign w:val="center"/>
                </w:tcPr>
                <w:p w14:paraId="34992736">
                  <w:pPr>
                    <w:pStyle w:val="28"/>
                    <w:rPr>
                      <w:color w:val="auto"/>
                    </w:rPr>
                  </w:pPr>
                  <w:r>
                    <w:rPr>
                      <w:rFonts w:hint="eastAsia"/>
                      <w:color w:val="auto"/>
                    </w:rPr>
                    <w:t>50</w:t>
                  </w:r>
                </w:p>
              </w:tc>
              <w:tc>
                <w:tcPr>
                  <w:tcW w:w="819" w:type="pct"/>
                  <w:noWrap w:val="0"/>
                  <w:vAlign w:val="center"/>
                </w:tcPr>
                <w:p w14:paraId="6174460E">
                  <w:pPr>
                    <w:pStyle w:val="28"/>
                    <w:rPr>
                      <w:color w:val="auto"/>
                    </w:rPr>
                  </w:pPr>
                  <w:r>
                    <w:rPr>
                      <w:rFonts w:hint="eastAsia"/>
                      <w:color w:val="auto"/>
                    </w:rPr>
                    <w:t>50</w:t>
                  </w:r>
                </w:p>
              </w:tc>
              <w:tc>
                <w:tcPr>
                  <w:tcW w:w="819" w:type="pct"/>
                  <w:noWrap w:val="0"/>
                  <w:vAlign w:val="center"/>
                </w:tcPr>
                <w:p w14:paraId="0C88D3CF">
                  <w:pPr>
                    <w:pStyle w:val="28"/>
                    <w:rPr>
                      <w:color w:val="auto"/>
                    </w:rPr>
                  </w:pPr>
                  <w:r>
                    <w:rPr>
                      <w:rFonts w:hint="eastAsia"/>
                      <w:color w:val="auto"/>
                    </w:rPr>
                    <w:t>50</w:t>
                  </w:r>
                </w:p>
              </w:tc>
            </w:tr>
            <w:tr w14:paraId="1C5F1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22" w:hRule="atLeast"/>
                <w:jc w:val="center"/>
              </w:trPr>
              <w:tc>
                <w:tcPr>
                  <w:tcW w:w="1311" w:type="pct"/>
                  <w:gridSpan w:val="3"/>
                  <w:vMerge w:val="restart"/>
                  <w:noWrap w:val="0"/>
                  <w:vAlign w:val="center"/>
                </w:tcPr>
                <w:p w14:paraId="15FEA2B6">
                  <w:pPr>
                    <w:pStyle w:val="28"/>
                    <w:rPr>
                      <w:color w:val="auto"/>
                    </w:rPr>
                  </w:pPr>
                  <w:r>
                    <w:rPr>
                      <w:color w:val="auto"/>
                    </w:rPr>
                    <w:t>达标情况</w:t>
                  </w:r>
                </w:p>
              </w:tc>
              <w:tc>
                <w:tcPr>
                  <w:tcW w:w="412" w:type="pct"/>
                  <w:noWrap w:val="0"/>
                  <w:vAlign w:val="center"/>
                </w:tcPr>
                <w:p w14:paraId="4BFD81A6">
                  <w:pPr>
                    <w:pStyle w:val="28"/>
                    <w:rPr>
                      <w:color w:val="auto"/>
                    </w:rPr>
                  </w:pPr>
                  <w:r>
                    <w:rPr>
                      <w:color w:val="auto"/>
                    </w:rPr>
                    <w:t>昼间</w:t>
                  </w:r>
                </w:p>
              </w:tc>
              <w:tc>
                <w:tcPr>
                  <w:tcW w:w="819" w:type="pct"/>
                  <w:noWrap w:val="0"/>
                  <w:vAlign w:val="center"/>
                </w:tcPr>
                <w:p w14:paraId="29515A42">
                  <w:pPr>
                    <w:pStyle w:val="28"/>
                    <w:rPr>
                      <w:color w:val="auto"/>
                    </w:rPr>
                  </w:pPr>
                  <w:r>
                    <w:rPr>
                      <w:color w:val="auto"/>
                    </w:rPr>
                    <w:t>达标</w:t>
                  </w:r>
                </w:p>
              </w:tc>
              <w:tc>
                <w:tcPr>
                  <w:tcW w:w="819" w:type="pct"/>
                  <w:noWrap w:val="0"/>
                  <w:vAlign w:val="center"/>
                </w:tcPr>
                <w:p w14:paraId="46EE118B">
                  <w:pPr>
                    <w:pStyle w:val="28"/>
                    <w:rPr>
                      <w:color w:val="auto"/>
                    </w:rPr>
                  </w:pPr>
                  <w:r>
                    <w:rPr>
                      <w:color w:val="auto"/>
                    </w:rPr>
                    <w:t>达标</w:t>
                  </w:r>
                </w:p>
              </w:tc>
              <w:tc>
                <w:tcPr>
                  <w:tcW w:w="819" w:type="pct"/>
                  <w:noWrap w:val="0"/>
                  <w:vAlign w:val="center"/>
                </w:tcPr>
                <w:p w14:paraId="7FC76AE0">
                  <w:pPr>
                    <w:pStyle w:val="28"/>
                    <w:rPr>
                      <w:color w:val="auto"/>
                    </w:rPr>
                  </w:pPr>
                  <w:r>
                    <w:rPr>
                      <w:color w:val="auto"/>
                    </w:rPr>
                    <w:t>达标</w:t>
                  </w:r>
                </w:p>
              </w:tc>
              <w:tc>
                <w:tcPr>
                  <w:tcW w:w="819" w:type="pct"/>
                  <w:noWrap w:val="0"/>
                  <w:vAlign w:val="center"/>
                </w:tcPr>
                <w:p w14:paraId="520DC506">
                  <w:pPr>
                    <w:pStyle w:val="28"/>
                    <w:rPr>
                      <w:color w:val="auto"/>
                    </w:rPr>
                  </w:pPr>
                  <w:r>
                    <w:rPr>
                      <w:color w:val="auto"/>
                    </w:rPr>
                    <w:t>达标</w:t>
                  </w:r>
                </w:p>
              </w:tc>
            </w:tr>
            <w:tr w14:paraId="3C828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22" w:hRule="atLeast"/>
                <w:jc w:val="center"/>
              </w:trPr>
              <w:tc>
                <w:tcPr>
                  <w:tcW w:w="1311" w:type="pct"/>
                  <w:gridSpan w:val="3"/>
                  <w:vMerge w:val="continue"/>
                  <w:noWrap w:val="0"/>
                  <w:vAlign w:val="center"/>
                </w:tcPr>
                <w:p w14:paraId="65104F30">
                  <w:pPr>
                    <w:pStyle w:val="28"/>
                    <w:rPr>
                      <w:color w:val="auto"/>
                    </w:rPr>
                  </w:pPr>
                </w:p>
              </w:tc>
              <w:tc>
                <w:tcPr>
                  <w:tcW w:w="412" w:type="pct"/>
                  <w:noWrap w:val="0"/>
                  <w:vAlign w:val="center"/>
                </w:tcPr>
                <w:p w14:paraId="3AE14F8C">
                  <w:pPr>
                    <w:pStyle w:val="28"/>
                    <w:rPr>
                      <w:color w:val="auto"/>
                    </w:rPr>
                  </w:pPr>
                  <w:r>
                    <w:rPr>
                      <w:rFonts w:hint="eastAsia"/>
                      <w:color w:val="auto"/>
                    </w:rPr>
                    <w:t>夜间</w:t>
                  </w:r>
                </w:p>
              </w:tc>
              <w:tc>
                <w:tcPr>
                  <w:tcW w:w="819" w:type="pct"/>
                  <w:noWrap w:val="0"/>
                  <w:vAlign w:val="center"/>
                </w:tcPr>
                <w:p w14:paraId="0C7DEBBE">
                  <w:pPr>
                    <w:pStyle w:val="28"/>
                    <w:rPr>
                      <w:color w:val="auto"/>
                    </w:rPr>
                  </w:pPr>
                  <w:r>
                    <w:rPr>
                      <w:color w:val="auto"/>
                    </w:rPr>
                    <w:t>达标</w:t>
                  </w:r>
                </w:p>
              </w:tc>
              <w:tc>
                <w:tcPr>
                  <w:tcW w:w="819" w:type="pct"/>
                  <w:noWrap w:val="0"/>
                  <w:vAlign w:val="center"/>
                </w:tcPr>
                <w:p w14:paraId="5B1CE66C">
                  <w:pPr>
                    <w:pStyle w:val="28"/>
                    <w:rPr>
                      <w:color w:val="auto"/>
                    </w:rPr>
                  </w:pPr>
                  <w:r>
                    <w:rPr>
                      <w:color w:val="auto"/>
                    </w:rPr>
                    <w:t>达标</w:t>
                  </w:r>
                </w:p>
              </w:tc>
              <w:tc>
                <w:tcPr>
                  <w:tcW w:w="819" w:type="pct"/>
                  <w:noWrap w:val="0"/>
                  <w:vAlign w:val="center"/>
                </w:tcPr>
                <w:p w14:paraId="20950DAE">
                  <w:pPr>
                    <w:pStyle w:val="28"/>
                    <w:rPr>
                      <w:color w:val="auto"/>
                    </w:rPr>
                  </w:pPr>
                  <w:r>
                    <w:rPr>
                      <w:color w:val="auto"/>
                    </w:rPr>
                    <w:t>达标</w:t>
                  </w:r>
                </w:p>
              </w:tc>
              <w:tc>
                <w:tcPr>
                  <w:tcW w:w="819" w:type="pct"/>
                  <w:noWrap w:val="0"/>
                  <w:vAlign w:val="center"/>
                </w:tcPr>
                <w:p w14:paraId="549D2102">
                  <w:pPr>
                    <w:pStyle w:val="28"/>
                    <w:rPr>
                      <w:color w:val="auto"/>
                    </w:rPr>
                  </w:pPr>
                  <w:r>
                    <w:rPr>
                      <w:color w:val="auto"/>
                    </w:rPr>
                    <w:t>达标</w:t>
                  </w:r>
                </w:p>
              </w:tc>
            </w:tr>
          </w:tbl>
          <w:p w14:paraId="28864FB1">
            <w:pPr>
              <w:ind w:firstLine="480"/>
              <w:rPr>
                <w:color w:val="auto"/>
              </w:rPr>
            </w:pPr>
            <w:r>
              <w:rPr>
                <w:color w:val="auto"/>
              </w:rPr>
              <w:t>经预测分析，厂界预测值</w:t>
            </w:r>
            <w:r>
              <w:rPr>
                <w:rFonts w:hint="eastAsia"/>
                <w:color w:val="auto"/>
              </w:rPr>
              <w:t>北侧</w:t>
            </w:r>
            <w:r>
              <w:rPr>
                <w:color w:val="auto"/>
              </w:rPr>
              <w:t>可以达到《工业企业厂界环境噪声排放标准》（GB12348-2008）</w:t>
            </w:r>
            <w:r>
              <w:rPr>
                <w:rFonts w:hint="eastAsia"/>
                <w:color w:val="auto"/>
              </w:rPr>
              <w:t>4</w:t>
            </w:r>
            <w:r>
              <w:rPr>
                <w:color w:val="auto"/>
              </w:rPr>
              <w:t>类标准限值：昼间</w:t>
            </w:r>
            <w:r>
              <w:rPr>
                <w:rFonts w:hint="eastAsia"/>
                <w:color w:val="auto"/>
              </w:rPr>
              <w:t>70</w:t>
            </w:r>
            <w:r>
              <w:rPr>
                <w:color w:val="auto"/>
              </w:rPr>
              <w:t>dB(A)</w:t>
            </w:r>
            <w:r>
              <w:rPr>
                <w:rFonts w:hint="eastAsia"/>
                <w:color w:val="auto"/>
              </w:rPr>
              <w:t>、夜间55</w:t>
            </w:r>
            <w:r>
              <w:rPr>
                <w:color w:val="auto"/>
              </w:rPr>
              <w:t>dB</w:t>
            </w:r>
            <w:r>
              <w:rPr>
                <w:rFonts w:hint="eastAsia"/>
                <w:color w:val="auto"/>
                <w:lang w:eastAsia="zh-CN"/>
              </w:rPr>
              <w:t>（</w:t>
            </w:r>
            <w:r>
              <w:rPr>
                <w:color w:val="auto"/>
              </w:rPr>
              <w:t>A</w:t>
            </w:r>
            <w:r>
              <w:rPr>
                <w:rFonts w:hint="eastAsia"/>
                <w:color w:val="auto"/>
                <w:lang w:eastAsia="zh-CN"/>
              </w:rPr>
              <w:t>）</w:t>
            </w:r>
            <w:r>
              <w:rPr>
                <w:color w:val="auto"/>
              </w:rPr>
              <w:t>的要求</w:t>
            </w:r>
            <w:r>
              <w:rPr>
                <w:rFonts w:hint="eastAsia"/>
                <w:color w:val="auto"/>
              </w:rPr>
              <w:t>，东侧、西侧和南侧厂界</w:t>
            </w:r>
            <w:r>
              <w:rPr>
                <w:color w:val="auto"/>
              </w:rPr>
              <w:t>可以达到《工业企业厂界环境噪声排放标准》（GB12348-2008）</w:t>
            </w:r>
            <w:r>
              <w:rPr>
                <w:rFonts w:hint="eastAsia"/>
                <w:color w:val="auto"/>
              </w:rPr>
              <w:t>2</w:t>
            </w:r>
            <w:r>
              <w:rPr>
                <w:color w:val="auto"/>
              </w:rPr>
              <w:t>类标准限值：昼间</w:t>
            </w:r>
            <w:r>
              <w:rPr>
                <w:rFonts w:hint="eastAsia"/>
                <w:color w:val="auto"/>
              </w:rPr>
              <w:t>60</w:t>
            </w:r>
            <w:r>
              <w:rPr>
                <w:color w:val="auto"/>
              </w:rPr>
              <w:t>dB(A)</w:t>
            </w:r>
            <w:r>
              <w:rPr>
                <w:rFonts w:hint="eastAsia"/>
                <w:color w:val="auto"/>
              </w:rPr>
              <w:t>、夜间50</w:t>
            </w:r>
            <w:r>
              <w:rPr>
                <w:color w:val="auto"/>
              </w:rPr>
              <w:t>dB(A)的要求。但本评价要求：项目运营期加强噪声设备的管理与运维，高噪声设备布置在远离周边居民敏感点一侧，</w:t>
            </w:r>
            <w:r>
              <w:rPr>
                <w:rFonts w:hint="eastAsia"/>
                <w:color w:val="auto"/>
              </w:rPr>
              <w:t>设备</w:t>
            </w:r>
            <w:r>
              <w:rPr>
                <w:color w:val="auto"/>
              </w:rPr>
              <w:t>应采取在基础上采取减振、建筑物隔声等降噪措施，运输车辆应采取减速慢行，禁止鸣笛，建筑物隔声。处理好周边居民关系，确保噪声能够达标排放。</w:t>
            </w:r>
          </w:p>
          <w:p w14:paraId="4851D64B">
            <w:pPr>
              <w:ind w:firstLine="422"/>
              <w:rPr>
                <w:b/>
                <w:color w:val="auto"/>
              </w:rPr>
            </w:pPr>
            <w:r>
              <w:rPr>
                <w:rStyle w:val="25"/>
                <w:b/>
                <w:bCs/>
                <w:color w:val="auto"/>
              </w:rPr>
              <w:t>（3）</w:t>
            </w:r>
            <w:r>
              <w:rPr>
                <w:b/>
                <w:color w:val="auto"/>
              </w:rPr>
              <w:t>运营期噪声监测计划</w:t>
            </w:r>
          </w:p>
          <w:p w14:paraId="0344817D">
            <w:pPr>
              <w:ind w:firstLine="480"/>
              <w:rPr>
                <w:color w:val="auto"/>
              </w:rPr>
            </w:pPr>
            <w:r>
              <w:rPr>
                <w:rFonts w:hint="eastAsia"/>
                <w:color w:val="auto"/>
              </w:rPr>
              <w:t>根据《排污单位自行监测技术指南 总则》（HJ 819-2017），对项目运营期间噪声监测计划如下：</w:t>
            </w:r>
          </w:p>
          <w:p w14:paraId="6E302429">
            <w:pPr>
              <w:pStyle w:val="29"/>
              <w:spacing w:before="24" w:after="24"/>
              <w:rPr>
                <w:color w:val="auto"/>
              </w:rPr>
            </w:pPr>
            <w:r>
              <w:rPr>
                <w:color w:val="auto"/>
              </w:rPr>
              <w:t>表</w:t>
            </w:r>
            <w:r>
              <w:rPr>
                <w:rFonts w:hint="eastAsia"/>
                <w:color w:val="auto"/>
                <w:lang w:val="en-US" w:eastAsia="zh-CN"/>
              </w:rPr>
              <w:t xml:space="preserve">4-16 </w:t>
            </w:r>
            <w:r>
              <w:rPr>
                <w:color w:val="auto"/>
              </w:rPr>
              <w:t xml:space="preserve"> </w:t>
            </w:r>
            <w:r>
              <w:rPr>
                <w:rFonts w:hint="eastAsia"/>
                <w:color w:val="auto"/>
              </w:rPr>
              <w:t>噪声监测计划表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5"/>
              <w:gridCol w:w="2047"/>
              <w:gridCol w:w="1574"/>
              <w:gridCol w:w="1257"/>
              <w:gridCol w:w="2571"/>
            </w:tblGrid>
            <w:tr w14:paraId="7957E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pct"/>
                  <w:noWrap w:val="0"/>
                  <w:vAlign w:val="center"/>
                </w:tcPr>
                <w:p w14:paraId="1CAC2D67">
                  <w:pPr>
                    <w:pStyle w:val="36"/>
                    <w:rPr>
                      <w:b/>
                      <w:bCs/>
                      <w:color w:val="auto"/>
                    </w:rPr>
                  </w:pPr>
                  <w:r>
                    <w:rPr>
                      <w:rFonts w:hint="eastAsia"/>
                      <w:b/>
                      <w:bCs/>
                      <w:color w:val="auto"/>
                    </w:rPr>
                    <w:t>项目</w:t>
                  </w:r>
                </w:p>
              </w:tc>
              <w:tc>
                <w:tcPr>
                  <w:tcW w:w="1177" w:type="pct"/>
                  <w:noWrap w:val="0"/>
                  <w:vAlign w:val="center"/>
                </w:tcPr>
                <w:p w14:paraId="1F767CD4">
                  <w:pPr>
                    <w:pStyle w:val="36"/>
                    <w:rPr>
                      <w:b/>
                      <w:bCs/>
                      <w:color w:val="auto"/>
                    </w:rPr>
                  </w:pPr>
                  <w:r>
                    <w:rPr>
                      <w:rFonts w:hint="eastAsia"/>
                      <w:b/>
                      <w:bCs/>
                      <w:color w:val="auto"/>
                    </w:rPr>
                    <w:t>检测点位</w:t>
                  </w:r>
                </w:p>
              </w:tc>
              <w:tc>
                <w:tcPr>
                  <w:tcW w:w="905" w:type="pct"/>
                  <w:noWrap w:val="0"/>
                  <w:vAlign w:val="center"/>
                </w:tcPr>
                <w:p w14:paraId="4FAB4DC2">
                  <w:pPr>
                    <w:pStyle w:val="36"/>
                    <w:rPr>
                      <w:b/>
                      <w:bCs/>
                      <w:color w:val="auto"/>
                    </w:rPr>
                  </w:pPr>
                  <w:r>
                    <w:rPr>
                      <w:rFonts w:hint="eastAsia"/>
                      <w:b/>
                      <w:bCs/>
                      <w:color w:val="auto"/>
                    </w:rPr>
                    <w:t>监测内容</w:t>
                  </w:r>
                </w:p>
              </w:tc>
              <w:tc>
                <w:tcPr>
                  <w:tcW w:w="723" w:type="pct"/>
                  <w:noWrap w:val="0"/>
                  <w:vAlign w:val="center"/>
                </w:tcPr>
                <w:p w14:paraId="0DD1CAC4">
                  <w:pPr>
                    <w:pStyle w:val="36"/>
                    <w:rPr>
                      <w:b/>
                      <w:bCs/>
                      <w:color w:val="auto"/>
                    </w:rPr>
                  </w:pPr>
                  <w:r>
                    <w:rPr>
                      <w:rFonts w:hint="eastAsia"/>
                      <w:b/>
                      <w:bCs/>
                      <w:color w:val="auto"/>
                    </w:rPr>
                    <w:t>监测频次</w:t>
                  </w:r>
                </w:p>
              </w:tc>
              <w:tc>
                <w:tcPr>
                  <w:tcW w:w="1478" w:type="pct"/>
                  <w:noWrap w:val="0"/>
                  <w:vAlign w:val="center"/>
                </w:tcPr>
                <w:p w14:paraId="2C0B504B">
                  <w:pPr>
                    <w:pStyle w:val="36"/>
                    <w:rPr>
                      <w:b/>
                      <w:bCs/>
                      <w:color w:val="auto"/>
                    </w:rPr>
                  </w:pPr>
                  <w:r>
                    <w:rPr>
                      <w:rFonts w:hint="eastAsia"/>
                      <w:b/>
                      <w:bCs/>
                      <w:color w:val="auto"/>
                    </w:rPr>
                    <w:t>执行标准</w:t>
                  </w:r>
                </w:p>
              </w:tc>
            </w:tr>
            <w:tr w14:paraId="38090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pct"/>
                  <w:noWrap w:val="0"/>
                  <w:vAlign w:val="center"/>
                </w:tcPr>
                <w:p w14:paraId="09557D6C">
                  <w:pPr>
                    <w:pStyle w:val="36"/>
                    <w:rPr>
                      <w:b w:val="0"/>
                      <w:bCs/>
                      <w:color w:val="auto"/>
                    </w:rPr>
                  </w:pPr>
                  <w:r>
                    <w:rPr>
                      <w:rFonts w:hint="eastAsia"/>
                      <w:b w:val="0"/>
                      <w:bCs/>
                      <w:color w:val="auto"/>
                    </w:rPr>
                    <w:t>厂界噪声</w:t>
                  </w:r>
                </w:p>
              </w:tc>
              <w:tc>
                <w:tcPr>
                  <w:tcW w:w="1177" w:type="pct"/>
                  <w:noWrap w:val="0"/>
                  <w:vAlign w:val="center"/>
                </w:tcPr>
                <w:p w14:paraId="26B3AEBC">
                  <w:pPr>
                    <w:pStyle w:val="36"/>
                    <w:rPr>
                      <w:b w:val="0"/>
                      <w:bCs/>
                      <w:color w:val="auto"/>
                    </w:rPr>
                  </w:pPr>
                  <w:r>
                    <w:rPr>
                      <w:rFonts w:hint="eastAsia"/>
                      <w:b w:val="0"/>
                      <w:bCs/>
                      <w:color w:val="auto"/>
                    </w:rPr>
                    <w:t>厂界东侧、西侧、南侧、北侧1m处各1个点</w:t>
                  </w:r>
                </w:p>
              </w:tc>
              <w:tc>
                <w:tcPr>
                  <w:tcW w:w="905" w:type="pct"/>
                  <w:noWrap w:val="0"/>
                  <w:vAlign w:val="center"/>
                </w:tcPr>
                <w:p w14:paraId="6CABC1E4">
                  <w:pPr>
                    <w:pStyle w:val="36"/>
                    <w:rPr>
                      <w:b w:val="0"/>
                      <w:bCs/>
                      <w:color w:val="auto"/>
                    </w:rPr>
                  </w:pPr>
                  <w:r>
                    <w:rPr>
                      <w:rFonts w:hint="eastAsia"/>
                      <w:b w:val="0"/>
                      <w:bCs/>
                      <w:color w:val="auto"/>
                    </w:rPr>
                    <w:t>等效连续声级Leq（A）</w:t>
                  </w:r>
                </w:p>
              </w:tc>
              <w:tc>
                <w:tcPr>
                  <w:tcW w:w="723" w:type="pct"/>
                  <w:noWrap w:val="0"/>
                  <w:vAlign w:val="center"/>
                </w:tcPr>
                <w:p w14:paraId="5DD1BD2D">
                  <w:pPr>
                    <w:pStyle w:val="36"/>
                    <w:rPr>
                      <w:b w:val="0"/>
                      <w:bCs/>
                      <w:color w:val="auto"/>
                    </w:rPr>
                  </w:pPr>
                  <w:r>
                    <w:rPr>
                      <w:rFonts w:hint="eastAsia"/>
                      <w:b w:val="0"/>
                      <w:bCs/>
                      <w:color w:val="auto"/>
                    </w:rPr>
                    <w:t>1次/季度</w:t>
                  </w:r>
                </w:p>
              </w:tc>
              <w:tc>
                <w:tcPr>
                  <w:tcW w:w="1478" w:type="pct"/>
                  <w:noWrap w:val="0"/>
                  <w:vAlign w:val="center"/>
                </w:tcPr>
                <w:p w14:paraId="3A4CBE23">
                  <w:pPr>
                    <w:pStyle w:val="36"/>
                    <w:rPr>
                      <w:b w:val="0"/>
                      <w:bCs/>
                      <w:color w:val="auto"/>
                    </w:rPr>
                  </w:pPr>
                  <w:r>
                    <w:rPr>
                      <w:rFonts w:hint="eastAsia"/>
                      <w:b w:val="0"/>
                      <w:bCs/>
                      <w:color w:val="auto"/>
                    </w:rPr>
                    <w:t>《工业企业厂界环境噪声排放标准》（GB12348-2008）2类标准限值</w:t>
                  </w:r>
                </w:p>
              </w:tc>
            </w:tr>
          </w:tbl>
          <w:p w14:paraId="639F0E56">
            <w:pPr>
              <w:pStyle w:val="33"/>
              <w:ind w:firstLine="480"/>
              <w:rPr>
                <w:b/>
                <w:color w:val="auto"/>
                <w:spacing w:val="-10"/>
                <w:szCs w:val="24"/>
              </w:rPr>
            </w:pPr>
            <w:r>
              <w:rPr>
                <w:b/>
                <w:bCs/>
                <w:color w:val="auto"/>
                <w:szCs w:val="24"/>
              </w:rPr>
              <w:t>4.</w:t>
            </w:r>
            <w:r>
              <w:rPr>
                <w:rFonts w:hint="eastAsia"/>
                <w:b/>
                <w:bCs/>
                <w:color w:val="auto"/>
                <w:szCs w:val="24"/>
              </w:rPr>
              <w:t>5</w:t>
            </w:r>
            <w:r>
              <w:rPr>
                <w:b/>
                <w:color w:val="auto"/>
                <w:spacing w:val="-10"/>
                <w:szCs w:val="24"/>
              </w:rPr>
              <w:t>运营期固体废物环境影响及保护措施</w:t>
            </w:r>
          </w:p>
          <w:p w14:paraId="32475041">
            <w:pPr>
              <w:ind w:firstLine="482"/>
              <w:rPr>
                <w:b/>
                <w:bCs/>
                <w:color w:val="auto"/>
              </w:rPr>
            </w:pPr>
            <w:r>
              <w:rPr>
                <w:b/>
                <w:bCs/>
                <w:color w:val="auto"/>
              </w:rPr>
              <w:t>4.</w:t>
            </w:r>
            <w:r>
              <w:rPr>
                <w:rFonts w:hint="eastAsia"/>
                <w:b/>
                <w:bCs/>
                <w:color w:val="auto"/>
              </w:rPr>
              <w:t>5</w:t>
            </w:r>
            <w:r>
              <w:rPr>
                <w:b/>
                <w:bCs/>
                <w:color w:val="auto"/>
              </w:rPr>
              <w:t>.1固体废物产生及处置情况</w:t>
            </w:r>
          </w:p>
          <w:p w14:paraId="2F2E08E1">
            <w:pPr>
              <w:ind w:firstLine="480"/>
              <w:rPr>
                <w:color w:val="auto"/>
              </w:rPr>
            </w:pPr>
            <w:r>
              <w:rPr>
                <w:color w:val="auto"/>
              </w:rPr>
              <w:t>项目营运期产生的固体废物主要有生活垃圾、化粪池淤泥、</w:t>
            </w:r>
            <w:r>
              <w:rPr>
                <w:rFonts w:hint="eastAsia"/>
                <w:color w:val="auto"/>
              </w:rPr>
              <w:t>生物质锅炉收尘灰及灰渣、</w:t>
            </w:r>
            <w:r>
              <w:rPr>
                <w:color w:val="auto"/>
              </w:rPr>
              <w:t>废机油和</w:t>
            </w:r>
            <w:r>
              <w:rPr>
                <w:rFonts w:hint="eastAsia"/>
                <w:color w:val="auto"/>
              </w:rPr>
              <w:t>废机油桶</w:t>
            </w:r>
            <w:r>
              <w:rPr>
                <w:color w:val="auto"/>
              </w:rPr>
              <w:t>。</w:t>
            </w:r>
          </w:p>
          <w:p w14:paraId="270F2B04">
            <w:pPr>
              <w:ind w:firstLine="480"/>
              <w:rPr>
                <w:color w:val="auto"/>
              </w:rPr>
            </w:pPr>
            <w:r>
              <w:rPr>
                <w:color w:val="auto"/>
              </w:rPr>
              <w:t>（1）生活垃圾</w:t>
            </w:r>
          </w:p>
          <w:p w14:paraId="470224C3">
            <w:pPr>
              <w:ind w:firstLine="480"/>
              <w:rPr>
                <w:color w:val="auto"/>
              </w:rPr>
            </w:pPr>
            <w:r>
              <w:rPr>
                <w:color w:val="auto"/>
              </w:rPr>
              <w:t>项目员工均在项目区食宿</w:t>
            </w:r>
            <w:r>
              <w:rPr>
                <w:bCs/>
                <w:color w:val="auto"/>
              </w:rPr>
              <w:t>，</w:t>
            </w:r>
            <w:r>
              <w:rPr>
                <w:color w:val="auto"/>
              </w:rPr>
              <w:t>员工日常生活垃圾产生量按</w:t>
            </w:r>
            <w:r>
              <w:rPr>
                <w:rFonts w:hint="eastAsia"/>
                <w:color w:val="auto"/>
              </w:rPr>
              <w:t>1.0</w:t>
            </w:r>
            <w:r>
              <w:rPr>
                <w:color w:val="auto"/>
              </w:rPr>
              <w:t>kg/人·d计，项目劳动定</w:t>
            </w:r>
            <w:r>
              <w:rPr>
                <w:rFonts w:hint="eastAsia"/>
                <w:color w:val="auto"/>
              </w:rPr>
              <w:t>额78</w:t>
            </w:r>
            <w:r>
              <w:rPr>
                <w:color w:val="auto"/>
              </w:rPr>
              <w:t>人，年生产天数为3</w:t>
            </w:r>
            <w:r>
              <w:rPr>
                <w:rFonts w:hint="eastAsia"/>
                <w:color w:val="auto"/>
              </w:rPr>
              <w:t>0</w:t>
            </w:r>
            <w:r>
              <w:rPr>
                <w:color w:val="auto"/>
              </w:rPr>
              <w:t>0天，则生活垃圾产生量为</w:t>
            </w:r>
            <w:r>
              <w:rPr>
                <w:rFonts w:hint="eastAsia"/>
                <w:color w:val="auto"/>
              </w:rPr>
              <w:t>78</w:t>
            </w:r>
            <w:r>
              <w:rPr>
                <w:color w:val="auto"/>
              </w:rPr>
              <w:t>kg/d，</w:t>
            </w:r>
            <w:r>
              <w:rPr>
                <w:rFonts w:hint="eastAsia"/>
                <w:color w:val="auto"/>
              </w:rPr>
              <w:t>23.4</w:t>
            </w:r>
            <w:r>
              <w:rPr>
                <w:color w:val="auto"/>
              </w:rPr>
              <w:t>t/a。本项目设有生活垃圾收集箱，生活垃圾由</w:t>
            </w:r>
            <w:r>
              <w:rPr>
                <w:rFonts w:hint="eastAsia"/>
                <w:color w:val="auto"/>
              </w:rPr>
              <w:t>昆明洁龙保洁服务有限公司清运处置</w:t>
            </w:r>
            <w:r>
              <w:rPr>
                <w:color w:val="auto"/>
              </w:rPr>
              <w:t>。</w:t>
            </w:r>
          </w:p>
          <w:p w14:paraId="24F30B03">
            <w:pPr>
              <w:pStyle w:val="40"/>
              <w:ind w:firstLine="480"/>
              <w:rPr>
                <w:snapToGrid w:val="0"/>
                <w:color w:val="auto"/>
              </w:rPr>
            </w:pPr>
            <w:r>
              <w:rPr>
                <w:snapToGrid w:val="0"/>
                <w:color w:val="auto"/>
              </w:rPr>
              <w:t>（2）食堂泔水</w:t>
            </w:r>
          </w:p>
          <w:p w14:paraId="69EB3516">
            <w:pPr>
              <w:pStyle w:val="40"/>
              <w:ind w:firstLine="480"/>
              <w:rPr>
                <w:snapToGrid w:val="0"/>
                <w:color w:val="auto"/>
              </w:rPr>
            </w:pPr>
            <w:r>
              <w:rPr>
                <w:snapToGrid w:val="0"/>
                <w:color w:val="auto"/>
              </w:rPr>
              <w:t>项目食堂用餐人数为</w:t>
            </w:r>
            <w:r>
              <w:rPr>
                <w:rFonts w:hint="eastAsia"/>
                <w:snapToGrid w:val="0"/>
                <w:color w:val="auto"/>
                <w:lang w:val="en-US" w:eastAsia="zh-CN"/>
              </w:rPr>
              <w:t>50</w:t>
            </w:r>
            <w:r>
              <w:rPr>
                <w:snapToGrid w:val="0"/>
                <w:color w:val="auto"/>
              </w:rPr>
              <w:t>人，泔水产生量取0.2kg/人·d，则项目运营期泔水产生量为</w:t>
            </w:r>
            <w:r>
              <w:rPr>
                <w:rFonts w:hint="eastAsia"/>
                <w:snapToGrid w:val="0"/>
                <w:color w:val="auto"/>
                <w:lang w:val="en-US" w:eastAsia="zh-CN"/>
              </w:rPr>
              <w:t>10</w:t>
            </w:r>
            <w:r>
              <w:rPr>
                <w:snapToGrid w:val="0"/>
                <w:color w:val="auto"/>
              </w:rPr>
              <w:t>kg/d，</w:t>
            </w:r>
            <w:r>
              <w:rPr>
                <w:rFonts w:hint="eastAsia"/>
                <w:snapToGrid w:val="0"/>
                <w:color w:val="auto"/>
                <w:lang w:val="en-US" w:eastAsia="zh-CN"/>
              </w:rPr>
              <w:t>3</w:t>
            </w:r>
            <w:r>
              <w:rPr>
                <w:snapToGrid w:val="0"/>
                <w:color w:val="auto"/>
              </w:rPr>
              <w:t>t/a，食堂设置泔水桶，泔水经统一收集后由</w:t>
            </w:r>
            <w:r>
              <w:rPr>
                <w:rFonts w:hint="eastAsia"/>
                <w:snapToGrid w:val="0"/>
                <w:color w:val="auto"/>
              </w:rPr>
              <w:t>昆明洁龙保洁服务有限公司清运处置</w:t>
            </w:r>
            <w:r>
              <w:rPr>
                <w:snapToGrid w:val="0"/>
                <w:color w:val="auto"/>
              </w:rPr>
              <w:t>。</w:t>
            </w:r>
          </w:p>
          <w:p w14:paraId="491B9F0E">
            <w:pPr>
              <w:pStyle w:val="40"/>
              <w:ind w:firstLine="480"/>
              <w:rPr>
                <w:snapToGrid w:val="0"/>
                <w:color w:val="auto"/>
              </w:rPr>
            </w:pPr>
            <w:r>
              <w:rPr>
                <w:rFonts w:hint="eastAsia"/>
                <w:snapToGrid w:val="0"/>
                <w:color w:val="auto"/>
              </w:rPr>
              <w:t>（3）油水分离器</w:t>
            </w:r>
            <w:r>
              <w:rPr>
                <w:snapToGrid w:val="0"/>
                <w:color w:val="auto"/>
              </w:rPr>
              <w:t>废油</w:t>
            </w:r>
          </w:p>
          <w:p w14:paraId="337D2C7B">
            <w:pPr>
              <w:ind w:firstLine="480"/>
              <w:rPr>
                <w:rFonts w:hint="eastAsia" w:eastAsia="宋体"/>
                <w:color w:val="auto"/>
                <w:lang w:eastAsia="zh-CN"/>
              </w:rPr>
            </w:pPr>
            <w:r>
              <w:rPr>
                <w:color w:val="auto"/>
              </w:rPr>
              <w:t>本次环评要求项目在厨房处设置</w:t>
            </w:r>
            <w:r>
              <w:rPr>
                <w:rFonts w:hint="eastAsia"/>
                <w:color w:val="auto"/>
                <w:lang w:val="en-US" w:eastAsia="zh-CN"/>
              </w:rPr>
              <w:t>1</w:t>
            </w:r>
            <w:r>
              <w:rPr>
                <w:color w:val="auto"/>
              </w:rPr>
              <w:t>个容积为</w:t>
            </w:r>
            <w:r>
              <w:rPr>
                <w:rFonts w:hint="eastAsia"/>
                <w:color w:val="auto"/>
              </w:rPr>
              <w:t>0.5</w:t>
            </w:r>
            <w:r>
              <w:rPr>
                <w:color w:val="auto"/>
              </w:rPr>
              <w:t>m</w:t>
            </w:r>
            <w:r>
              <w:rPr>
                <w:color w:val="auto"/>
                <w:vertAlign w:val="superscript"/>
              </w:rPr>
              <w:t>3</w:t>
            </w:r>
            <w:r>
              <w:rPr>
                <w:color w:val="auto"/>
              </w:rPr>
              <w:t>的</w:t>
            </w:r>
            <w:r>
              <w:rPr>
                <w:rFonts w:hint="eastAsia"/>
                <w:color w:val="auto"/>
              </w:rPr>
              <w:t>油水分离器</w:t>
            </w:r>
            <w:r>
              <w:rPr>
                <w:color w:val="auto"/>
              </w:rPr>
              <w:t>处理厨房含油废水，</w:t>
            </w:r>
            <w:r>
              <w:rPr>
                <w:rFonts w:hint="eastAsia"/>
                <w:color w:val="auto"/>
              </w:rPr>
              <w:t>油水分离器</w:t>
            </w:r>
            <w:r>
              <w:rPr>
                <w:color w:val="auto"/>
              </w:rPr>
              <w:t>在清掏时会产生一定量的废油脂，由于项目食堂含油废水的产生量很小，因此</w:t>
            </w:r>
            <w:r>
              <w:rPr>
                <w:rFonts w:hint="eastAsia"/>
                <w:color w:val="auto"/>
              </w:rPr>
              <w:t>油水分离器</w:t>
            </w:r>
            <w:r>
              <w:rPr>
                <w:color w:val="auto"/>
              </w:rPr>
              <w:t>废油脂的产生亦很小，约0.05t/a。</w:t>
            </w:r>
            <w:r>
              <w:rPr>
                <w:rFonts w:hint="eastAsia"/>
                <w:color w:val="auto"/>
              </w:rPr>
              <w:t>油水分离器</w:t>
            </w:r>
            <w:r>
              <w:rPr>
                <w:color w:val="auto"/>
              </w:rPr>
              <w:t>废油脂不属于危险废物，定期清掏后同食堂泔水</w:t>
            </w:r>
            <w:r>
              <w:rPr>
                <w:snapToGrid w:val="0"/>
                <w:color w:val="auto"/>
              </w:rPr>
              <w:t>一同</w:t>
            </w:r>
            <w:r>
              <w:rPr>
                <w:color w:val="auto"/>
              </w:rPr>
              <w:t>由</w:t>
            </w:r>
            <w:r>
              <w:rPr>
                <w:rFonts w:hint="eastAsia"/>
                <w:color w:val="auto"/>
              </w:rPr>
              <w:t>昆明洁龙保洁服务有限公司清运处置</w:t>
            </w:r>
            <w:r>
              <w:rPr>
                <w:rFonts w:hint="eastAsia"/>
                <w:snapToGrid w:val="0"/>
                <w:color w:val="auto"/>
                <w:lang w:eastAsia="zh-CN"/>
              </w:rPr>
              <w:t>。</w:t>
            </w:r>
          </w:p>
          <w:p w14:paraId="7ADE6D4A">
            <w:pPr>
              <w:ind w:firstLine="480"/>
              <w:rPr>
                <w:color w:val="auto"/>
              </w:rPr>
            </w:pPr>
            <w:r>
              <w:rPr>
                <w:color w:val="auto"/>
              </w:rPr>
              <w:t>（</w:t>
            </w:r>
            <w:r>
              <w:rPr>
                <w:rFonts w:hint="eastAsia"/>
                <w:color w:val="auto"/>
              </w:rPr>
              <w:t>4</w:t>
            </w:r>
            <w:r>
              <w:rPr>
                <w:color w:val="auto"/>
              </w:rPr>
              <w:t>）化粪池</w:t>
            </w:r>
            <w:r>
              <w:rPr>
                <w:rFonts w:hint="eastAsia"/>
                <w:color w:val="auto"/>
              </w:rPr>
              <w:t>污泥</w:t>
            </w:r>
          </w:p>
          <w:p w14:paraId="14F62668">
            <w:pPr>
              <w:ind w:firstLine="480"/>
              <w:rPr>
                <w:color w:val="auto"/>
              </w:rPr>
            </w:pPr>
            <w:r>
              <w:rPr>
                <w:color w:val="auto"/>
              </w:rPr>
              <w:t>项目在运营期设置化粪池，项目劳动定员</w:t>
            </w:r>
            <w:r>
              <w:rPr>
                <w:rFonts w:hint="eastAsia"/>
                <w:color w:val="auto"/>
              </w:rPr>
              <w:t>78</w:t>
            </w:r>
            <w:r>
              <w:rPr>
                <w:color w:val="auto"/>
              </w:rPr>
              <w:t>人，年生产天数为330天。粪便产生量按0.25kg/人·d计算，运营期产生粪便量为</w:t>
            </w:r>
            <w:r>
              <w:rPr>
                <w:rFonts w:hint="eastAsia"/>
                <w:color w:val="auto"/>
              </w:rPr>
              <w:t>5.85</w:t>
            </w:r>
            <w:r>
              <w:rPr>
                <w:color w:val="auto"/>
              </w:rPr>
              <w:t>t/a，</w:t>
            </w:r>
            <w:r>
              <w:rPr>
                <w:rFonts w:hint="eastAsia"/>
                <w:color w:val="auto"/>
              </w:rPr>
              <w:t>项目区</w:t>
            </w:r>
            <w:r>
              <w:rPr>
                <w:rFonts w:hint="eastAsia"/>
                <w:color w:val="auto"/>
                <w:lang w:val="en-US" w:eastAsia="zh-CN"/>
              </w:rPr>
              <w:t>建</w:t>
            </w:r>
            <w:r>
              <w:rPr>
                <w:rFonts w:hint="eastAsia"/>
                <w:color w:val="auto"/>
              </w:rPr>
              <w:t>设</w:t>
            </w:r>
            <w:r>
              <w:rPr>
                <w:rFonts w:hint="eastAsia"/>
                <w:color w:val="auto"/>
                <w:lang w:val="en-US" w:eastAsia="zh-CN"/>
              </w:rPr>
              <w:t>45</w:t>
            </w:r>
            <w:r>
              <w:rPr>
                <w:rFonts w:hint="eastAsia"/>
                <w:color w:val="auto"/>
              </w:rPr>
              <w:t>m</w:t>
            </w:r>
            <w:r>
              <w:rPr>
                <w:rFonts w:hint="eastAsia"/>
                <w:color w:val="auto"/>
                <w:vertAlign w:val="superscript"/>
              </w:rPr>
              <w:t>3</w:t>
            </w:r>
            <w:r>
              <w:rPr>
                <w:rFonts w:hint="eastAsia"/>
                <w:color w:val="auto"/>
              </w:rPr>
              <w:t>的两个化粪池，足够容纳项目区产生的粪便，</w:t>
            </w:r>
            <w:r>
              <w:rPr>
                <w:color w:val="auto"/>
              </w:rPr>
              <w:t>化粪池淤泥</w:t>
            </w:r>
            <w:r>
              <w:rPr>
                <w:rFonts w:hint="eastAsia"/>
                <w:color w:val="auto"/>
                <w:lang w:val="en-US" w:eastAsia="zh-CN"/>
              </w:rPr>
              <w:t>由昆明洁龙保洁服务有限公司清掏</w:t>
            </w:r>
            <w:r>
              <w:rPr>
                <w:rFonts w:hint="eastAsia"/>
                <w:color w:val="auto"/>
              </w:rPr>
              <w:t>处置</w:t>
            </w:r>
            <w:r>
              <w:rPr>
                <w:color w:val="auto"/>
              </w:rPr>
              <w:t>。</w:t>
            </w:r>
          </w:p>
          <w:p w14:paraId="291655DA">
            <w:pPr>
              <w:ind w:firstLine="480"/>
              <w:rPr>
                <w:color w:val="auto"/>
              </w:rPr>
            </w:pPr>
            <w:r>
              <w:rPr>
                <w:color w:val="auto"/>
              </w:rPr>
              <w:t>（</w:t>
            </w:r>
            <w:r>
              <w:rPr>
                <w:rFonts w:hint="eastAsia"/>
                <w:color w:val="auto"/>
                <w:lang w:val="en-US" w:eastAsia="zh-CN"/>
              </w:rPr>
              <w:t>5</w:t>
            </w:r>
            <w:r>
              <w:rPr>
                <w:color w:val="auto"/>
              </w:rPr>
              <w:t>）生产固废</w:t>
            </w:r>
          </w:p>
          <w:p w14:paraId="7C084F4A">
            <w:pPr>
              <w:tabs>
                <w:tab w:val="left" w:pos="2395"/>
              </w:tabs>
              <w:ind w:firstLine="480"/>
              <w:rPr>
                <w:rFonts w:hint="eastAsia" w:eastAsia="宋体"/>
                <w:color w:val="auto"/>
                <w:lang w:eastAsia="zh-CN"/>
              </w:rPr>
            </w:pPr>
            <w:r>
              <w:rPr>
                <w:rFonts w:hint="eastAsia" w:ascii="宋体" w:hAnsi="宋体" w:cs="宋体"/>
                <w:color w:val="auto"/>
              </w:rPr>
              <w:t>①</w:t>
            </w:r>
            <w:r>
              <w:rPr>
                <w:color w:val="auto"/>
              </w:rPr>
              <w:t>沉淀池沉渣：根据类比同类型项目及向建设单位了解，沉淀池沉渣产生量约</w:t>
            </w:r>
            <w:r>
              <w:rPr>
                <w:rFonts w:hint="eastAsia"/>
                <w:color w:val="auto"/>
              </w:rPr>
              <w:t>5</w:t>
            </w:r>
            <w:r>
              <w:rPr>
                <w:color w:val="auto"/>
              </w:rPr>
              <w:t>t/a，</w:t>
            </w:r>
            <w:r>
              <w:rPr>
                <w:rFonts w:hint="eastAsia"/>
                <w:color w:val="auto"/>
                <w:lang w:val="en-US" w:eastAsia="zh-CN"/>
              </w:rPr>
              <w:t>定期清掏进行填埋处置。</w:t>
            </w:r>
          </w:p>
          <w:p w14:paraId="68E06EEF">
            <w:pPr>
              <w:tabs>
                <w:tab w:val="left" w:pos="2395"/>
              </w:tabs>
              <w:ind w:firstLine="480"/>
              <w:rPr>
                <w:color w:val="auto"/>
              </w:rPr>
            </w:pPr>
            <w:r>
              <w:rPr>
                <w:color w:val="auto"/>
              </w:rPr>
              <w:fldChar w:fldCharType="begin"/>
            </w:r>
            <w:r>
              <w:rPr>
                <w:color w:val="auto"/>
              </w:rPr>
              <w:instrText xml:space="preserve"> = 2 \* GB3 </w:instrText>
            </w:r>
            <w:r>
              <w:rPr>
                <w:color w:val="auto"/>
              </w:rPr>
              <w:fldChar w:fldCharType="separate"/>
            </w:r>
            <w:r>
              <w:rPr>
                <w:rFonts w:hint="eastAsia" w:ascii="宋体" w:hAnsi="宋体" w:cs="宋体"/>
                <w:color w:val="auto"/>
              </w:rPr>
              <w:t>②</w:t>
            </w:r>
            <w:r>
              <w:rPr>
                <w:color w:val="auto"/>
              </w:rPr>
              <w:fldChar w:fldCharType="end"/>
            </w:r>
            <w:r>
              <w:rPr>
                <w:color w:val="auto"/>
                <w:kern w:val="0"/>
              </w:rPr>
              <w:t>收尘器收集粉尘：项目水泥筒仓颗粒物产生量</w:t>
            </w:r>
            <w:r>
              <w:rPr>
                <w:rFonts w:hint="eastAsia"/>
                <w:color w:val="auto"/>
                <w:kern w:val="0"/>
              </w:rPr>
              <w:t>2.69</w:t>
            </w:r>
            <w:r>
              <w:rPr>
                <w:color w:val="auto"/>
                <w:kern w:val="0"/>
              </w:rPr>
              <w:t>t/a，排放量</w:t>
            </w:r>
            <w:r>
              <w:rPr>
                <w:rFonts w:hint="eastAsia"/>
                <w:color w:val="auto"/>
                <w:kern w:val="0"/>
              </w:rPr>
              <w:t>0.0054</w:t>
            </w:r>
            <w:r>
              <w:rPr>
                <w:color w:val="auto"/>
                <w:kern w:val="0"/>
              </w:rPr>
              <w:t>t/a，则项目除尘器收集的粉尘量约</w:t>
            </w:r>
            <w:r>
              <w:rPr>
                <w:rFonts w:hint="eastAsia"/>
                <w:color w:val="auto"/>
                <w:kern w:val="0"/>
              </w:rPr>
              <w:t>2.6846</w:t>
            </w:r>
            <w:r>
              <w:rPr>
                <w:color w:val="auto"/>
                <w:kern w:val="0"/>
              </w:rPr>
              <w:t>t/a，</w:t>
            </w:r>
            <w:r>
              <w:rPr>
                <w:rFonts w:hint="eastAsia"/>
                <w:color w:val="auto"/>
                <w:kern w:val="0"/>
              </w:rPr>
              <w:t>投料工序中</w:t>
            </w:r>
            <w:r>
              <w:rPr>
                <w:color w:val="auto"/>
                <w:kern w:val="0"/>
              </w:rPr>
              <w:t>颗粒物产生量</w:t>
            </w:r>
            <w:r>
              <w:rPr>
                <w:rFonts w:hint="eastAsia"/>
                <w:color w:val="auto"/>
                <w:kern w:val="0"/>
              </w:rPr>
              <w:t>0.867</w:t>
            </w:r>
            <w:r>
              <w:rPr>
                <w:color w:val="auto"/>
                <w:kern w:val="0"/>
              </w:rPr>
              <w:t>t/a</w:t>
            </w:r>
            <w:r>
              <w:rPr>
                <w:rFonts w:hint="eastAsia"/>
                <w:color w:val="auto"/>
                <w:kern w:val="0"/>
              </w:rPr>
              <w:t>，</w:t>
            </w:r>
            <w:r>
              <w:rPr>
                <w:color w:val="auto"/>
                <w:kern w:val="0"/>
              </w:rPr>
              <w:t>排放量</w:t>
            </w:r>
            <w:r>
              <w:rPr>
                <w:rFonts w:hint="eastAsia"/>
                <w:color w:val="auto"/>
                <w:kern w:val="0"/>
              </w:rPr>
              <w:t>0.017</w:t>
            </w:r>
            <w:r>
              <w:rPr>
                <w:color w:val="auto"/>
                <w:kern w:val="0"/>
              </w:rPr>
              <w:t>t/a，则项目</w:t>
            </w:r>
            <w:r>
              <w:rPr>
                <w:rFonts w:hint="eastAsia"/>
                <w:color w:val="auto"/>
                <w:kern w:val="0"/>
              </w:rPr>
              <w:t>布袋</w:t>
            </w:r>
            <w:r>
              <w:rPr>
                <w:color w:val="auto"/>
                <w:kern w:val="0"/>
              </w:rPr>
              <w:t>除尘器收集的粉尘量约</w:t>
            </w:r>
            <w:r>
              <w:rPr>
                <w:rFonts w:hint="eastAsia"/>
                <w:color w:val="auto"/>
                <w:kern w:val="0"/>
              </w:rPr>
              <w:t>0.85</w:t>
            </w:r>
            <w:r>
              <w:rPr>
                <w:color w:val="auto"/>
                <w:kern w:val="0"/>
              </w:rPr>
              <w:t>t/a</w:t>
            </w:r>
            <w:r>
              <w:rPr>
                <w:rFonts w:hint="eastAsia"/>
                <w:color w:val="auto"/>
                <w:kern w:val="0"/>
              </w:rPr>
              <w:t>，搅拌工序中</w:t>
            </w:r>
            <w:r>
              <w:rPr>
                <w:color w:val="auto"/>
                <w:kern w:val="0"/>
              </w:rPr>
              <w:t>颗粒物产生量</w:t>
            </w:r>
            <w:r>
              <w:rPr>
                <w:rFonts w:hint="eastAsia"/>
                <w:color w:val="auto"/>
                <w:kern w:val="0"/>
              </w:rPr>
              <w:t>12.042t</w:t>
            </w:r>
            <w:r>
              <w:rPr>
                <w:color w:val="auto"/>
                <w:kern w:val="0"/>
              </w:rPr>
              <w:t>/a</w:t>
            </w:r>
            <w:r>
              <w:rPr>
                <w:rFonts w:hint="eastAsia"/>
                <w:color w:val="auto"/>
                <w:kern w:val="0"/>
              </w:rPr>
              <w:t>，</w:t>
            </w:r>
            <w:r>
              <w:rPr>
                <w:color w:val="auto"/>
                <w:kern w:val="0"/>
              </w:rPr>
              <w:t>排放量</w:t>
            </w:r>
            <w:r>
              <w:rPr>
                <w:rFonts w:hint="eastAsia"/>
                <w:color w:val="auto"/>
                <w:kern w:val="0"/>
              </w:rPr>
              <w:t>0.241</w:t>
            </w:r>
            <w:r>
              <w:rPr>
                <w:color w:val="auto"/>
                <w:kern w:val="0"/>
              </w:rPr>
              <w:t>t/a，则项目</w:t>
            </w:r>
            <w:r>
              <w:rPr>
                <w:rFonts w:hint="eastAsia"/>
                <w:color w:val="auto"/>
                <w:kern w:val="0"/>
              </w:rPr>
              <w:t>布袋</w:t>
            </w:r>
            <w:r>
              <w:rPr>
                <w:color w:val="auto"/>
                <w:kern w:val="0"/>
              </w:rPr>
              <w:t>除尘器收集的粉尘量约</w:t>
            </w:r>
            <w:r>
              <w:rPr>
                <w:rFonts w:hint="eastAsia"/>
                <w:color w:val="auto"/>
                <w:kern w:val="0"/>
              </w:rPr>
              <w:t>11.801</w:t>
            </w:r>
            <w:r>
              <w:rPr>
                <w:color w:val="auto"/>
                <w:kern w:val="0"/>
              </w:rPr>
              <w:t>t/a</w:t>
            </w:r>
            <w:r>
              <w:rPr>
                <w:rFonts w:hint="eastAsia"/>
                <w:color w:val="auto"/>
                <w:kern w:val="0"/>
              </w:rPr>
              <w:t>，收尘器共收集15.34t/a粉尘，</w:t>
            </w:r>
            <w:r>
              <w:rPr>
                <w:color w:val="auto"/>
                <w:kern w:val="0"/>
              </w:rPr>
              <w:t>统一回用于</w:t>
            </w:r>
            <w:r>
              <w:rPr>
                <w:rFonts w:hint="eastAsia"/>
                <w:color w:val="auto"/>
                <w:kern w:val="0"/>
              </w:rPr>
              <w:t>铁路轨枕</w:t>
            </w:r>
            <w:r>
              <w:rPr>
                <w:color w:val="auto"/>
                <w:kern w:val="0"/>
              </w:rPr>
              <w:t>生产。</w:t>
            </w:r>
          </w:p>
          <w:p w14:paraId="2A1FADC0">
            <w:pPr>
              <w:tabs>
                <w:tab w:val="left" w:pos="2395"/>
              </w:tabs>
              <w:ind w:firstLine="480"/>
              <w:rPr>
                <w:color w:val="auto"/>
              </w:rPr>
            </w:pPr>
            <w:r>
              <w:rPr>
                <w:color w:val="auto"/>
              </w:rPr>
              <w:t>（</w:t>
            </w:r>
            <w:r>
              <w:rPr>
                <w:rFonts w:hint="eastAsia"/>
                <w:color w:val="auto"/>
                <w:lang w:val="en-US" w:eastAsia="zh-CN"/>
              </w:rPr>
              <w:t>6</w:t>
            </w:r>
            <w:r>
              <w:rPr>
                <w:color w:val="auto"/>
              </w:rPr>
              <w:t>）不合格产品</w:t>
            </w:r>
          </w:p>
          <w:p w14:paraId="7D8A14E4">
            <w:pPr>
              <w:tabs>
                <w:tab w:val="left" w:pos="2395"/>
              </w:tabs>
              <w:ind w:firstLine="480"/>
              <w:rPr>
                <w:color w:val="auto"/>
              </w:rPr>
            </w:pPr>
            <w:r>
              <w:rPr>
                <w:rFonts w:hint="eastAsia"/>
                <w:color w:val="auto"/>
              </w:rPr>
              <w:t>本项目铁路轨枕生产线在生产过程中会产生少量的不合格品，根据建设单位提供的资料，轨枕不合格品约占年产量的0.6%，则不合格品年产生量约为73.92t/a</w:t>
            </w:r>
            <w:r>
              <w:rPr>
                <w:color w:val="auto"/>
              </w:rPr>
              <w:t>，</w:t>
            </w:r>
            <w:r>
              <w:rPr>
                <w:rFonts w:hint="eastAsia"/>
                <w:color w:val="auto"/>
              </w:rPr>
              <w:t>不合格品经</w:t>
            </w:r>
            <w:r>
              <w:rPr>
                <w:color w:val="auto"/>
              </w:rPr>
              <w:t>敲碎后钢筋取出收集后外售给废旧资源回收单位，混凝土块回用于</w:t>
            </w:r>
            <w:r>
              <w:rPr>
                <w:rFonts w:hint="eastAsia"/>
                <w:color w:val="auto"/>
              </w:rPr>
              <w:t>轨枕</w:t>
            </w:r>
            <w:r>
              <w:rPr>
                <w:color w:val="auto"/>
              </w:rPr>
              <w:t>生产。</w:t>
            </w:r>
          </w:p>
          <w:p w14:paraId="6ABFCB70">
            <w:pPr>
              <w:pStyle w:val="32"/>
              <w:ind w:firstLine="476"/>
              <w:rPr>
                <w:color w:val="auto"/>
                <w:spacing w:val="-2"/>
              </w:rPr>
            </w:pPr>
            <w:r>
              <w:rPr>
                <w:color w:val="auto"/>
                <w:spacing w:val="-2"/>
              </w:rPr>
              <w:t>（</w:t>
            </w:r>
            <w:r>
              <w:rPr>
                <w:rFonts w:hint="eastAsia"/>
                <w:color w:val="auto"/>
                <w:spacing w:val="-2"/>
                <w:lang w:val="en-US" w:eastAsia="zh-CN"/>
              </w:rPr>
              <w:t>7</w:t>
            </w:r>
            <w:r>
              <w:rPr>
                <w:color w:val="auto"/>
                <w:spacing w:val="-2"/>
              </w:rPr>
              <w:t>）废钢筋边角料</w:t>
            </w:r>
          </w:p>
          <w:p w14:paraId="40342034">
            <w:pPr>
              <w:pStyle w:val="32"/>
              <w:ind w:firstLine="476"/>
              <w:rPr>
                <w:color w:val="auto"/>
              </w:rPr>
            </w:pPr>
            <w:r>
              <w:rPr>
                <w:color w:val="auto"/>
                <w:spacing w:val="-2"/>
              </w:rPr>
              <w:t>项目生产是对钢筋进行切割和焊接，会产生一定的废料和焊渣，类比同类项目废</w:t>
            </w:r>
            <w:r>
              <w:rPr>
                <w:color w:val="auto"/>
                <w:spacing w:val="-6"/>
              </w:rPr>
              <w:t xml:space="preserve">料产生量约为 </w:t>
            </w:r>
            <w:r>
              <w:rPr>
                <w:color w:val="auto"/>
              </w:rPr>
              <w:t>10t/a，经定期收集，收集后外售给废旧资源回收单位</w:t>
            </w:r>
          </w:p>
          <w:p w14:paraId="000BA881">
            <w:pPr>
              <w:autoSpaceDE w:val="0"/>
              <w:autoSpaceDN w:val="0"/>
              <w:snapToGrid w:val="0"/>
              <w:ind w:firstLine="480"/>
              <w:jc w:val="left"/>
              <w:rPr>
                <w:color w:val="auto"/>
              </w:rPr>
            </w:pPr>
            <w:r>
              <w:rPr>
                <w:color w:val="auto"/>
              </w:rPr>
              <w:t>（</w:t>
            </w:r>
            <w:r>
              <w:rPr>
                <w:rFonts w:hint="eastAsia"/>
                <w:color w:val="auto"/>
                <w:lang w:val="en-US" w:eastAsia="zh-CN"/>
              </w:rPr>
              <w:t>8</w:t>
            </w:r>
            <w:r>
              <w:rPr>
                <w:color w:val="auto"/>
              </w:rPr>
              <w:t>）</w:t>
            </w:r>
            <w:r>
              <w:rPr>
                <w:rFonts w:hint="eastAsia"/>
                <w:color w:val="auto"/>
              </w:rPr>
              <w:t>生物质锅炉收尘灰及灰渣</w:t>
            </w:r>
          </w:p>
          <w:p w14:paraId="0CA6E24F">
            <w:pPr>
              <w:autoSpaceDE w:val="0"/>
              <w:autoSpaceDN w:val="0"/>
              <w:snapToGrid w:val="0"/>
              <w:ind w:firstLine="480"/>
              <w:jc w:val="left"/>
              <w:rPr>
                <w:rFonts w:hint="default" w:eastAsia="宋体"/>
                <w:color w:val="auto"/>
                <w:lang w:val="en-US" w:eastAsia="zh-CN"/>
              </w:rPr>
            </w:pPr>
            <w:r>
              <w:rPr>
                <w:rFonts w:hint="eastAsia"/>
                <w:color w:val="auto"/>
              </w:rPr>
              <w:t>新建锅炉房采用生物质的使用量为</w:t>
            </w:r>
            <w:r>
              <w:rPr>
                <w:rFonts w:hint="eastAsia"/>
                <w:bCs/>
                <w:color w:val="auto"/>
              </w:rPr>
              <w:t>10000</w:t>
            </w:r>
            <w:r>
              <w:rPr>
                <w:color w:val="auto"/>
              </w:rPr>
              <w:t>t/a</w:t>
            </w:r>
            <w:r>
              <w:rPr>
                <w:rFonts w:hint="eastAsia"/>
                <w:color w:val="auto"/>
              </w:rPr>
              <w:t>，灰分所占比例为4</w:t>
            </w:r>
            <w:r>
              <w:rPr>
                <w:color w:val="auto"/>
              </w:rPr>
              <w:t>%</w:t>
            </w:r>
            <w:r>
              <w:rPr>
                <w:rFonts w:hint="eastAsia"/>
                <w:color w:val="auto"/>
              </w:rPr>
              <w:t>，项目灰渣产生量约为400</w:t>
            </w:r>
            <w:r>
              <w:rPr>
                <w:color w:val="auto"/>
              </w:rPr>
              <w:t>t/a</w:t>
            </w:r>
            <w:r>
              <w:rPr>
                <w:rFonts w:hint="eastAsia"/>
                <w:color w:val="auto"/>
              </w:rPr>
              <w:t>，为一般工业固体废物，主要成分是草木灰，锅炉灰进入锅炉渣槽，采用冷却水喷淋降温降尘，</w:t>
            </w:r>
            <w:r>
              <w:rPr>
                <w:rFonts w:hint="eastAsia"/>
                <w:color w:val="auto"/>
                <w:lang w:val="en-US" w:eastAsia="zh-CN"/>
              </w:rPr>
              <w:t>由昆明洁龙保洁服务有限公司</w:t>
            </w:r>
            <w:r>
              <w:rPr>
                <w:rFonts w:hint="eastAsia"/>
                <w:color w:val="auto"/>
              </w:rPr>
              <w:t>清运处置。</w:t>
            </w:r>
          </w:p>
          <w:p w14:paraId="72F4F36C">
            <w:pPr>
              <w:ind w:firstLine="480"/>
              <w:rPr>
                <w:color w:val="auto"/>
              </w:rPr>
            </w:pPr>
            <w:r>
              <w:rPr>
                <w:rFonts w:hint="eastAsia"/>
                <w:color w:val="auto"/>
              </w:rPr>
              <w:t>（</w:t>
            </w:r>
            <w:r>
              <w:rPr>
                <w:rFonts w:hint="eastAsia"/>
                <w:color w:val="auto"/>
                <w:lang w:val="en-US" w:eastAsia="zh-CN"/>
              </w:rPr>
              <w:t>9</w:t>
            </w:r>
            <w:r>
              <w:rPr>
                <w:rFonts w:hint="eastAsia"/>
                <w:color w:val="auto"/>
              </w:rPr>
              <w:t>）废包装材料</w:t>
            </w:r>
          </w:p>
          <w:p w14:paraId="77587107">
            <w:pPr>
              <w:ind w:firstLine="480"/>
              <w:rPr>
                <w:color w:val="auto"/>
              </w:rPr>
            </w:pPr>
            <w:r>
              <w:rPr>
                <w:rFonts w:hint="eastAsia"/>
                <w:color w:val="auto"/>
              </w:rPr>
              <w:t>本项目轨枕生产过程需添加减水剂，在脱模过程中还需使用脱模剂。根据建设单位提供的资料，本项目预计产生废包装材料约0.5t/a，集中收集后外售处置。</w:t>
            </w:r>
          </w:p>
          <w:p w14:paraId="407A493E">
            <w:pPr>
              <w:ind w:firstLine="480"/>
              <w:rPr>
                <w:color w:val="auto"/>
              </w:rPr>
            </w:pPr>
            <w:r>
              <w:rPr>
                <w:color w:val="auto"/>
              </w:rPr>
              <w:t>（</w:t>
            </w:r>
            <w:r>
              <w:rPr>
                <w:rFonts w:hint="eastAsia"/>
                <w:color w:val="auto"/>
              </w:rPr>
              <w:t>1</w:t>
            </w:r>
            <w:r>
              <w:rPr>
                <w:rFonts w:hint="eastAsia"/>
                <w:color w:val="auto"/>
                <w:lang w:val="en-US" w:eastAsia="zh-CN"/>
              </w:rPr>
              <w:t>0</w:t>
            </w:r>
            <w:r>
              <w:rPr>
                <w:color w:val="auto"/>
              </w:rPr>
              <w:t>）危险废物</w:t>
            </w:r>
          </w:p>
          <w:p w14:paraId="310F6961">
            <w:pPr>
              <w:ind w:firstLine="480"/>
              <w:rPr>
                <w:color w:val="auto"/>
              </w:rPr>
            </w:pPr>
            <w:r>
              <w:rPr>
                <w:color w:val="auto"/>
              </w:rPr>
              <w:t>项目危险废物主要为设备</w:t>
            </w:r>
            <w:r>
              <w:rPr>
                <w:rFonts w:hint="eastAsia"/>
                <w:color w:val="auto"/>
              </w:rPr>
              <w:t>保养产生</w:t>
            </w:r>
            <w:r>
              <w:rPr>
                <w:color w:val="auto"/>
              </w:rPr>
              <w:t>的机油</w:t>
            </w:r>
            <w:r>
              <w:rPr>
                <w:rFonts w:hint="eastAsia"/>
                <w:color w:val="auto"/>
                <w:lang w:eastAsia="zh-CN"/>
              </w:rPr>
              <w:t>、</w:t>
            </w:r>
            <w:r>
              <w:rPr>
                <w:color w:val="auto"/>
              </w:rPr>
              <w:t>废机油桶等，机油更换周期为每半年更换一次，项目生产过程中产生的废机油约0.5t/a，废机油桶0.1t/a</w:t>
            </w:r>
            <w:r>
              <w:rPr>
                <w:rFonts w:hint="eastAsia"/>
                <w:color w:val="auto"/>
                <w:lang w:eastAsia="zh-CN"/>
              </w:rPr>
              <w:t>，</w:t>
            </w:r>
            <w:r>
              <w:rPr>
                <w:rFonts w:hint="eastAsia"/>
                <w:color w:val="auto"/>
                <w:lang w:val="en-US" w:eastAsia="zh-CN"/>
              </w:rPr>
              <w:t>含有抹布0.01t/a</w:t>
            </w:r>
            <w:r>
              <w:rPr>
                <w:color w:val="auto"/>
              </w:rPr>
              <w:t>。项目内设置危险废物暂存间。项目运营过程中产生的危险废物应单独收集暂存于危险固废暂存间，危险废物暂存间做好标识标牌以及设立台账记录，委托具有相应处置资质的单位定期进行处置。</w:t>
            </w:r>
          </w:p>
          <w:p w14:paraId="2EC2ED98">
            <w:pPr>
              <w:pStyle w:val="29"/>
              <w:spacing w:before="24" w:after="24"/>
              <w:rPr>
                <w:color w:val="auto"/>
              </w:rPr>
            </w:pPr>
            <w:r>
              <w:rPr>
                <w:color w:val="auto"/>
              </w:rPr>
              <w:t>表</w:t>
            </w:r>
            <w:r>
              <w:rPr>
                <w:rFonts w:hint="eastAsia"/>
                <w:color w:val="auto"/>
                <w:lang w:val="en-US" w:eastAsia="zh-CN"/>
              </w:rPr>
              <w:t>4-17</w:t>
            </w:r>
            <w:r>
              <w:rPr>
                <w:color w:val="auto"/>
              </w:rPr>
              <w:t xml:space="preserve">  项目固废产生情况及处置措施一览表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5"/>
              <w:gridCol w:w="992"/>
              <w:gridCol w:w="2345"/>
              <w:gridCol w:w="933"/>
              <w:gridCol w:w="1167"/>
              <w:gridCol w:w="2612"/>
            </w:tblGrid>
            <w:tr w14:paraId="4571C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1" w:type="pct"/>
                  <w:noWrap w:val="0"/>
                  <w:vAlign w:val="center"/>
                </w:tcPr>
                <w:p w14:paraId="59E84018">
                  <w:pPr>
                    <w:pStyle w:val="28"/>
                    <w:rPr>
                      <w:b/>
                      <w:bCs/>
                      <w:color w:val="auto"/>
                    </w:rPr>
                  </w:pPr>
                  <w:r>
                    <w:rPr>
                      <w:b/>
                      <w:bCs/>
                      <w:color w:val="auto"/>
                    </w:rPr>
                    <w:t>序号</w:t>
                  </w:r>
                </w:p>
              </w:tc>
              <w:tc>
                <w:tcPr>
                  <w:tcW w:w="1918" w:type="pct"/>
                  <w:gridSpan w:val="2"/>
                  <w:noWrap w:val="0"/>
                  <w:vAlign w:val="center"/>
                </w:tcPr>
                <w:p w14:paraId="6F4DCD98">
                  <w:pPr>
                    <w:pStyle w:val="28"/>
                    <w:rPr>
                      <w:b/>
                      <w:bCs/>
                      <w:color w:val="auto"/>
                    </w:rPr>
                  </w:pPr>
                  <w:r>
                    <w:rPr>
                      <w:b/>
                      <w:bCs/>
                      <w:color w:val="auto"/>
                    </w:rPr>
                    <w:t>固废名称</w:t>
                  </w:r>
                </w:p>
              </w:tc>
              <w:tc>
                <w:tcPr>
                  <w:tcW w:w="536" w:type="pct"/>
                  <w:noWrap w:val="0"/>
                  <w:vAlign w:val="center"/>
                </w:tcPr>
                <w:p w14:paraId="062B8CDB">
                  <w:pPr>
                    <w:pStyle w:val="28"/>
                    <w:rPr>
                      <w:b/>
                      <w:bCs/>
                      <w:color w:val="auto"/>
                    </w:rPr>
                  </w:pPr>
                  <w:r>
                    <w:rPr>
                      <w:b/>
                      <w:bCs/>
                      <w:color w:val="auto"/>
                    </w:rPr>
                    <w:t>产生量</w:t>
                  </w:r>
                </w:p>
              </w:tc>
              <w:tc>
                <w:tcPr>
                  <w:tcW w:w="671" w:type="pct"/>
                  <w:noWrap w:val="0"/>
                  <w:vAlign w:val="center"/>
                </w:tcPr>
                <w:p w14:paraId="748F6319">
                  <w:pPr>
                    <w:pStyle w:val="28"/>
                    <w:rPr>
                      <w:b/>
                      <w:bCs/>
                      <w:color w:val="auto"/>
                    </w:rPr>
                  </w:pPr>
                  <w:r>
                    <w:rPr>
                      <w:b/>
                      <w:bCs/>
                      <w:color w:val="auto"/>
                    </w:rPr>
                    <w:t>性质</w:t>
                  </w:r>
                </w:p>
              </w:tc>
              <w:tc>
                <w:tcPr>
                  <w:tcW w:w="1501" w:type="pct"/>
                  <w:noWrap w:val="0"/>
                  <w:vAlign w:val="center"/>
                </w:tcPr>
                <w:p w14:paraId="3C5B45C7">
                  <w:pPr>
                    <w:pStyle w:val="28"/>
                    <w:rPr>
                      <w:b/>
                      <w:bCs/>
                      <w:color w:val="auto"/>
                    </w:rPr>
                  </w:pPr>
                  <w:r>
                    <w:rPr>
                      <w:b/>
                      <w:bCs/>
                      <w:color w:val="auto"/>
                    </w:rPr>
                    <w:t>处理方式</w:t>
                  </w:r>
                </w:p>
              </w:tc>
            </w:tr>
            <w:tr w14:paraId="75D3A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1" w:type="pct"/>
                  <w:noWrap w:val="0"/>
                  <w:vAlign w:val="center"/>
                </w:tcPr>
                <w:p w14:paraId="1B4DCFE5">
                  <w:pPr>
                    <w:pStyle w:val="28"/>
                    <w:rPr>
                      <w:color w:val="auto"/>
                    </w:rPr>
                  </w:pPr>
                  <w:r>
                    <w:rPr>
                      <w:color w:val="auto"/>
                    </w:rPr>
                    <w:t>1</w:t>
                  </w:r>
                </w:p>
              </w:tc>
              <w:tc>
                <w:tcPr>
                  <w:tcW w:w="1918" w:type="pct"/>
                  <w:gridSpan w:val="2"/>
                  <w:noWrap w:val="0"/>
                  <w:vAlign w:val="center"/>
                </w:tcPr>
                <w:p w14:paraId="79750740">
                  <w:pPr>
                    <w:pStyle w:val="28"/>
                    <w:rPr>
                      <w:color w:val="auto"/>
                    </w:rPr>
                  </w:pPr>
                  <w:r>
                    <w:rPr>
                      <w:color w:val="auto"/>
                    </w:rPr>
                    <w:t>生活垃圾</w:t>
                  </w:r>
                </w:p>
              </w:tc>
              <w:tc>
                <w:tcPr>
                  <w:tcW w:w="536" w:type="pct"/>
                  <w:noWrap w:val="0"/>
                  <w:vAlign w:val="center"/>
                </w:tcPr>
                <w:p w14:paraId="33AAB51C">
                  <w:pPr>
                    <w:pStyle w:val="28"/>
                    <w:rPr>
                      <w:color w:val="auto"/>
                    </w:rPr>
                  </w:pPr>
                  <w:r>
                    <w:rPr>
                      <w:rFonts w:hint="eastAsia"/>
                      <w:color w:val="auto"/>
                    </w:rPr>
                    <w:t>11.23</w:t>
                  </w:r>
                  <w:r>
                    <w:rPr>
                      <w:color w:val="auto"/>
                    </w:rPr>
                    <w:t>t/a</w:t>
                  </w:r>
                </w:p>
              </w:tc>
              <w:tc>
                <w:tcPr>
                  <w:tcW w:w="671" w:type="pct"/>
                  <w:noWrap w:val="0"/>
                  <w:vAlign w:val="center"/>
                </w:tcPr>
                <w:p w14:paraId="2B367D4A">
                  <w:pPr>
                    <w:pStyle w:val="28"/>
                    <w:rPr>
                      <w:color w:val="auto"/>
                    </w:rPr>
                  </w:pPr>
                  <w:r>
                    <w:rPr>
                      <w:color w:val="auto"/>
                    </w:rPr>
                    <w:t>一般固废</w:t>
                  </w:r>
                </w:p>
              </w:tc>
              <w:tc>
                <w:tcPr>
                  <w:tcW w:w="1501" w:type="pct"/>
                  <w:noWrap w:val="0"/>
                  <w:vAlign w:val="center"/>
                </w:tcPr>
                <w:p w14:paraId="68E6B65D">
                  <w:pPr>
                    <w:pStyle w:val="28"/>
                    <w:rPr>
                      <w:color w:val="auto"/>
                    </w:rPr>
                  </w:pPr>
                  <w:r>
                    <w:rPr>
                      <w:color w:val="auto"/>
                    </w:rPr>
                    <w:t>集中收集后运输到附近垃圾收集点</w:t>
                  </w:r>
                  <w:r>
                    <w:rPr>
                      <w:rFonts w:hint="eastAsia"/>
                      <w:color w:val="auto"/>
                      <w:lang w:val="en-US" w:eastAsia="zh-CN"/>
                    </w:rPr>
                    <w:t>由昆明洁龙保洁服务有限公司</w:t>
                  </w:r>
                  <w:r>
                    <w:rPr>
                      <w:rFonts w:hint="eastAsia"/>
                      <w:color w:val="auto"/>
                    </w:rPr>
                    <w:t>清运处置</w:t>
                  </w:r>
                </w:p>
              </w:tc>
            </w:tr>
            <w:tr w14:paraId="6BBCB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1" w:type="pct"/>
                  <w:noWrap w:val="0"/>
                  <w:vAlign w:val="center"/>
                </w:tcPr>
                <w:p w14:paraId="5027C7FB">
                  <w:pPr>
                    <w:pStyle w:val="28"/>
                    <w:rPr>
                      <w:color w:val="auto"/>
                    </w:rPr>
                  </w:pPr>
                  <w:r>
                    <w:rPr>
                      <w:rFonts w:hint="eastAsia"/>
                      <w:color w:val="auto"/>
                    </w:rPr>
                    <w:t>2</w:t>
                  </w:r>
                </w:p>
              </w:tc>
              <w:tc>
                <w:tcPr>
                  <w:tcW w:w="1918" w:type="pct"/>
                  <w:gridSpan w:val="2"/>
                  <w:noWrap w:val="0"/>
                  <w:vAlign w:val="center"/>
                </w:tcPr>
                <w:p w14:paraId="4616F944">
                  <w:pPr>
                    <w:pStyle w:val="28"/>
                    <w:rPr>
                      <w:color w:val="auto"/>
                    </w:rPr>
                  </w:pPr>
                  <w:r>
                    <w:rPr>
                      <w:rFonts w:hint="eastAsia"/>
                      <w:color w:val="auto"/>
                    </w:rPr>
                    <w:t>食堂泔水</w:t>
                  </w:r>
                </w:p>
              </w:tc>
              <w:tc>
                <w:tcPr>
                  <w:tcW w:w="536" w:type="pct"/>
                  <w:noWrap w:val="0"/>
                  <w:vAlign w:val="center"/>
                </w:tcPr>
                <w:p w14:paraId="2A1410F7">
                  <w:pPr>
                    <w:pStyle w:val="28"/>
                    <w:rPr>
                      <w:rFonts w:hint="eastAsia" w:eastAsia="宋体"/>
                      <w:color w:val="auto"/>
                      <w:lang w:eastAsia="zh-CN"/>
                    </w:rPr>
                  </w:pPr>
                  <w:r>
                    <w:rPr>
                      <w:rFonts w:hint="eastAsia"/>
                      <w:color w:val="auto"/>
                      <w:lang w:val="en-US" w:eastAsia="zh-CN"/>
                    </w:rPr>
                    <w:t>3</w:t>
                  </w:r>
                  <w:r>
                    <w:rPr>
                      <w:color w:val="auto"/>
                    </w:rPr>
                    <w:t>t/a</w:t>
                  </w:r>
                </w:p>
              </w:tc>
              <w:tc>
                <w:tcPr>
                  <w:tcW w:w="671" w:type="pct"/>
                  <w:noWrap w:val="0"/>
                  <w:vAlign w:val="center"/>
                </w:tcPr>
                <w:p w14:paraId="10012291">
                  <w:pPr>
                    <w:pStyle w:val="28"/>
                    <w:rPr>
                      <w:color w:val="auto"/>
                    </w:rPr>
                  </w:pPr>
                  <w:r>
                    <w:rPr>
                      <w:color w:val="auto"/>
                    </w:rPr>
                    <w:t>一般固废</w:t>
                  </w:r>
                </w:p>
              </w:tc>
              <w:tc>
                <w:tcPr>
                  <w:tcW w:w="1501" w:type="pct"/>
                  <w:noWrap w:val="0"/>
                  <w:vAlign w:val="center"/>
                </w:tcPr>
                <w:p w14:paraId="3C773A16">
                  <w:pPr>
                    <w:pStyle w:val="28"/>
                    <w:rPr>
                      <w:color w:val="auto"/>
                    </w:rPr>
                  </w:pPr>
                  <w:r>
                    <w:rPr>
                      <w:rFonts w:hint="eastAsia"/>
                      <w:color w:val="auto"/>
                      <w:lang w:val="en-US" w:eastAsia="zh-CN"/>
                    </w:rPr>
                    <w:t>由昆明洁龙保洁服务有限公司</w:t>
                  </w:r>
                  <w:r>
                    <w:rPr>
                      <w:rFonts w:hint="eastAsia"/>
                      <w:color w:val="auto"/>
                    </w:rPr>
                    <w:t>清运处置</w:t>
                  </w:r>
                </w:p>
              </w:tc>
            </w:tr>
            <w:tr w14:paraId="320BD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1" w:type="pct"/>
                  <w:noWrap w:val="0"/>
                  <w:vAlign w:val="center"/>
                </w:tcPr>
                <w:p w14:paraId="70E76497">
                  <w:pPr>
                    <w:pStyle w:val="28"/>
                    <w:rPr>
                      <w:color w:val="auto"/>
                    </w:rPr>
                  </w:pPr>
                  <w:r>
                    <w:rPr>
                      <w:rFonts w:hint="eastAsia"/>
                      <w:color w:val="auto"/>
                    </w:rPr>
                    <w:t>3</w:t>
                  </w:r>
                </w:p>
              </w:tc>
              <w:tc>
                <w:tcPr>
                  <w:tcW w:w="1918" w:type="pct"/>
                  <w:gridSpan w:val="2"/>
                  <w:noWrap w:val="0"/>
                  <w:vAlign w:val="center"/>
                </w:tcPr>
                <w:p w14:paraId="7896FEBD">
                  <w:pPr>
                    <w:pStyle w:val="28"/>
                    <w:rPr>
                      <w:rFonts w:hint="eastAsia"/>
                      <w:color w:val="auto"/>
                    </w:rPr>
                  </w:pPr>
                  <w:r>
                    <w:rPr>
                      <w:rFonts w:hint="eastAsia"/>
                      <w:color w:val="auto"/>
                    </w:rPr>
                    <w:t>油水分离器废油</w:t>
                  </w:r>
                </w:p>
              </w:tc>
              <w:tc>
                <w:tcPr>
                  <w:tcW w:w="536" w:type="pct"/>
                  <w:noWrap w:val="0"/>
                  <w:vAlign w:val="center"/>
                </w:tcPr>
                <w:p w14:paraId="4BC2B1C5">
                  <w:pPr>
                    <w:pStyle w:val="28"/>
                    <w:rPr>
                      <w:rFonts w:hint="eastAsia"/>
                      <w:color w:val="auto"/>
                    </w:rPr>
                  </w:pPr>
                  <w:r>
                    <w:rPr>
                      <w:rFonts w:hint="eastAsia"/>
                      <w:color w:val="auto"/>
                    </w:rPr>
                    <w:t>0.05</w:t>
                  </w:r>
                  <w:r>
                    <w:rPr>
                      <w:color w:val="auto"/>
                    </w:rPr>
                    <w:t>t/a</w:t>
                  </w:r>
                </w:p>
              </w:tc>
              <w:tc>
                <w:tcPr>
                  <w:tcW w:w="671" w:type="pct"/>
                  <w:noWrap w:val="0"/>
                  <w:vAlign w:val="center"/>
                </w:tcPr>
                <w:p w14:paraId="6B81EC02">
                  <w:pPr>
                    <w:pStyle w:val="28"/>
                    <w:rPr>
                      <w:color w:val="auto"/>
                    </w:rPr>
                  </w:pPr>
                  <w:r>
                    <w:rPr>
                      <w:color w:val="auto"/>
                    </w:rPr>
                    <w:t>一般固废</w:t>
                  </w:r>
                </w:p>
              </w:tc>
              <w:tc>
                <w:tcPr>
                  <w:tcW w:w="1501" w:type="pct"/>
                  <w:noWrap w:val="0"/>
                  <w:vAlign w:val="center"/>
                </w:tcPr>
                <w:p w14:paraId="5775F92F">
                  <w:pPr>
                    <w:pStyle w:val="28"/>
                    <w:rPr>
                      <w:color w:val="auto"/>
                    </w:rPr>
                  </w:pPr>
                  <w:r>
                    <w:rPr>
                      <w:rFonts w:hint="eastAsia"/>
                      <w:color w:val="auto"/>
                      <w:lang w:val="en-US" w:eastAsia="zh-CN"/>
                    </w:rPr>
                    <w:t>由昆明洁龙保洁服务有限公司</w:t>
                  </w:r>
                  <w:r>
                    <w:rPr>
                      <w:rFonts w:hint="eastAsia"/>
                      <w:color w:val="auto"/>
                    </w:rPr>
                    <w:t>清运处置</w:t>
                  </w:r>
                </w:p>
              </w:tc>
            </w:tr>
            <w:tr w14:paraId="2C1E8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1" w:type="pct"/>
                  <w:noWrap w:val="0"/>
                  <w:vAlign w:val="center"/>
                </w:tcPr>
                <w:p w14:paraId="47865CBE">
                  <w:pPr>
                    <w:pStyle w:val="28"/>
                    <w:rPr>
                      <w:color w:val="auto"/>
                    </w:rPr>
                  </w:pPr>
                  <w:r>
                    <w:rPr>
                      <w:color w:val="auto"/>
                    </w:rPr>
                    <w:t>4</w:t>
                  </w:r>
                </w:p>
              </w:tc>
              <w:tc>
                <w:tcPr>
                  <w:tcW w:w="1918" w:type="pct"/>
                  <w:gridSpan w:val="2"/>
                  <w:noWrap w:val="0"/>
                  <w:vAlign w:val="center"/>
                </w:tcPr>
                <w:p w14:paraId="42851365">
                  <w:pPr>
                    <w:pStyle w:val="28"/>
                    <w:rPr>
                      <w:color w:val="auto"/>
                    </w:rPr>
                  </w:pPr>
                  <w:r>
                    <w:rPr>
                      <w:color w:val="auto"/>
                    </w:rPr>
                    <w:t>化粪池</w:t>
                  </w:r>
                  <w:r>
                    <w:rPr>
                      <w:rFonts w:hint="eastAsia"/>
                      <w:color w:val="auto"/>
                    </w:rPr>
                    <w:t>污泥</w:t>
                  </w:r>
                </w:p>
              </w:tc>
              <w:tc>
                <w:tcPr>
                  <w:tcW w:w="536" w:type="pct"/>
                  <w:noWrap w:val="0"/>
                  <w:vAlign w:val="center"/>
                </w:tcPr>
                <w:p w14:paraId="39B7A5CE">
                  <w:pPr>
                    <w:pStyle w:val="28"/>
                    <w:rPr>
                      <w:color w:val="auto"/>
                    </w:rPr>
                  </w:pPr>
                  <w:r>
                    <w:rPr>
                      <w:rFonts w:hint="eastAsia"/>
                      <w:color w:val="auto"/>
                    </w:rPr>
                    <w:t>5.58</w:t>
                  </w:r>
                  <w:r>
                    <w:rPr>
                      <w:color w:val="auto"/>
                    </w:rPr>
                    <w:t>t/a</w:t>
                  </w:r>
                </w:p>
              </w:tc>
              <w:tc>
                <w:tcPr>
                  <w:tcW w:w="671" w:type="pct"/>
                  <w:noWrap w:val="0"/>
                  <w:vAlign w:val="center"/>
                </w:tcPr>
                <w:p w14:paraId="53C162AA">
                  <w:pPr>
                    <w:pStyle w:val="28"/>
                    <w:rPr>
                      <w:color w:val="auto"/>
                    </w:rPr>
                  </w:pPr>
                  <w:r>
                    <w:rPr>
                      <w:color w:val="auto"/>
                    </w:rPr>
                    <w:t>一般固废</w:t>
                  </w:r>
                </w:p>
              </w:tc>
              <w:tc>
                <w:tcPr>
                  <w:tcW w:w="1501" w:type="pct"/>
                  <w:noWrap w:val="0"/>
                  <w:vAlign w:val="center"/>
                </w:tcPr>
                <w:p w14:paraId="570890F7">
                  <w:pPr>
                    <w:pStyle w:val="28"/>
                    <w:rPr>
                      <w:rFonts w:hint="eastAsia"/>
                      <w:color w:val="auto"/>
                    </w:rPr>
                  </w:pPr>
                  <w:r>
                    <w:rPr>
                      <w:rFonts w:hint="eastAsia"/>
                      <w:color w:val="auto"/>
                      <w:lang w:val="en-US" w:eastAsia="zh-CN"/>
                    </w:rPr>
                    <w:t>由昆明洁龙保洁服务有限公司</w:t>
                  </w:r>
                  <w:r>
                    <w:rPr>
                      <w:rFonts w:hint="eastAsia"/>
                      <w:color w:val="auto"/>
                    </w:rPr>
                    <w:t>清运处置</w:t>
                  </w:r>
                </w:p>
              </w:tc>
            </w:tr>
            <w:tr w14:paraId="589B5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1" w:type="pct"/>
                  <w:vMerge w:val="restart"/>
                  <w:noWrap w:val="0"/>
                  <w:vAlign w:val="center"/>
                </w:tcPr>
                <w:p w14:paraId="55E6A234">
                  <w:pPr>
                    <w:pStyle w:val="28"/>
                    <w:rPr>
                      <w:rFonts w:hint="eastAsia" w:eastAsia="宋体"/>
                      <w:color w:val="auto"/>
                      <w:lang w:eastAsia="zh-CN"/>
                    </w:rPr>
                  </w:pPr>
                  <w:r>
                    <w:rPr>
                      <w:rFonts w:hint="eastAsia"/>
                      <w:color w:val="auto"/>
                      <w:lang w:val="en-US" w:eastAsia="zh-CN"/>
                    </w:rPr>
                    <w:t>5</w:t>
                  </w:r>
                </w:p>
              </w:tc>
              <w:tc>
                <w:tcPr>
                  <w:tcW w:w="570" w:type="pct"/>
                  <w:vMerge w:val="restart"/>
                  <w:noWrap w:val="0"/>
                  <w:vAlign w:val="center"/>
                </w:tcPr>
                <w:p w14:paraId="18DC983D">
                  <w:pPr>
                    <w:pStyle w:val="28"/>
                    <w:rPr>
                      <w:color w:val="auto"/>
                    </w:rPr>
                  </w:pPr>
                  <w:r>
                    <w:rPr>
                      <w:color w:val="auto"/>
                    </w:rPr>
                    <w:t>生产</w:t>
                  </w:r>
                </w:p>
                <w:p w14:paraId="671D255C">
                  <w:pPr>
                    <w:pStyle w:val="28"/>
                    <w:rPr>
                      <w:color w:val="auto"/>
                    </w:rPr>
                  </w:pPr>
                  <w:r>
                    <w:rPr>
                      <w:color w:val="auto"/>
                    </w:rPr>
                    <w:t>固废</w:t>
                  </w:r>
                </w:p>
              </w:tc>
              <w:tc>
                <w:tcPr>
                  <w:tcW w:w="1347" w:type="pct"/>
                  <w:noWrap w:val="0"/>
                  <w:vAlign w:val="center"/>
                </w:tcPr>
                <w:p w14:paraId="5F558DE7">
                  <w:pPr>
                    <w:pStyle w:val="28"/>
                    <w:rPr>
                      <w:color w:val="auto"/>
                    </w:rPr>
                  </w:pPr>
                  <w:r>
                    <w:rPr>
                      <w:color w:val="auto"/>
                    </w:rPr>
                    <w:t>沉淀池沉渣</w:t>
                  </w:r>
                </w:p>
              </w:tc>
              <w:tc>
                <w:tcPr>
                  <w:tcW w:w="536" w:type="pct"/>
                  <w:noWrap w:val="0"/>
                  <w:vAlign w:val="center"/>
                </w:tcPr>
                <w:p w14:paraId="3D89E9D8">
                  <w:pPr>
                    <w:pStyle w:val="28"/>
                    <w:rPr>
                      <w:color w:val="auto"/>
                    </w:rPr>
                  </w:pPr>
                  <w:r>
                    <w:rPr>
                      <w:rFonts w:hint="eastAsia"/>
                      <w:color w:val="auto"/>
                    </w:rPr>
                    <w:t>5</w:t>
                  </w:r>
                  <w:r>
                    <w:rPr>
                      <w:color w:val="auto"/>
                    </w:rPr>
                    <w:t>t/a</w:t>
                  </w:r>
                </w:p>
              </w:tc>
              <w:tc>
                <w:tcPr>
                  <w:tcW w:w="671" w:type="pct"/>
                  <w:noWrap w:val="0"/>
                  <w:vAlign w:val="center"/>
                </w:tcPr>
                <w:p w14:paraId="7B277B79">
                  <w:pPr>
                    <w:pStyle w:val="28"/>
                    <w:rPr>
                      <w:b/>
                      <w:bCs/>
                      <w:color w:val="auto"/>
                    </w:rPr>
                  </w:pPr>
                  <w:r>
                    <w:rPr>
                      <w:color w:val="auto"/>
                    </w:rPr>
                    <w:t>一般固废</w:t>
                  </w:r>
                </w:p>
              </w:tc>
              <w:tc>
                <w:tcPr>
                  <w:tcW w:w="1501" w:type="pct"/>
                  <w:noWrap w:val="0"/>
                  <w:vAlign w:val="center"/>
                </w:tcPr>
                <w:p w14:paraId="5B448245">
                  <w:pPr>
                    <w:pStyle w:val="28"/>
                    <w:rPr>
                      <w:rFonts w:hint="eastAsia" w:eastAsia="宋体"/>
                      <w:color w:val="auto"/>
                      <w:lang w:eastAsia="zh-CN"/>
                    </w:rPr>
                  </w:pPr>
                  <w:r>
                    <w:rPr>
                      <w:rFonts w:hint="eastAsia"/>
                      <w:color w:val="auto"/>
                      <w:szCs w:val="21"/>
                      <w:lang w:val="en-US" w:eastAsia="zh-CN"/>
                    </w:rPr>
                    <w:t>定期清掏进行填埋处置</w:t>
                  </w:r>
                </w:p>
              </w:tc>
            </w:tr>
            <w:tr w14:paraId="71488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1" w:type="pct"/>
                  <w:vMerge w:val="continue"/>
                  <w:noWrap w:val="0"/>
                  <w:vAlign w:val="center"/>
                </w:tcPr>
                <w:p w14:paraId="1CCB8665">
                  <w:pPr>
                    <w:pStyle w:val="28"/>
                    <w:rPr>
                      <w:color w:val="auto"/>
                    </w:rPr>
                  </w:pPr>
                </w:p>
              </w:tc>
              <w:tc>
                <w:tcPr>
                  <w:tcW w:w="570" w:type="pct"/>
                  <w:vMerge w:val="continue"/>
                  <w:noWrap w:val="0"/>
                  <w:vAlign w:val="center"/>
                </w:tcPr>
                <w:p w14:paraId="239ED259">
                  <w:pPr>
                    <w:pStyle w:val="28"/>
                    <w:rPr>
                      <w:color w:val="auto"/>
                    </w:rPr>
                  </w:pPr>
                </w:p>
              </w:tc>
              <w:tc>
                <w:tcPr>
                  <w:tcW w:w="1347" w:type="pct"/>
                  <w:noWrap w:val="0"/>
                  <w:vAlign w:val="center"/>
                </w:tcPr>
                <w:p w14:paraId="71FD502F">
                  <w:pPr>
                    <w:pStyle w:val="28"/>
                    <w:rPr>
                      <w:rFonts w:hint="eastAsia"/>
                      <w:color w:val="auto"/>
                    </w:rPr>
                  </w:pPr>
                  <w:r>
                    <w:rPr>
                      <w:color w:val="auto"/>
                    </w:rPr>
                    <w:t>收尘器收集粉尘</w:t>
                  </w:r>
                </w:p>
              </w:tc>
              <w:tc>
                <w:tcPr>
                  <w:tcW w:w="536" w:type="pct"/>
                  <w:noWrap w:val="0"/>
                  <w:vAlign w:val="center"/>
                </w:tcPr>
                <w:p w14:paraId="23B3D302">
                  <w:pPr>
                    <w:pStyle w:val="28"/>
                    <w:rPr>
                      <w:color w:val="auto"/>
                    </w:rPr>
                  </w:pPr>
                  <w:r>
                    <w:rPr>
                      <w:rFonts w:hint="eastAsia"/>
                      <w:color w:val="auto"/>
                    </w:rPr>
                    <w:t>15.34</w:t>
                  </w:r>
                  <w:r>
                    <w:rPr>
                      <w:color w:val="auto"/>
                    </w:rPr>
                    <w:t>t/a</w:t>
                  </w:r>
                </w:p>
              </w:tc>
              <w:tc>
                <w:tcPr>
                  <w:tcW w:w="671" w:type="pct"/>
                  <w:noWrap w:val="0"/>
                  <w:vAlign w:val="center"/>
                </w:tcPr>
                <w:p w14:paraId="2A0C86CE">
                  <w:pPr>
                    <w:pStyle w:val="28"/>
                    <w:rPr>
                      <w:color w:val="auto"/>
                    </w:rPr>
                  </w:pPr>
                  <w:r>
                    <w:rPr>
                      <w:color w:val="auto"/>
                    </w:rPr>
                    <w:t>一般固废</w:t>
                  </w:r>
                </w:p>
              </w:tc>
              <w:tc>
                <w:tcPr>
                  <w:tcW w:w="1501" w:type="pct"/>
                  <w:noWrap w:val="0"/>
                  <w:vAlign w:val="center"/>
                </w:tcPr>
                <w:p w14:paraId="39F9A55C">
                  <w:pPr>
                    <w:pStyle w:val="28"/>
                    <w:rPr>
                      <w:color w:val="auto"/>
                    </w:rPr>
                  </w:pPr>
                  <w:r>
                    <w:rPr>
                      <w:color w:val="auto"/>
                    </w:rPr>
                    <w:t>回用于</w:t>
                  </w:r>
                  <w:r>
                    <w:rPr>
                      <w:rFonts w:hint="eastAsia"/>
                      <w:color w:val="auto"/>
                    </w:rPr>
                    <w:t>轨枕</w:t>
                  </w:r>
                  <w:r>
                    <w:rPr>
                      <w:color w:val="auto"/>
                    </w:rPr>
                    <w:t>生产</w:t>
                  </w:r>
                </w:p>
              </w:tc>
            </w:tr>
            <w:tr w14:paraId="1D459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1" w:type="pct"/>
                  <w:vMerge w:val="continue"/>
                  <w:noWrap w:val="0"/>
                  <w:vAlign w:val="center"/>
                </w:tcPr>
                <w:p w14:paraId="6A0103BC">
                  <w:pPr>
                    <w:pStyle w:val="28"/>
                    <w:rPr>
                      <w:color w:val="auto"/>
                    </w:rPr>
                  </w:pPr>
                </w:p>
              </w:tc>
              <w:tc>
                <w:tcPr>
                  <w:tcW w:w="570" w:type="pct"/>
                  <w:vMerge w:val="continue"/>
                  <w:noWrap w:val="0"/>
                  <w:vAlign w:val="center"/>
                </w:tcPr>
                <w:p w14:paraId="5AC83A36">
                  <w:pPr>
                    <w:pStyle w:val="28"/>
                    <w:rPr>
                      <w:color w:val="auto"/>
                    </w:rPr>
                  </w:pPr>
                </w:p>
              </w:tc>
              <w:tc>
                <w:tcPr>
                  <w:tcW w:w="1347" w:type="pct"/>
                  <w:noWrap w:val="0"/>
                  <w:vAlign w:val="center"/>
                </w:tcPr>
                <w:p w14:paraId="6AE1B75A">
                  <w:pPr>
                    <w:pStyle w:val="28"/>
                    <w:rPr>
                      <w:color w:val="auto"/>
                    </w:rPr>
                  </w:pPr>
                  <w:r>
                    <w:rPr>
                      <w:color w:val="auto"/>
                    </w:rPr>
                    <w:t>不合格产品</w:t>
                  </w:r>
                </w:p>
              </w:tc>
              <w:tc>
                <w:tcPr>
                  <w:tcW w:w="536" w:type="pct"/>
                  <w:noWrap w:val="0"/>
                  <w:vAlign w:val="center"/>
                </w:tcPr>
                <w:p w14:paraId="18FBA9A4">
                  <w:pPr>
                    <w:pStyle w:val="28"/>
                    <w:rPr>
                      <w:color w:val="auto"/>
                    </w:rPr>
                  </w:pPr>
                  <w:r>
                    <w:rPr>
                      <w:rFonts w:hint="eastAsia"/>
                      <w:color w:val="auto"/>
                    </w:rPr>
                    <w:t>73.92</w:t>
                  </w:r>
                  <w:r>
                    <w:rPr>
                      <w:color w:val="auto"/>
                    </w:rPr>
                    <w:t>t/a</w:t>
                  </w:r>
                </w:p>
              </w:tc>
              <w:tc>
                <w:tcPr>
                  <w:tcW w:w="671" w:type="pct"/>
                  <w:noWrap w:val="0"/>
                  <w:vAlign w:val="center"/>
                </w:tcPr>
                <w:p w14:paraId="01A77179">
                  <w:pPr>
                    <w:pStyle w:val="28"/>
                    <w:rPr>
                      <w:color w:val="auto"/>
                    </w:rPr>
                  </w:pPr>
                  <w:r>
                    <w:rPr>
                      <w:color w:val="auto"/>
                    </w:rPr>
                    <w:t>一般固废</w:t>
                  </w:r>
                </w:p>
              </w:tc>
              <w:tc>
                <w:tcPr>
                  <w:tcW w:w="1501" w:type="pct"/>
                  <w:noWrap w:val="0"/>
                  <w:vAlign w:val="center"/>
                </w:tcPr>
                <w:p w14:paraId="2F466A96">
                  <w:pPr>
                    <w:pStyle w:val="28"/>
                    <w:rPr>
                      <w:color w:val="auto"/>
                    </w:rPr>
                  </w:pPr>
                  <w:r>
                    <w:rPr>
                      <w:rFonts w:hint="eastAsia"/>
                      <w:color w:val="auto"/>
                    </w:rPr>
                    <w:t>经敲碎后钢筋取出收集后外售给废旧资源回收单位，混凝土块回用于轨枕生产</w:t>
                  </w:r>
                </w:p>
              </w:tc>
            </w:tr>
            <w:tr w14:paraId="0B024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1" w:type="pct"/>
                  <w:vMerge w:val="continue"/>
                  <w:noWrap w:val="0"/>
                  <w:vAlign w:val="center"/>
                </w:tcPr>
                <w:p w14:paraId="45B6D826">
                  <w:pPr>
                    <w:pStyle w:val="28"/>
                    <w:rPr>
                      <w:color w:val="auto"/>
                    </w:rPr>
                  </w:pPr>
                </w:p>
              </w:tc>
              <w:tc>
                <w:tcPr>
                  <w:tcW w:w="570" w:type="pct"/>
                  <w:vMerge w:val="continue"/>
                  <w:noWrap w:val="0"/>
                  <w:vAlign w:val="center"/>
                </w:tcPr>
                <w:p w14:paraId="21A89A0C">
                  <w:pPr>
                    <w:pStyle w:val="28"/>
                    <w:rPr>
                      <w:color w:val="auto"/>
                    </w:rPr>
                  </w:pPr>
                </w:p>
              </w:tc>
              <w:tc>
                <w:tcPr>
                  <w:tcW w:w="1347" w:type="pct"/>
                  <w:noWrap w:val="0"/>
                  <w:vAlign w:val="center"/>
                </w:tcPr>
                <w:p w14:paraId="15E696D5">
                  <w:pPr>
                    <w:pStyle w:val="28"/>
                    <w:rPr>
                      <w:color w:val="auto"/>
                    </w:rPr>
                  </w:pPr>
                  <w:r>
                    <w:rPr>
                      <w:color w:val="auto"/>
                    </w:rPr>
                    <w:t>废钢筋边角料</w:t>
                  </w:r>
                </w:p>
              </w:tc>
              <w:tc>
                <w:tcPr>
                  <w:tcW w:w="536" w:type="pct"/>
                  <w:noWrap w:val="0"/>
                  <w:vAlign w:val="center"/>
                </w:tcPr>
                <w:p w14:paraId="4908BEDB">
                  <w:pPr>
                    <w:pStyle w:val="28"/>
                    <w:rPr>
                      <w:color w:val="auto"/>
                    </w:rPr>
                  </w:pPr>
                  <w:r>
                    <w:rPr>
                      <w:color w:val="auto"/>
                    </w:rPr>
                    <w:t>10t/a</w:t>
                  </w:r>
                </w:p>
              </w:tc>
              <w:tc>
                <w:tcPr>
                  <w:tcW w:w="671" w:type="pct"/>
                  <w:noWrap w:val="0"/>
                  <w:vAlign w:val="center"/>
                </w:tcPr>
                <w:p w14:paraId="55B53538">
                  <w:pPr>
                    <w:pStyle w:val="28"/>
                    <w:rPr>
                      <w:color w:val="auto"/>
                    </w:rPr>
                  </w:pPr>
                  <w:r>
                    <w:rPr>
                      <w:color w:val="auto"/>
                    </w:rPr>
                    <w:t>一般固废</w:t>
                  </w:r>
                </w:p>
              </w:tc>
              <w:tc>
                <w:tcPr>
                  <w:tcW w:w="1501" w:type="pct"/>
                  <w:noWrap w:val="0"/>
                  <w:vAlign w:val="center"/>
                </w:tcPr>
                <w:p w14:paraId="175A8254">
                  <w:pPr>
                    <w:pStyle w:val="28"/>
                    <w:rPr>
                      <w:color w:val="auto"/>
                    </w:rPr>
                  </w:pPr>
                  <w:r>
                    <w:rPr>
                      <w:color w:val="auto"/>
                    </w:rPr>
                    <w:t>收集后外售给废旧资源回收单位</w:t>
                  </w:r>
                </w:p>
              </w:tc>
            </w:tr>
            <w:tr w14:paraId="5D0B2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1" w:type="pct"/>
                  <w:vMerge w:val="continue"/>
                  <w:noWrap w:val="0"/>
                  <w:vAlign w:val="center"/>
                </w:tcPr>
                <w:p w14:paraId="1D5F772F">
                  <w:pPr>
                    <w:pStyle w:val="28"/>
                    <w:rPr>
                      <w:color w:val="auto"/>
                    </w:rPr>
                  </w:pPr>
                </w:p>
              </w:tc>
              <w:tc>
                <w:tcPr>
                  <w:tcW w:w="570" w:type="pct"/>
                  <w:vMerge w:val="continue"/>
                  <w:noWrap w:val="0"/>
                  <w:vAlign w:val="center"/>
                </w:tcPr>
                <w:p w14:paraId="62DC4ECC">
                  <w:pPr>
                    <w:pStyle w:val="28"/>
                    <w:rPr>
                      <w:color w:val="auto"/>
                    </w:rPr>
                  </w:pPr>
                </w:p>
              </w:tc>
              <w:tc>
                <w:tcPr>
                  <w:tcW w:w="1347" w:type="pct"/>
                  <w:noWrap w:val="0"/>
                  <w:vAlign w:val="center"/>
                </w:tcPr>
                <w:p w14:paraId="3B7639BC">
                  <w:pPr>
                    <w:pStyle w:val="28"/>
                    <w:rPr>
                      <w:color w:val="auto"/>
                    </w:rPr>
                  </w:pPr>
                  <w:r>
                    <w:rPr>
                      <w:rFonts w:hint="eastAsia"/>
                      <w:color w:val="auto"/>
                    </w:rPr>
                    <w:t>锅炉灰渣</w:t>
                  </w:r>
                </w:p>
              </w:tc>
              <w:tc>
                <w:tcPr>
                  <w:tcW w:w="536" w:type="pct"/>
                  <w:noWrap w:val="0"/>
                  <w:vAlign w:val="center"/>
                </w:tcPr>
                <w:p w14:paraId="1582FBA2">
                  <w:pPr>
                    <w:pStyle w:val="28"/>
                    <w:rPr>
                      <w:color w:val="auto"/>
                    </w:rPr>
                  </w:pPr>
                  <w:r>
                    <w:rPr>
                      <w:rFonts w:hint="eastAsia"/>
                      <w:color w:val="auto"/>
                    </w:rPr>
                    <w:t>400t</w:t>
                  </w:r>
                  <w:r>
                    <w:rPr>
                      <w:color w:val="auto"/>
                    </w:rPr>
                    <w:t>/</w:t>
                  </w:r>
                  <w:r>
                    <w:rPr>
                      <w:rFonts w:hint="eastAsia"/>
                      <w:color w:val="auto"/>
                    </w:rPr>
                    <w:t>a</w:t>
                  </w:r>
                </w:p>
              </w:tc>
              <w:tc>
                <w:tcPr>
                  <w:tcW w:w="671" w:type="pct"/>
                  <w:noWrap w:val="0"/>
                  <w:vAlign w:val="center"/>
                </w:tcPr>
                <w:p w14:paraId="5658664E">
                  <w:pPr>
                    <w:pStyle w:val="28"/>
                    <w:rPr>
                      <w:color w:val="auto"/>
                    </w:rPr>
                  </w:pPr>
                  <w:r>
                    <w:rPr>
                      <w:color w:val="auto"/>
                    </w:rPr>
                    <w:t>一般固废</w:t>
                  </w:r>
                </w:p>
              </w:tc>
              <w:tc>
                <w:tcPr>
                  <w:tcW w:w="1501" w:type="pct"/>
                  <w:noWrap w:val="0"/>
                  <w:vAlign w:val="center"/>
                </w:tcPr>
                <w:p w14:paraId="291AE8C3">
                  <w:pPr>
                    <w:pStyle w:val="28"/>
                    <w:rPr>
                      <w:rFonts w:hint="eastAsia"/>
                      <w:color w:val="auto"/>
                    </w:rPr>
                  </w:pPr>
                  <w:r>
                    <w:rPr>
                      <w:rFonts w:hint="eastAsia"/>
                      <w:color w:val="auto"/>
                    </w:rPr>
                    <w:t>委托</w:t>
                  </w:r>
                  <w:r>
                    <w:rPr>
                      <w:rFonts w:hint="eastAsia"/>
                      <w:color w:val="auto"/>
                      <w:lang w:val="en-US" w:eastAsia="zh-CN"/>
                    </w:rPr>
                    <w:t>昆明洁龙保洁服务有限公司</w:t>
                  </w:r>
                  <w:r>
                    <w:rPr>
                      <w:rFonts w:hint="eastAsia"/>
                      <w:color w:val="auto"/>
                    </w:rPr>
                    <w:t>清运处置</w:t>
                  </w:r>
                </w:p>
              </w:tc>
            </w:tr>
            <w:tr w14:paraId="5D281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1" w:type="pct"/>
                  <w:vMerge w:val="continue"/>
                  <w:noWrap w:val="0"/>
                  <w:vAlign w:val="center"/>
                </w:tcPr>
                <w:p w14:paraId="3B302269">
                  <w:pPr>
                    <w:pStyle w:val="28"/>
                    <w:rPr>
                      <w:color w:val="auto"/>
                    </w:rPr>
                  </w:pPr>
                </w:p>
              </w:tc>
              <w:tc>
                <w:tcPr>
                  <w:tcW w:w="570" w:type="pct"/>
                  <w:vMerge w:val="continue"/>
                  <w:noWrap w:val="0"/>
                  <w:vAlign w:val="center"/>
                </w:tcPr>
                <w:p w14:paraId="023A6AF2">
                  <w:pPr>
                    <w:pStyle w:val="28"/>
                    <w:rPr>
                      <w:color w:val="auto"/>
                    </w:rPr>
                  </w:pPr>
                </w:p>
              </w:tc>
              <w:tc>
                <w:tcPr>
                  <w:tcW w:w="1347" w:type="pct"/>
                  <w:noWrap w:val="0"/>
                  <w:vAlign w:val="center"/>
                </w:tcPr>
                <w:p w14:paraId="19DF83C4">
                  <w:pPr>
                    <w:pStyle w:val="28"/>
                    <w:rPr>
                      <w:rFonts w:hint="eastAsia"/>
                      <w:color w:val="auto"/>
                    </w:rPr>
                  </w:pPr>
                  <w:r>
                    <w:rPr>
                      <w:rFonts w:hint="eastAsia"/>
                      <w:color w:val="auto"/>
                    </w:rPr>
                    <w:t>废包装材料</w:t>
                  </w:r>
                </w:p>
              </w:tc>
              <w:tc>
                <w:tcPr>
                  <w:tcW w:w="536" w:type="pct"/>
                  <w:noWrap w:val="0"/>
                  <w:vAlign w:val="center"/>
                </w:tcPr>
                <w:p w14:paraId="46703057">
                  <w:pPr>
                    <w:pStyle w:val="28"/>
                    <w:rPr>
                      <w:rFonts w:hint="eastAsia"/>
                      <w:color w:val="auto"/>
                    </w:rPr>
                  </w:pPr>
                  <w:r>
                    <w:rPr>
                      <w:rFonts w:hint="eastAsia"/>
                      <w:color w:val="auto"/>
                    </w:rPr>
                    <w:t>0.5t</w:t>
                  </w:r>
                  <w:r>
                    <w:rPr>
                      <w:color w:val="auto"/>
                    </w:rPr>
                    <w:t>/</w:t>
                  </w:r>
                  <w:r>
                    <w:rPr>
                      <w:rFonts w:hint="eastAsia"/>
                      <w:color w:val="auto"/>
                    </w:rPr>
                    <w:t>a</w:t>
                  </w:r>
                </w:p>
              </w:tc>
              <w:tc>
                <w:tcPr>
                  <w:tcW w:w="671" w:type="pct"/>
                  <w:noWrap w:val="0"/>
                  <w:vAlign w:val="center"/>
                </w:tcPr>
                <w:p w14:paraId="02B8132C">
                  <w:pPr>
                    <w:pStyle w:val="28"/>
                    <w:rPr>
                      <w:color w:val="auto"/>
                    </w:rPr>
                  </w:pPr>
                  <w:r>
                    <w:rPr>
                      <w:color w:val="auto"/>
                    </w:rPr>
                    <w:t>一般固废</w:t>
                  </w:r>
                </w:p>
              </w:tc>
              <w:tc>
                <w:tcPr>
                  <w:tcW w:w="1501" w:type="pct"/>
                  <w:noWrap w:val="0"/>
                  <w:vAlign w:val="center"/>
                </w:tcPr>
                <w:p w14:paraId="2EDA7175">
                  <w:pPr>
                    <w:pStyle w:val="28"/>
                    <w:rPr>
                      <w:rFonts w:hint="eastAsia"/>
                      <w:color w:val="auto"/>
                    </w:rPr>
                  </w:pPr>
                  <w:r>
                    <w:rPr>
                      <w:rFonts w:hint="eastAsia"/>
                      <w:color w:val="auto"/>
                    </w:rPr>
                    <w:t>集中收集后外售处置</w:t>
                  </w:r>
                </w:p>
              </w:tc>
            </w:tr>
            <w:tr w14:paraId="5BCA4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1" w:type="pct"/>
                  <w:vMerge w:val="restart"/>
                  <w:noWrap w:val="0"/>
                  <w:vAlign w:val="center"/>
                </w:tcPr>
                <w:p w14:paraId="683B6FDF">
                  <w:pPr>
                    <w:pStyle w:val="28"/>
                    <w:rPr>
                      <w:rFonts w:hint="eastAsia" w:eastAsia="宋体"/>
                      <w:color w:val="auto"/>
                      <w:lang w:eastAsia="zh-CN"/>
                    </w:rPr>
                  </w:pPr>
                  <w:r>
                    <w:rPr>
                      <w:rFonts w:hint="eastAsia"/>
                      <w:color w:val="auto"/>
                      <w:lang w:val="en-US" w:eastAsia="zh-CN"/>
                    </w:rPr>
                    <w:t>6</w:t>
                  </w:r>
                </w:p>
              </w:tc>
              <w:tc>
                <w:tcPr>
                  <w:tcW w:w="570" w:type="pct"/>
                  <w:vMerge w:val="restart"/>
                  <w:noWrap w:val="0"/>
                  <w:vAlign w:val="center"/>
                </w:tcPr>
                <w:p w14:paraId="34E215C9">
                  <w:pPr>
                    <w:pStyle w:val="28"/>
                    <w:rPr>
                      <w:color w:val="auto"/>
                    </w:rPr>
                  </w:pPr>
                  <w:r>
                    <w:rPr>
                      <w:color w:val="auto"/>
                    </w:rPr>
                    <w:t>危险</w:t>
                  </w:r>
                </w:p>
                <w:p w14:paraId="7B2D9819">
                  <w:pPr>
                    <w:pStyle w:val="28"/>
                    <w:rPr>
                      <w:color w:val="auto"/>
                    </w:rPr>
                  </w:pPr>
                  <w:r>
                    <w:rPr>
                      <w:color w:val="auto"/>
                    </w:rPr>
                    <w:t>固废</w:t>
                  </w:r>
                </w:p>
              </w:tc>
              <w:tc>
                <w:tcPr>
                  <w:tcW w:w="1347" w:type="pct"/>
                  <w:noWrap w:val="0"/>
                  <w:vAlign w:val="center"/>
                </w:tcPr>
                <w:p w14:paraId="6C46B9BF">
                  <w:pPr>
                    <w:pStyle w:val="28"/>
                    <w:rPr>
                      <w:color w:val="auto"/>
                    </w:rPr>
                  </w:pPr>
                  <w:r>
                    <w:rPr>
                      <w:color w:val="auto"/>
                    </w:rPr>
                    <w:t>废机油</w:t>
                  </w:r>
                </w:p>
              </w:tc>
              <w:tc>
                <w:tcPr>
                  <w:tcW w:w="536" w:type="pct"/>
                  <w:noWrap w:val="0"/>
                  <w:vAlign w:val="center"/>
                </w:tcPr>
                <w:p w14:paraId="01CDED30">
                  <w:pPr>
                    <w:pStyle w:val="28"/>
                    <w:rPr>
                      <w:color w:val="auto"/>
                    </w:rPr>
                  </w:pPr>
                  <w:r>
                    <w:rPr>
                      <w:color w:val="auto"/>
                    </w:rPr>
                    <w:t>0.5t/a</w:t>
                  </w:r>
                </w:p>
              </w:tc>
              <w:tc>
                <w:tcPr>
                  <w:tcW w:w="671" w:type="pct"/>
                  <w:noWrap w:val="0"/>
                  <w:vAlign w:val="center"/>
                </w:tcPr>
                <w:p w14:paraId="6F587BD8">
                  <w:pPr>
                    <w:pStyle w:val="28"/>
                    <w:rPr>
                      <w:color w:val="auto"/>
                    </w:rPr>
                  </w:pPr>
                  <w:r>
                    <w:rPr>
                      <w:color w:val="auto"/>
                    </w:rPr>
                    <w:t>危险固废</w:t>
                  </w:r>
                </w:p>
              </w:tc>
              <w:tc>
                <w:tcPr>
                  <w:tcW w:w="1501" w:type="pct"/>
                  <w:vMerge w:val="restart"/>
                  <w:noWrap w:val="0"/>
                  <w:vAlign w:val="center"/>
                </w:tcPr>
                <w:p w14:paraId="6EB4DDF5">
                  <w:pPr>
                    <w:pStyle w:val="28"/>
                    <w:rPr>
                      <w:color w:val="auto"/>
                    </w:rPr>
                  </w:pPr>
                  <w:r>
                    <w:rPr>
                      <w:color w:val="auto"/>
                    </w:rPr>
                    <w:t>暂存于危废暂存间</w:t>
                  </w:r>
                  <w:r>
                    <w:rPr>
                      <w:rFonts w:hint="eastAsia"/>
                      <w:color w:val="auto"/>
                    </w:rPr>
                    <w:t>并定期委托有资</w:t>
                  </w:r>
                  <w:r>
                    <w:rPr>
                      <w:color w:val="auto"/>
                    </w:rPr>
                    <w:t>质的单位进</w:t>
                  </w:r>
                </w:p>
                <w:p w14:paraId="76C7AD19">
                  <w:pPr>
                    <w:pStyle w:val="28"/>
                    <w:rPr>
                      <w:color w:val="auto"/>
                    </w:rPr>
                  </w:pPr>
                  <w:r>
                    <w:rPr>
                      <w:color w:val="auto"/>
                    </w:rPr>
                    <w:t>行处置</w:t>
                  </w:r>
                </w:p>
              </w:tc>
            </w:tr>
            <w:tr w14:paraId="03977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1" w:type="pct"/>
                  <w:vMerge w:val="continue"/>
                  <w:noWrap w:val="0"/>
                  <w:vAlign w:val="center"/>
                </w:tcPr>
                <w:p w14:paraId="40C45A98">
                  <w:pPr>
                    <w:pStyle w:val="28"/>
                    <w:rPr>
                      <w:color w:val="auto"/>
                    </w:rPr>
                  </w:pPr>
                </w:p>
              </w:tc>
              <w:tc>
                <w:tcPr>
                  <w:tcW w:w="570" w:type="pct"/>
                  <w:vMerge w:val="continue"/>
                  <w:noWrap w:val="0"/>
                  <w:vAlign w:val="center"/>
                </w:tcPr>
                <w:p w14:paraId="035298EF">
                  <w:pPr>
                    <w:pStyle w:val="28"/>
                    <w:rPr>
                      <w:color w:val="auto"/>
                    </w:rPr>
                  </w:pPr>
                </w:p>
              </w:tc>
              <w:tc>
                <w:tcPr>
                  <w:tcW w:w="1347" w:type="pct"/>
                  <w:noWrap w:val="0"/>
                  <w:vAlign w:val="center"/>
                </w:tcPr>
                <w:p w14:paraId="444AA9D5">
                  <w:pPr>
                    <w:pStyle w:val="28"/>
                    <w:rPr>
                      <w:color w:val="auto"/>
                    </w:rPr>
                  </w:pPr>
                  <w:r>
                    <w:rPr>
                      <w:color w:val="auto"/>
                    </w:rPr>
                    <w:t>废机油桶</w:t>
                  </w:r>
                </w:p>
              </w:tc>
              <w:tc>
                <w:tcPr>
                  <w:tcW w:w="536" w:type="pct"/>
                  <w:noWrap w:val="0"/>
                  <w:vAlign w:val="center"/>
                </w:tcPr>
                <w:p w14:paraId="33DDD9BA">
                  <w:pPr>
                    <w:pStyle w:val="28"/>
                    <w:rPr>
                      <w:color w:val="auto"/>
                    </w:rPr>
                  </w:pPr>
                  <w:r>
                    <w:rPr>
                      <w:color w:val="auto"/>
                    </w:rPr>
                    <w:t>0.1t/a</w:t>
                  </w:r>
                </w:p>
              </w:tc>
              <w:tc>
                <w:tcPr>
                  <w:tcW w:w="671" w:type="pct"/>
                  <w:noWrap w:val="0"/>
                  <w:vAlign w:val="center"/>
                </w:tcPr>
                <w:p w14:paraId="3032132B">
                  <w:pPr>
                    <w:pStyle w:val="28"/>
                    <w:rPr>
                      <w:color w:val="auto"/>
                    </w:rPr>
                  </w:pPr>
                  <w:r>
                    <w:rPr>
                      <w:color w:val="auto"/>
                    </w:rPr>
                    <w:t>危险固废</w:t>
                  </w:r>
                </w:p>
              </w:tc>
              <w:tc>
                <w:tcPr>
                  <w:tcW w:w="1501" w:type="pct"/>
                  <w:vMerge w:val="continue"/>
                  <w:noWrap w:val="0"/>
                  <w:vAlign w:val="center"/>
                </w:tcPr>
                <w:p w14:paraId="2115B0D6">
                  <w:pPr>
                    <w:pStyle w:val="28"/>
                    <w:rPr>
                      <w:color w:val="auto"/>
                    </w:rPr>
                  </w:pPr>
                </w:p>
              </w:tc>
            </w:tr>
            <w:tr w14:paraId="7BD23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1" w:type="pct"/>
                  <w:vMerge w:val="continue"/>
                  <w:noWrap w:val="0"/>
                  <w:vAlign w:val="center"/>
                </w:tcPr>
                <w:p w14:paraId="66A8EC79">
                  <w:pPr>
                    <w:pStyle w:val="28"/>
                    <w:rPr>
                      <w:color w:val="auto"/>
                    </w:rPr>
                  </w:pPr>
                </w:p>
              </w:tc>
              <w:tc>
                <w:tcPr>
                  <w:tcW w:w="570" w:type="pct"/>
                  <w:vMerge w:val="continue"/>
                  <w:noWrap w:val="0"/>
                  <w:vAlign w:val="center"/>
                </w:tcPr>
                <w:p w14:paraId="5843E5EB">
                  <w:pPr>
                    <w:pStyle w:val="28"/>
                    <w:rPr>
                      <w:color w:val="auto"/>
                    </w:rPr>
                  </w:pPr>
                </w:p>
              </w:tc>
              <w:tc>
                <w:tcPr>
                  <w:tcW w:w="1347" w:type="pct"/>
                  <w:noWrap w:val="0"/>
                  <w:vAlign w:val="center"/>
                </w:tcPr>
                <w:p w14:paraId="60EABD3E">
                  <w:pPr>
                    <w:pStyle w:val="28"/>
                    <w:rPr>
                      <w:color w:val="auto"/>
                    </w:rPr>
                  </w:pPr>
                  <w:r>
                    <w:rPr>
                      <w:rFonts w:hint="eastAsia"/>
                      <w:color w:val="auto"/>
                    </w:rPr>
                    <w:t>含油抹布</w:t>
                  </w:r>
                </w:p>
              </w:tc>
              <w:tc>
                <w:tcPr>
                  <w:tcW w:w="536" w:type="pct"/>
                  <w:noWrap w:val="0"/>
                  <w:vAlign w:val="center"/>
                </w:tcPr>
                <w:p w14:paraId="608BE3E8">
                  <w:pPr>
                    <w:pStyle w:val="28"/>
                    <w:rPr>
                      <w:color w:val="auto"/>
                    </w:rPr>
                  </w:pPr>
                  <w:r>
                    <w:rPr>
                      <w:rFonts w:hint="eastAsia"/>
                      <w:color w:val="auto"/>
                    </w:rPr>
                    <w:t>0.01</w:t>
                  </w:r>
                  <w:r>
                    <w:rPr>
                      <w:color w:val="auto"/>
                    </w:rPr>
                    <w:t>t/a</w:t>
                  </w:r>
                </w:p>
              </w:tc>
              <w:tc>
                <w:tcPr>
                  <w:tcW w:w="671" w:type="pct"/>
                  <w:noWrap w:val="0"/>
                  <w:vAlign w:val="center"/>
                </w:tcPr>
                <w:p w14:paraId="3AAC6541">
                  <w:pPr>
                    <w:pStyle w:val="28"/>
                    <w:rPr>
                      <w:color w:val="auto"/>
                    </w:rPr>
                  </w:pPr>
                  <w:r>
                    <w:rPr>
                      <w:color w:val="auto"/>
                    </w:rPr>
                    <w:t>危险固废</w:t>
                  </w:r>
                </w:p>
              </w:tc>
              <w:tc>
                <w:tcPr>
                  <w:tcW w:w="1501" w:type="pct"/>
                  <w:vMerge w:val="continue"/>
                  <w:noWrap w:val="0"/>
                  <w:vAlign w:val="center"/>
                </w:tcPr>
                <w:p w14:paraId="7CD3AD3C">
                  <w:pPr>
                    <w:pStyle w:val="28"/>
                    <w:rPr>
                      <w:color w:val="auto"/>
                    </w:rPr>
                  </w:pPr>
                </w:p>
              </w:tc>
            </w:tr>
          </w:tbl>
          <w:p w14:paraId="51F67925">
            <w:pPr>
              <w:ind w:firstLine="482"/>
              <w:rPr>
                <w:b/>
                <w:bCs/>
                <w:color w:val="auto"/>
              </w:rPr>
            </w:pPr>
            <w:r>
              <w:rPr>
                <w:b/>
                <w:bCs/>
                <w:color w:val="auto"/>
              </w:rPr>
              <w:t>4.</w:t>
            </w:r>
            <w:r>
              <w:rPr>
                <w:rFonts w:hint="eastAsia"/>
                <w:b/>
                <w:bCs/>
                <w:color w:val="auto"/>
              </w:rPr>
              <w:t>5</w:t>
            </w:r>
            <w:r>
              <w:rPr>
                <w:b/>
                <w:bCs/>
                <w:color w:val="auto"/>
              </w:rPr>
              <w:t>.2固体废弃物环境管理要求及固废处置措施可行性分析</w:t>
            </w:r>
          </w:p>
          <w:p w14:paraId="1D3E08FB">
            <w:pPr>
              <w:ind w:firstLine="480"/>
              <w:rPr>
                <w:color w:val="auto"/>
              </w:rPr>
            </w:pPr>
            <w:r>
              <w:rPr>
                <w:color w:val="auto"/>
              </w:rPr>
              <w:t>1、固体废弃物环境管理要求</w:t>
            </w:r>
          </w:p>
          <w:p w14:paraId="10B99BA2">
            <w:pPr>
              <w:ind w:firstLine="480"/>
              <w:rPr>
                <w:color w:val="auto"/>
              </w:rPr>
            </w:pPr>
            <w:r>
              <w:rPr>
                <w:color w:val="auto"/>
              </w:rPr>
              <w:t>（1）</w:t>
            </w:r>
            <w:r>
              <w:rPr>
                <w:color w:val="auto"/>
                <w:szCs w:val="21"/>
              </w:rPr>
              <w:t>一般工业固废环境管理要求</w:t>
            </w:r>
          </w:p>
          <w:p w14:paraId="0C08C7C4">
            <w:pPr>
              <w:ind w:firstLine="480"/>
              <w:rPr>
                <w:color w:val="auto"/>
              </w:rPr>
            </w:pPr>
            <w:r>
              <w:rPr>
                <w:color w:val="auto"/>
              </w:rPr>
              <w:t>本项目一般固体废物处置执行《一般工业固体废物贮存和填埋污染控制标准》（GB18599-2020）、《排污许可证申请与核发技术规范 工业固体废物（试行）》（HJ1200-2021）的相关规定要求。其具体一般固废管理要求见表</w:t>
            </w:r>
            <w:r>
              <w:rPr>
                <w:rFonts w:hint="eastAsia"/>
                <w:color w:val="auto"/>
                <w:lang w:val="en-US" w:eastAsia="zh-CN"/>
              </w:rPr>
              <w:t>4-18</w:t>
            </w:r>
            <w:r>
              <w:rPr>
                <w:color w:val="auto"/>
              </w:rPr>
              <w:t>所示。</w:t>
            </w:r>
          </w:p>
          <w:p w14:paraId="009918FD">
            <w:pPr>
              <w:pStyle w:val="29"/>
              <w:spacing w:before="24" w:after="24"/>
              <w:rPr>
                <w:rFonts w:hint="eastAsia"/>
                <w:color w:val="auto"/>
              </w:rPr>
            </w:pPr>
            <w:r>
              <w:rPr>
                <w:rFonts w:hint="eastAsia"/>
                <w:color w:val="auto"/>
              </w:rPr>
              <w:t>表</w:t>
            </w:r>
            <w:r>
              <w:rPr>
                <w:rFonts w:hint="eastAsia"/>
                <w:color w:val="auto"/>
                <w:lang w:val="en-US" w:eastAsia="zh-CN"/>
              </w:rPr>
              <w:t>4-18</w:t>
            </w:r>
            <w:r>
              <w:rPr>
                <w:color w:val="auto"/>
              </w:rPr>
              <w:t xml:space="preserve">  </w:t>
            </w:r>
            <w:r>
              <w:rPr>
                <w:rFonts w:hint="eastAsia"/>
                <w:color w:val="auto"/>
              </w:rPr>
              <w:t>一般工业固体废物管理要求一览表</w:t>
            </w:r>
          </w:p>
          <w:tbl>
            <w:tblPr>
              <w:tblStyle w:val="20"/>
              <w:tblW w:w="49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1"/>
              <w:gridCol w:w="6086"/>
            </w:tblGrid>
            <w:tr w14:paraId="7343A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768" w:type="dxa"/>
                  <w:noWrap w:val="0"/>
                  <w:vAlign w:val="center"/>
                </w:tcPr>
                <w:p w14:paraId="6601F122">
                  <w:pPr>
                    <w:pStyle w:val="36"/>
                    <w:rPr>
                      <w:b/>
                      <w:bCs/>
                      <w:color w:val="auto"/>
                      <w:szCs w:val="21"/>
                    </w:rPr>
                  </w:pPr>
                  <w:r>
                    <w:rPr>
                      <w:b/>
                      <w:bCs/>
                      <w:color w:val="auto"/>
                      <w:szCs w:val="21"/>
                    </w:rPr>
                    <w:t>项目</w:t>
                  </w:r>
                </w:p>
              </w:tc>
              <w:tc>
                <w:tcPr>
                  <w:tcW w:w="6532" w:type="dxa"/>
                  <w:noWrap w:val="0"/>
                  <w:vAlign w:val="center"/>
                </w:tcPr>
                <w:p w14:paraId="286A8426">
                  <w:pPr>
                    <w:pStyle w:val="36"/>
                    <w:rPr>
                      <w:b/>
                      <w:bCs/>
                      <w:color w:val="auto"/>
                      <w:szCs w:val="21"/>
                    </w:rPr>
                  </w:pPr>
                  <w:r>
                    <w:rPr>
                      <w:b/>
                      <w:bCs/>
                      <w:color w:val="auto"/>
                      <w:szCs w:val="21"/>
                    </w:rPr>
                    <w:t>具体要求</w:t>
                  </w:r>
                </w:p>
              </w:tc>
            </w:tr>
            <w:tr w14:paraId="33143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8" w:type="dxa"/>
                  <w:noWrap w:val="0"/>
                  <w:vAlign w:val="center"/>
                </w:tcPr>
                <w:p w14:paraId="4D80E27A">
                  <w:pPr>
                    <w:pStyle w:val="36"/>
                    <w:rPr>
                      <w:b w:val="0"/>
                      <w:bCs/>
                      <w:color w:val="auto"/>
                      <w:szCs w:val="21"/>
                    </w:rPr>
                  </w:pPr>
                  <w:r>
                    <w:rPr>
                      <w:b w:val="0"/>
                      <w:bCs/>
                      <w:color w:val="auto"/>
                      <w:szCs w:val="21"/>
                    </w:rPr>
                    <w:t>一般工业固体废</w:t>
                  </w:r>
                </w:p>
                <w:p w14:paraId="241645A8">
                  <w:pPr>
                    <w:pStyle w:val="36"/>
                    <w:rPr>
                      <w:b w:val="0"/>
                      <w:bCs/>
                      <w:color w:val="auto"/>
                      <w:szCs w:val="21"/>
                    </w:rPr>
                  </w:pPr>
                  <w:r>
                    <w:rPr>
                      <w:b w:val="0"/>
                      <w:bCs/>
                      <w:color w:val="auto"/>
                      <w:szCs w:val="21"/>
                    </w:rPr>
                    <w:t>物基础信息</w:t>
                  </w:r>
                </w:p>
              </w:tc>
              <w:tc>
                <w:tcPr>
                  <w:tcW w:w="6532" w:type="dxa"/>
                  <w:noWrap w:val="0"/>
                  <w:vAlign w:val="center"/>
                </w:tcPr>
                <w:p w14:paraId="7DE2DC74">
                  <w:pPr>
                    <w:pStyle w:val="36"/>
                    <w:rPr>
                      <w:b w:val="0"/>
                      <w:bCs/>
                      <w:color w:val="auto"/>
                      <w:szCs w:val="21"/>
                    </w:rPr>
                  </w:pPr>
                  <w:r>
                    <w:rPr>
                      <w:b w:val="0"/>
                      <w:bCs/>
                      <w:color w:val="auto"/>
                      <w:szCs w:val="21"/>
                    </w:rPr>
                    <w:t>主要包括一般工业固体废物的名称、代码、类别、物质性质去向等</w:t>
                  </w:r>
                </w:p>
              </w:tc>
            </w:tr>
            <w:tr w14:paraId="1D7FB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8" w:type="dxa"/>
                  <w:noWrap w:val="0"/>
                  <w:vAlign w:val="center"/>
                </w:tcPr>
                <w:p w14:paraId="6DA3C1AC">
                  <w:pPr>
                    <w:pStyle w:val="36"/>
                    <w:rPr>
                      <w:b w:val="0"/>
                      <w:bCs/>
                      <w:color w:val="auto"/>
                      <w:szCs w:val="21"/>
                    </w:rPr>
                  </w:pPr>
                  <w:r>
                    <w:rPr>
                      <w:b w:val="0"/>
                      <w:bCs/>
                      <w:color w:val="auto"/>
                      <w:szCs w:val="21"/>
                    </w:rPr>
                    <w:t>一般工业固体废物自行贮存设施信息</w:t>
                  </w:r>
                </w:p>
              </w:tc>
              <w:tc>
                <w:tcPr>
                  <w:tcW w:w="6532" w:type="dxa"/>
                  <w:noWrap w:val="0"/>
                  <w:vAlign w:val="center"/>
                </w:tcPr>
                <w:p w14:paraId="6DEB55D1">
                  <w:pPr>
                    <w:pStyle w:val="36"/>
                    <w:rPr>
                      <w:b w:val="0"/>
                      <w:bCs/>
                      <w:color w:val="auto"/>
                      <w:szCs w:val="21"/>
                    </w:rPr>
                  </w:pPr>
                  <w:r>
                    <w:rPr>
                      <w:b w:val="0"/>
                      <w:bCs/>
                      <w:color w:val="auto"/>
                      <w:szCs w:val="21"/>
                    </w:rPr>
                    <w:t>包括贮存设施名称、编号、类型、位置、是否符合贮存相关标准要求、贮存一般工业固体废物能力、面积，贮存一般工业固体废物的名称、代码、类别、物理性状、产生环节等信息</w:t>
                  </w:r>
                </w:p>
              </w:tc>
            </w:tr>
            <w:tr w14:paraId="4F66A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8" w:type="dxa"/>
                  <w:noWrap w:val="0"/>
                  <w:vAlign w:val="center"/>
                </w:tcPr>
                <w:p w14:paraId="03E23923">
                  <w:pPr>
                    <w:pStyle w:val="36"/>
                    <w:rPr>
                      <w:b w:val="0"/>
                      <w:bCs/>
                      <w:color w:val="auto"/>
                      <w:szCs w:val="21"/>
                    </w:rPr>
                  </w:pPr>
                  <w:r>
                    <w:rPr>
                      <w:b w:val="0"/>
                      <w:bCs/>
                      <w:color w:val="auto"/>
                      <w:szCs w:val="21"/>
                    </w:rPr>
                    <w:t>一般工业固体废物自行利用/处置设施信息</w:t>
                  </w:r>
                </w:p>
              </w:tc>
              <w:tc>
                <w:tcPr>
                  <w:tcW w:w="6532" w:type="dxa"/>
                  <w:noWrap w:val="0"/>
                  <w:vAlign w:val="center"/>
                </w:tcPr>
                <w:p w14:paraId="68D802D3">
                  <w:pPr>
                    <w:pStyle w:val="36"/>
                    <w:rPr>
                      <w:b w:val="0"/>
                      <w:bCs/>
                      <w:color w:val="auto"/>
                      <w:szCs w:val="21"/>
                    </w:rPr>
                  </w:pPr>
                  <w:r>
                    <w:rPr>
                      <w:b w:val="0"/>
                      <w:bCs/>
                      <w:color w:val="auto"/>
                      <w:szCs w:val="21"/>
                    </w:rPr>
                    <w:t>设施名称、编号、类型、位置、利用/处置方式、利用/处置一般工业固体废物能力，利用/处置一般工业固体废物的名称、代码、类别、物理性状、产生环节等信息</w:t>
                  </w:r>
                </w:p>
              </w:tc>
            </w:tr>
            <w:tr w14:paraId="4EE9F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8" w:type="dxa"/>
                  <w:noWrap w:val="0"/>
                  <w:vAlign w:val="center"/>
                </w:tcPr>
                <w:p w14:paraId="2C906674">
                  <w:pPr>
                    <w:pStyle w:val="36"/>
                    <w:rPr>
                      <w:b w:val="0"/>
                      <w:bCs/>
                      <w:color w:val="auto"/>
                      <w:szCs w:val="21"/>
                    </w:rPr>
                  </w:pPr>
                  <w:r>
                    <w:rPr>
                      <w:b w:val="0"/>
                      <w:bCs/>
                      <w:color w:val="auto"/>
                      <w:szCs w:val="21"/>
                    </w:rPr>
                    <w:t>其他</w:t>
                  </w:r>
                </w:p>
              </w:tc>
              <w:tc>
                <w:tcPr>
                  <w:tcW w:w="6532" w:type="dxa"/>
                  <w:noWrap w:val="0"/>
                  <w:vAlign w:val="center"/>
                </w:tcPr>
                <w:p w14:paraId="7DC68115">
                  <w:pPr>
                    <w:pStyle w:val="36"/>
                    <w:rPr>
                      <w:b w:val="0"/>
                      <w:bCs/>
                      <w:color w:val="auto"/>
                      <w:szCs w:val="21"/>
                    </w:rPr>
                  </w:pPr>
                  <w:r>
                    <w:rPr>
                      <w:b w:val="0"/>
                      <w:bCs/>
                      <w:color w:val="auto"/>
                      <w:szCs w:val="21"/>
                    </w:rPr>
                    <w:t>排污单位应按照《中华人民共和国固体废物污染环境防治法》等相关法律法规要求，对工业固体废物采用防扬散、防流失、防渗漏或者其他防止污染环境的措施，不得擅自倾倒、堆放、丢弃、遗撒工业，固体废物。污染防控技术应符合排污单位适用的污染物排放标准、污染控制标准、污染防治可行技术等相关标准和管理文件要求；</w:t>
                  </w:r>
                </w:p>
                <w:p w14:paraId="5F3698CE">
                  <w:pPr>
                    <w:pStyle w:val="36"/>
                    <w:rPr>
                      <w:b w:val="0"/>
                      <w:bCs/>
                      <w:color w:val="auto"/>
                      <w:szCs w:val="21"/>
                    </w:rPr>
                  </w:pPr>
                  <w:r>
                    <w:rPr>
                      <w:b w:val="0"/>
                      <w:bCs/>
                      <w:color w:val="auto"/>
                      <w:szCs w:val="21"/>
                    </w:rPr>
                    <w:t>排污单位委托他人运输、利用、处置一般工业固体废物的，应落实《中华人民共和国固体废物污染环境防治法》等法律法规要求，对受托方的主体资格和技术能力进行核实，依法签订书面合同，在合同中约定污染防治要求等。</w:t>
                  </w:r>
                </w:p>
              </w:tc>
            </w:tr>
            <w:tr w14:paraId="49552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8" w:type="dxa"/>
                  <w:noWrap w:val="0"/>
                  <w:vAlign w:val="center"/>
                </w:tcPr>
                <w:p w14:paraId="7FDF6E79">
                  <w:pPr>
                    <w:pStyle w:val="36"/>
                    <w:rPr>
                      <w:b w:val="0"/>
                      <w:bCs/>
                      <w:color w:val="auto"/>
                      <w:szCs w:val="21"/>
                    </w:rPr>
                  </w:pPr>
                  <w:r>
                    <w:rPr>
                      <w:b w:val="0"/>
                      <w:bCs/>
                      <w:color w:val="auto"/>
                      <w:szCs w:val="21"/>
                    </w:rPr>
                    <w:t>环境管理台账编制要求</w:t>
                  </w:r>
                </w:p>
              </w:tc>
              <w:tc>
                <w:tcPr>
                  <w:tcW w:w="6532" w:type="dxa"/>
                  <w:noWrap w:val="0"/>
                  <w:vAlign w:val="center"/>
                </w:tcPr>
                <w:p w14:paraId="1444BB81">
                  <w:pPr>
                    <w:pStyle w:val="36"/>
                    <w:rPr>
                      <w:b w:val="0"/>
                      <w:bCs/>
                      <w:color w:val="auto"/>
                      <w:szCs w:val="21"/>
                    </w:rPr>
                  </w:pPr>
                  <w:r>
                    <w:rPr>
                      <w:b w:val="0"/>
                      <w:bCs/>
                      <w:color w:val="auto"/>
                      <w:szCs w:val="21"/>
                    </w:rPr>
                    <w:t>排污单位应建立环境管理台账制度，一般工业固体废物环境管理台账记录应符合生态环境部规定的一般工业固体废物环境管理台账相关标准及管理文件要求</w:t>
                  </w:r>
                  <w:r>
                    <w:rPr>
                      <w:rFonts w:hint="eastAsia"/>
                      <w:b w:val="0"/>
                      <w:bCs/>
                      <w:color w:val="auto"/>
                      <w:szCs w:val="21"/>
                    </w:rPr>
                    <w:t>。</w:t>
                  </w:r>
                </w:p>
              </w:tc>
            </w:tr>
          </w:tbl>
          <w:p w14:paraId="1F8F3011">
            <w:pPr>
              <w:autoSpaceDE w:val="0"/>
              <w:autoSpaceDN w:val="0"/>
              <w:snapToGrid w:val="0"/>
              <w:spacing w:before="120" w:beforeLines="50"/>
              <w:ind w:firstLine="482"/>
              <w:jc w:val="left"/>
              <w:rPr>
                <w:b/>
                <w:color w:val="auto"/>
              </w:rPr>
            </w:pPr>
            <w:r>
              <w:rPr>
                <w:rFonts w:hint="eastAsia"/>
                <w:b/>
                <w:color w:val="auto"/>
              </w:rPr>
              <w:t>4.5.</w:t>
            </w:r>
            <w:r>
              <w:rPr>
                <w:b/>
                <w:color w:val="auto"/>
              </w:rPr>
              <w:t>3危险固废处置方式</w:t>
            </w:r>
          </w:p>
          <w:p w14:paraId="5E3C2C3F">
            <w:pPr>
              <w:snapToGrid w:val="0"/>
              <w:ind w:firstLine="482"/>
              <w:rPr>
                <w:b/>
                <w:bCs/>
                <w:color w:val="auto"/>
              </w:rPr>
            </w:pPr>
            <w:r>
              <w:rPr>
                <w:rFonts w:hint="eastAsia"/>
                <w:b/>
                <w:bCs/>
                <w:color w:val="auto"/>
              </w:rPr>
              <w:t>1</w:t>
            </w:r>
            <w:r>
              <w:rPr>
                <w:b/>
                <w:bCs/>
                <w:color w:val="auto"/>
              </w:rPr>
              <w:t>、危险废物的收集和贮存管理措施</w:t>
            </w:r>
          </w:p>
          <w:p w14:paraId="4C1671F8">
            <w:pPr>
              <w:pStyle w:val="41"/>
              <w:snapToGrid w:val="0"/>
              <w:ind w:firstLine="480"/>
              <w:rPr>
                <w:rFonts w:ascii="Times New Roman" w:hAnsi="Times New Roman"/>
                <w:color w:val="auto"/>
              </w:rPr>
            </w:pPr>
            <w:r>
              <w:rPr>
                <w:rFonts w:ascii="Times New Roman" w:hAnsi="Times New Roman"/>
                <w:color w:val="auto"/>
              </w:rPr>
              <w:t>（1）危险废物的贮存</w:t>
            </w:r>
          </w:p>
          <w:p w14:paraId="3ACC28E7">
            <w:pPr>
              <w:snapToGrid w:val="0"/>
              <w:ind w:firstLine="480"/>
              <w:rPr>
                <w:color w:val="auto"/>
              </w:rPr>
            </w:pPr>
            <w:r>
              <w:rPr>
                <w:color w:val="auto"/>
              </w:rPr>
              <w:t>项目拟设置1间危废暂存间</w:t>
            </w:r>
            <w:r>
              <w:rPr>
                <w:rFonts w:hint="eastAsia"/>
                <w:color w:val="auto"/>
                <w:lang w:val="en-US" w:eastAsia="zh-CN"/>
              </w:rPr>
              <w:t>5</w:t>
            </w:r>
            <w:r>
              <w:rPr>
                <w:rFonts w:hint="eastAsia"/>
                <w:color w:val="auto"/>
              </w:rPr>
              <w:t>m</w:t>
            </w:r>
            <w:r>
              <w:rPr>
                <w:rFonts w:hint="eastAsia"/>
                <w:color w:val="auto"/>
                <w:vertAlign w:val="superscript"/>
              </w:rPr>
              <w:t>2</w:t>
            </w:r>
            <w:r>
              <w:rPr>
                <w:color w:val="auto"/>
              </w:rPr>
              <w:t>，其设计应严格按照《危险废物贮存污染控制标准》（GB18597-</w:t>
            </w:r>
            <w:r>
              <w:rPr>
                <w:rFonts w:hint="eastAsia"/>
                <w:color w:val="auto"/>
              </w:rPr>
              <w:t>2023</w:t>
            </w:r>
            <w:r>
              <w:rPr>
                <w:color w:val="auto"/>
              </w:rPr>
              <w:t>）及其修改单的要求进行：</w:t>
            </w:r>
          </w:p>
          <w:p w14:paraId="3EF4F5BD">
            <w:pPr>
              <w:snapToGrid w:val="0"/>
              <w:ind w:firstLine="480"/>
              <w:rPr>
                <w:color w:val="auto"/>
              </w:rPr>
            </w:pPr>
            <w:r>
              <w:rPr>
                <w:color w:val="auto"/>
              </w:rPr>
              <w:t>1）危险废物暂存间的设计原则</w:t>
            </w:r>
          </w:p>
          <w:p w14:paraId="741D4EC9">
            <w:pPr>
              <w:snapToGrid w:val="0"/>
              <w:ind w:firstLine="480"/>
              <w:rPr>
                <w:color w:val="auto"/>
              </w:rPr>
            </w:pPr>
            <w:r>
              <w:rPr>
                <w:color w:val="auto"/>
              </w:rPr>
              <w:t>①地面与裙脚要用坚固、防渗的材料建造，建筑材料必须与危险废物相容。</w:t>
            </w:r>
          </w:p>
          <w:p w14:paraId="5A03C7B2">
            <w:pPr>
              <w:snapToGrid w:val="0"/>
              <w:ind w:firstLine="480"/>
              <w:rPr>
                <w:color w:val="auto"/>
              </w:rPr>
            </w:pPr>
            <w:r>
              <w:rPr>
                <w:color w:val="auto"/>
              </w:rPr>
              <w:t>②危险废物暂存间地面采用防渗混凝土+2mm厚高密度聚乙烯，或至少2mm厚的</w:t>
            </w:r>
            <w:r>
              <w:rPr>
                <w:rFonts w:hint="eastAsia"/>
                <w:color w:val="auto"/>
                <w:lang w:eastAsia="zh-CN"/>
              </w:rPr>
              <w:t>其他人工</w:t>
            </w:r>
            <w:r>
              <w:rPr>
                <w:color w:val="auto"/>
              </w:rPr>
              <w:t>材料，须满足渗透系数≤1.0×10</w:t>
            </w:r>
            <w:r>
              <w:rPr>
                <w:color w:val="auto"/>
                <w:vertAlign w:val="superscript"/>
              </w:rPr>
              <w:t>-10</w:t>
            </w:r>
            <w:r>
              <w:rPr>
                <w:color w:val="auto"/>
              </w:rPr>
              <w:t>cm/s的要求。</w:t>
            </w:r>
          </w:p>
          <w:p w14:paraId="7FA6139B">
            <w:pPr>
              <w:snapToGrid w:val="0"/>
              <w:ind w:firstLine="480"/>
              <w:rPr>
                <w:color w:val="auto"/>
              </w:rPr>
            </w:pPr>
            <w:r>
              <w:rPr>
                <w:color w:val="auto"/>
              </w:rPr>
              <w:t>③设施内要有安全照明设施和观察窗口。</w:t>
            </w:r>
          </w:p>
          <w:p w14:paraId="1E9338A9">
            <w:pPr>
              <w:snapToGrid w:val="0"/>
              <w:ind w:firstLine="480"/>
              <w:rPr>
                <w:color w:val="auto"/>
              </w:rPr>
            </w:pPr>
            <w:r>
              <w:rPr>
                <w:color w:val="auto"/>
              </w:rPr>
              <w:t>④用于存放装载危险废物容器的地方，必须有</w:t>
            </w:r>
            <w:r>
              <w:rPr>
                <w:rFonts w:hint="eastAsia"/>
                <w:color w:val="auto"/>
                <w:lang w:eastAsia="zh-CN"/>
              </w:rPr>
              <w:t>耐腐蚀</w:t>
            </w:r>
            <w:r>
              <w:rPr>
                <w:color w:val="auto"/>
              </w:rPr>
              <w:t>的硬化地面，且表面无裂隙。</w:t>
            </w:r>
          </w:p>
          <w:p w14:paraId="216B9F7A">
            <w:pPr>
              <w:snapToGrid w:val="0"/>
              <w:ind w:firstLine="480"/>
              <w:rPr>
                <w:color w:val="auto"/>
              </w:rPr>
            </w:pPr>
            <w:r>
              <w:rPr>
                <w:color w:val="auto"/>
              </w:rPr>
              <w:t>⑤应设计堵截泄漏的裙脚，地面与裙脚所围建的容积不低于堵截最大容器的最大储量或总储量的1/5。</w:t>
            </w:r>
          </w:p>
          <w:p w14:paraId="47BF74A1">
            <w:pPr>
              <w:snapToGrid w:val="0"/>
              <w:ind w:firstLine="480"/>
              <w:rPr>
                <w:color w:val="auto"/>
              </w:rPr>
            </w:pPr>
            <w:r>
              <w:rPr>
                <w:color w:val="auto"/>
              </w:rPr>
              <w:t>⑥危废间地面采用环氧树脂漆，并设置导流沟及收集槽，以防止收集桶渗漏导致的事故排放。</w:t>
            </w:r>
          </w:p>
          <w:p w14:paraId="4E784F74">
            <w:pPr>
              <w:snapToGrid w:val="0"/>
              <w:ind w:firstLine="480"/>
              <w:rPr>
                <w:color w:val="auto"/>
              </w:rPr>
            </w:pPr>
            <w:r>
              <w:rPr>
                <w:color w:val="auto"/>
              </w:rPr>
              <w:t>2）危险废物的堆放</w:t>
            </w:r>
          </w:p>
          <w:p w14:paraId="0EA83B79">
            <w:pPr>
              <w:snapToGrid w:val="0"/>
              <w:ind w:firstLine="480"/>
              <w:rPr>
                <w:color w:val="auto"/>
              </w:rPr>
            </w:pPr>
            <w:r>
              <w:rPr>
                <w:color w:val="auto"/>
              </w:rPr>
              <w:t>①危险废物暂存间须按照《危险废物贮存污染控制标准》（GB18597-</w:t>
            </w:r>
            <w:r>
              <w:rPr>
                <w:rFonts w:hint="eastAsia"/>
                <w:color w:val="auto"/>
              </w:rPr>
              <w:t>2023</w:t>
            </w:r>
            <w:r>
              <w:rPr>
                <w:color w:val="auto"/>
              </w:rPr>
              <w:t>）的要求进行防渗设计，基础必须防渗，采用防渗混凝土+2mm厚高密度聚乙烯，或至少2mm厚的</w:t>
            </w:r>
            <w:r>
              <w:rPr>
                <w:rFonts w:hint="eastAsia"/>
                <w:color w:val="auto"/>
                <w:lang w:eastAsia="zh-CN"/>
              </w:rPr>
              <w:t>其他人工</w:t>
            </w:r>
            <w:r>
              <w:rPr>
                <w:color w:val="auto"/>
              </w:rPr>
              <w:t>材料，须满足渗透系数≤1.0×10</w:t>
            </w:r>
            <w:r>
              <w:rPr>
                <w:color w:val="auto"/>
                <w:vertAlign w:val="superscript"/>
              </w:rPr>
              <w:t>-10</w:t>
            </w:r>
            <w:r>
              <w:rPr>
                <w:color w:val="auto"/>
              </w:rPr>
              <w:t>cm/s的要求。</w:t>
            </w:r>
          </w:p>
          <w:p w14:paraId="2F2D1D21">
            <w:pPr>
              <w:snapToGrid w:val="0"/>
              <w:ind w:firstLine="480"/>
              <w:rPr>
                <w:color w:val="auto"/>
              </w:rPr>
            </w:pPr>
            <w:r>
              <w:rPr>
                <w:color w:val="auto"/>
              </w:rPr>
              <w:t>②危险废物存放要防风、防雨、防晒。</w:t>
            </w:r>
          </w:p>
          <w:p w14:paraId="3029E577">
            <w:pPr>
              <w:snapToGrid w:val="0"/>
              <w:ind w:firstLine="480"/>
              <w:rPr>
                <w:color w:val="auto"/>
              </w:rPr>
            </w:pPr>
            <w:r>
              <w:rPr>
                <w:color w:val="auto"/>
              </w:rPr>
              <w:t>③产生的危险废物必须设置有与其不相融的收集容器集中收集，并委托有危险废物处置资质的单位定期清运处置。危险废物在暂存场所内不能存储1年以上。</w:t>
            </w:r>
          </w:p>
          <w:p w14:paraId="50E81F36">
            <w:pPr>
              <w:snapToGrid w:val="0"/>
              <w:ind w:firstLine="480"/>
              <w:rPr>
                <w:color w:val="auto"/>
              </w:rPr>
            </w:pPr>
            <w:r>
              <w:rPr>
                <w:color w:val="auto"/>
              </w:rPr>
              <w:t>④对于危险固废的收集及贮存，应根据危险固废的成分，用符合国家标准的耐腐蚀、不易破损、变形和老化的容器贮存，并按规定在贮存危险固废容器上贴上标签，详细注明危险固废的名称、重量、成分、特性以及发生泄漏、扩散污染事故时的应急措施和补救办法。</w:t>
            </w:r>
          </w:p>
          <w:p w14:paraId="0A72FA80">
            <w:pPr>
              <w:snapToGrid w:val="0"/>
              <w:ind w:firstLine="480"/>
              <w:rPr>
                <w:color w:val="auto"/>
              </w:rPr>
            </w:pPr>
            <w:r>
              <w:rPr>
                <w:color w:val="auto"/>
              </w:rPr>
              <w:t>3）危险废物管理</w:t>
            </w:r>
          </w:p>
          <w:p w14:paraId="09CFC171">
            <w:pPr>
              <w:snapToGrid w:val="0"/>
              <w:ind w:firstLine="480"/>
              <w:rPr>
                <w:color w:val="auto"/>
              </w:rPr>
            </w:pPr>
            <w:r>
              <w:rPr>
                <w:color w:val="auto"/>
              </w:rPr>
              <w:t>①公司应设置专门的危险固废管理人员，作为厂内环境管理、监测的重要组成部分，主要负责危险废物情况的记录，设置危险废物管理台账，台账上应记录危险废物的名称、来源、数量、特性和包装容器的类别、入库日期、出库日期以及接收单位名称，危险废物的记录和货单在危险废物回取后应继续保留3</w:t>
            </w:r>
            <w:r>
              <w:rPr>
                <w:rFonts w:hint="eastAsia"/>
                <w:color w:val="auto"/>
              </w:rPr>
              <w:t>年</w:t>
            </w:r>
            <w:r>
              <w:rPr>
                <w:color w:val="auto"/>
              </w:rPr>
              <w:t>。</w:t>
            </w:r>
          </w:p>
          <w:p w14:paraId="387117C3">
            <w:pPr>
              <w:snapToGrid w:val="0"/>
              <w:ind w:firstLine="480"/>
              <w:rPr>
                <w:color w:val="auto"/>
              </w:rPr>
            </w:pPr>
            <w:r>
              <w:rPr>
                <w:color w:val="auto"/>
              </w:rPr>
              <w:t>②危险废物临时储存场所必须按GB15562.2的规定设置警示标志，周围应设置围墙或</w:t>
            </w:r>
            <w:r>
              <w:rPr>
                <w:rFonts w:hint="eastAsia"/>
                <w:color w:val="auto"/>
                <w:lang w:eastAsia="zh-CN"/>
              </w:rPr>
              <w:t>其他</w:t>
            </w:r>
            <w:r>
              <w:rPr>
                <w:color w:val="auto"/>
              </w:rPr>
              <w:t>防护栅栏。</w:t>
            </w:r>
          </w:p>
          <w:p w14:paraId="158BC8FA">
            <w:pPr>
              <w:ind w:firstLine="480"/>
              <w:rPr>
                <w:color w:val="auto"/>
              </w:rPr>
            </w:pPr>
            <w:r>
              <w:rPr>
                <w:rFonts w:hint="eastAsia" w:ascii="宋体" w:hAnsi="宋体" w:cs="宋体"/>
                <w:color w:val="auto"/>
              </w:rPr>
              <w:t>③</w:t>
            </w:r>
            <w:r>
              <w:rPr>
                <w:color w:val="auto"/>
              </w:rPr>
              <w:t>必须定期对所贮存的危险废物包装容器及贮存设施进行检查，发现破损，应及时采取措施清理更换。</w:t>
            </w:r>
          </w:p>
          <w:p w14:paraId="07BBDFF2">
            <w:pPr>
              <w:ind w:firstLine="480"/>
              <w:rPr>
                <w:color w:val="auto"/>
              </w:rPr>
            </w:pPr>
            <w:r>
              <w:rPr>
                <w:rFonts w:hint="eastAsia" w:ascii="宋体" w:hAnsi="宋体" w:cs="宋体"/>
                <w:color w:val="auto"/>
              </w:rPr>
              <w:t>④</w:t>
            </w:r>
            <w:r>
              <w:rPr>
                <w:color w:val="auto"/>
              </w:rPr>
              <w:t>按照规范标准要求设置标识标牌的图例、图示。</w:t>
            </w:r>
          </w:p>
          <w:p w14:paraId="1C574602">
            <w:pPr>
              <w:snapToGrid w:val="0"/>
              <w:ind w:firstLine="480"/>
              <w:rPr>
                <w:color w:val="auto"/>
              </w:rPr>
            </w:pPr>
            <w:r>
              <w:rPr>
                <w:color w:val="auto"/>
              </w:rPr>
              <w:t>（2）危险废物的转移</w:t>
            </w:r>
          </w:p>
          <w:p w14:paraId="4322DF95">
            <w:pPr>
              <w:snapToGrid w:val="0"/>
              <w:ind w:firstLine="480"/>
              <w:rPr>
                <w:color w:val="auto"/>
              </w:rPr>
            </w:pPr>
            <w:r>
              <w:rPr>
                <w:color w:val="auto"/>
              </w:rPr>
              <w:t>危险废物委托资质单位清运处置，转移处置过程中必须严格执行《危险废物转移联单管理办法》相关要求，执行危险废物转移联单制度，设置台账，明确危险废物名称、来源、数量、特性和包装容器类别、入库日期、存放库位、废物出库日期及接收单位名称等。经采取以上处理措施后，危险废物的储存对周围环境影响较小。</w:t>
            </w:r>
          </w:p>
          <w:p w14:paraId="70AC793D">
            <w:pPr>
              <w:ind w:firstLine="480"/>
              <w:rPr>
                <w:color w:val="auto"/>
              </w:rPr>
            </w:pPr>
            <w:r>
              <w:rPr>
                <w:color w:val="auto"/>
              </w:rPr>
              <w:t>综上所述，做到上述措施后，项目产生的所有固废均及时收集定期清运，能够得到妥善的处置，处置率100%，故对周围环境保护目标及周围环境影响较小</w:t>
            </w:r>
          </w:p>
          <w:p w14:paraId="3D6BB5B2">
            <w:pPr>
              <w:ind w:firstLine="480"/>
              <w:rPr>
                <w:color w:val="auto"/>
              </w:rPr>
            </w:pPr>
            <w:r>
              <w:rPr>
                <w:color w:val="auto"/>
              </w:rPr>
              <w:t>2、固废处置措施可行性分析</w:t>
            </w:r>
          </w:p>
          <w:p w14:paraId="176D25E7">
            <w:pPr>
              <w:ind w:firstLine="480"/>
              <w:rPr>
                <w:color w:val="auto"/>
              </w:rPr>
            </w:pPr>
            <w:r>
              <w:rPr>
                <w:color w:val="auto"/>
              </w:rPr>
              <w:t>（1）一般固废处置可行性分析</w:t>
            </w:r>
          </w:p>
          <w:p w14:paraId="54BA2D71">
            <w:pPr>
              <w:ind w:firstLine="480"/>
              <w:rPr>
                <w:color w:val="auto"/>
              </w:rPr>
            </w:pPr>
            <w:r>
              <w:rPr>
                <w:color w:val="auto"/>
              </w:rPr>
              <w:fldChar w:fldCharType="begin"/>
            </w:r>
            <w:r>
              <w:rPr>
                <w:color w:val="auto"/>
              </w:rPr>
              <w:instrText xml:space="preserve"> = 1 \* GB3 </w:instrText>
            </w:r>
            <w:r>
              <w:rPr>
                <w:color w:val="auto"/>
              </w:rPr>
              <w:fldChar w:fldCharType="separate"/>
            </w:r>
            <w:r>
              <w:rPr>
                <w:rFonts w:hint="eastAsia" w:ascii="宋体" w:hAnsi="宋体" w:cs="宋体"/>
                <w:color w:val="auto"/>
              </w:rPr>
              <w:t>①</w:t>
            </w:r>
            <w:r>
              <w:rPr>
                <w:color w:val="auto"/>
              </w:rPr>
              <w:fldChar w:fldCharType="end"/>
            </w:r>
            <w:r>
              <w:rPr>
                <w:color w:val="auto"/>
              </w:rPr>
              <w:t>生活垃圾处置可行性分析</w:t>
            </w:r>
          </w:p>
          <w:p w14:paraId="4EE16218">
            <w:pPr>
              <w:ind w:firstLine="480"/>
              <w:rPr>
                <w:rFonts w:hint="default" w:eastAsia="宋体"/>
                <w:color w:val="auto"/>
                <w:lang w:val="en-US" w:eastAsia="zh-CN"/>
              </w:rPr>
            </w:pPr>
            <w:r>
              <w:rPr>
                <w:rFonts w:hint="eastAsia"/>
                <w:color w:val="auto"/>
                <w:lang w:val="en-US" w:eastAsia="zh-CN"/>
              </w:rPr>
              <w:t>项目设有一般固废区，用于收集一般固废，委托昆明洁龙保洁服务有限公司</w:t>
            </w:r>
            <w:r>
              <w:rPr>
                <w:rFonts w:hint="eastAsia"/>
                <w:color w:val="auto"/>
              </w:rPr>
              <w:t>清运处置</w:t>
            </w:r>
            <w:r>
              <w:rPr>
                <w:rFonts w:hint="eastAsia"/>
                <w:color w:val="auto"/>
                <w:lang w:eastAsia="zh-CN"/>
              </w:rPr>
              <w:t>。</w:t>
            </w:r>
            <w:r>
              <w:rPr>
                <w:rFonts w:hint="eastAsia"/>
                <w:color w:val="auto"/>
                <w:lang w:val="en-US" w:eastAsia="zh-CN"/>
              </w:rPr>
              <w:t>处置措施可行。</w:t>
            </w:r>
          </w:p>
          <w:p w14:paraId="6850E646">
            <w:pPr>
              <w:ind w:firstLine="480"/>
              <w:rPr>
                <w:color w:val="auto"/>
              </w:rPr>
            </w:pPr>
            <w:r>
              <w:rPr>
                <w:color w:val="auto"/>
              </w:rPr>
              <w:fldChar w:fldCharType="begin"/>
            </w:r>
            <w:r>
              <w:rPr>
                <w:color w:val="auto"/>
              </w:rPr>
              <w:instrText xml:space="preserve"> = 2 \* GB3 </w:instrText>
            </w:r>
            <w:r>
              <w:rPr>
                <w:color w:val="auto"/>
              </w:rPr>
              <w:fldChar w:fldCharType="separate"/>
            </w:r>
            <w:r>
              <w:rPr>
                <w:rFonts w:hint="eastAsia" w:ascii="宋体" w:hAnsi="宋体" w:cs="宋体"/>
                <w:color w:val="auto"/>
              </w:rPr>
              <w:t>②</w:t>
            </w:r>
            <w:r>
              <w:rPr>
                <w:color w:val="auto"/>
              </w:rPr>
              <w:fldChar w:fldCharType="end"/>
            </w:r>
            <w:r>
              <w:rPr>
                <w:color w:val="auto"/>
              </w:rPr>
              <w:t>生产固废处置可行性分析</w:t>
            </w:r>
          </w:p>
          <w:p w14:paraId="4232C03C">
            <w:pPr>
              <w:ind w:firstLine="480"/>
              <w:rPr>
                <w:color w:val="auto"/>
              </w:rPr>
            </w:pPr>
            <w:r>
              <w:rPr>
                <w:color w:val="auto"/>
              </w:rPr>
              <w:t>因沉淀池渣里面含有水泥砂石沉渣、泥土沉渣，属于建筑垃圾，所以</w:t>
            </w:r>
            <w:r>
              <w:rPr>
                <w:rFonts w:hint="eastAsia"/>
                <w:color w:val="auto"/>
              </w:rPr>
              <w:t>定期清掏后</w:t>
            </w:r>
            <w:r>
              <w:rPr>
                <w:rFonts w:hint="eastAsia"/>
                <w:color w:val="auto"/>
                <w:lang w:val="en-US" w:eastAsia="zh-CN"/>
              </w:rPr>
              <w:t>进行填埋处置</w:t>
            </w:r>
            <w:r>
              <w:rPr>
                <w:color w:val="auto"/>
              </w:rPr>
              <w:t>方案是可行的。</w:t>
            </w:r>
            <w:r>
              <w:rPr>
                <w:rFonts w:hint="eastAsia"/>
                <w:color w:val="auto"/>
              </w:rPr>
              <w:t>因轨枕生产需用到碎石，不合</w:t>
            </w:r>
            <w:r>
              <w:rPr>
                <w:rFonts w:hint="eastAsia"/>
                <w:color w:val="auto"/>
                <w:lang w:eastAsia="zh-CN"/>
              </w:rPr>
              <w:t>格产</w:t>
            </w:r>
            <w:r>
              <w:rPr>
                <w:rFonts w:hint="eastAsia"/>
                <w:color w:val="auto"/>
              </w:rPr>
              <w:t>品敲碎后也属于碎石，所以</w:t>
            </w:r>
            <w:r>
              <w:rPr>
                <w:color w:val="auto"/>
              </w:rPr>
              <w:t>不合格产品敲碎后用作</w:t>
            </w:r>
            <w:r>
              <w:rPr>
                <w:rFonts w:hint="eastAsia"/>
                <w:color w:val="auto"/>
              </w:rPr>
              <w:t>轨枕</w:t>
            </w:r>
            <w:r>
              <w:rPr>
                <w:color w:val="auto"/>
              </w:rPr>
              <w:t>原料是可行的。</w:t>
            </w:r>
          </w:p>
          <w:p w14:paraId="40EC43B8">
            <w:pPr>
              <w:ind w:firstLine="482"/>
              <w:rPr>
                <w:b/>
                <w:bCs/>
                <w:color w:val="auto"/>
              </w:rPr>
            </w:pPr>
            <w:r>
              <w:rPr>
                <w:b/>
                <w:bCs/>
                <w:color w:val="auto"/>
              </w:rPr>
              <w:t>4.</w:t>
            </w:r>
            <w:r>
              <w:rPr>
                <w:rFonts w:hint="eastAsia"/>
                <w:b/>
                <w:bCs/>
                <w:color w:val="auto"/>
              </w:rPr>
              <w:t>5</w:t>
            </w:r>
            <w:r>
              <w:rPr>
                <w:b/>
                <w:bCs/>
                <w:color w:val="auto"/>
              </w:rPr>
              <w:t>.3运营期固废影响分析结论</w:t>
            </w:r>
          </w:p>
          <w:p w14:paraId="6A7C9F52">
            <w:pPr>
              <w:ind w:firstLine="480"/>
              <w:rPr>
                <w:color w:val="auto"/>
              </w:rPr>
            </w:pPr>
            <w:r>
              <w:rPr>
                <w:color w:val="auto"/>
              </w:rPr>
              <w:t>综上所述，本项目一般固体废物处理措施和处置方案满足《一般工业固体废物贮存和填埋污染控制标准》（GB18599-2020）标准要求，危险废物暂存于危废暂存间，处理和处置方案满足《危险废物贮存污染控制标准》（GB18597-2023），项目固体废物不会对周围环境造成不利影响。</w:t>
            </w:r>
          </w:p>
          <w:p w14:paraId="1EFC7AA5">
            <w:pPr>
              <w:ind w:firstLine="480"/>
              <w:rPr>
                <w:color w:val="auto"/>
              </w:rPr>
            </w:pPr>
            <w:r>
              <w:rPr>
                <w:color w:val="auto"/>
              </w:rPr>
              <w:t>综上所述，</w:t>
            </w:r>
            <w:bookmarkStart w:id="17" w:name="_Toc20627"/>
            <w:bookmarkStart w:id="18" w:name="_Toc4307"/>
            <w:r>
              <w:rPr>
                <w:color w:val="auto"/>
              </w:rPr>
              <w:t>项目产生的所有固废均及时收集定期清运，能够得到妥善的处置，处置率100%，故对周围环境保护目标及周围环境影响较小。</w:t>
            </w:r>
            <w:bookmarkEnd w:id="17"/>
            <w:bookmarkEnd w:id="18"/>
          </w:p>
          <w:p w14:paraId="4179947A">
            <w:pPr>
              <w:ind w:firstLine="482"/>
              <w:rPr>
                <w:b/>
                <w:bCs/>
                <w:color w:val="auto"/>
              </w:rPr>
            </w:pPr>
            <w:r>
              <w:rPr>
                <w:rFonts w:hint="eastAsia"/>
                <w:b/>
                <w:bCs/>
                <w:color w:val="auto"/>
              </w:rPr>
              <w:t>4.6</w:t>
            </w:r>
            <w:r>
              <w:rPr>
                <w:b/>
                <w:bCs/>
                <w:color w:val="auto"/>
              </w:rPr>
              <w:t>运营期地下水环境影响和保护措施</w:t>
            </w:r>
          </w:p>
          <w:p w14:paraId="07BB92C0">
            <w:pPr>
              <w:ind w:firstLine="482"/>
              <w:rPr>
                <w:color w:val="auto"/>
              </w:rPr>
            </w:pPr>
            <w:r>
              <w:rPr>
                <w:rFonts w:hint="eastAsia"/>
                <w:b/>
                <w:bCs/>
                <w:color w:val="auto"/>
              </w:rPr>
              <w:t>4.6.</w:t>
            </w:r>
            <w:r>
              <w:rPr>
                <w:rFonts w:hint="eastAsia"/>
                <w:b/>
                <w:bCs/>
                <w:color w:val="auto"/>
                <w:lang w:val="en-US" w:eastAsia="zh-CN"/>
              </w:rPr>
              <w:t>1</w:t>
            </w:r>
            <w:r>
              <w:rPr>
                <w:b/>
                <w:bCs/>
                <w:color w:val="auto"/>
              </w:rPr>
              <w:t>地下水</w:t>
            </w:r>
            <w:r>
              <w:rPr>
                <w:rFonts w:hint="eastAsia"/>
                <w:b/>
                <w:bCs/>
                <w:color w:val="auto"/>
              </w:rPr>
              <w:t>保护措施</w:t>
            </w:r>
          </w:p>
          <w:p w14:paraId="4F155171">
            <w:pPr>
              <w:pStyle w:val="2"/>
              <w:tabs>
                <w:tab w:val="left" w:pos="888"/>
              </w:tabs>
              <w:spacing w:before="0" w:after="0" w:line="360" w:lineRule="auto"/>
              <w:ind w:firstLine="480"/>
              <w:rPr>
                <w:rFonts w:hint="eastAsia"/>
                <w:b w:val="0"/>
                <w:bCs w:val="0"/>
                <w:color w:val="auto"/>
                <w:kern w:val="44"/>
                <w:sz w:val="24"/>
                <w:szCs w:val="24"/>
              </w:rPr>
            </w:pPr>
            <w:r>
              <w:rPr>
                <w:rFonts w:hint="eastAsia"/>
                <w:b w:val="0"/>
                <w:bCs w:val="0"/>
                <w:color w:val="auto"/>
                <w:kern w:val="44"/>
                <w:sz w:val="24"/>
                <w:szCs w:val="24"/>
              </w:rPr>
              <w:t>本项目地下水污染防治措施按照“源头控制、分区防治、污染监控、应急响应”相结合的原则，从污染物的产生、入渗、扩散、应急响应进行控制。</w:t>
            </w:r>
          </w:p>
          <w:p w14:paraId="4DA5B91E">
            <w:pPr>
              <w:pStyle w:val="2"/>
              <w:tabs>
                <w:tab w:val="left" w:pos="888"/>
              </w:tabs>
              <w:spacing w:before="0" w:after="0" w:line="360" w:lineRule="auto"/>
              <w:ind w:firstLine="482"/>
              <w:rPr>
                <w:rFonts w:hint="eastAsia"/>
                <w:color w:val="auto"/>
                <w:kern w:val="44"/>
                <w:sz w:val="24"/>
                <w:szCs w:val="24"/>
              </w:rPr>
            </w:pPr>
            <w:r>
              <w:rPr>
                <w:rFonts w:hint="eastAsia"/>
                <w:color w:val="auto"/>
                <w:kern w:val="44"/>
                <w:sz w:val="24"/>
                <w:szCs w:val="24"/>
              </w:rPr>
              <w:t>（1）源头控制措施</w:t>
            </w:r>
          </w:p>
          <w:p w14:paraId="65B1AA6F">
            <w:pPr>
              <w:pStyle w:val="2"/>
              <w:tabs>
                <w:tab w:val="left" w:pos="888"/>
              </w:tabs>
              <w:spacing w:before="0" w:after="0" w:line="360" w:lineRule="auto"/>
              <w:ind w:firstLine="480"/>
              <w:rPr>
                <w:rFonts w:hint="eastAsia"/>
                <w:b w:val="0"/>
                <w:bCs w:val="0"/>
                <w:color w:val="auto"/>
                <w:kern w:val="44"/>
                <w:sz w:val="24"/>
                <w:szCs w:val="24"/>
              </w:rPr>
            </w:pPr>
            <w:r>
              <w:rPr>
                <w:rFonts w:hint="eastAsia"/>
                <w:b w:val="0"/>
                <w:bCs w:val="0"/>
                <w:color w:val="auto"/>
                <w:kern w:val="44"/>
                <w:sz w:val="24"/>
                <w:szCs w:val="24"/>
              </w:rPr>
              <w:t>①本项目对产生的生产废水及生活污水均</w:t>
            </w:r>
            <w:r>
              <w:rPr>
                <w:rFonts w:hint="eastAsia"/>
                <w:b w:val="0"/>
                <w:bCs w:val="0"/>
                <w:color w:val="auto"/>
                <w:kern w:val="44"/>
                <w:sz w:val="24"/>
                <w:szCs w:val="24"/>
                <w:lang w:eastAsia="zh-CN"/>
              </w:rPr>
              <w:t>进行了</w:t>
            </w:r>
            <w:r>
              <w:rPr>
                <w:rFonts w:hint="eastAsia"/>
                <w:b w:val="0"/>
                <w:bCs w:val="0"/>
                <w:color w:val="auto"/>
                <w:kern w:val="44"/>
                <w:sz w:val="24"/>
                <w:szCs w:val="24"/>
              </w:rPr>
              <w:t>合理的治理和综合利用，生产废水排入沉淀池，经沉淀池沉淀后回用</w:t>
            </w:r>
            <w:r>
              <w:rPr>
                <w:rFonts w:hint="eastAsia"/>
                <w:b w:val="0"/>
                <w:bCs w:val="0"/>
                <w:color w:val="auto"/>
                <w:kern w:val="44"/>
                <w:sz w:val="24"/>
                <w:szCs w:val="24"/>
                <w:lang w:val="en-US" w:eastAsia="zh-CN"/>
              </w:rPr>
              <w:t>于混凝土搅拌</w:t>
            </w:r>
            <w:r>
              <w:rPr>
                <w:rFonts w:hint="eastAsia"/>
                <w:b w:val="0"/>
                <w:bCs w:val="0"/>
                <w:color w:val="auto"/>
                <w:kern w:val="44"/>
                <w:sz w:val="24"/>
                <w:szCs w:val="24"/>
              </w:rPr>
              <w:t>，生活污水经</w:t>
            </w:r>
            <w:r>
              <w:rPr>
                <w:rFonts w:hint="eastAsia"/>
                <w:b w:val="0"/>
                <w:bCs w:val="0"/>
                <w:color w:val="auto"/>
                <w:kern w:val="44"/>
                <w:sz w:val="24"/>
                <w:szCs w:val="24"/>
                <w:lang w:val="en-US" w:eastAsia="zh-CN"/>
              </w:rPr>
              <w:t>化粪池处理后委托昆明洁龙保洁服务有限公司定期清掏</w:t>
            </w:r>
            <w:r>
              <w:rPr>
                <w:rFonts w:hint="eastAsia"/>
                <w:b w:val="0"/>
                <w:bCs w:val="0"/>
                <w:color w:val="auto"/>
                <w:kern w:val="44"/>
                <w:sz w:val="24"/>
                <w:szCs w:val="24"/>
              </w:rPr>
              <w:t>，从源头上减少可能污染物产生，从而减少对地下水可能造成的污染。</w:t>
            </w:r>
          </w:p>
          <w:p w14:paraId="746FAC6B">
            <w:pPr>
              <w:pStyle w:val="2"/>
              <w:tabs>
                <w:tab w:val="left" w:pos="888"/>
              </w:tabs>
              <w:spacing w:before="0" w:after="0" w:line="360" w:lineRule="auto"/>
              <w:ind w:firstLine="480"/>
              <w:rPr>
                <w:rFonts w:hint="eastAsia"/>
                <w:b w:val="0"/>
                <w:bCs w:val="0"/>
                <w:color w:val="auto"/>
                <w:kern w:val="44"/>
                <w:sz w:val="24"/>
                <w:szCs w:val="24"/>
              </w:rPr>
            </w:pPr>
            <w:r>
              <w:rPr>
                <w:rFonts w:hint="eastAsia"/>
                <w:b w:val="0"/>
                <w:bCs w:val="0"/>
                <w:color w:val="auto"/>
                <w:kern w:val="44"/>
                <w:sz w:val="24"/>
                <w:szCs w:val="24"/>
              </w:rPr>
              <w:t>②严格按照国家相关规范要求，对工艺、管道、设备等采取相应的措施，以防止和降低可能污染物的跑、冒、滴、漏，将废水、物料泄漏的环境风险事故降低到最低程度。</w:t>
            </w:r>
          </w:p>
          <w:p w14:paraId="7810FD46">
            <w:pPr>
              <w:pStyle w:val="2"/>
              <w:tabs>
                <w:tab w:val="left" w:pos="888"/>
              </w:tabs>
              <w:spacing w:before="0" w:after="0" w:line="360" w:lineRule="auto"/>
              <w:ind w:firstLine="482"/>
              <w:rPr>
                <w:rFonts w:hint="eastAsia"/>
                <w:color w:val="auto"/>
                <w:kern w:val="44"/>
                <w:sz w:val="24"/>
                <w:szCs w:val="24"/>
              </w:rPr>
            </w:pPr>
            <w:r>
              <w:rPr>
                <w:rFonts w:hint="eastAsia"/>
                <w:color w:val="auto"/>
                <w:kern w:val="44"/>
                <w:sz w:val="24"/>
                <w:szCs w:val="24"/>
              </w:rPr>
              <w:t>（2）分区防渗措施</w:t>
            </w:r>
          </w:p>
          <w:p w14:paraId="60600AC0">
            <w:pPr>
              <w:pStyle w:val="2"/>
              <w:tabs>
                <w:tab w:val="left" w:pos="888"/>
              </w:tabs>
              <w:spacing w:before="0" w:after="0" w:line="360" w:lineRule="auto"/>
              <w:ind w:firstLine="480"/>
              <w:rPr>
                <w:b w:val="0"/>
                <w:bCs w:val="0"/>
                <w:color w:val="auto"/>
                <w:sz w:val="24"/>
                <w:szCs w:val="24"/>
              </w:rPr>
            </w:pPr>
            <w:r>
              <w:rPr>
                <w:b w:val="0"/>
                <w:bCs w:val="0"/>
                <w:color w:val="auto"/>
                <w:sz w:val="24"/>
                <w:szCs w:val="24"/>
              </w:rPr>
              <w:t>根据《环境影响评价技术导则</w:t>
            </w:r>
            <w:r>
              <w:rPr>
                <w:rFonts w:hint="eastAsia"/>
                <w:b w:val="0"/>
                <w:bCs w:val="0"/>
                <w:color w:val="auto"/>
                <w:sz w:val="24"/>
                <w:szCs w:val="24"/>
              </w:rPr>
              <w:t xml:space="preserve"> </w:t>
            </w:r>
            <w:r>
              <w:rPr>
                <w:b w:val="0"/>
                <w:bCs w:val="0"/>
                <w:color w:val="auto"/>
                <w:sz w:val="24"/>
                <w:szCs w:val="24"/>
              </w:rPr>
              <w:t>地下水环境》（HJ610-2016）</w:t>
            </w:r>
            <w:r>
              <w:rPr>
                <w:rFonts w:hint="eastAsia"/>
                <w:b w:val="0"/>
                <w:bCs w:val="0"/>
                <w:color w:val="auto"/>
                <w:sz w:val="24"/>
                <w:szCs w:val="24"/>
              </w:rPr>
              <w:t>对项目区</w:t>
            </w:r>
            <w:r>
              <w:rPr>
                <w:b w:val="0"/>
                <w:bCs w:val="0"/>
                <w:color w:val="auto"/>
                <w:sz w:val="24"/>
                <w:szCs w:val="24"/>
              </w:rPr>
              <w:t>可划分为重点防渗区、一般防渗区和简单防渗区。</w:t>
            </w:r>
          </w:p>
          <w:p w14:paraId="16BE69A8">
            <w:pPr>
              <w:pStyle w:val="2"/>
              <w:tabs>
                <w:tab w:val="left" w:pos="888"/>
              </w:tabs>
              <w:spacing w:before="0" w:after="0" w:line="360" w:lineRule="auto"/>
              <w:ind w:firstLine="480"/>
              <w:rPr>
                <w:rFonts w:hint="eastAsia"/>
                <w:b w:val="0"/>
                <w:bCs w:val="0"/>
                <w:color w:val="auto"/>
                <w:sz w:val="24"/>
                <w:szCs w:val="24"/>
              </w:rPr>
            </w:pPr>
            <w:r>
              <w:rPr>
                <w:b w:val="0"/>
                <w:bCs w:val="0"/>
                <w:color w:val="auto"/>
                <w:sz w:val="24"/>
                <w:szCs w:val="24"/>
              </w:rPr>
              <w:fldChar w:fldCharType="begin"/>
            </w:r>
            <w:r>
              <w:rPr>
                <w:b w:val="0"/>
                <w:bCs w:val="0"/>
                <w:color w:val="auto"/>
                <w:sz w:val="24"/>
                <w:szCs w:val="24"/>
              </w:rPr>
              <w:instrText xml:space="preserve"> </w:instrText>
            </w:r>
            <w:r>
              <w:rPr>
                <w:rFonts w:hint="eastAsia"/>
                <w:b w:val="0"/>
                <w:bCs w:val="0"/>
                <w:color w:val="auto"/>
                <w:sz w:val="24"/>
                <w:szCs w:val="24"/>
              </w:rPr>
              <w:instrText xml:space="preserve">= 1 \* GB3</w:instrText>
            </w:r>
            <w:r>
              <w:rPr>
                <w:b w:val="0"/>
                <w:bCs w:val="0"/>
                <w:color w:val="auto"/>
                <w:sz w:val="24"/>
                <w:szCs w:val="24"/>
              </w:rPr>
              <w:instrText xml:space="preserve"> </w:instrText>
            </w:r>
            <w:r>
              <w:rPr>
                <w:b w:val="0"/>
                <w:bCs w:val="0"/>
                <w:color w:val="auto"/>
                <w:sz w:val="24"/>
                <w:szCs w:val="24"/>
              </w:rPr>
              <w:fldChar w:fldCharType="separate"/>
            </w:r>
            <w:r>
              <w:rPr>
                <w:rFonts w:hint="eastAsia"/>
                <w:b w:val="0"/>
                <w:bCs w:val="0"/>
                <w:color w:val="auto"/>
                <w:sz w:val="24"/>
                <w:szCs w:val="24"/>
              </w:rPr>
              <w:t>①</w:t>
            </w:r>
            <w:r>
              <w:rPr>
                <w:b w:val="0"/>
                <w:bCs w:val="0"/>
                <w:color w:val="auto"/>
                <w:sz w:val="24"/>
                <w:szCs w:val="24"/>
              </w:rPr>
              <w:fldChar w:fldCharType="end"/>
            </w:r>
            <w:r>
              <w:rPr>
                <w:rFonts w:hint="eastAsia"/>
                <w:b w:val="0"/>
                <w:bCs w:val="0"/>
                <w:color w:val="auto"/>
                <w:sz w:val="24"/>
                <w:szCs w:val="24"/>
              </w:rPr>
              <w:t>重点防渗区：危废暂存间等区域，防渗层为至少1m厚黏土层（渗透系数不大于10</w:t>
            </w:r>
            <w:r>
              <w:rPr>
                <w:rFonts w:hint="eastAsia"/>
                <w:b w:val="0"/>
                <w:bCs w:val="0"/>
                <w:color w:val="auto"/>
                <w:sz w:val="24"/>
                <w:szCs w:val="24"/>
                <w:vertAlign w:val="superscript"/>
              </w:rPr>
              <w:t>-7</w:t>
            </w:r>
            <w:r>
              <w:rPr>
                <w:rFonts w:hint="eastAsia"/>
                <w:b w:val="0"/>
                <w:bCs w:val="0"/>
                <w:color w:val="auto"/>
                <w:sz w:val="24"/>
                <w:szCs w:val="24"/>
              </w:rPr>
              <w:t>cm/s），或至少2mm厚高密度聚乙烯膜等人工防渗材料（渗透系数不大于10</w:t>
            </w:r>
            <w:r>
              <w:rPr>
                <w:rFonts w:hint="eastAsia"/>
                <w:b w:val="0"/>
                <w:bCs w:val="0"/>
                <w:color w:val="auto"/>
                <w:sz w:val="24"/>
                <w:szCs w:val="24"/>
                <w:vertAlign w:val="superscript"/>
              </w:rPr>
              <w:t>-10</w:t>
            </w:r>
            <w:r>
              <w:rPr>
                <w:rFonts w:hint="eastAsia"/>
                <w:b w:val="0"/>
                <w:bCs w:val="0"/>
                <w:color w:val="auto"/>
                <w:sz w:val="24"/>
                <w:szCs w:val="24"/>
              </w:rPr>
              <w:t>cm/s），危废暂存间严格按照《危险废物贮存污染控制标准》（GB18597-2023）的要求进行建设。</w:t>
            </w:r>
          </w:p>
          <w:p w14:paraId="70F6D525">
            <w:pPr>
              <w:ind w:firstLine="480"/>
              <w:rPr>
                <w:rFonts w:hint="eastAsia"/>
                <w:color w:val="auto"/>
              </w:rPr>
            </w:pPr>
            <w:r>
              <w:rPr>
                <w:color w:val="auto"/>
              </w:rPr>
              <w:fldChar w:fldCharType="begin"/>
            </w:r>
            <w:r>
              <w:rPr>
                <w:color w:val="auto"/>
              </w:rPr>
              <w:instrText xml:space="preserve"> </w:instrText>
            </w:r>
            <w:r>
              <w:rPr>
                <w:rFonts w:hint="eastAsia"/>
                <w:color w:val="auto"/>
              </w:rPr>
              <w:instrText xml:space="preserve">= 2 \* GB3</w:instrText>
            </w:r>
            <w:r>
              <w:rPr>
                <w:color w:val="auto"/>
              </w:rPr>
              <w:instrText xml:space="preserve"> </w:instrText>
            </w:r>
            <w:r>
              <w:rPr>
                <w:color w:val="auto"/>
              </w:rPr>
              <w:fldChar w:fldCharType="separate"/>
            </w:r>
            <w:r>
              <w:rPr>
                <w:rFonts w:hint="eastAsia"/>
                <w:color w:val="auto"/>
              </w:rPr>
              <w:t>②</w:t>
            </w:r>
            <w:r>
              <w:rPr>
                <w:color w:val="auto"/>
              </w:rPr>
              <w:fldChar w:fldCharType="end"/>
            </w:r>
            <w:r>
              <w:rPr>
                <w:rFonts w:hint="eastAsia"/>
                <w:color w:val="auto"/>
              </w:rPr>
              <w:t>简单防渗区：化粪池、</w:t>
            </w:r>
            <w:r>
              <w:rPr>
                <w:rFonts w:hint="eastAsia"/>
                <w:color w:val="auto"/>
                <w:lang w:val="en-US" w:eastAsia="zh-CN"/>
              </w:rPr>
              <w:t>三级沉淀池、</w:t>
            </w:r>
            <w:r>
              <w:rPr>
                <w:rFonts w:hint="eastAsia"/>
                <w:color w:val="auto"/>
              </w:rPr>
              <w:t>四级沉淀池、</w:t>
            </w:r>
            <w:r>
              <w:rPr>
                <w:rFonts w:hint="eastAsia"/>
                <w:color w:val="auto"/>
                <w:lang w:val="en-US" w:eastAsia="zh-CN"/>
              </w:rPr>
              <w:t>五级沉淀池、</w:t>
            </w:r>
            <w:r>
              <w:rPr>
                <w:rFonts w:hint="eastAsia"/>
                <w:color w:val="auto"/>
              </w:rPr>
              <w:t>办公用房及厂区道路等区域，采用混凝土进行硬化处理。</w:t>
            </w:r>
          </w:p>
          <w:p w14:paraId="26FF7575">
            <w:pPr>
              <w:ind w:firstLine="482"/>
              <w:rPr>
                <w:b/>
                <w:bCs/>
                <w:color w:val="auto"/>
              </w:rPr>
            </w:pPr>
            <w:r>
              <w:rPr>
                <w:rFonts w:hint="eastAsia"/>
                <w:b/>
                <w:bCs/>
                <w:color w:val="auto"/>
              </w:rPr>
              <w:t>4.6.</w:t>
            </w:r>
            <w:r>
              <w:rPr>
                <w:rFonts w:hint="eastAsia"/>
                <w:b/>
                <w:bCs/>
                <w:color w:val="auto"/>
                <w:lang w:val="en-US" w:eastAsia="zh-CN"/>
              </w:rPr>
              <w:t>2</w:t>
            </w:r>
            <w:r>
              <w:rPr>
                <w:b/>
                <w:bCs/>
                <w:color w:val="auto"/>
              </w:rPr>
              <w:t>地下水环保措施可行性分析</w:t>
            </w:r>
          </w:p>
          <w:p w14:paraId="58326972">
            <w:pPr>
              <w:pStyle w:val="2"/>
              <w:tabs>
                <w:tab w:val="left" w:pos="888"/>
              </w:tabs>
              <w:spacing w:before="0" w:after="0" w:line="360" w:lineRule="auto"/>
              <w:ind w:firstLine="480"/>
              <w:rPr>
                <w:b w:val="0"/>
                <w:bCs w:val="0"/>
                <w:color w:val="auto"/>
                <w:kern w:val="44"/>
                <w:sz w:val="24"/>
                <w:szCs w:val="24"/>
              </w:rPr>
            </w:pPr>
            <w:r>
              <w:rPr>
                <w:b w:val="0"/>
                <w:bCs w:val="0"/>
                <w:color w:val="auto"/>
                <w:kern w:val="44"/>
                <w:sz w:val="24"/>
                <w:szCs w:val="24"/>
              </w:rPr>
              <w:t>在项目建设过程中须按要求做好危废暂存间、</w:t>
            </w:r>
            <w:r>
              <w:rPr>
                <w:rFonts w:hint="eastAsia"/>
                <w:b w:val="0"/>
                <w:bCs w:val="0"/>
                <w:color w:val="auto"/>
                <w:kern w:val="44"/>
                <w:sz w:val="24"/>
                <w:szCs w:val="24"/>
                <w:lang w:val="en-US" w:eastAsia="zh-CN"/>
              </w:rPr>
              <w:t>各</w:t>
            </w:r>
            <w:r>
              <w:rPr>
                <w:rFonts w:hint="eastAsia"/>
                <w:b w:val="0"/>
                <w:bCs w:val="0"/>
                <w:color w:val="auto"/>
                <w:sz w:val="24"/>
                <w:szCs w:val="24"/>
              </w:rPr>
              <w:t>沉淀池、化粪池</w:t>
            </w:r>
            <w:r>
              <w:rPr>
                <w:b w:val="0"/>
                <w:bCs w:val="0"/>
                <w:color w:val="auto"/>
                <w:kern w:val="44"/>
                <w:sz w:val="24"/>
                <w:szCs w:val="24"/>
              </w:rPr>
              <w:t>等区域的防渗、防腐措施，运行期定期检查防渗层及管道的破损情况，若发现有破损部位须及时进行修补。项目运行期间，需加强管理和监督检查，杜绝非正常情况的发生，避免污染物进入土壤及地下水中。</w:t>
            </w:r>
          </w:p>
          <w:p w14:paraId="0B6305D3">
            <w:pPr>
              <w:pStyle w:val="2"/>
              <w:tabs>
                <w:tab w:val="left" w:pos="888"/>
              </w:tabs>
              <w:spacing w:before="0" w:after="0" w:line="360" w:lineRule="auto"/>
              <w:ind w:firstLine="480"/>
              <w:rPr>
                <w:b w:val="0"/>
                <w:bCs w:val="0"/>
                <w:color w:val="auto"/>
                <w:kern w:val="44"/>
                <w:sz w:val="24"/>
                <w:szCs w:val="24"/>
              </w:rPr>
            </w:pPr>
            <w:r>
              <w:rPr>
                <w:b w:val="0"/>
                <w:bCs w:val="0"/>
                <w:color w:val="auto"/>
                <w:kern w:val="44"/>
                <w:sz w:val="24"/>
                <w:szCs w:val="24"/>
              </w:rPr>
              <w:t>建设项目在施工</w:t>
            </w:r>
            <w:r>
              <w:rPr>
                <w:rFonts w:hint="eastAsia"/>
                <w:b w:val="0"/>
                <w:bCs w:val="0"/>
                <w:color w:val="auto"/>
                <w:kern w:val="44"/>
                <w:sz w:val="24"/>
                <w:szCs w:val="24"/>
              </w:rPr>
              <w:t>及运营阶段严格落实本环评提出的各项措施，加强施工及日常运营管理，</w:t>
            </w:r>
            <w:r>
              <w:rPr>
                <w:b w:val="0"/>
                <w:bCs w:val="0"/>
                <w:color w:val="auto"/>
                <w:kern w:val="44"/>
                <w:sz w:val="24"/>
                <w:szCs w:val="24"/>
              </w:rPr>
              <w:t>本项目的实施不会对地下水产生明显不良影响。</w:t>
            </w:r>
          </w:p>
          <w:p w14:paraId="5D9BD20D">
            <w:pPr>
              <w:ind w:firstLine="482"/>
              <w:rPr>
                <w:b/>
                <w:bCs/>
                <w:color w:val="auto"/>
              </w:rPr>
            </w:pPr>
            <w:r>
              <w:rPr>
                <w:rFonts w:hint="eastAsia"/>
                <w:b/>
                <w:bCs/>
                <w:color w:val="auto"/>
              </w:rPr>
              <w:t>4.7土壤</w:t>
            </w:r>
            <w:r>
              <w:rPr>
                <w:b/>
                <w:bCs/>
                <w:color w:val="auto"/>
              </w:rPr>
              <w:t>环境影响和保护措施</w:t>
            </w:r>
          </w:p>
          <w:p w14:paraId="012C1B34">
            <w:pPr>
              <w:pStyle w:val="2"/>
              <w:tabs>
                <w:tab w:val="left" w:pos="888"/>
              </w:tabs>
              <w:spacing w:before="0" w:after="0" w:line="360" w:lineRule="auto"/>
              <w:ind w:firstLine="480"/>
              <w:rPr>
                <w:b w:val="0"/>
                <w:bCs w:val="0"/>
                <w:color w:val="auto"/>
                <w:kern w:val="44"/>
                <w:sz w:val="24"/>
                <w:szCs w:val="24"/>
              </w:rPr>
            </w:pPr>
            <w:r>
              <w:rPr>
                <w:b w:val="0"/>
                <w:bCs w:val="0"/>
                <w:color w:val="auto"/>
                <w:kern w:val="44"/>
                <w:sz w:val="24"/>
                <w:szCs w:val="24"/>
              </w:rPr>
              <w:t>根据《环境影响评价技术导则 土壤环境》（HJ964-2018）附录A，项目为污染影响型，属于</w:t>
            </w:r>
            <w:r>
              <w:rPr>
                <w:rFonts w:hint="eastAsia"/>
                <w:b w:val="0"/>
                <w:bCs w:val="0"/>
                <w:color w:val="auto"/>
                <w:kern w:val="44"/>
                <w:sz w:val="24"/>
                <w:szCs w:val="24"/>
                <w:lang w:eastAsia="zh-CN"/>
              </w:rPr>
              <w:t>“</w:t>
            </w:r>
            <w:r>
              <w:rPr>
                <w:rFonts w:hint="eastAsia"/>
                <w:b w:val="0"/>
                <w:bCs w:val="0"/>
                <w:color w:val="auto"/>
                <w:kern w:val="44"/>
                <w:sz w:val="24"/>
                <w:szCs w:val="24"/>
                <w:lang w:val="en-US" w:eastAsia="zh-CN"/>
              </w:rPr>
              <w:t>电力热力燃气及水生产和供应业</w:t>
            </w:r>
            <w:r>
              <w:rPr>
                <w:rFonts w:hint="eastAsia"/>
                <w:b w:val="0"/>
                <w:bCs w:val="0"/>
                <w:color w:val="auto"/>
                <w:kern w:val="44"/>
                <w:sz w:val="24"/>
                <w:szCs w:val="24"/>
                <w:lang w:eastAsia="zh-CN"/>
              </w:rPr>
              <w:t>”</w:t>
            </w:r>
            <w:r>
              <w:rPr>
                <w:b w:val="0"/>
                <w:bCs w:val="0"/>
                <w:color w:val="auto"/>
                <w:kern w:val="44"/>
                <w:sz w:val="24"/>
                <w:szCs w:val="24"/>
              </w:rPr>
              <w:t>，为</w:t>
            </w:r>
            <w:r>
              <w:rPr>
                <w:rFonts w:hint="default" w:ascii="Times New Roman" w:hAnsi="Times New Roman" w:eastAsia="宋体" w:cs="Times New Roman"/>
                <w:b w:val="0"/>
                <w:bCs w:val="0"/>
                <w:color w:val="auto"/>
                <w:kern w:val="44"/>
                <w:sz w:val="24"/>
                <w:szCs w:val="24"/>
              </w:rPr>
              <w:t>Ⅳ</w:t>
            </w:r>
            <w:r>
              <w:rPr>
                <w:b w:val="0"/>
                <w:bCs w:val="0"/>
                <w:color w:val="auto"/>
                <w:kern w:val="44"/>
                <w:sz w:val="24"/>
                <w:szCs w:val="24"/>
              </w:rPr>
              <w:t>类项目；项目占地面积</w:t>
            </w:r>
            <w:r>
              <w:rPr>
                <w:rFonts w:hint="eastAsia"/>
                <w:b w:val="0"/>
                <w:bCs w:val="0"/>
                <w:color w:val="auto"/>
                <w:kern w:val="44"/>
                <w:sz w:val="24"/>
                <w:szCs w:val="24"/>
              </w:rPr>
              <w:t>48849</w:t>
            </w:r>
            <w:r>
              <w:rPr>
                <w:b w:val="0"/>
                <w:bCs w:val="0"/>
                <w:color w:val="auto"/>
                <w:kern w:val="44"/>
                <w:sz w:val="24"/>
                <w:szCs w:val="24"/>
              </w:rPr>
              <w:t>m</w:t>
            </w:r>
            <w:r>
              <w:rPr>
                <w:b w:val="0"/>
                <w:bCs w:val="0"/>
                <w:color w:val="auto"/>
                <w:kern w:val="44"/>
                <w:sz w:val="24"/>
                <w:szCs w:val="24"/>
                <w:vertAlign w:val="superscript"/>
              </w:rPr>
              <w:t>2</w:t>
            </w:r>
            <w:r>
              <w:rPr>
                <w:rFonts w:hint="eastAsia"/>
                <w:b w:val="0"/>
                <w:bCs w:val="0"/>
                <w:color w:val="auto"/>
                <w:kern w:val="44"/>
                <w:sz w:val="24"/>
                <w:szCs w:val="24"/>
              </w:rPr>
              <w:t>占地规模为小型（</w:t>
            </w:r>
            <w:r>
              <w:rPr>
                <w:rFonts w:hint="default" w:ascii="Times New Roman" w:hAnsi="Times New Roman" w:cs="Times New Roman"/>
                <w:b w:val="0"/>
                <w:bCs w:val="0"/>
                <w:color w:val="auto"/>
                <w:kern w:val="44"/>
                <w:sz w:val="24"/>
                <w:szCs w:val="24"/>
              </w:rPr>
              <w:t>≤</w:t>
            </w:r>
            <w:r>
              <w:rPr>
                <w:rFonts w:hint="eastAsia"/>
                <w:b w:val="0"/>
                <w:bCs w:val="0"/>
                <w:color w:val="auto"/>
                <w:kern w:val="44"/>
                <w:sz w:val="24"/>
                <w:szCs w:val="24"/>
              </w:rPr>
              <w:t>5hm</w:t>
            </w:r>
            <w:r>
              <w:rPr>
                <w:rFonts w:hint="eastAsia"/>
                <w:b w:val="0"/>
                <w:bCs w:val="0"/>
                <w:color w:val="auto"/>
                <w:kern w:val="44"/>
                <w:sz w:val="24"/>
                <w:szCs w:val="24"/>
                <w:vertAlign w:val="superscript"/>
              </w:rPr>
              <w:t>2</w:t>
            </w:r>
            <w:r>
              <w:rPr>
                <w:rFonts w:hint="eastAsia"/>
                <w:b w:val="0"/>
                <w:bCs w:val="0"/>
                <w:color w:val="auto"/>
                <w:kern w:val="44"/>
                <w:sz w:val="24"/>
                <w:szCs w:val="24"/>
              </w:rPr>
              <w:t>）</w:t>
            </w:r>
            <w:r>
              <w:rPr>
                <w:b w:val="0"/>
                <w:bCs w:val="0"/>
                <w:color w:val="auto"/>
                <w:kern w:val="44"/>
                <w:sz w:val="24"/>
                <w:szCs w:val="24"/>
              </w:rPr>
              <w:t>，</w:t>
            </w:r>
            <w:r>
              <w:rPr>
                <w:rFonts w:hint="eastAsia"/>
                <w:b w:val="0"/>
                <w:bCs w:val="0"/>
                <w:color w:val="auto"/>
                <w:kern w:val="44"/>
                <w:sz w:val="24"/>
                <w:szCs w:val="24"/>
              </w:rPr>
              <w:t>通过现场踏勘，项目周边无饮用水水源地，土壤环境敏感程度为不敏感。对照《环境影响评价技术导则 土壤环境（试行）》（HJ964-2018）表4，本项目</w:t>
            </w:r>
            <w:r>
              <w:rPr>
                <w:rFonts w:hint="eastAsia"/>
                <w:b w:val="0"/>
                <w:bCs w:val="0"/>
                <w:color w:val="auto"/>
                <w:kern w:val="44"/>
                <w:sz w:val="24"/>
                <w:szCs w:val="24"/>
                <w:lang w:val="en-US" w:eastAsia="zh-CN"/>
              </w:rPr>
              <w:t>无需开</w:t>
            </w:r>
            <w:r>
              <w:rPr>
                <w:rFonts w:hint="eastAsia"/>
                <w:b w:val="0"/>
                <w:bCs w:val="0"/>
                <w:color w:val="auto"/>
                <w:kern w:val="44"/>
                <w:sz w:val="24"/>
                <w:szCs w:val="24"/>
              </w:rPr>
              <w:t>展土壤环境影响评价工作。</w:t>
            </w:r>
          </w:p>
          <w:p w14:paraId="6BA08056">
            <w:pPr>
              <w:keepNext w:val="0"/>
              <w:keepLines w:val="0"/>
              <w:pageBreakBefore w:val="0"/>
              <w:widowControl w:val="0"/>
              <w:kinsoku/>
              <w:wordWrap/>
              <w:overflowPunct/>
              <w:topLinePunct w:val="0"/>
              <w:autoSpaceDE/>
              <w:autoSpaceDN/>
              <w:bidi w:val="0"/>
              <w:adjustRightInd/>
              <w:snapToGrid/>
              <w:ind w:firstLine="482" w:firstLineChars="200"/>
              <w:textAlignment w:val="auto"/>
              <w:rPr>
                <w:b/>
                <w:bCs/>
                <w:color w:val="auto"/>
              </w:rPr>
            </w:pPr>
            <w:r>
              <w:rPr>
                <w:b/>
                <w:bCs/>
                <w:color w:val="auto"/>
              </w:rPr>
              <w:t>4.</w:t>
            </w:r>
            <w:r>
              <w:rPr>
                <w:rFonts w:hint="eastAsia"/>
                <w:b/>
                <w:bCs/>
                <w:color w:val="auto"/>
              </w:rPr>
              <w:t>8</w:t>
            </w:r>
            <w:r>
              <w:rPr>
                <w:b/>
                <w:bCs/>
                <w:color w:val="auto"/>
              </w:rPr>
              <w:t>物料运输对周边居民点的影响</w:t>
            </w:r>
          </w:p>
          <w:p w14:paraId="27D2EEAD">
            <w:pPr>
              <w:ind w:firstLine="480"/>
              <w:rPr>
                <w:color w:val="auto"/>
              </w:rPr>
            </w:pPr>
            <w:r>
              <w:rPr>
                <w:color w:val="auto"/>
              </w:rPr>
              <w:t>项目水泥</w:t>
            </w:r>
            <w:r>
              <w:rPr>
                <w:rFonts w:hint="eastAsia"/>
                <w:color w:val="auto"/>
              </w:rPr>
              <w:t>经水泥</w:t>
            </w:r>
            <w:r>
              <w:rPr>
                <w:color w:val="auto"/>
              </w:rPr>
              <w:t>筒仓存储，水泥由本地市场购得，由原料供应方负责运输，水泥的运输采用罐装式专业卡车运输，除运输车辆产生道路扬尘外，不存在因物料外泄等因素产生的扬尘，同时运输车辆产生运输噪声，运营期加强员工管理，运输车辆减速慢行，经过村庄时禁止鸣笛，运输车辆对道路沿途村庄等敏感点影响较小。</w:t>
            </w:r>
          </w:p>
          <w:p w14:paraId="1B17870A">
            <w:pPr>
              <w:ind w:firstLine="0" w:firstLineChars="0"/>
              <w:rPr>
                <w:b/>
                <w:bCs/>
                <w:color w:val="auto"/>
              </w:rPr>
            </w:pPr>
            <w:r>
              <w:rPr>
                <w:b/>
                <w:bCs/>
                <w:color w:val="auto"/>
              </w:rPr>
              <w:t>4.</w:t>
            </w:r>
            <w:r>
              <w:rPr>
                <w:rFonts w:hint="eastAsia"/>
                <w:b/>
                <w:bCs/>
                <w:color w:val="auto"/>
              </w:rPr>
              <w:t>9</w:t>
            </w:r>
            <w:r>
              <w:rPr>
                <w:b/>
                <w:bCs/>
                <w:color w:val="auto"/>
              </w:rPr>
              <w:t>环境风险影响分析</w:t>
            </w:r>
          </w:p>
          <w:p w14:paraId="402318F7">
            <w:pPr>
              <w:ind w:firstLine="482"/>
              <w:rPr>
                <w:b/>
                <w:bCs/>
                <w:color w:val="auto"/>
              </w:rPr>
            </w:pPr>
            <w:r>
              <w:rPr>
                <w:b/>
                <w:bCs/>
                <w:color w:val="auto"/>
              </w:rPr>
              <w:t>4.</w:t>
            </w:r>
            <w:r>
              <w:rPr>
                <w:rFonts w:hint="eastAsia"/>
                <w:b/>
                <w:bCs/>
                <w:color w:val="auto"/>
              </w:rPr>
              <w:t>9</w:t>
            </w:r>
            <w:r>
              <w:rPr>
                <w:b/>
                <w:bCs/>
                <w:color w:val="auto"/>
              </w:rPr>
              <w:t>.1环境风险识别</w:t>
            </w:r>
          </w:p>
          <w:p w14:paraId="152B5678">
            <w:pPr>
              <w:ind w:firstLine="480"/>
              <w:rPr>
                <w:color w:val="auto"/>
              </w:rPr>
            </w:pPr>
            <w:r>
              <w:rPr>
                <w:color w:val="auto"/>
              </w:rPr>
              <w:t>1、物质风险识别</w:t>
            </w:r>
          </w:p>
          <w:p w14:paraId="02B3CAC5">
            <w:pPr>
              <w:ind w:firstLine="480"/>
              <w:rPr>
                <w:color w:val="auto"/>
              </w:rPr>
            </w:pPr>
            <w:r>
              <w:rPr>
                <w:color w:val="auto"/>
              </w:rPr>
              <w:t>本项目在运营期主要原辅料及成品</w:t>
            </w:r>
            <w:r>
              <w:rPr>
                <w:rFonts w:hint="eastAsia"/>
                <w:color w:val="auto"/>
              </w:rPr>
              <w:t>，原辅料为</w:t>
            </w:r>
            <w:r>
              <w:rPr>
                <w:color w:val="auto"/>
              </w:rPr>
              <w:t>砂石料、水泥、</w:t>
            </w:r>
            <w:r>
              <w:rPr>
                <w:rFonts w:hint="eastAsia"/>
                <w:color w:val="auto"/>
              </w:rPr>
              <w:t>掺和剂、钢筋；成品为铁路轨枕</w:t>
            </w:r>
            <w:r>
              <w:rPr>
                <w:color w:val="auto"/>
              </w:rPr>
              <w:t>，以及运行过程中维修设备产生的废机油和废机油桶。</w:t>
            </w:r>
          </w:p>
          <w:p w14:paraId="5F9977C3">
            <w:pPr>
              <w:pStyle w:val="19"/>
              <w:spacing w:after="0"/>
              <w:ind w:left="0" w:leftChars="0" w:firstLine="480"/>
              <w:rPr>
                <w:color w:val="auto"/>
              </w:rPr>
            </w:pPr>
            <w:r>
              <w:rPr>
                <w:color w:val="auto"/>
              </w:rPr>
              <w:t>根据《建设项目环境风险评价技术导则》（HJ169-2018），项目涉及的危险性物质为废机油</w:t>
            </w:r>
          </w:p>
          <w:p w14:paraId="11004284">
            <w:pPr>
              <w:ind w:firstLine="480"/>
              <w:rPr>
                <w:color w:val="auto"/>
              </w:rPr>
            </w:pPr>
            <w:r>
              <w:rPr>
                <w:color w:val="auto"/>
              </w:rPr>
              <w:t>2、风险物质特性</w:t>
            </w:r>
          </w:p>
          <w:p w14:paraId="77E39E2F">
            <w:pPr>
              <w:pStyle w:val="29"/>
              <w:spacing w:before="24" w:after="24"/>
              <w:rPr>
                <w:color w:val="auto"/>
              </w:rPr>
            </w:pPr>
            <w:r>
              <w:rPr>
                <w:bCs/>
                <w:color w:val="auto"/>
              </w:rPr>
              <w:t>表</w:t>
            </w:r>
            <w:r>
              <w:rPr>
                <w:rFonts w:hint="eastAsia"/>
                <w:bCs/>
                <w:color w:val="auto"/>
                <w:lang w:val="en-US" w:eastAsia="zh-CN"/>
              </w:rPr>
              <w:t>4-19</w:t>
            </w:r>
            <w:r>
              <w:rPr>
                <w:bCs/>
                <w:color w:val="auto"/>
              </w:rPr>
              <w:t xml:space="preserve">  </w:t>
            </w:r>
            <w:r>
              <w:rPr>
                <w:color w:val="auto"/>
              </w:rPr>
              <w:t>废机油理化性质及危险特性一览表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332"/>
              <w:gridCol w:w="3737"/>
            </w:tblGrid>
            <w:tr w14:paraId="7C3D6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35" w:type="pct"/>
                  <w:noWrap w:val="0"/>
                  <w:vAlign w:val="center"/>
                </w:tcPr>
                <w:p w14:paraId="72B146AB">
                  <w:pPr>
                    <w:spacing w:line="240" w:lineRule="auto"/>
                    <w:ind w:firstLine="0" w:firstLineChars="0"/>
                    <w:jc w:val="center"/>
                    <w:rPr>
                      <w:b/>
                      <w:bCs/>
                      <w:color w:val="auto"/>
                      <w:kern w:val="0"/>
                      <w:sz w:val="21"/>
                      <w:szCs w:val="21"/>
                    </w:rPr>
                  </w:pPr>
                  <w:r>
                    <w:rPr>
                      <w:b/>
                      <w:bCs/>
                      <w:color w:val="auto"/>
                      <w:kern w:val="0"/>
                      <w:sz w:val="21"/>
                      <w:szCs w:val="21"/>
                    </w:rPr>
                    <w:t>标识</w:t>
                  </w:r>
                </w:p>
              </w:tc>
              <w:tc>
                <w:tcPr>
                  <w:tcW w:w="1916" w:type="pct"/>
                  <w:noWrap w:val="0"/>
                  <w:vAlign w:val="top"/>
                </w:tcPr>
                <w:p w14:paraId="0E5DFA8A">
                  <w:pPr>
                    <w:spacing w:line="240" w:lineRule="auto"/>
                    <w:ind w:firstLine="0" w:firstLineChars="0"/>
                    <w:jc w:val="center"/>
                    <w:rPr>
                      <w:b/>
                      <w:bCs/>
                      <w:color w:val="auto"/>
                      <w:kern w:val="0"/>
                      <w:sz w:val="21"/>
                      <w:szCs w:val="21"/>
                    </w:rPr>
                  </w:pPr>
                  <w:r>
                    <w:rPr>
                      <w:b/>
                      <w:bCs/>
                      <w:color w:val="auto"/>
                      <w:kern w:val="0"/>
                      <w:sz w:val="21"/>
                      <w:szCs w:val="21"/>
                    </w:rPr>
                    <w:t>中文名：机油</w:t>
                  </w:r>
                </w:p>
              </w:tc>
              <w:tc>
                <w:tcPr>
                  <w:tcW w:w="2149" w:type="pct"/>
                  <w:noWrap w:val="0"/>
                  <w:vAlign w:val="top"/>
                </w:tcPr>
                <w:p w14:paraId="201801AC">
                  <w:pPr>
                    <w:spacing w:line="240" w:lineRule="auto"/>
                    <w:ind w:firstLine="0" w:firstLineChars="0"/>
                    <w:jc w:val="center"/>
                    <w:rPr>
                      <w:b/>
                      <w:bCs/>
                      <w:color w:val="auto"/>
                      <w:kern w:val="0"/>
                      <w:sz w:val="21"/>
                      <w:szCs w:val="21"/>
                    </w:rPr>
                  </w:pPr>
                  <w:r>
                    <w:rPr>
                      <w:b/>
                      <w:bCs/>
                      <w:color w:val="auto"/>
                      <w:kern w:val="0"/>
                      <w:sz w:val="21"/>
                      <w:szCs w:val="21"/>
                    </w:rPr>
                    <w:t>英文名：lubricating oil ；Lube oil</w:t>
                  </w:r>
                </w:p>
              </w:tc>
            </w:tr>
            <w:tr w14:paraId="25005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 w:type="pct"/>
                  <w:vMerge w:val="restart"/>
                  <w:noWrap w:val="0"/>
                  <w:vAlign w:val="center"/>
                </w:tcPr>
                <w:p w14:paraId="6EA9EE90">
                  <w:pPr>
                    <w:spacing w:line="240" w:lineRule="auto"/>
                    <w:ind w:firstLine="0" w:firstLineChars="0"/>
                    <w:jc w:val="center"/>
                    <w:rPr>
                      <w:color w:val="auto"/>
                      <w:kern w:val="0"/>
                      <w:sz w:val="21"/>
                      <w:szCs w:val="21"/>
                    </w:rPr>
                  </w:pPr>
                  <w:r>
                    <w:rPr>
                      <w:color w:val="auto"/>
                      <w:kern w:val="0"/>
                      <w:sz w:val="21"/>
                      <w:szCs w:val="21"/>
                    </w:rPr>
                    <w:t>理化性质</w:t>
                  </w:r>
                </w:p>
              </w:tc>
              <w:tc>
                <w:tcPr>
                  <w:tcW w:w="4065" w:type="pct"/>
                  <w:gridSpan w:val="2"/>
                  <w:noWrap w:val="0"/>
                  <w:vAlign w:val="top"/>
                </w:tcPr>
                <w:p w14:paraId="30E03316">
                  <w:pPr>
                    <w:spacing w:line="240" w:lineRule="auto"/>
                    <w:ind w:firstLine="0" w:firstLineChars="0"/>
                    <w:jc w:val="center"/>
                    <w:rPr>
                      <w:color w:val="auto"/>
                      <w:kern w:val="0"/>
                      <w:sz w:val="21"/>
                      <w:szCs w:val="21"/>
                    </w:rPr>
                  </w:pPr>
                  <w:r>
                    <w:rPr>
                      <w:color w:val="auto"/>
                      <w:kern w:val="0"/>
                      <w:sz w:val="21"/>
                      <w:szCs w:val="21"/>
                    </w:rPr>
                    <w:t>外观及形态：油状液体，淡黄色至褐色，无气味或略带异味。</w:t>
                  </w:r>
                </w:p>
              </w:tc>
            </w:tr>
            <w:tr w14:paraId="10D9B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 w:type="pct"/>
                  <w:vMerge w:val="continue"/>
                  <w:noWrap w:val="0"/>
                  <w:vAlign w:val="center"/>
                </w:tcPr>
                <w:p w14:paraId="437120DD">
                  <w:pPr>
                    <w:spacing w:line="240" w:lineRule="auto"/>
                    <w:ind w:firstLine="0" w:firstLineChars="0"/>
                    <w:jc w:val="center"/>
                    <w:rPr>
                      <w:color w:val="auto"/>
                      <w:kern w:val="0"/>
                      <w:sz w:val="21"/>
                      <w:szCs w:val="21"/>
                    </w:rPr>
                  </w:pPr>
                </w:p>
              </w:tc>
              <w:tc>
                <w:tcPr>
                  <w:tcW w:w="1916" w:type="pct"/>
                  <w:noWrap w:val="0"/>
                  <w:vAlign w:val="top"/>
                </w:tcPr>
                <w:p w14:paraId="2F89001E">
                  <w:pPr>
                    <w:spacing w:line="240" w:lineRule="auto"/>
                    <w:ind w:firstLine="0" w:firstLineChars="0"/>
                    <w:jc w:val="center"/>
                    <w:rPr>
                      <w:color w:val="auto"/>
                      <w:kern w:val="0"/>
                      <w:sz w:val="21"/>
                      <w:szCs w:val="21"/>
                    </w:rPr>
                  </w:pPr>
                  <w:r>
                    <w:rPr>
                      <w:color w:val="auto"/>
                      <w:kern w:val="0"/>
                      <w:sz w:val="21"/>
                      <w:szCs w:val="21"/>
                    </w:rPr>
                    <w:t>熔点（℃）：/</w:t>
                  </w:r>
                </w:p>
              </w:tc>
              <w:tc>
                <w:tcPr>
                  <w:tcW w:w="2149" w:type="pct"/>
                  <w:noWrap w:val="0"/>
                  <w:vAlign w:val="top"/>
                </w:tcPr>
                <w:p w14:paraId="6AEF39E9">
                  <w:pPr>
                    <w:spacing w:line="240" w:lineRule="auto"/>
                    <w:ind w:firstLine="0" w:firstLineChars="0"/>
                    <w:jc w:val="center"/>
                    <w:rPr>
                      <w:color w:val="auto"/>
                      <w:kern w:val="0"/>
                      <w:sz w:val="21"/>
                      <w:szCs w:val="21"/>
                    </w:rPr>
                  </w:pPr>
                  <w:r>
                    <w:rPr>
                      <w:color w:val="auto"/>
                      <w:kern w:val="0"/>
                      <w:sz w:val="21"/>
                      <w:szCs w:val="21"/>
                    </w:rPr>
                    <w:t>闪点（℃）：76</w:t>
                  </w:r>
                </w:p>
              </w:tc>
            </w:tr>
            <w:tr w14:paraId="23EBC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 w:type="pct"/>
                  <w:vMerge w:val="continue"/>
                  <w:noWrap w:val="0"/>
                  <w:vAlign w:val="center"/>
                </w:tcPr>
                <w:p w14:paraId="381D35B2">
                  <w:pPr>
                    <w:spacing w:line="240" w:lineRule="auto"/>
                    <w:ind w:firstLine="0" w:firstLineChars="0"/>
                    <w:jc w:val="center"/>
                    <w:rPr>
                      <w:color w:val="auto"/>
                      <w:kern w:val="0"/>
                      <w:sz w:val="21"/>
                      <w:szCs w:val="21"/>
                    </w:rPr>
                  </w:pPr>
                </w:p>
              </w:tc>
              <w:tc>
                <w:tcPr>
                  <w:tcW w:w="4065" w:type="pct"/>
                  <w:gridSpan w:val="2"/>
                  <w:noWrap w:val="0"/>
                  <w:vAlign w:val="top"/>
                </w:tcPr>
                <w:p w14:paraId="71F630CE">
                  <w:pPr>
                    <w:spacing w:line="240" w:lineRule="auto"/>
                    <w:ind w:firstLine="0" w:firstLineChars="0"/>
                    <w:jc w:val="center"/>
                    <w:rPr>
                      <w:color w:val="auto"/>
                      <w:kern w:val="0"/>
                      <w:sz w:val="21"/>
                      <w:szCs w:val="21"/>
                    </w:rPr>
                  </w:pPr>
                  <w:r>
                    <w:rPr>
                      <w:color w:val="auto"/>
                      <w:kern w:val="0"/>
                      <w:sz w:val="21"/>
                      <w:szCs w:val="21"/>
                    </w:rPr>
                    <w:t>溶解性：不溶于水</w:t>
                  </w:r>
                </w:p>
              </w:tc>
            </w:tr>
            <w:tr w14:paraId="00655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 w:type="pct"/>
                  <w:vMerge w:val="restart"/>
                  <w:noWrap w:val="0"/>
                  <w:vAlign w:val="center"/>
                </w:tcPr>
                <w:p w14:paraId="6109D515">
                  <w:pPr>
                    <w:spacing w:line="240" w:lineRule="auto"/>
                    <w:ind w:firstLine="0" w:firstLineChars="0"/>
                    <w:jc w:val="center"/>
                    <w:rPr>
                      <w:color w:val="auto"/>
                      <w:kern w:val="0"/>
                      <w:sz w:val="21"/>
                      <w:szCs w:val="21"/>
                    </w:rPr>
                  </w:pPr>
                  <w:r>
                    <w:rPr>
                      <w:color w:val="auto"/>
                      <w:kern w:val="0"/>
                      <w:sz w:val="21"/>
                      <w:szCs w:val="21"/>
                    </w:rPr>
                    <w:t>燃烧爆炸危险性</w:t>
                  </w:r>
                </w:p>
              </w:tc>
              <w:tc>
                <w:tcPr>
                  <w:tcW w:w="1916" w:type="pct"/>
                  <w:noWrap w:val="0"/>
                  <w:vAlign w:val="top"/>
                </w:tcPr>
                <w:p w14:paraId="1B12D429">
                  <w:pPr>
                    <w:spacing w:line="240" w:lineRule="auto"/>
                    <w:ind w:firstLine="0" w:firstLineChars="0"/>
                    <w:jc w:val="center"/>
                    <w:rPr>
                      <w:color w:val="auto"/>
                      <w:kern w:val="0"/>
                      <w:sz w:val="21"/>
                      <w:szCs w:val="21"/>
                    </w:rPr>
                  </w:pPr>
                  <w:r>
                    <w:rPr>
                      <w:color w:val="auto"/>
                      <w:kern w:val="0"/>
                      <w:sz w:val="21"/>
                      <w:szCs w:val="21"/>
                    </w:rPr>
                    <w:t>危险类别：可燃</w:t>
                  </w:r>
                </w:p>
              </w:tc>
              <w:tc>
                <w:tcPr>
                  <w:tcW w:w="2149" w:type="pct"/>
                  <w:noWrap w:val="0"/>
                  <w:vAlign w:val="top"/>
                </w:tcPr>
                <w:p w14:paraId="24DFC912">
                  <w:pPr>
                    <w:spacing w:line="240" w:lineRule="auto"/>
                    <w:ind w:firstLine="0" w:firstLineChars="0"/>
                    <w:jc w:val="center"/>
                    <w:rPr>
                      <w:color w:val="auto"/>
                      <w:kern w:val="0"/>
                      <w:sz w:val="21"/>
                      <w:szCs w:val="21"/>
                    </w:rPr>
                  </w:pPr>
                  <w:r>
                    <w:rPr>
                      <w:color w:val="auto"/>
                      <w:kern w:val="0"/>
                      <w:sz w:val="21"/>
                      <w:szCs w:val="21"/>
                    </w:rPr>
                    <w:t>有害燃烧产物：CO、CO</w:t>
                  </w:r>
                  <w:r>
                    <w:rPr>
                      <w:color w:val="auto"/>
                      <w:kern w:val="0"/>
                      <w:sz w:val="21"/>
                      <w:szCs w:val="21"/>
                      <w:vertAlign w:val="subscript"/>
                    </w:rPr>
                    <w:t>2</w:t>
                  </w:r>
                </w:p>
              </w:tc>
            </w:tr>
            <w:tr w14:paraId="75242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 w:type="pct"/>
                  <w:vMerge w:val="continue"/>
                  <w:noWrap w:val="0"/>
                  <w:vAlign w:val="center"/>
                </w:tcPr>
                <w:p w14:paraId="7B129A1E">
                  <w:pPr>
                    <w:spacing w:line="240" w:lineRule="auto"/>
                    <w:ind w:firstLine="0" w:firstLineChars="0"/>
                    <w:jc w:val="center"/>
                    <w:rPr>
                      <w:color w:val="auto"/>
                      <w:kern w:val="0"/>
                      <w:sz w:val="21"/>
                      <w:szCs w:val="21"/>
                    </w:rPr>
                  </w:pPr>
                </w:p>
              </w:tc>
              <w:tc>
                <w:tcPr>
                  <w:tcW w:w="1916" w:type="pct"/>
                  <w:noWrap w:val="0"/>
                  <w:vAlign w:val="top"/>
                </w:tcPr>
                <w:p w14:paraId="21D42883">
                  <w:pPr>
                    <w:spacing w:line="240" w:lineRule="auto"/>
                    <w:ind w:firstLine="0" w:firstLineChars="0"/>
                    <w:jc w:val="center"/>
                    <w:rPr>
                      <w:color w:val="auto"/>
                      <w:kern w:val="0"/>
                      <w:sz w:val="21"/>
                      <w:szCs w:val="21"/>
                    </w:rPr>
                  </w:pPr>
                  <w:r>
                    <w:rPr>
                      <w:color w:val="auto"/>
                      <w:kern w:val="0"/>
                      <w:sz w:val="21"/>
                      <w:szCs w:val="21"/>
                    </w:rPr>
                    <w:t>爆炸极限（体积分数%）：/</w:t>
                  </w:r>
                </w:p>
              </w:tc>
              <w:tc>
                <w:tcPr>
                  <w:tcW w:w="2149" w:type="pct"/>
                  <w:noWrap w:val="0"/>
                  <w:vAlign w:val="top"/>
                </w:tcPr>
                <w:p w14:paraId="3300B8AA">
                  <w:pPr>
                    <w:spacing w:line="240" w:lineRule="auto"/>
                    <w:ind w:firstLine="0" w:firstLineChars="0"/>
                    <w:jc w:val="center"/>
                    <w:rPr>
                      <w:color w:val="auto"/>
                      <w:kern w:val="0"/>
                      <w:sz w:val="21"/>
                      <w:szCs w:val="21"/>
                    </w:rPr>
                  </w:pPr>
                  <w:r>
                    <w:rPr>
                      <w:color w:val="auto"/>
                      <w:kern w:val="0"/>
                      <w:sz w:val="21"/>
                      <w:szCs w:val="21"/>
                    </w:rPr>
                    <w:t>稳定性：稳定</w:t>
                  </w:r>
                </w:p>
              </w:tc>
            </w:tr>
            <w:tr w14:paraId="2F1CB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 w:type="pct"/>
                  <w:vMerge w:val="continue"/>
                  <w:noWrap w:val="0"/>
                  <w:vAlign w:val="center"/>
                </w:tcPr>
                <w:p w14:paraId="61919484">
                  <w:pPr>
                    <w:spacing w:line="240" w:lineRule="auto"/>
                    <w:ind w:firstLine="0" w:firstLineChars="0"/>
                    <w:jc w:val="center"/>
                    <w:rPr>
                      <w:color w:val="auto"/>
                      <w:kern w:val="0"/>
                      <w:sz w:val="21"/>
                      <w:szCs w:val="21"/>
                    </w:rPr>
                  </w:pPr>
                </w:p>
              </w:tc>
              <w:tc>
                <w:tcPr>
                  <w:tcW w:w="4065" w:type="pct"/>
                  <w:gridSpan w:val="2"/>
                  <w:noWrap w:val="0"/>
                  <w:vAlign w:val="top"/>
                </w:tcPr>
                <w:p w14:paraId="5986C2B0">
                  <w:pPr>
                    <w:spacing w:line="240" w:lineRule="auto"/>
                    <w:ind w:firstLine="0" w:firstLineChars="0"/>
                    <w:jc w:val="center"/>
                    <w:rPr>
                      <w:color w:val="auto"/>
                      <w:kern w:val="0"/>
                      <w:sz w:val="21"/>
                      <w:szCs w:val="21"/>
                    </w:rPr>
                  </w:pPr>
                  <w:r>
                    <w:rPr>
                      <w:color w:val="auto"/>
                      <w:kern w:val="0"/>
                      <w:sz w:val="21"/>
                      <w:szCs w:val="21"/>
                    </w:rPr>
                    <w:t>引燃温度</w:t>
                  </w:r>
                  <w:r>
                    <w:rPr>
                      <w:rFonts w:hint="eastAsia"/>
                      <w:color w:val="auto"/>
                      <w:kern w:val="0"/>
                      <w:sz w:val="21"/>
                      <w:szCs w:val="21"/>
                      <w:lang w:eastAsia="zh-CN"/>
                    </w:rPr>
                    <w:t>（</w:t>
                  </w:r>
                  <w:r>
                    <w:rPr>
                      <w:color w:val="auto"/>
                      <w:kern w:val="0"/>
                      <w:sz w:val="21"/>
                      <w:szCs w:val="21"/>
                    </w:rPr>
                    <w:t>℃</w:t>
                  </w:r>
                  <w:r>
                    <w:rPr>
                      <w:rFonts w:hint="eastAsia"/>
                      <w:color w:val="auto"/>
                      <w:kern w:val="0"/>
                      <w:sz w:val="21"/>
                      <w:szCs w:val="21"/>
                      <w:lang w:eastAsia="zh-CN"/>
                    </w:rPr>
                    <w:t>）</w:t>
                  </w:r>
                  <w:r>
                    <w:rPr>
                      <w:color w:val="auto"/>
                      <w:kern w:val="0"/>
                      <w:sz w:val="21"/>
                      <w:szCs w:val="21"/>
                    </w:rPr>
                    <w:t>：248</w:t>
                  </w:r>
                </w:p>
              </w:tc>
            </w:tr>
            <w:tr w14:paraId="5ADB3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 w:type="pct"/>
                  <w:vMerge w:val="continue"/>
                  <w:noWrap w:val="0"/>
                  <w:vAlign w:val="center"/>
                </w:tcPr>
                <w:p w14:paraId="02187353">
                  <w:pPr>
                    <w:spacing w:line="240" w:lineRule="auto"/>
                    <w:ind w:firstLine="0" w:firstLineChars="0"/>
                    <w:jc w:val="center"/>
                    <w:rPr>
                      <w:color w:val="auto"/>
                      <w:kern w:val="0"/>
                      <w:sz w:val="21"/>
                      <w:szCs w:val="21"/>
                    </w:rPr>
                  </w:pPr>
                </w:p>
              </w:tc>
              <w:tc>
                <w:tcPr>
                  <w:tcW w:w="4065" w:type="pct"/>
                  <w:gridSpan w:val="2"/>
                  <w:noWrap w:val="0"/>
                  <w:vAlign w:val="top"/>
                </w:tcPr>
                <w:p w14:paraId="728B8F32">
                  <w:pPr>
                    <w:spacing w:line="240" w:lineRule="auto"/>
                    <w:ind w:firstLine="0" w:firstLineChars="0"/>
                    <w:jc w:val="center"/>
                    <w:rPr>
                      <w:color w:val="auto"/>
                      <w:kern w:val="0"/>
                      <w:sz w:val="21"/>
                      <w:szCs w:val="21"/>
                    </w:rPr>
                  </w:pPr>
                  <w:r>
                    <w:rPr>
                      <w:color w:val="auto"/>
                      <w:kern w:val="0"/>
                      <w:sz w:val="21"/>
                      <w:szCs w:val="21"/>
                    </w:rPr>
                    <w:t>危险特性：遇明火、高热可燃。</w:t>
                  </w:r>
                </w:p>
              </w:tc>
            </w:tr>
            <w:tr w14:paraId="56AFA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 w:type="pct"/>
                  <w:vMerge w:val="continue"/>
                  <w:noWrap w:val="0"/>
                  <w:vAlign w:val="center"/>
                </w:tcPr>
                <w:p w14:paraId="0AEF3420">
                  <w:pPr>
                    <w:spacing w:line="240" w:lineRule="auto"/>
                    <w:ind w:firstLine="0" w:firstLineChars="0"/>
                    <w:jc w:val="center"/>
                    <w:rPr>
                      <w:color w:val="auto"/>
                      <w:kern w:val="0"/>
                      <w:sz w:val="21"/>
                      <w:szCs w:val="21"/>
                    </w:rPr>
                  </w:pPr>
                </w:p>
              </w:tc>
              <w:tc>
                <w:tcPr>
                  <w:tcW w:w="4065" w:type="pct"/>
                  <w:gridSpan w:val="2"/>
                  <w:noWrap w:val="0"/>
                  <w:vAlign w:val="top"/>
                </w:tcPr>
                <w:p w14:paraId="318F4A0B">
                  <w:pPr>
                    <w:spacing w:line="240" w:lineRule="auto"/>
                    <w:ind w:firstLine="0" w:firstLineChars="0"/>
                    <w:jc w:val="center"/>
                    <w:rPr>
                      <w:color w:val="auto"/>
                      <w:kern w:val="0"/>
                      <w:sz w:val="21"/>
                      <w:szCs w:val="21"/>
                    </w:rPr>
                  </w:pPr>
                  <w:r>
                    <w:rPr>
                      <w:color w:val="auto"/>
                      <w:kern w:val="0"/>
                      <w:sz w:val="21"/>
                      <w:szCs w:val="21"/>
                    </w:rPr>
                    <w:t>灭火方法：消防人员须戴空气呼吸器、穿全身防火防毒服，在上风向灭火。尽可能将容器从火场移至空旷处。喷水保持火场容器冷却，直至灭火结束。处在火场中的容器若已变色或从安全泄压装置中产生声音，必须马上撤离。</w:t>
                  </w:r>
                </w:p>
                <w:p w14:paraId="463C5806">
                  <w:pPr>
                    <w:spacing w:line="240" w:lineRule="auto"/>
                    <w:ind w:firstLine="0" w:firstLineChars="0"/>
                    <w:jc w:val="center"/>
                    <w:rPr>
                      <w:color w:val="auto"/>
                      <w:kern w:val="0"/>
                      <w:sz w:val="21"/>
                      <w:szCs w:val="21"/>
                    </w:rPr>
                  </w:pPr>
                  <w:r>
                    <w:rPr>
                      <w:color w:val="auto"/>
                      <w:kern w:val="0"/>
                      <w:sz w:val="21"/>
                      <w:szCs w:val="21"/>
                    </w:rPr>
                    <w:t>灭火剂：雾状水、泡沫、干粉、二氧化碳、砂土。</w:t>
                  </w:r>
                </w:p>
              </w:tc>
            </w:tr>
            <w:tr w14:paraId="1E8D6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 w:type="pct"/>
                  <w:noWrap w:val="0"/>
                  <w:vAlign w:val="center"/>
                </w:tcPr>
                <w:p w14:paraId="5CAA3744">
                  <w:pPr>
                    <w:spacing w:line="240" w:lineRule="auto"/>
                    <w:ind w:firstLine="0" w:firstLineChars="0"/>
                    <w:jc w:val="center"/>
                    <w:rPr>
                      <w:color w:val="auto"/>
                      <w:kern w:val="0"/>
                      <w:sz w:val="21"/>
                      <w:szCs w:val="21"/>
                    </w:rPr>
                  </w:pPr>
                  <w:r>
                    <w:rPr>
                      <w:color w:val="auto"/>
                      <w:kern w:val="0"/>
                      <w:sz w:val="21"/>
                      <w:szCs w:val="21"/>
                    </w:rPr>
                    <w:t>急性毒性</w:t>
                  </w:r>
                </w:p>
              </w:tc>
              <w:tc>
                <w:tcPr>
                  <w:tcW w:w="4065" w:type="pct"/>
                  <w:gridSpan w:val="2"/>
                  <w:noWrap w:val="0"/>
                  <w:vAlign w:val="top"/>
                </w:tcPr>
                <w:p w14:paraId="595AF866">
                  <w:pPr>
                    <w:spacing w:line="240" w:lineRule="auto"/>
                    <w:ind w:firstLine="0" w:firstLineChars="0"/>
                    <w:jc w:val="center"/>
                    <w:rPr>
                      <w:color w:val="auto"/>
                      <w:kern w:val="0"/>
                      <w:sz w:val="21"/>
                      <w:szCs w:val="21"/>
                    </w:rPr>
                  </w:pPr>
                  <w:r>
                    <w:rPr>
                      <w:color w:val="auto"/>
                      <w:kern w:val="0"/>
                      <w:sz w:val="21"/>
                      <w:szCs w:val="21"/>
                    </w:rPr>
                    <w:t>最高允许浓度：LD</w:t>
                  </w:r>
                  <w:r>
                    <w:rPr>
                      <w:color w:val="auto"/>
                      <w:kern w:val="0"/>
                      <w:sz w:val="21"/>
                      <w:szCs w:val="21"/>
                      <w:vertAlign w:val="subscript"/>
                    </w:rPr>
                    <w:t>50</w:t>
                  </w:r>
                  <w:r>
                    <w:rPr>
                      <w:color w:val="auto"/>
                      <w:kern w:val="0"/>
                      <w:sz w:val="21"/>
                      <w:szCs w:val="21"/>
                    </w:rPr>
                    <w:t>（mg/kg，大鼠经口）无资料，LC</w:t>
                  </w:r>
                  <w:r>
                    <w:rPr>
                      <w:color w:val="auto"/>
                      <w:kern w:val="0"/>
                      <w:sz w:val="21"/>
                      <w:szCs w:val="21"/>
                      <w:vertAlign w:val="subscript"/>
                    </w:rPr>
                    <w:t>50</w:t>
                  </w:r>
                  <w:r>
                    <w:rPr>
                      <w:color w:val="auto"/>
                      <w:kern w:val="0"/>
                      <w:sz w:val="21"/>
                      <w:szCs w:val="21"/>
                    </w:rPr>
                    <w:t>（mg/kg）无资料。</w:t>
                  </w:r>
                </w:p>
              </w:tc>
            </w:tr>
            <w:tr w14:paraId="5FAAD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 w:type="pct"/>
                  <w:noWrap w:val="0"/>
                  <w:vAlign w:val="center"/>
                </w:tcPr>
                <w:p w14:paraId="26374FEB">
                  <w:pPr>
                    <w:spacing w:line="240" w:lineRule="auto"/>
                    <w:ind w:firstLine="0" w:firstLineChars="0"/>
                    <w:jc w:val="center"/>
                    <w:rPr>
                      <w:color w:val="auto"/>
                      <w:kern w:val="0"/>
                      <w:sz w:val="21"/>
                      <w:szCs w:val="21"/>
                    </w:rPr>
                  </w:pPr>
                  <w:r>
                    <w:rPr>
                      <w:color w:val="auto"/>
                      <w:kern w:val="0"/>
                      <w:sz w:val="21"/>
                      <w:szCs w:val="21"/>
                    </w:rPr>
                    <w:t>健康危害</w:t>
                  </w:r>
                </w:p>
              </w:tc>
              <w:tc>
                <w:tcPr>
                  <w:tcW w:w="4065" w:type="pct"/>
                  <w:gridSpan w:val="2"/>
                  <w:noWrap w:val="0"/>
                  <w:vAlign w:val="top"/>
                </w:tcPr>
                <w:p w14:paraId="62A5FF78">
                  <w:pPr>
                    <w:spacing w:line="240" w:lineRule="auto"/>
                    <w:ind w:firstLine="0" w:firstLineChars="0"/>
                    <w:jc w:val="center"/>
                    <w:rPr>
                      <w:color w:val="auto"/>
                      <w:kern w:val="0"/>
                      <w:sz w:val="21"/>
                      <w:szCs w:val="21"/>
                    </w:rPr>
                  </w:pPr>
                  <w:r>
                    <w:rPr>
                      <w:color w:val="auto"/>
                      <w:kern w:val="0"/>
                      <w:sz w:val="21"/>
                      <w:szCs w:val="21"/>
                    </w:rPr>
                    <w:t>侵入途径：吸入、食入，急性吸入，可出现乏力、头晕、头痛、恶心，严重者可引起油脂性肺炎。慢接触者，暴露部位可发生油性痤疮和接触性皮炎。可引起神经衰弱综合征，呼吸道和眼刺激症状及慢性油脂性肺炎。有资料报道，接触石油润滑油类的工人，有致癌的病例报告。</w:t>
                  </w:r>
                </w:p>
              </w:tc>
            </w:tr>
            <w:tr w14:paraId="16EDA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 w:type="pct"/>
                  <w:noWrap w:val="0"/>
                  <w:vAlign w:val="center"/>
                </w:tcPr>
                <w:p w14:paraId="619A0575">
                  <w:pPr>
                    <w:spacing w:line="240" w:lineRule="auto"/>
                    <w:ind w:firstLine="0" w:firstLineChars="0"/>
                    <w:jc w:val="center"/>
                    <w:rPr>
                      <w:color w:val="auto"/>
                      <w:kern w:val="0"/>
                      <w:sz w:val="21"/>
                      <w:szCs w:val="21"/>
                    </w:rPr>
                  </w:pPr>
                  <w:r>
                    <w:rPr>
                      <w:color w:val="auto"/>
                      <w:kern w:val="0"/>
                      <w:sz w:val="21"/>
                      <w:szCs w:val="21"/>
                    </w:rPr>
                    <w:t>急救措施</w:t>
                  </w:r>
                </w:p>
              </w:tc>
              <w:tc>
                <w:tcPr>
                  <w:tcW w:w="4065" w:type="pct"/>
                  <w:gridSpan w:val="2"/>
                  <w:noWrap w:val="0"/>
                  <w:vAlign w:val="top"/>
                </w:tcPr>
                <w:p w14:paraId="1E2E42E6">
                  <w:pPr>
                    <w:spacing w:line="240" w:lineRule="auto"/>
                    <w:ind w:firstLine="0" w:firstLineChars="0"/>
                    <w:jc w:val="center"/>
                    <w:rPr>
                      <w:color w:val="auto"/>
                      <w:kern w:val="0"/>
                      <w:sz w:val="21"/>
                      <w:szCs w:val="21"/>
                    </w:rPr>
                  </w:pPr>
                  <w:r>
                    <w:rPr>
                      <w:color w:val="auto"/>
                      <w:kern w:val="0"/>
                      <w:sz w:val="21"/>
                      <w:szCs w:val="21"/>
                    </w:rPr>
                    <w:t>皮肤接触：脱去被污染的衣着，用肥皂水和清水彻底冲洗皮肤；</w:t>
                  </w:r>
                </w:p>
                <w:p w14:paraId="5C640F84">
                  <w:pPr>
                    <w:spacing w:line="240" w:lineRule="auto"/>
                    <w:ind w:firstLine="0" w:firstLineChars="0"/>
                    <w:jc w:val="center"/>
                    <w:rPr>
                      <w:color w:val="auto"/>
                      <w:kern w:val="0"/>
                      <w:sz w:val="21"/>
                      <w:szCs w:val="21"/>
                    </w:rPr>
                  </w:pPr>
                  <w:r>
                    <w:rPr>
                      <w:color w:val="auto"/>
                      <w:kern w:val="0"/>
                      <w:sz w:val="21"/>
                      <w:szCs w:val="21"/>
                    </w:rPr>
                    <w:t>眼睛接触：提起眼睑，用流动清水或生理盐水冲洗，就医；</w:t>
                  </w:r>
                </w:p>
                <w:p w14:paraId="5BE5E4A9">
                  <w:pPr>
                    <w:spacing w:line="240" w:lineRule="auto"/>
                    <w:ind w:firstLine="0" w:firstLineChars="0"/>
                    <w:jc w:val="center"/>
                    <w:rPr>
                      <w:color w:val="auto"/>
                      <w:kern w:val="0"/>
                      <w:sz w:val="21"/>
                      <w:szCs w:val="21"/>
                    </w:rPr>
                  </w:pPr>
                  <w:r>
                    <w:rPr>
                      <w:color w:val="auto"/>
                      <w:kern w:val="0"/>
                      <w:sz w:val="21"/>
                      <w:szCs w:val="21"/>
                    </w:rPr>
                    <w:t>吸入：迅速脱离现场至空气新鲜处，保持呼吸道通畅，如呼吸困难，给输氧，如呼吸停止，立即进行人工呼吸，就医；</w:t>
                  </w:r>
                </w:p>
                <w:p w14:paraId="1624555E">
                  <w:pPr>
                    <w:spacing w:line="240" w:lineRule="auto"/>
                    <w:ind w:firstLine="0" w:firstLineChars="0"/>
                    <w:jc w:val="center"/>
                    <w:rPr>
                      <w:rFonts w:hint="eastAsia" w:eastAsia="宋体"/>
                      <w:color w:val="auto"/>
                      <w:kern w:val="0"/>
                      <w:sz w:val="21"/>
                      <w:szCs w:val="21"/>
                      <w:lang w:val="en-US" w:eastAsia="zh-CN"/>
                    </w:rPr>
                  </w:pPr>
                  <w:r>
                    <w:rPr>
                      <w:color w:val="auto"/>
                      <w:kern w:val="0"/>
                      <w:sz w:val="21"/>
                      <w:szCs w:val="21"/>
                    </w:rPr>
                    <w:t>食入：饮足量温水，催吐，就医。</w:t>
                  </w:r>
                </w:p>
              </w:tc>
            </w:tr>
            <w:tr w14:paraId="697A6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 w:type="pct"/>
                  <w:noWrap w:val="0"/>
                  <w:vAlign w:val="center"/>
                </w:tcPr>
                <w:p w14:paraId="59A44EC6">
                  <w:pPr>
                    <w:spacing w:line="240" w:lineRule="auto"/>
                    <w:ind w:firstLine="0" w:firstLineChars="0"/>
                    <w:jc w:val="center"/>
                    <w:rPr>
                      <w:color w:val="auto"/>
                      <w:kern w:val="0"/>
                      <w:sz w:val="21"/>
                      <w:szCs w:val="21"/>
                    </w:rPr>
                  </w:pPr>
                  <w:r>
                    <w:rPr>
                      <w:color w:val="auto"/>
                      <w:kern w:val="0"/>
                      <w:sz w:val="21"/>
                      <w:szCs w:val="21"/>
                    </w:rPr>
                    <w:t>防护措施</w:t>
                  </w:r>
                </w:p>
              </w:tc>
              <w:tc>
                <w:tcPr>
                  <w:tcW w:w="4065" w:type="pct"/>
                  <w:gridSpan w:val="2"/>
                  <w:noWrap w:val="0"/>
                  <w:vAlign w:val="top"/>
                </w:tcPr>
                <w:p w14:paraId="0607F4FB">
                  <w:pPr>
                    <w:spacing w:line="240" w:lineRule="auto"/>
                    <w:ind w:firstLine="0" w:firstLineChars="0"/>
                    <w:jc w:val="center"/>
                    <w:rPr>
                      <w:color w:val="auto"/>
                      <w:kern w:val="0"/>
                      <w:sz w:val="21"/>
                      <w:szCs w:val="21"/>
                    </w:rPr>
                  </w:pPr>
                  <w:r>
                    <w:rPr>
                      <w:color w:val="auto"/>
                      <w:kern w:val="0"/>
                      <w:sz w:val="21"/>
                      <w:szCs w:val="21"/>
                    </w:rPr>
                    <w:t>工程控制：密闭操作，注意通风；</w:t>
                  </w:r>
                </w:p>
                <w:p w14:paraId="6A484ABA">
                  <w:pPr>
                    <w:spacing w:line="240" w:lineRule="auto"/>
                    <w:ind w:firstLine="0" w:firstLineChars="0"/>
                    <w:jc w:val="center"/>
                    <w:rPr>
                      <w:color w:val="auto"/>
                      <w:kern w:val="0"/>
                      <w:sz w:val="21"/>
                      <w:szCs w:val="21"/>
                    </w:rPr>
                  </w:pPr>
                  <w:r>
                    <w:rPr>
                      <w:color w:val="auto"/>
                      <w:kern w:val="0"/>
                      <w:sz w:val="21"/>
                      <w:szCs w:val="21"/>
                    </w:rPr>
                    <w:t>呼吸系统防护：空气中浓度超标时，建议佩戴自吸过滤式防毒面具、半面罩。紧急事态抢救或撤离时，应该佩戴空气呼吸器；</w:t>
                  </w:r>
                </w:p>
                <w:p w14:paraId="79DBFF88">
                  <w:pPr>
                    <w:spacing w:line="240" w:lineRule="auto"/>
                    <w:ind w:firstLine="0" w:firstLineChars="0"/>
                    <w:jc w:val="center"/>
                    <w:rPr>
                      <w:color w:val="auto"/>
                      <w:kern w:val="0"/>
                      <w:sz w:val="21"/>
                      <w:szCs w:val="21"/>
                    </w:rPr>
                  </w:pPr>
                  <w:r>
                    <w:rPr>
                      <w:color w:val="auto"/>
                      <w:kern w:val="0"/>
                      <w:sz w:val="21"/>
                      <w:szCs w:val="21"/>
                    </w:rPr>
                    <w:t>眼睛防护：戴化学安全防护眼镜；</w:t>
                  </w:r>
                </w:p>
                <w:p w14:paraId="131AA2F6">
                  <w:pPr>
                    <w:spacing w:line="240" w:lineRule="auto"/>
                    <w:ind w:firstLine="0" w:firstLineChars="0"/>
                    <w:jc w:val="center"/>
                    <w:rPr>
                      <w:color w:val="auto"/>
                      <w:kern w:val="0"/>
                      <w:sz w:val="21"/>
                      <w:szCs w:val="21"/>
                    </w:rPr>
                  </w:pPr>
                  <w:r>
                    <w:rPr>
                      <w:color w:val="auto"/>
                      <w:kern w:val="0"/>
                      <w:sz w:val="21"/>
                      <w:szCs w:val="21"/>
                    </w:rPr>
                    <w:t>身体防护：穿防毒物渗透工作服；</w:t>
                  </w:r>
                </w:p>
                <w:p w14:paraId="7DA2D2F3">
                  <w:pPr>
                    <w:spacing w:line="240" w:lineRule="auto"/>
                    <w:ind w:firstLine="0" w:firstLineChars="0"/>
                    <w:jc w:val="center"/>
                    <w:rPr>
                      <w:color w:val="auto"/>
                      <w:kern w:val="0"/>
                      <w:sz w:val="21"/>
                      <w:szCs w:val="21"/>
                    </w:rPr>
                  </w:pPr>
                  <w:r>
                    <w:rPr>
                      <w:color w:val="auto"/>
                      <w:kern w:val="0"/>
                      <w:sz w:val="21"/>
                      <w:szCs w:val="21"/>
                    </w:rPr>
                    <w:t>手防护：戴橡胶耐油手套；</w:t>
                  </w:r>
                </w:p>
                <w:p w14:paraId="78AA4130">
                  <w:pPr>
                    <w:spacing w:line="240" w:lineRule="auto"/>
                    <w:ind w:firstLine="0" w:firstLineChars="0"/>
                    <w:jc w:val="center"/>
                    <w:rPr>
                      <w:color w:val="auto"/>
                      <w:kern w:val="0"/>
                      <w:sz w:val="21"/>
                      <w:szCs w:val="21"/>
                    </w:rPr>
                  </w:pPr>
                  <w:r>
                    <w:rPr>
                      <w:color w:val="auto"/>
                      <w:kern w:val="0"/>
                      <w:sz w:val="21"/>
                      <w:szCs w:val="21"/>
                    </w:rPr>
                    <w:t>其他：工作现场严禁吸烟。避免长期反复接触。</w:t>
                  </w:r>
                </w:p>
              </w:tc>
            </w:tr>
            <w:tr w14:paraId="4E8F3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 w:type="pct"/>
                  <w:noWrap w:val="0"/>
                  <w:vAlign w:val="center"/>
                </w:tcPr>
                <w:p w14:paraId="5ACF733A">
                  <w:pPr>
                    <w:spacing w:line="240" w:lineRule="auto"/>
                    <w:ind w:firstLine="0" w:firstLineChars="0"/>
                    <w:jc w:val="center"/>
                    <w:rPr>
                      <w:color w:val="auto"/>
                      <w:kern w:val="0"/>
                      <w:sz w:val="21"/>
                      <w:szCs w:val="21"/>
                    </w:rPr>
                  </w:pPr>
                  <w:r>
                    <w:rPr>
                      <w:color w:val="auto"/>
                      <w:kern w:val="0"/>
                      <w:sz w:val="21"/>
                      <w:szCs w:val="21"/>
                    </w:rPr>
                    <w:t>泄漏处理</w:t>
                  </w:r>
                </w:p>
              </w:tc>
              <w:tc>
                <w:tcPr>
                  <w:tcW w:w="4065" w:type="pct"/>
                  <w:gridSpan w:val="2"/>
                  <w:noWrap w:val="0"/>
                  <w:vAlign w:val="top"/>
                </w:tcPr>
                <w:p w14:paraId="4E4361D1">
                  <w:pPr>
                    <w:spacing w:line="240" w:lineRule="auto"/>
                    <w:ind w:firstLine="0" w:firstLineChars="0"/>
                    <w:jc w:val="center"/>
                    <w:rPr>
                      <w:color w:val="auto"/>
                      <w:kern w:val="0"/>
                      <w:sz w:val="21"/>
                      <w:szCs w:val="21"/>
                    </w:rPr>
                  </w:pPr>
                  <w:r>
                    <w:rPr>
                      <w:color w:val="auto"/>
                      <w:kern w:val="0"/>
                      <w:sz w:val="21"/>
                      <w:szCs w:val="21"/>
                    </w:rPr>
                    <w:t>迅速撤离泄漏污染区人员至安全区，并进行隔离，严格限制出入。切断火源。建议应急处理人员戴自给正压式呼吸器，穿消防防护服。尽可能切断泄漏源。小量泄漏：用活性炭或</w:t>
                  </w:r>
                  <w:r>
                    <w:rPr>
                      <w:rFonts w:hint="eastAsia"/>
                      <w:color w:val="auto"/>
                      <w:kern w:val="0"/>
                      <w:sz w:val="21"/>
                      <w:szCs w:val="21"/>
                      <w:lang w:eastAsia="zh-CN"/>
                    </w:rPr>
                    <w:t>其他</w:t>
                  </w:r>
                  <w:r>
                    <w:rPr>
                      <w:color w:val="auto"/>
                      <w:kern w:val="0"/>
                      <w:sz w:val="21"/>
                      <w:szCs w:val="21"/>
                    </w:rPr>
                    <w:t>惰性材料吸收。大量泄漏：构筑围堤或挖坑收容；用泵转移至槽车或专用收集器内，回收或运至废物处理场所处置。</w:t>
                  </w:r>
                </w:p>
              </w:tc>
            </w:tr>
            <w:tr w14:paraId="21DA9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 w:type="pct"/>
                  <w:noWrap w:val="0"/>
                  <w:vAlign w:val="center"/>
                </w:tcPr>
                <w:p w14:paraId="4C196AA8">
                  <w:pPr>
                    <w:spacing w:line="240" w:lineRule="auto"/>
                    <w:ind w:firstLine="0" w:firstLineChars="0"/>
                    <w:jc w:val="center"/>
                    <w:rPr>
                      <w:color w:val="auto"/>
                      <w:kern w:val="0"/>
                      <w:sz w:val="21"/>
                      <w:szCs w:val="21"/>
                    </w:rPr>
                  </w:pPr>
                  <w:r>
                    <w:rPr>
                      <w:color w:val="auto"/>
                      <w:kern w:val="0"/>
                      <w:sz w:val="21"/>
                      <w:szCs w:val="21"/>
                    </w:rPr>
                    <w:t>储运</w:t>
                  </w:r>
                </w:p>
              </w:tc>
              <w:tc>
                <w:tcPr>
                  <w:tcW w:w="4065" w:type="pct"/>
                  <w:gridSpan w:val="2"/>
                  <w:noWrap w:val="0"/>
                  <w:vAlign w:val="top"/>
                </w:tcPr>
                <w:p w14:paraId="6F3E51A7">
                  <w:pPr>
                    <w:spacing w:line="240" w:lineRule="auto"/>
                    <w:ind w:firstLine="0" w:firstLineChars="0"/>
                    <w:jc w:val="center"/>
                    <w:rPr>
                      <w:color w:val="auto"/>
                      <w:kern w:val="0"/>
                      <w:sz w:val="21"/>
                      <w:szCs w:val="21"/>
                    </w:rPr>
                  </w:pPr>
                  <w:r>
                    <w:rPr>
                      <w:color w:val="auto"/>
                      <w:kern w:val="0"/>
                      <w:sz w:val="21"/>
                      <w:szCs w:val="21"/>
                    </w:rPr>
                    <w:t>储存于阴凉、通风的库房。远离火种、热源。应与氧化剂分开存放，切忌混储。配备相应品种和数量的消防器材。储区应备有泄漏应急处理设备和合适的收容材料。</w:t>
                  </w:r>
                </w:p>
                <w:p w14:paraId="1A1AB9AF">
                  <w:pPr>
                    <w:spacing w:line="240" w:lineRule="auto"/>
                    <w:ind w:firstLine="0" w:firstLineChars="0"/>
                    <w:jc w:val="center"/>
                    <w:rPr>
                      <w:color w:val="auto"/>
                      <w:kern w:val="0"/>
                      <w:sz w:val="21"/>
                      <w:szCs w:val="21"/>
                    </w:rPr>
                  </w:pPr>
                  <w:r>
                    <w:rPr>
                      <w:color w:val="auto"/>
                      <w:kern w:val="0"/>
                      <w:sz w:val="21"/>
                      <w:szCs w:val="21"/>
                    </w:rPr>
                    <w:t>运输前应先检查包装容器是否完整、密封，运输过程中要确保容器不泄漏、不倒塌、不坠落、不损坏。严禁与氧化剂、食用化学品等混装混运。运输车船必须彻底清洗、消毒，否则不得装运</w:t>
                  </w:r>
                  <w:r>
                    <w:rPr>
                      <w:rFonts w:hint="eastAsia"/>
                      <w:color w:val="auto"/>
                      <w:kern w:val="0"/>
                      <w:sz w:val="21"/>
                      <w:szCs w:val="21"/>
                      <w:lang w:eastAsia="zh-CN"/>
                    </w:rPr>
                    <w:t>其他</w:t>
                  </w:r>
                  <w:r>
                    <w:rPr>
                      <w:color w:val="auto"/>
                      <w:kern w:val="0"/>
                      <w:sz w:val="21"/>
                      <w:szCs w:val="21"/>
                    </w:rPr>
                    <w:t>物品。船运时，配装位置应远离卧室、厨房并与机舱、电源、火源等部位隔离。</w:t>
                  </w:r>
                </w:p>
              </w:tc>
            </w:tr>
          </w:tbl>
          <w:p w14:paraId="4BB5E86C">
            <w:pPr>
              <w:ind w:firstLine="480"/>
              <w:rPr>
                <w:color w:val="auto"/>
              </w:rPr>
            </w:pPr>
            <w:r>
              <w:rPr>
                <w:color w:val="auto"/>
              </w:rPr>
              <w:t>3、重大危险源识别</w:t>
            </w:r>
          </w:p>
          <w:p w14:paraId="442D4F2E">
            <w:pPr>
              <w:ind w:firstLine="480"/>
              <w:rPr>
                <w:color w:val="auto"/>
              </w:rPr>
            </w:pPr>
            <w:r>
              <w:rPr>
                <w:color w:val="auto"/>
              </w:rPr>
              <w:t>本项目在运营期主要原辅料为砂石料、水泥</w:t>
            </w:r>
            <w:r>
              <w:rPr>
                <w:rFonts w:hint="eastAsia"/>
                <w:color w:val="auto"/>
              </w:rPr>
              <w:t>掺和剂</w:t>
            </w:r>
            <w:r>
              <w:rPr>
                <w:color w:val="auto"/>
              </w:rPr>
              <w:t>以及运行过程中维修设备产生的废机油和废机油桶。</w:t>
            </w:r>
          </w:p>
          <w:p w14:paraId="4C256A5B">
            <w:pPr>
              <w:ind w:firstLine="480"/>
              <w:rPr>
                <w:bCs/>
                <w:color w:val="auto"/>
                <w:szCs w:val="21"/>
              </w:rPr>
            </w:pPr>
            <w:r>
              <w:rPr>
                <w:bCs/>
                <w:color w:val="auto"/>
                <w:szCs w:val="21"/>
              </w:rPr>
              <w:t>根据《建设项目环境风险评价技术导则》（HJ169-2018）附录B及《危险化学品重大危险源辨识》（GB 18218-2018），本项目生产中使用到的各种原辅材料、生产的产品以及排放的“三废”污染物中废机油和废机油桶属于《建设项目环境风险评价技术导则》（HJ169-2018）附录中表B.1中的危险物质。</w:t>
            </w:r>
          </w:p>
          <w:p w14:paraId="70202265">
            <w:pPr>
              <w:pStyle w:val="29"/>
              <w:spacing w:before="24" w:after="24"/>
              <w:rPr>
                <w:color w:val="auto"/>
              </w:rPr>
            </w:pPr>
            <w:r>
              <w:rPr>
                <w:color w:val="auto"/>
              </w:rPr>
              <w:t>表</w:t>
            </w:r>
            <w:r>
              <w:rPr>
                <w:rFonts w:hint="eastAsia"/>
                <w:color w:val="auto"/>
                <w:lang w:val="en-US" w:eastAsia="zh-CN"/>
              </w:rPr>
              <w:t>4-20</w:t>
            </w:r>
            <w:r>
              <w:rPr>
                <w:color w:val="auto"/>
              </w:rPr>
              <w:t xml:space="preserve">  项目危险物质数量与临界量比值（Q）</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632"/>
              <w:gridCol w:w="1668"/>
              <w:gridCol w:w="2043"/>
              <w:gridCol w:w="1633"/>
              <w:gridCol w:w="1718"/>
            </w:tblGrid>
            <w:tr w14:paraId="239E1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9" w:type="pct"/>
                  <w:noWrap w:val="0"/>
                  <w:vAlign w:val="center"/>
                </w:tcPr>
                <w:p w14:paraId="74C2A3F8">
                  <w:pPr>
                    <w:spacing w:line="240" w:lineRule="auto"/>
                    <w:ind w:firstLine="0" w:firstLineChars="0"/>
                    <w:jc w:val="center"/>
                    <w:rPr>
                      <w:color w:val="auto"/>
                      <w:sz w:val="21"/>
                      <w:szCs w:val="21"/>
                    </w:rPr>
                  </w:pPr>
                  <w:r>
                    <w:rPr>
                      <w:color w:val="auto"/>
                      <w:sz w:val="21"/>
                      <w:szCs w:val="21"/>
                    </w:rPr>
                    <w:t>序号</w:t>
                  </w:r>
                </w:p>
              </w:tc>
              <w:tc>
                <w:tcPr>
                  <w:tcW w:w="959" w:type="pct"/>
                  <w:noWrap w:val="0"/>
                  <w:vAlign w:val="center"/>
                </w:tcPr>
                <w:p w14:paraId="1093A95C">
                  <w:pPr>
                    <w:spacing w:line="240" w:lineRule="auto"/>
                    <w:ind w:firstLine="0" w:firstLineChars="0"/>
                    <w:jc w:val="center"/>
                    <w:rPr>
                      <w:color w:val="auto"/>
                      <w:sz w:val="21"/>
                      <w:szCs w:val="21"/>
                    </w:rPr>
                  </w:pPr>
                  <w:r>
                    <w:rPr>
                      <w:color w:val="auto"/>
                      <w:sz w:val="21"/>
                      <w:szCs w:val="21"/>
                    </w:rPr>
                    <w:t>危险废物名称</w:t>
                  </w:r>
                </w:p>
              </w:tc>
              <w:tc>
                <w:tcPr>
                  <w:tcW w:w="1175" w:type="pct"/>
                  <w:noWrap w:val="0"/>
                  <w:vAlign w:val="center"/>
                </w:tcPr>
                <w:p w14:paraId="7A66D030">
                  <w:pPr>
                    <w:spacing w:line="240" w:lineRule="auto"/>
                    <w:ind w:firstLine="0" w:firstLineChars="0"/>
                    <w:jc w:val="center"/>
                    <w:rPr>
                      <w:color w:val="auto"/>
                      <w:sz w:val="21"/>
                      <w:szCs w:val="21"/>
                    </w:rPr>
                  </w:pPr>
                  <w:r>
                    <w:rPr>
                      <w:color w:val="auto"/>
                      <w:sz w:val="21"/>
                      <w:szCs w:val="21"/>
                    </w:rPr>
                    <w:t>最大储存量q/t</w:t>
                  </w:r>
                </w:p>
              </w:tc>
              <w:tc>
                <w:tcPr>
                  <w:tcW w:w="939" w:type="pct"/>
                  <w:noWrap w:val="0"/>
                  <w:vAlign w:val="center"/>
                </w:tcPr>
                <w:p w14:paraId="7404D640">
                  <w:pPr>
                    <w:spacing w:line="240" w:lineRule="auto"/>
                    <w:ind w:firstLine="0" w:firstLineChars="0"/>
                    <w:jc w:val="center"/>
                    <w:rPr>
                      <w:color w:val="auto"/>
                      <w:sz w:val="21"/>
                      <w:szCs w:val="21"/>
                    </w:rPr>
                  </w:pPr>
                  <w:r>
                    <w:rPr>
                      <w:color w:val="auto"/>
                      <w:sz w:val="21"/>
                      <w:szCs w:val="21"/>
                    </w:rPr>
                    <w:t>临界量Q/t</w:t>
                  </w:r>
                </w:p>
              </w:tc>
              <w:tc>
                <w:tcPr>
                  <w:tcW w:w="988" w:type="pct"/>
                  <w:noWrap w:val="0"/>
                  <w:vAlign w:val="center"/>
                </w:tcPr>
                <w:p w14:paraId="5F85DAF5">
                  <w:pPr>
                    <w:spacing w:line="240" w:lineRule="auto"/>
                    <w:ind w:firstLine="0" w:firstLineChars="0"/>
                    <w:jc w:val="center"/>
                    <w:rPr>
                      <w:color w:val="auto"/>
                      <w:sz w:val="21"/>
                      <w:szCs w:val="21"/>
                    </w:rPr>
                  </w:pPr>
                  <w:r>
                    <w:rPr>
                      <w:color w:val="auto"/>
                      <w:sz w:val="21"/>
                      <w:szCs w:val="21"/>
                    </w:rPr>
                    <w:t>比值Q</w:t>
                  </w:r>
                </w:p>
              </w:tc>
            </w:tr>
            <w:tr w14:paraId="062F2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9" w:type="pct"/>
                  <w:noWrap w:val="0"/>
                  <w:vAlign w:val="center"/>
                </w:tcPr>
                <w:p w14:paraId="5A4D485E">
                  <w:pPr>
                    <w:spacing w:line="240" w:lineRule="auto"/>
                    <w:ind w:firstLine="0" w:firstLineChars="0"/>
                    <w:jc w:val="center"/>
                    <w:rPr>
                      <w:color w:val="auto"/>
                      <w:sz w:val="21"/>
                      <w:szCs w:val="21"/>
                    </w:rPr>
                  </w:pPr>
                  <w:r>
                    <w:rPr>
                      <w:color w:val="auto"/>
                      <w:sz w:val="21"/>
                      <w:szCs w:val="21"/>
                    </w:rPr>
                    <w:t>1</w:t>
                  </w:r>
                </w:p>
              </w:tc>
              <w:tc>
                <w:tcPr>
                  <w:tcW w:w="959" w:type="pct"/>
                  <w:noWrap w:val="0"/>
                  <w:vAlign w:val="center"/>
                </w:tcPr>
                <w:p w14:paraId="1FAC2FD9">
                  <w:pPr>
                    <w:spacing w:line="240" w:lineRule="auto"/>
                    <w:ind w:firstLine="0" w:firstLineChars="0"/>
                    <w:jc w:val="center"/>
                    <w:rPr>
                      <w:color w:val="auto"/>
                      <w:sz w:val="21"/>
                      <w:szCs w:val="21"/>
                    </w:rPr>
                  </w:pPr>
                  <w:r>
                    <w:rPr>
                      <w:color w:val="auto"/>
                      <w:sz w:val="21"/>
                      <w:szCs w:val="21"/>
                    </w:rPr>
                    <w:t>废机油</w:t>
                  </w:r>
                </w:p>
              </w:tc>
              <w:tc>
                <w:tcPr>
                  <w:tcW w:w="1175" w:type="pct"/>
                  <w:noWrap w:val="0"/>
                  <w:vAlign w:val="center"/>
                </w:tcPr>
                <w:p w14:paraId="79740E4A">
                  <w:pPr>
                    <w:spacing w:line="240" w:lineRule="auto"/>
                    <w:ind w:firstLine="0" w:firstLineChars="0"/>
                    <w:jc w:val="center"/>
                    <w:rPr>
                      <w:color w:val="auto"/>
                      <w:sz w:val="21"/>
                      <w:szCs w:val="21"/>
                    </w:rPr>
                  </w:pPr>
                  <w:r>
                    <w:rPr>
                      <w:color w:val="auto"/>
                      <w:sz w:val="21"/>
                      <w:szCs w:val="21"/>
                    </w:rPr>
                    <w:t>0.5</w:t>
                  </w:r>
                </w:p>
              </w:tc>
              <w:tc>
                <w:tcPr>
                  <w:tcW w:w="939" w:type="pct"/>
                  <w:noWrap w:val="0"/>
                  <w:vAlign w:val="center"/>
                </w:tcPr>
                <w:p w14:paraId="55A35A1C">
                  <w:pPr>
                    <w:spacing w:line="240" w:lineRule="auto"/>
                    <w:ind w:firstLine="0" w:firstLineChars="0"/>
                    <w:jc w:val="center"/>
                    <w:rPr>
                      <w:color w:val="auto"/>
                      <w:sz w:val="21"/>
                      <w:szCs w:val="21"/>
                    </w:rPr>
                  </w:pPr>
                  <w:r>
                    <w:rPr>
                      <w:color w:val="auto"/>
                      <w:sz w:val="21"/>
                      <w:szCs w:val="21"/>
                    </w:rPr>
                    <w:t>2500</w:t>
                  </w:r>
                </w:p>
              </w:tc>
              <w:tc>
                <w:tcPr>
                  <w:tcW w:w="988" w:type="pct"/>
                  <w:noWrap w:val="0"/>
                  <w:vAlign w:val="center"/>
                </w:tcPr>
                <w:p w14:paraId="65DB6ED9">
                  <w:pPr>
                    <w:spacing w:line="240" w:lineRule="auto"/>
                    <w:ind w:firstLine="0" w:firstLineChars="0"/>
                    <w:jc w:val="center"/>
                    <w:rPr>
                      <w:color w:val="auto"/>
                      <w:sz w:val="21"/>
                      <w:szCs w:val="21"/>
                    </w:rPr>
                  </w:pPr>
                  <w:r>
                    <w:rPr>
                      <w:color w:val="auto"/>
                      <w:sz w:val="21"/>
                      <w:szCs w:val="21"/>
                    </w:rPr>
                    <w:t>0.0002</w:t>
                  </w:r>
                </w:p>
              </w:tc>
            </w:tr>
            <w:tr w14:paraId="2FD64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012" w:type="pct"/>
                  <w:gridSpan w:val="4"/>
                  <w:noWrap w:val="0"/>
                  <w:vAlign w:val="center"/>
                </w:tcPr>
                <w:p w14:paraId="1E3A0B61">
                  <w:pPr>
                    <w:spacing w:line="240" w:lineRule="auto"/>
                    <w:ind w:firstLine="0" w:firstLineChars="0"/>
                    <w:jc w:val="center"/>
                    <w:rPr>
                      <w:color w:val="auto"/>
                      <w:sz w:val="21"/>
                      <w:szCs w:val="21"/>
                    </w:rPr>
                  </w:pPr>
                  <w:r>
                    <w:rPr>
                      <w:color w:val="auto"/>
                      <w:sz w:val="21"/>
                      <w:szCs w:val="21"/>
                    </w:rPr>
                    <w:t>合计</w:t>
                  </w:r>
                </w:p>
              </w:tc>
              <w:tc>
                <w:tcPr>
                  <w:tcW w:w="988" w:type="pct"/>
                  <w:noWrap w:val="0"/>
                  <w:vAlign w:val="center"/>
                </w:tcPr>
                <w:p w14:paraId="51DEC211">
                  <w:pPr>
                    <w:spacing w:line="240" w:lineRule="auto"/>
                    <w:ind w:firstLine="0" w:firstLineChars="0"/>
                    <w:jc w:val="center"/>
                    <w:rPr>
                      <w:color w:val="auto"/>
                      <w:sz w:val="21"/>
                      <w:szCs w:val="21"/>
                    </w:rPr>
                  </w:pPr>
                  <w:r>
                    <w:rPr>
                      <w:color w:val="auto"/>
                      <w:sz w:val="21"/>
                      <w:szCs w:val="21"/>
                    </w:rPr>
                    <w:t>0.0002</w:t>
                  </w:r>
                </w:p>
              </w:tc>
            </w:tr>
            <w:tr w14:paraId="6129E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898" w:type="pct"/>
                  <w:gridSpan w:val="2"/>
                  <w:noWrap w:val="0"/>
                  <w:vAlign w:val="center"/>
                </w:tcPr>
                <w:p w14:paraId="5755FC3C">
                  <w:pPr>
                    <w:spacing w:line="240" w:lineRule="auto"/>
                    <w:ind w:firstLine="0" w:firstLineChars="0"/>
                    <w:jc w:val="center"/>
                    <w:rPr>
                      <w:color w:val="auto"/>
                      <w:sz w:val="21"/>
                      <w:szCs w:val="21"/>
                    </w:rPr>
                  </w:pPr>
                  <w:r>
                    <w:rPr>
                      <w:color w:val="auto"/>
                      <w:sz w:val="21"/>
                      <w:szCs w:val="21"/>
                    </w:rPr>
                    <w:t>是否构成重大危险源</w:t>
                  </w:r>
                </w:p>
              </w:tc>
              <w:tc>
                <w:tcPr>
                  <w:tcW w:w="2114" w:type="pct"/>
                  <w:gridSpan w:val="2"/>
                  <w:noWrap w:val="0"/>
                  <w:vAlign w:val="center"/>
                </w:tcPr>
                <w:p w14:paraId="04201AAF">
                  <w:pPr>
                    <w:spacing w:line="240" w:lineRule="auto"/>
                    <w:ind w:firstLine="0" w:firstLineChars="0"/>
                    <w:jc w:val="center"/>
                    <w:rPr>
                      <w:color w:val="auto"/>
                      <w:sz w:val="21"/>
                      <w:szCs w:val="21"/>
                    </w:rPr>
                  </w:pPr>
                  <w:r>
                    <w:rPr>
                      <w:color w:val="auto"/>
                      <w:sz w:val="21"/>
                      <w:szCs w:val="21"/>
                    </w:rPr>
                    <w:t>否</w:t>
                  </w:r>
                </w:p>
              </w:tc>
              <w:tc>
                <w:tcPr>
                  <w:tcW w:w="988" w:type="pct"/>
                  <w:noWrap w:val="0"/>
                  <w:vAlign w:val="center"/>
                </w:tcPr>
                <w:p w14:paraId="639EBD1C">
                  <w:pPr>
                    <w:spacing w:line="240" w:lineRule="auto"/>
                    <w:ind w:firstLine="0" w:firstLineChars="0"/>
                    <w:jc w:val="center"/>
                    <w:rPr>
                      <w:color w:val="auto"/>
                      <w:sz w:val="21"/>
                      <w:szCs w:val="21"/>
                    </w:rPr>
                  </w:pPr>
                  <w:r>
                    <w:rPr>
                      <w:color w:val="auto"/>
                      <w:sz w:val="21"/>
                      <w:szCs w:val="21"/>
                    </w:rPr>
                    <w:t>/</w:t>
                  </w:r>
                </w:p>
              </w:tc>
            </w:tr>
          </w:tbl>
          <w:p w14:paraId="4D122E54">
            <w:pPr>
              <w:ind w:firstLine="480"/>
              <w:rPr>
                <w:color w:val="auto"/>
              </w:rPr>
            </w:pPr>
            <w:r>
              <w:rPr>
                <w:color w:val="auto"/>
              </w:rPr>
              <w:t>由上表可知，Q值=0.0002＜1，按《建设项目环境风险评价技术导则》（HJ/T169-2018）即Q=0.0002＜1，因此项目环境风险潜势为I。</w:t>
            </w:r>
          </w:p>
          <w:p w14:paraId="2F163C84">
            <w:pPr>
              <w:ind w:firstLine="480"/>
              <w:rPr>
                <w:color w:val="auto"/>
              </w:rPr>
            </w:pPr>
            <w:r>
              <w:rPr>
                <w:color w:val="auto"/>
              </w:rPr>
              <w:t>评价等级工作划分见表</w:t>
            </w:r>
            <w:r>
              <w:rPr>
                <w:rFonts w:hint="eastAsia"/>
                <w:color w:val="auto"/>
                <w:lang w:val="en-US" w:eastAsia="zh-CN"/>
              </w:rPr>
              <w:t>4-21</w:t>
            </w:r>
            <w:r>
              <w:rPr>
                <w:color w:val="auto"/>
              </w:rPr>
              <w:t>。</w:t>
            </w:r>
          </w:p>
          <w:p w14:paraId="1E50D6D5">
            <w:pPr>
              <w:pStyle w:val="29"/>
              <w:spacing w:before="24" w:after="24"/>
              <w:rPr>
                <w:color w:val="auto"/>
              </w:rPr>
            </w:pPr>
            <w:r>
              <w:rPr>
                <w:color w:val="auto"/>
              </w:rPr>
              <w:t>表</w:t>
            </w:r>
            <w:r>
              <w:rPr>
                <w:rFonts w:hint="eastAsia"/>
                <w:color w:val="auto"/>
                <w:lang w:val="en-US" w:eastAsia="zh-CN"/>
              </w:rPr>
              <w:t>4-21</w:t>
            </w:r>
            <w:r>
              <w:rPr>
                <w:color w:val="auto"/>
              </w:rPr>
              <w:t xml:space="preserve">  评价工作等级划分一览表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3"/>
              <w:gridCol w:w="1426"/>
              <w:gridCol w:w="2106"/>
              <w:gridCol w:w="1821"/>
              <w:gridCol w:w="1408"/>
            </w:tblGrid>
            <w:tr w14:paraId="5768B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12" w:type="pct"/>
                  <w:noWrap w:val="0"/>
                  <w:vAlign w:val="top"/>
                </w:tcPr>
                <w:p w14:paraId="7818411A">
                  <w:pPr>
                    <w:widowControl/>
                    <w:spacing w:line="240" w:lineRule="auto"/>
                    <w:ind w:firstLine="0" w:firstLineChars="0"/>
                    <w:jc w:val="center"/>
                    <w:rPr>
                      <w:b/>
                      <w:bCs/>
                      <w:color w:val="auto"/>
                      <w:sz w:val="21"/>
                      <w:szCs w:val="21"/>
                    </w:rPr>
                  </w:pPr>
                  <w:r>
                    <w:rPr>
                      <w:b/>
                      <w:bCs/>
                      <w:color w:val="auto"/>
                      <w:sz w:val="21"/>
                      <w:szCs w:val="21"/>
                    </w:rPr>
                    <w:t>环境风险潜势</w:t>
                  </w:r>
                </w:p>
              </w:tc>
              <w:tc>
                <w:tcPr>
                  <w:tcW w:w="820" w:type="pct"/>
                  <w:noWrap w:val="0"/>
                  <w:vAlign w:val="top"/>
                </w:tcPr>
                <w:p w14:paraId="479475F7">
                  <w:pPr>
                    <w:widowControl/>
                    <w:spacing w:line="240" w:lineRule="auto"/>
                    <w:ind w:firstLine="0" w:firstLineChars="0"/>
                    <w:jc w:val="center"/>
                    <w:rPr>
                      <w:b/>
                      <w:bCs/>
                      <w:color w:val="auto"/>
                      <w:sz w:val="21"/>
                      <w:szCs w:val="21"/>
                    </w:rPr>
                  </w:pPr>
                  <w:r>
                    <w:rPr>
                      <w:b/>
                      <w:bCs/>
                      <w:color w:val="auto"/>
                      <w:sz w:val="21"/>
                      <w:szCs w:val="21"/>
                    </w:rPr>
                    <w:t>Ⅳ、Ⅳ</w:t>
                  </w:r>
                  <w:r>
                    <w:rPr>
                      <w:b/>
                      <w:bCs/>
                      <w:color w:val="auto"/>
                      <w:sz w:val="21"/>
                      <w:szCs w:val="21"/>
                      <w:vertAlign w:val="superscript"/>
                    </w:rPr>
                    <w:t>+</w:t>
                  </w:r>
                </w:p>
              </w:tc>
              <w:tc>
                <w:tcPr>
                  <w:tcW w:w="1211" w:type="pct"/>
                  <w:noWrap w:val="0"/>
                  <w:vAlign w:val="top"/>
                </w:tcPr>
                <w:p w14:paraId="067EF31D">
                  <w:pPr>
                    <w:widowControl/>
                    <w:spacing w:line="240" w:lineRule="auto"/>
                    <w:ind w:firstLine="0" w:firstLineChars="0"/>
                    <w:jc w:val="center"/>
                    <w:rPr>
                      <w:b/>
                      <w:bCs/>
                      <w:color w:val="auto"/>
                      <w:sz w:val="21"/>
                      <w:szCs w:val="21"/>
                    </w:rPr>
                  </w:pPr>
                  <w:r>
                    <w:rPr>
                      <w:b/>
                      <w:bCs/>
                      <w:color w:val="auto"/>
                      <w:sz w:val="21"/>
                      <w:szCs w:val="21"/>
                    </w:rPr>
                    <w:t>Ⅲ</w:t>
                  </w:r>
                </w:p>
              </w:tc>
              <w:tc>
                <w:tcPr>
                  <w:tcW w:w="1047" w:type="pct"/>
                  <w:noWrap w:val="0"/>
                  <w:vAlign w:val="top"/>
                </w:tcPr>
                <w:p w14:paraId="47419FAC">
                  <w:pPr>
                    <w:widowControl/>
                    <w:spacing w:line="240" w:lineRule="auto"/>
                    <w:ind w:firstLine="0" w:firstLineChars="0"/>
                    <w:jc w:val="center"/>
                    <w:rPr>
                      <w:b/>
                      <w:bCs/>
                      <w:color w:val="auto"/>
                      <w:sz w:val="21"/>
                      <w:szCs w:val="21"/>
                    </w:rPr>
                  </w:pPr>
                  <w:r>
                    <w:rPr>
                      <w:b/>
                      <w:bCs/>
                      <w:color w:val="auto"/>
                      <w:sz w:val="21"/>
                      <w:szCs w:val="21"/>
                    </w:rPr>
                    <w:t>Ⅱ</w:t>
                  </w:r>
                </w:p>
              </w:tc>
              <w:tc>
                <w:tcPr>
                  <w:tcW w:w="811" w:type="pct"/>
                  <w:noWrap w:val="0"/>
                  <w:vAlign w:val="top"/>
                </w:tcPr>
                <w:p w14:paraId="38EDE91C">
                  <w:pPr>
                    <w:widowControl/>
                    <w:spacing w:line="240" w:lineRule="auto"/>
                    <w:ind w:firstLine="0" w:firstLineChars="0"/>
                    <w:jc w:val="center"/>
                    <w:rPr>
                      <w:b/>
                      <w:bCs/>
                      <w:color w:val="auto"/>
                      <w:sz w:val="21"/>
                      <w:szCs w:val="21"/>
                    </w:rPr>
                  </w:pPr>
                  <w:r>
                    <w:rPr>
                      <w:b/>
                      <w:bCs/>
                      <w:color w:val="auto"/>
                      <w:sz w:val="21"/>
                      <w:szCs w:val="21"/>
                    </w:rPr>
                    <w:t>Ι</w:t>
                  </w:r>
                </w:p>
              </w:tc>
            </w:tr>
            <w:tr w14:paraId="5FE8A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12" w:type="pct"/>
                  <w:shd w:val="clear" w:color="auto" w:fill="auto"/>
                  <w:noWrap w:val="0"/>
                  <w:vAlign w:val="top"/>
                </w:tcPr>
                <w:p w14:paraId="2241DF40">
                  <w:pPr>
                    <w:widowControl/>
                    <w:spacing w:line="240" w:lineRule="auto"/>
                    <w:ind w:firstLine="0" w:firstLineChars="0"/>
                    <w:jc w:val="center"/>
                    <w:rPr>
                      <w:color w:val="auto"/>
                      <w:sz w:val="21"/>
                      <w:szCs w:val="21"/>
                    </w:rPr>
                  </w:pPr>
                  <w:r>
                    <w:rPr>
                      <w:color w:val="auto"/>
                      <w:sz w:val="21"/>
                      <w:szCs w:val="21"/>
                    </w:rPr>
                    <w:t>评价工作等级</w:t>
                  </w:r>
                </w:p>
              </w:tc>
              <w:tc>
                <w:tcPr>
                  <w:tcW w:w="820" w:type="pct"/>
                  <w:shd w:val="clear" w:color="auto" w:fill="auto"/>
                  <w:noWrap w:val="0"/>
                  <w:vAlign w:val="top"/>
                </w:tcPr>
                <w:p w14:paraId="1858935C">
                  <w:pPr>
                    <w:widowControl/>
                    <w:spacing w:line="240" w:lineRule="auto"/>
                    <w:ind w:firstLine="0" w:firstLineChars="0"/>
                    <w:jc w:val="center"/>
                    <w:rPr>
                      <w:color w:val="auto"/>
                      <w:sz w:val="21"/>
                      <w:szCs w:val="21"/>
                    </w:rPr>
                  </w:pPr>
                  <w:r>
                    <w:rPr>
                      <w:color w:val="auto"/>
                      <w:sz w:val="21"/>
                      <w:szCs w:val="21"/>
                    </w:rPr>
                    <w:t>一</w:t>
                  </w:r>
                </w:p>
              </w:tc>
              <w:tc>
                <w:tcPr>
                  <w:tcW w:w="1211" w:type="pct"/>
                  <w:shd w:val="clear" w:color="auto" w:fill="auto"/>
                  <w:noWrap w:val="0"/>
                  <w:vAlign w:val="top"/>
                </w:tcPr>
                <w:p w14:paraId="29B9184F">
                  <w:pPr>
                    <w:widowControl/>
                    <w:spacing w:line="240" w:lineRule="auto"/>
                    <w:ind w:firstLine="0" w:firstLineChars="0"/>
                    <w:jc w:val="center"/>
                    <w:rPr>
                      <w:color w:val="auto"/>
                      <w:sz w:val="21"/>
                      <w:szCs w:val="21"/>
                    </w:rPr>
                  </w:pPr>
                  <w:r>
                    <w:rPr>
                      <w:color w:val="auto"/>
                      <w:sz w:val="21"/>
                      <w:szCs w:val="21"/>
                    </w:rPr>
                    <w:t>二</w:t>
                  </w:r>
                </w:p>
              </w:tc>
              <w:tc>
                <w:tcPr>
                  <w:tcW w:w="1047" w:type="pct"/>
                  <w:shd w:val="clear" w:color="auto" w:fill="auto"/>
                  <w:noWrap w:val="0"/>
                  <w:vAlign w:val="top"/>
                </w:tcPr>
                <w:p w14:paraId="676AC6BA">
                  <w:pPr>
                    <w:widowControl/>
                    <w:spacing w:line="240" w:lineRule="auto"/>
                    <w:ind w:firstLine="0" w:firstLineChars="0"/>
                    <w:jc w:val="center"/>
                    <w:rPr>
                      <w:color w:val="auto"/>
                      <w:sz w:val="21"/>
                      <w:szCs w:val="21"/>
                    </w:rPr>
                  </w:pPr>
                  <w:r>
                    <w:rPr>
                      <w:color w:val="auto"/>
                      <w:sz w:val="21"/>
                      <w:szCs w:val="21"/>
                    </w:rPr>
                    <w:t>三</w:t>
                  </w:r>
                </w:p>
              </w:tc>
              <w:tc>
                <w:tcPr>
                  <w:tcW w:w="811" w:type="pct"/>
                  <w:shd w:val="clear" w:color="auto" w:fill="FFC000"/>
                  <w:noWrap w:val="0"/>
                  <w:vAlign w:val="top"/>
                </w:tcPr>
                <w:p w14:paraId="09BFF44F">
                  <w:pPr>
                    <w:widowControl/>
                    <w:spacing w:line="240" w:lineRule="auto"/>
                    <w:ind w:firstLine="0" w:firstLineChars="0"/>
                    <w:jc w:val="center"/>
                    <w:rPr>
                      <w:color w:val="auto"/>
                      <w:sz w:val="21"/>
                      <w:szCs w:val="21"/>
                    </w:rPr>
                  </w:pPr>
                  <w:r>
                    <w:rPr>
                      <w:color w:val="auto"/>
                      <w:sz w:val="21"/>
                      <w:szCs w:val="21"/>
                    </w:rPr>
                    <w:t>简单分析</w:t>
                  </w:r>
                  <w:r>
                    <w:rPr>
                      <w:color w:val="auto"/>
                      <w:sz w:val="21"/>
                      <w:szCs w:val="21"/>
                      <w:vertAlign w:val="superscript"/>
                    </w:rPr>
                    <w:t>a</w:t>
                  </w:r>
                </w:p>
              </w:tc>
            </w:tr>
            <w:tr w14:paraId="6997D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0" w:type="pct"/>
                  <w:gridSpan w:val="5"/>
                  <w:noWrap w:val="0"/>
                  <w:vAlign w:val="top"/>
                </w:tcPr>
                <w:p w14:paraId="585C5CFB">
                  <w:pPr>
                    <w:widowControl/>
                    <w:spacing w:line="240" w:lineRule="auto"/>
                    <w:ind w:firstLine="0" w:firstLineChars="0"/>
                    <w:jc w:val="center"/>
                    <w:rPr>
                      <w:color w:val="auto"/>
                      <w:sz w:val="21"/>
                      <w:szCs w:val="21"/>
                    </w:rPr>
                  </w:pPr>
                  <w:r>
                    <w:rPr>
                      <w:color w:val="auto"/>
                      <w:sz w:val="21"/>
                      <w:szCs w:val="21"/>
                      <w:vertAlign w:val="superscript"/>
                    </w:rPr>
                    <w:t xml:space="preserve">a </w:t>
                  </w:r>
                  <w:r>
                    <w:rPr>
                      <w:color w:val="auto"/>
                      <w:sz w:val="21"/>
                      <w:szCs w:val="21"/>
                    </w:rPr>
                    <w:t>是相对于详细评价工作内容而言，在描述危险物质、环境影响途径、环境危害后果、风险防范措施等方面给出定性说明。</w:t>
                  </w:r>
                </w:p>
              </w:tc>
            </w:tr>
          </w:tbl>
          <w:p w14:paraId="27C46C12">
            <w:pPr>
              <w:pStyle w:val="19"/>
              <w:spacing w:after="0"/>
              <w:ind w:left="0" w:leftChars="0" w:firstLine="480"/>
              <w:rPr>
                <w:color w:val="auto"/>
              </w:rPr>
            </w:pPr>
            <w:r>
              <w:rPr>
                <w:color w:val="auto"/>
              </w:rPr>
              <w:t>根据建设项目涉及的物质及工艺系统危险性和所在地的环境敏感性确定环境风险潜势。按照表</w:t>
            </w:r>
            <w:r>
              <w:rPr>
                <w:rFonts w:hint="eastAsia"/>
                <w:color w:val="auto"/>
                <w:lang w:val="en-US" w:eastAsia="zh-CN"/>
              </w:rPr>
              <w:t>4-21</w:t>
            </w:r>
            <w:r>
              <w:rPr>
                <w:color w:val="auto"/>
              </w:rPr>
              <w:t>确定评价工作等级。风险潜势为Ⅳ以上，进行一级评价；风险潜势为Ⅲ，进行二级评价；风险潜势为Ⅱ，进行三级评价；风险潜势为Ι，风险潜势为Ⅰ，评价工作等级为简单分析。本次评价按照附录A规定的简单分析基本内容进行评价。本项目不设风险评价范围。</w:t>
            </w:r>
          </w:p>
          <w:p w14:paraId="1B0837DD">
            <w:pPr>
              <w:ind w:firstLine="480"/>
              <w:rPr>
                <w:color w:val="auto"/>
              </w:rPr>
            </w:pPr>
            <w:r>
              <w:rPr>
                <w:color w:val="auto"/>
              </w:rPr>
              <w:t>3、风险识别结果（主要风险识别）</w:t>
            </w:r>
          </w:p>
          <w:p w14:paraId="6ED02D10">
            <w:pPr>
              <w:ind w:firstLine="480"/>
              <w:rPr>
                <w:color w:val="auto"/>
              </w:rPr>
            </w:pPr>
            <w:r>
              <w:rPr>
                <w:color w:val="auto"/>
              </w:rPr>
              <w:t>（1）储运过程环境风险辨识</w:t>
            </w:r>
          </w:p>
          <w:p w14:paraId="0F507807">
            <w:pPr>
              <w:ind w:firstLine="480"/>
              <w:rPr>
                <w:color w:val="auto"/>
              </w:rPr>
            </w:pPr>
            <w:r>
              <w:rPr>
                <w:color w:val="auto"/>
              </w:rPr>
              <w:t>项目物料运输过程中的环境风险主要为汽油泄漏污染土壤和水体。由于业主委托社会车辆进行原辅材料的运输，本评价对运输风险不予分析。在储存过程中以废机油储运风险最大，因为在储存过程中以废机油储运风险最大，因为废机油易燃，会容易引发火灾和爆炸事故，进而由于汽油的燃烧排放大量的HC、CO、NOx等污染物污染大气环境，同时，也次生有含高浓度石油类的消防废水。</w:t>
            </w:r>
          </w:p>
          <w:p w14:paraId="2D37A4BB">
            <w:pPr>
              <w:ind w:firstLine="480"/>
              <w:rPr>
                <w:color w:val="auto"/>
              </w:rPr>
            </w:pPr>
            <w:r>
              <w:rPr>
                <w:color w:val="auto"/>
              </w:rPr>
              <w:t>（2）伴生/次生环境风险辨识</w:t>
            </w:r>
          </w:p>
          <w:p w14:paraId="4ED1C909">
            <w:pPr>
              <w:ind w:firstLine="480"/>
              <w:rPr>
                <w:color w:val="auto"/>
              </w:rPr>
            </w:pPr>
            <w:r>
              <w:rPr>
                <w:rFonts w:hint="eastAsia" w:ascii="宋体" w:hAnsi="宋体" w:cs="宋体"/>
                <w:color w:val="auto"/>
              </w:rPr>
              <w:t>①</w:t>
            </w:r>
            <w:r>
              <w:rPr>
                <w:color w:val="auto"/>
              </w:rPr>
              <w:t>火灾爆炸事故中引发连锁爆炸分析</w:t>
            </w:r>
          </w:p>
          <w:p w14:paraId="23299DB3">
            <w:pPr>
              <w:ind w:firstLine="480"/>
              <w:rPr>
                <w:color w:val="auto"/>
              </w:rPr>
            </w:pPr>
            <w:r>
              <w:rPr>
                <w:color w:val="auto"/>
              </w:rPr>
              <w:t>最危险的伴生/次生污染事故为泄漏导致爆炸，且进而由于爆炸事故对</w:t>
            </w:r>
            <w:r>
              <w:rPr>
                <w:rFonts w:hint="eastAsia"/>
                <w:color w:val="auto"/>
                <w:lang w:eastAsia="zh-CN"/>
              </w:rPr>
              <w:t>邻近</w:t>
            </w:r>
            <w:r>
              <w:rPr>
                <w:color w:val="auto"/>
              </w:rPr>
              <w:t>的设施造成连锁爆炸破坏，根据对本项目场址与周围情况的调查，周边建筑均有一定的安全防护距离，因此，因本项目爆炸而引起周边发生连锁爆炸的可能性很小。</w:t>
            </w:r>
          </w:p>
          <w:p w14:paraId="03DF6ADE">
            <w:pPr>
              <w:ind w:firstLine="480"/>
              <w:rPr>
                <w:color w:val="auto"/>
              </w:rPr>
            </w:pPr>
            <w:r>
              <w:rPr>
                <w:rFonts w:hint="eastAsia" w:ascii="宋体" w:hAnsi="宋体" w:cs="宋体"/>
                <w:color w:val="auto"/>
              </w:rPr>
              <w:t>②</w:t>
            </w:r>
            <w:r>
              <w:rPr>
                <w:color w:val="auto"/>
              </w:rPr>
              <w:t>泄漏事故中的次生危险性分析</w:t>
            </w:r>
          </w:p>
          <w:p w14:paraId="755954AE">
            <w:pPr>
              <w:ind w:firstLine="480"/>
              <w:rPr>
                <w:color w:val="auto"/>
              </w:rPr>
            </w:pPr>
            <w:r>
              <w:rPr>
                <w:color w:val="auto"/>
              </w:rPr>
              <w:t>本项目泄漏事故主要为废机油泄漏后进入周边水体或土壤。由于本项目废机油厂区内的储存量也较少，同时项目危废暂存间采取有防渗漏措施及油收集系统。项目油类物质泄漏而直接进入厂区外环境的可能性很小。</w:t>
            </w:r>
          </w:p>
          <w:p w14:paraId="2533986E">
            <w:pPr>
              <w:pStyle w:val="4"/>
              <w:ind w:firstLine="482"/>
              <w:rPr>
                <w:b/>
                <w:bCs/>
                <w:color w:val="auto"/>
              </w:rPr>
            </w:pPr>
            <w:r>
              <w:rPr>
                <w:b/>
                <w:bCs/>
                <w:color w:val="auto"/>
              </w:rPr>
              <w:t>4.</w:t>
            </w:r>
            <w:r>
              <w:rPr>
                <w:rFonts w:hint="eastAsia"/>
                <w:b/>
                <w:bCs/>
                <w:color w:val="auto"/>
              </w:rPr>
              <w:t>9</w:t>
            </w:r>
            <w:r>
              <w:rPr>
                <w:b/>
                <w:bCs/>
                <w:color w:val="auto"/>
              </w:rPr>
              <w:t>.2 环境风险保护目标调查</w:t>
            </w:r>
          </w:p>
          <w:p w14:paraId="17C792B0">
            <w:pPr>
              <w:widowControl/>
              <w:ind w:firstLine="480"/>
              <w:rPr>
                <w:bCs/>
                <w:color w:val="auto"/>
              </w:rPr>
            </w:pPr>
            <w:r>
              <w:rPr>
                <w:bCs/>
                <w:color w:val="auto"/>
              </w:rPr>
              <w:t>环境风险评价应把事故引起厂（场）界外人群伤害、环境质量的恶化及对生态系统影响的预测和防护作为评价工作重点。环境风险评价的关注点是事故对厂（场）界外环境的影响。项目周边环境敏感目标详见“表3.7-1环境保护目标一览表”。</w:t>
            </w:r>
          </w:p>
          <w:p w14:paraId="15ED8352">
            <w:pPr>
              <w:pStyle w:val="19"/>
              <w:spacing w:after="0"/>
              <w:ind w:left="0" w:leftChars="0" w:firstLine="482"/>
              <w:rPr>
                <w:b/>
                <w:bCs/>
                <w:color w:val="auto"/>
              </w:rPr>
            </w:pPr>
            <w:r>
              <w:rPr>
                <w:b/>
                <w:bCs/>
                <w:color w:val="auto"/>
              </w:rPr>
              <w:t>4.</w:t>
            </w:r>
            <w:r>
              <w:rPr>
                <w:rFonts w:hint="eastAsia"/>
                <w:b/>
                <w:bCs/>
                <w:color w:val="auto"/>
              </w:rPr>
              <w:t>9</w:t>
            </w:r>
            <w:r>
              <w:rPr>
                <w:b/>
                <w:bCs/>
                <w:color w:val="auto"/>
              </w:rPr>
              <w:t>.3环境风险影响分析</w:t>
            </w:r>
          </w:p>
          <w:p w14:paraId="337DB904">
            <w:pPr>
              <w:ind w:firstLine="480"/>
              <w:rPr>
                <w:color w:val="auto"/>
              </w:rPr>
            </w:pPr>
            <w:r>
              <w:rPr>
                <w:color w:val="auto"/>
              </w:rPr>
              <w:t>1、废气事故排放分析</w:t>
            </w:r>
          </w:p>
          <w:p w14:paraId="5D75FCB1">
            <w:pPr>
              <w:pStyle w:val="42"/>
              <w:ind w:firstLine="480"/>
              <w:rPr>
                <w:color w:val="auto"/>
              </w:rPr>
            </w:pPr>
            <w:r>
              <w:rPr>
                <w:color w:val="auto"/>
              </w:rPr>
              <w:t>根据项目分析，项目粉尘事故状态影响主要有搅拌机配置的除尘器发生破损导致高浓度含尘废气排放对周边的影响，以及水泥筒仓直接倒塌导致粉尘的大量产生对周边环境的影响。项目将加强对筒仓及搅拌机除尘器的管理与维护，减少除尘器破损导致粉尘外溢的情况发生，同时，如发生除尘器破损及时停止生产，对除尘器进行修理或更换，可有效避免对周边环境的影响。项目筒仓倒塌概率小于百万分之一，但企业应加强对筒仓支架的安全管理。</w:t>
            </w:r>
          </w:p>
          <w:p w14:paraId="1508DF58">
            <w:pPr>
              <w:ind w:firstLine="480"/>
              <w:rPr>
                <w:color w:val="auto"/>
              </w:rPr>
            </w:pPr>
            <w:r>
              <w:rPr>
                <w:color w:val="auto"/>
              </w:rPr>
              <w:t>2、废水事故排放分析</w:t>
            </w:r>
          </w:p>
          <w:p w14:paraId="5F1AAE9B">
            <w:pPr>
              <w:pStyle w:val="42"/>
              <w:ind w:firstLine="480"/>
              <w:rPr>
                <w:color w:val="auto"/>
              </w:rPr>
            </w:pPr>
            <w:r>
              <w:rPr>
                <w:color w:val="auto"/>
              </w:rPr>
              <w:t>可能产生废水事故排放的</w:t>
            </w:r>
            <w:r>
              <w:rPr>
                <w:rFonts w:hint="eastAsia"/>
                <w:color w:val="auto"/>
                <w:lang w:eastAsia="zh-CN"/>
              </w:rPr>
              <w:t>水冲</w:t>
            </w:r>
            <w:r>
              <w:rPr>
                <w:color w:val="auto"/>
              </w:rPr>
              <w:t>洗废水不能回用，导致外排污染附近水体。所以必须确保含水泥砂浆废水处理设施正常运行，一旦出现事故，立即停止生产。</w:t>
            </w:r>
          </w:p>
          <w:p w14:paraId="7F0073C3">
            <w:pPr>
              <w:ind w:firstLine="480"/>
              <w:rPr>
                <w:bCs/>
                <w:color w:val="auto"/>
                <w:kern w:val="0"/>
              </w:rPr>
            </w:pPr>
            <w:r>
              <w:rPr>
                <w:bCs/>
                <w:color w:val="auto"/>
                <w:kern w:val="0"/>
              </w:rPr>
              <w:t>3、废机油泄漏风险分析</w:t>
            </w:r>
          </w:p>
          <w:p w14:paraId="36F01205">
            <w:pPr>
              <w:ind w:firstLine="480"/>
              <w:rPr>
                <w:color w:val="auto"/>
              </w:rPr>
            </w:pPr>
            <w:r>
              <w:rPr>
                <w:color w:val="auto"/>
              </w:rPr>
              <w:t>废机油泄漏油品进入土壤、地表水体，造成外环境的污染。</w:t>
            </w:r>
          </w:p>
          <w:p w14:paraId="2A3AE0EF">
            <w:pPr>
              <w:ind w:firstLine="480"/>
              <w:rPr>
                <w:color w:val="auto"/>
              </w:rPr>
            </w:pPr>
            <w:r>
              <w:rPr>
                <w:color w:val="auto"/>
              </w:rPr>
              <w:t>废机油遇点火源容易引发火灾爆炸事故，火灾、爆炸事故产生的大量烟尘、氮氧化物、CO等大气污染物，造成对大气环境的污染，一旦发生火灾爆炸事故，在救援过程中，会产生大量消防废水。消防废水大量泄漏排入周边地表水体使其严重受到污染。</w:t>
            </w:r>
          </w:p>
          <w:p w14:paraId="7BC62D32">
            <w:pPr>
              <w:ind w:firstLine="480"/>
              <w:rPr>
                <w:color w:val="auto"/>
              </w:rPr>
            </w:pPr>
            <w:r>
              <w:rPr>
                <w:color w:val="auto"/>
              </w:rPr>
              <w:t>环境事故污染及其污染特征见下表。</w:t>
            </w:r>
          </w:p>
          <w:p w14:paraId="41AFB2C4">
            <w:pPr>
              <w:pStyle w:val="29"/>
              <w:spacing w:before="24" w:after="24"/>
              <w:rPr>
                <w:color w:val="auto"/>
              </w:rPr>
            </w:pPr>
            <w:r>
              <w:rPr>
                <w:color w:val="auto"/>
              </w:rPr>
              <w:t>表</w:t>
            </w:r>
            <w:r>
              <w:rPr>
                <w:rFonts w:hint="eastAsia"/>
                <w:color w:val="auto"/>
                <w:lang w:val="en-US" w:eastAsia="zh-CN"/>
              </w:rPr>
              <w:t>4-22</w:t>
            </w:r>
            <w:r>
              <w:rPr>
                <w:color w:val="auto"/>
              </w:rPr>
              <w:t xml:space="preserve"> 项目主要环境事故污染及其污染特征</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3"/>
              <w:gridCol w:w="2257"/>
              <w:gridCol w:w="3456"/>
              <w:gridCol w:w="2278"/>
            </w:tblGrid>
            <w:tr w14:paraId="45A26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jc w:val="center"/>
              </w:trPr>
              <w:tc>
                <w:tcPr>
                  <w:tcW w:w="404" w:type="pct"/>
                  <w:noWrap w:val="0"/>
                  <w:vAlign w:val="center"/>
                </w:tcPr>
                <w:p w14:paraId="4D31572F">
                  <w:pPr>
                    <w:spacing w:line="240" w:lineRule="auto"/>
                    <w:ind w:firstLine="0" w:firstLineChars="0"/>
                    <w:jc w:val="center"/>
                    <w:rPr>
                      <w:b/>
                      <w:bCs/>
                      <w:color w:val="auto"/>
                      <w:kern w:val="0"/>
                      <w:sz w:val="21"/>
                      <w:szCs w:val="21"/>
                    </w:rPr>
                  </w:pPr>
                  <w:r>
                    <w:rPr>
                      <w:b/>
                      <w:bCs/>
                      <w:color w:val="auto"/>
                      <w:kern w:val="0"/>
                      <w:sz w:val="21"/>
                      <w:szCs w:val="21"/>
                    </w:rPr>
                    <w:t>事故类型</w:t>
                  </w:r>
                </w:p>
              </w:tc>
              <w:tc>
                <w:tcPr>
                  <w:tcW w:w="1298" w:type="pct"/>
                  <w:noWrap w:val="0"/>
                  <w:vAlign w:val="center"/>
                </w:tcPr>
                <w:p w14:paraId="40BB3EEA">
                  <w:pPr>
                    <w:spacing w:line="240" w:lineRule="auto"/>
                    <w:ind w:firstLine="0" w:firstLineChars="0"/>
                    <w:jc w:val="center"/>
                    <w:rPr>
                      <w:b/>
                      <w:bCs/>
                      <w:color w:val="auto"/>
                      <w:kern w:val="0"/>
                      <w:sz w:val="21"/>
                      <w:szCs w:val="21"/>
                    </w:rPr>
                  </w:pPr>
                  <w:r>
                    <w:rPr>
                      <w:b/>
                      <w:bCs/>
                      <w:color w:val="auto"/>
                      <w:kern w:val="0"/>
                      <w:sz w:val="21"/>
                      <w:szCs w:val="21"/>
                    </w:rPr>
                    <w:t>污染物名称</w:t>
                  </w:r>
                </w:p>
              </w:tc>
              <w:tc>
                <w:tcPr>
                  <w:tcW w:w="1987" w:type="pct"/>
                  <w:noWrap w:val="0"/>
                  <w:vAlign w:val="center"/>
                </w:tcPr>
                <w:p w14:paraId="47B6D580">
                  <w:pPr>
                    <w:spacing w:line="240" w:lineRule="auto"/>
                    <w:ind w:firstLine="0" w:firstLineChars="0"/>
                    <w:jc w:val="center"/>
                    <w:rPr>
                      <w:b/>
                      <w:bCs/>
                      <w:color w:val="auto"/>
                      <w:kern w:val="0"/>
                      <w:sz w:val="21"/>
                      <w:szCs w:val="21"/>
                    </w:rPr>
                  </w:pPr>
                  <w:r>
                    <w:rPr>
                      <w:b/>
                      <w:bCs/>
                      <w:color w:val="auto"/>
                      <w:kern w:val="0"/>
                      <w:sz w:val="21"/>
                      <w:szCs w:val="21"/>
                    </w:rPr>
                    <w:t>影响范围</w:t>
                  </w:r>
                </w:p>
              </w:tc>
              <w:tc>
                <w:tcPr>
                  <w:tcW w:w="1310" w:type="pct"/>
                  <w:noWrap w:val="0"/>
                  <w:vAlign w:val="center"/>
                </w:tcPr>
                <w:p w14:paraId="44C7D2B0">
                  <w:pPr>
                    <w:spacing w:line="240" w:lineRule="auto"/>
                    <w:ind w:firstLine="0" w:firstLineChars="0"/>
                    <w:jc w:val="center"/>
                    <w:rPr>
                      <w:b/>
                      <w:bCs/>
                      <w:color w:val="auto"/>
                      <w:kern w:val="0"/>
                      <w:sz w:val="21"/>
                      <w:szCs w:val="21"/>
                    </w:rPr>
                  </w:pPr>
                  <w:r>
                    <w:rPr>
                      <w:b/>
                      <w:bCs/>
                      <w:color w:val="auto"/>
                      <w:kern w:val="0"/>
                      <w:sz w:val="21"/>
                      <w:szCs w:val="21"/>
                    </w:rPr>
                    <w:t>污染特征</w:t>
                  </w:r>
                </w:p>
              </w:tc>
            </w:tr>
            <w:tr w14:paraId="1E2AB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04" w:type="pct"/>
                  <w:noWrap w:val="0"/>
                  <w:vAlign w:val="center"/>
                </w:tcPr>
                <w:p w14:paraId="530D9FEF">
                  <w:pPr>
                    <w:spacing w:line="240" w:lineRule="auto"/>
                    <w:ind w:firstLine="0" w:firstLineChars="0"/>
                    <w:jc w:val="center"/>
                    <w:rPr>
                      <w:color w:val="auto"/>
                      <w:kern w:val="0"/>
                      <w:sz w:val="21"/>
                      <w:szCs w:val="21"/>
                    </w:rPr>
                  </w:pPr>
                  <w:r>
                    <w:rPr>
                      <w:color w:val="auto"/>
                      <w:kern w:val="0"/>
                      <w:sz w:val="21"/>
                      <w:szCs w:val="21"/>
                    </w:rPr>
                    <w:t>泄漏事故</w:t>
                  </w:r>
                </w:p>
              </w:tc>
              <w:tc>
                <w:tcPr>
                  <w:tcW w:w="1298" w:type="pct"/>
                  <w:noWrap w:val="0"/>
                  <w:vAlign w:val="center"/>
                </w:tcPr>
                <w:p w14:paraId="275648F8">
                  <w:pPr>
                    <w:spacing w:line="240" w:lineRule="auto"/>
                    <w:ind w:firstLine="0" w:firstLineChars="0"/>
                    <w:jc w:val="center"/>
                    <w:rPr>
                      <w:color w:val="auto"/>
                      <w:kern w:val="0"/>
                      <w:sz w:val="21"/>
                      <w:szCs w:val="21"/>
                    </w:rPr>
                  </w:pPr>
                  <w:r>
                    <w:rPr>
                      <w:color w:val="auto"/>
                      <w:kern w:val="0"/>
                      <w:sz w:val="21"/>
                      <w:szCs w:val="21"/>
                    </w:rPr>
                    <w:t>石油类</w:t>
                  </w:r>
                </w:p>
              </w:tc>
              <w:tc>
                <w:tcPr>
                  <w:tcW w:w="1987" w:type="pct"/>
                  <w:noWrap w:val="0"/>
                  <w:vAlign w:val="center"/>
                </w:tcPr>
                <w:p w14:paraId="64EC44E7">
                  <w:pPr>
                    <w:spacing w:line="240" w:lineRule="auto"/>
                    <w:ind w:firstLine="0" w:firstLineChars="0"/>
                    <w:jc w:val="center"/>
                    <w:rPr>
                      <w:color w:val="auto"/>
                      <w:kern w:val="0"/>
                      <w:sz w:val="21"/>
                      <w:szCs w:val="21"/>
                    </w:rPr>
                  </w:pPr>
                  <w:r>
                    <w:rPr>
                      <w:rFonts w:hint="eastAsia"/>
                      <w:color w:val="auto"/>
                      <w:kern w:val="0"/>
                      <w:sz w:val="21"/>
                      <w:szCs w:val="21"/>
                      <w:lang w:eastAsia="zh-CN"/>
                    </w:rPr>
                    <w:t>泄漏</w:t>
                  </w:r>
                  <w:r>
                    <w:rPr>
                      <w:color w:val="auto"/>
                      <w:kern w:val="0"/>
                      <w:sz w:val="21"/>
                      <w:szCs w:val="21"/>
                    </w:rPr>
                    <w:t>进入外环境时，对外环境造成影响。</w:t>
                  </w:r>
                </w:p>
              </w:tc>
              <w:tc>
                <w:tcPr>
                  <w:tcW w:w="1310" w:type="pct"/>
                  <w:noWrap w:val="0"/>
                  <w:vAlign w:val="center"/>
                </w:tcPr>
                <w:p w14:paraId="4CFEB5D4">
                  <w:pPr>
                    <w:spacing w:line="240" w:lineRule="auto"/>
                    <w:ind w:firstLine="0" w:firstLineChars="0"/>
                    <w:jc w:val="center"/>
                    <w:rPr>
                      <w:color w:val="auto"/>
                      <w:kern w:val="0"/>
                      <w:sz w:val="21"/>
                      <w:szCs w:val="21"/>
                    </w:rPr>
                  </w:pPr>
                  <w:r>
                    <w:rPr>
                      <w:color w:val="auto"/>
                      <w:kern w:val="0"/>
                      <w:sz w:val="21"/>
                      <w:szCs w:val="21"/>
                    </w:rPr>
                    <w:t>项目区土壤污染、地表水污染、地下水污染</w:t>
                  </w:r>
                </w:p>
              </w:tc>
            </w:tr>
            <w:tr w14:paraId="4F99B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04" w:type="pct"/>
                  <w:noWrap w:val="0"/>
                  <w:vAlign w:val="center"/>
                </w:tcPr>
                <w:p w14:paraId="0B9D365A">
                  <w:pPr>
                    <w:spacing w:line="240" w:lineRule="auto"/>
                    <w:ind w:firstLine="0" w:firstLineChars="0"/>
                    <w:jc w:val="center"/>
                    <w:rPr>
                      <w:color w:val="auto"/>
                      <w:kern w:val="0"/>
                      <w:sz w:val="21"/>
                      <w:szCs w:val="21"/>
                    </w:rPr>
                  </w:pPr>
                  <w:r>
                    <w:rPr>
                      <w:color w:val="auto"/>
                      <w:kern w:val="0"/>
                      <w:sz w:val="21"/>
                      <w:szCs w:val="21"/>
                    </w:rPr>
                    <w:t>火灾</w:t>
                  </w:r>
                </w:p>
              </w:tc>
              <w:tc>
                <w:tcPr>
                  <w:tcW w:w="1298" w:type="pct"/>
                  <w:noWrap w:val="0"/>
                  <w:vAlign w:val="center"/>
                </w:tcPr>
                <w:p w14:paraId="2FF5A254">
                  <w:pPr>
                    <w:spacing w:line="240" w:lineRule="auto"/>
                    <w:ind w:firstLine="0" w:firstLineChars="0"/>
                    <w:jc w:val="center"/>
                    <w:rPr>
                      <w:color w:val="auto"/>
                      <w:kern w:val="0"/>
                      <w:sz w:val="21"/>
                      <w:szCs w:val="21"/>
                    </w:rPr>
                  </w:pPr>
                  <w:r>
                    <w:rPr>
                      <w:color w:val="auto"/>
                      <w:kern w:val="0"/>
                      <w:sz w:val="21"/>
                      <w:szCs w:val="21"/>
                    </w:rPr>
                    <w:t>烟尘、氮氧化物、CO、消防废水中石油类</w:t>
                  </w:r>
                </w:p>
              </w:tc>
              <w:tc>
                <w:tcPr>
                  <w:tcW w:w="1987" w:type="pct"/>
                  <w:noWrap w:val="0"/>
                  <w:vAlign w:val="center"/>
                </w:tcPr>
                <w:p w14:paraId="13D6E292">
                  <w:pPr>
                    <w:spacing w:line="240" w:lineRule="auto"/>
                    <w:ind w:firstLine="0" w:firstLineChars="0"/>
                    <w:jc w:val="center"/>
                    <w:rPr>
                      <w:color w:val="auto"/>
                      <w:kern w:val="0"/>
                      <w:sz w:val="21"/>
                      <w:szCs w:val="21"/>
                    </w:rPr>
                  </w:pPr>
                  <w:r>
                    <w:rPr>
                      <w:color w:val="auto"/>
                      <w:kern w:val="0"/>
                      <w:sz w:val="21"/>
                      <w:szCs w:val="21"/>
                    </w:rPr>
                    <w:t>油品储存区附近，主要影响范围在项目内及周边大气环境、下游水体。</w:t>
                  </w:r>
                </w:p>
              </w:tc>
              <w:tc>
                <w:tcPr>
                  <w:tcW w:w="1310" w:type="pct"/>
                  <w:noWrap w:val="0"/>
                  <w:vAlign w:val="center"/>
                </w:tcPr>
                <w:p w14:paraId="1D4744F7">
                  <w:pPr>
                    <w:spacing w:line="240" w:lineRule="auto"/>
                    <w:ind w:firstLine="0" w:firstLineChars="0"/>
                    <w:jc w:val="center"/>
                    <w:rPr>
                      <w:color w:val="auto"/>
                      <w:kern w:val="0"/>
                      <w:sz w:val="21"/>
                      <w:szCs w:val="21"/>
                    </w:rPr>
                  </w:pPr>
                  <w:r>
                    <w:rPr>
                      <w:color w:val="auto"/>
                      <w:kern w:val="0"/>
                      <w:sz w:val="21"/>
                      <w:szCs w:val="21"/>
                    </w:rPr>
                    <w:t>大气污染、地表水污染</w:t>
                  </w:r>
                </w:p>
              </w:tc>
            </w:tr>
          </w:tbl>
          <w:p w14:paraId="00F3304B">
            <w:pPr>
              <w:ind w:firstLine="482"/>
              <w:rPr>
                <w:b/>
                <w:bCs/>
                <w:color w:val="auto"/>
              </w:rPr>
            </w:pPr>
            <w:r>
              <w:rPr>
                <w:b/>
                <w:bCs/>
                <w:color w:val="auto"/>
              </w:rPr>
              <w:t>4.</w:t>
            </w:r>
            <w:r>
              <w:rPr>
                <w:rFonts w:hint="eastAsia"/>
                <w:b/>
                <w:bCs/>
                <w:color w:val="auto"/>
              </w:rPr>
              <w:t>9</w:t>
            </w:r>
            <w:r>
              <w:rPr>
                <w:b/>
                <w:bCs/>
                <w:color w:val="auto"/>
              </w:rPr>
              <w:t>.4环境风险防范措施</w:t>
            </w:r>
          </w:p>
          <w:p w14:paraId="6E140238">
            <w:pPr>
              <w:ind w:firstLine="480"/>
              <w:rPr>
                <w:color w:val="auto"/>
              </w:rPr>
            </w:pPr>
            <w:r>
              <w:rPr>
                <w:color w:val="auto"/>
              </w:rPr>
              <w:t>1、风险管理及防范措施</w:t>
            </w:r>
          </w:p>
          <w:p w14:paraId="32F1522E">
            <w:pPr>
              <w:ind w:firstLine="480"/>
              <w:rPr>
                <w:color w:val="auto"/>
              </w:rPr>
            </w:pPr>
            <w:r>
              <w:rPr>
                <w:color w:val="auto"/>
              </w:rPr>
              <w:fldChar w:fldCharType="begin"/>
            </w:r>
            <w:r>
              <w:rPr>
                <w:color w:val="auto"/>
              </w:rPr>
              <w:instrText xml:space="preserve"> = 1 \* GB3 </w:instrText>
            </w:r>
            <w:r>
              <w:rPr>
                <w:color w:val="auto"/>
              </w:rPr>
              <w:fldChar w:fldCharType="separate"/>
            </w:r>
            <w:r>
              <w:rPr>
                <w:rFonts w:hint="eastAsia" w:ascii="宋体" w:hAnsi="宋体" w:cs="宋体"/>
                <w:color w:val="auto"/>
              </w:rPr>
              <w:t>①</w:t>
            </w:r>
            <w:r>
              <w:rPr>
                <w:color w:val="auto"/>
              </w:rPr>
              <w:fldChar w:fldCharType="end"/>
            </w:r>
            <w:r>
              <w:rPr>
                <w:color w:val="auto"/>
              </w:rPr>
              <w:t>危险废物暂存间按照</w:t>
            </w:r>
            <w:r>
              <w:rPr>
                <w:rFonts w:hint="eastAsia"/>
                <w:color w:val="auto"/>
              </w:rPr>
              <w:t>《危险废物贮存污染控制标准》（GB18597-2023）</w:t>
            </w:r>
            <w:r>
              <w:rPr>
                <w:color w:val="auto"/>
              </w:rPr>
              <w:t>的防渗要求建设，定时进行危废暂存间的检查巡视，杜绝危险废物</w:t>
            </w:r>
            <w:r>
              <w:rPr>
                <w:rFonts w:hint="eastAsia"/>
                <w:color w:val="auto"/>
                <w:lang w:eastAsia="zh-CN"/>
              </w:rPr>
              <w:t>泄漏</w:t>
            </w:r>
            <w:r>
              <w:rPr>
                <w:color w:val="auto"/>
              </w:rPr>
              <w:t>影响地下水环境。</w:t>
            </w:r>
          </w:p>
          <w:p w14:paraId="4F5A6026">
            <w:pPr>
              <w:ind w:firstLine="480"/>
              <w:rPr>
                <w:color w:val="auto"/>
              </w:rPr>
            </w:pPr>
            <w:r>
              <w:rPr>
                <w:rFonts w:hint="eastAsia" w:ascii="宋体" w:hAnsi="宋体" w:cs="宋体"/>
                <w:color w:val="auto"/>
              </w:rPr>
              <w:t>②</w:t>
            </w:r>
            <w:r>
              <w:rPr>
                <w:color w:val="auto"/>
              </w:rPr>
              <w:t>营运期加强对危险废物污染源的管理，危险废物采用专用容器收集，集中到暂存间相应类别的容器中。</w:t>
            </w:r>
          </w:p>
          <w:p w14:paraId="7A001619">
            <w:pPr>
              <w:ind w:firstLine="480"/>
              <w:rPr>
                <w:color w:val="auto"/>
              </w:rPr>
            </w:pPr>
            <w:r>
              <w:rPr>
                <w:rFonts w:hint="eastAsia" w:ascii="宋体" w:hAnsi="宋体" w:cs="宋体"/>
                <w:color w:val="auto"/>
              </w:rPr>
              <w:t>③</w:t>
            </w:r>
            <w:r>
              <w:rPr>
                <w:color w:val="auto"/>
              </w:rPr>
              <w:t>危废暂存间配套导流沟及事故收集池，确保一旦废机油倾翻发生泄漏事故，不会发生漫溢。</w:t>
            </w:r>
          </w:p>
          <w:p w14:paraId="7CE63B90">
            <w:pPr>
              <w:ind w:firstLine="480"/>
              <w:rPr>
                <w:color w:val="auto"/>
              </w:rPr>
            </w:pPr>
            <w:r>
              <w:rPr>
                <w:rFonts w:hint="eastAsia" w:ascii="宋体" w:hAnsi="宋体" w:cs="宋体"/>
                <w:color w:val="auto"/>
              </w:rPr>
              <w:t>④</w:t>
            </w:r>
            <w:r>
              <w:rPr>
                <w:color w:val="auto"/>
              </w:rPr>
              <w:t>须配备有应急桶、铲子、沙子等应急物资，若发现漏油，用沙子吸收溢出的液体，然后用铲子铲装含油沙至应急桶，妥善放置。</w:t>
            </w:r>
          </w:p>
          <w:p w14:paraId="554E4133">
            <w:pPr>
              <w:ind w:firstLine="480"/>
              <w:rPr>
                <w:color w:val="auto"/>
                <w:kern w:val="0"/>
                <w:szCs w:val="22"/>
              </w:rPr>
            </w:pPr>
            <w:r>
              <w:rPr>
                <w:color w:val="auto"/>
              </w:rPr>
              <w:t>2、</w:t>
            </w:r>
            <w:r>
              <w:rPr>
                <w:color w:val="auto"/>
                <w:kern w:val="0"/>
                <w:szCs w:val="22"/>
              </w:rPr>
              <w:t>废机油渗漏风险管理、防范措施</w:t>
            </w:r>
          </w:p>
          <w:p w14:paraId="0A0E5A35">
            <w:pPr>
              <w:ind w:firstLine="480"/>
              <w:rPr>
                <w:color w:val="auto"/>
              </w:rPr>
            </w:pPr>
            <w:r>
              <w:rPr>
                <w:rFonts w:hint="eastAsia" w:ascii="宋体" w:hAnsi="宋体" w:cs="宋体"/>
                <w:color w:val="auto"/>
                <w:lang w:eastAsia="ja-JP"/>
              </w:rPr>
              <w:t>①</w:t>
            </w:r>
            <w:r>
              <w:rPr>
                <w:color w:val="auto"/>
              </w:rPr>
              <w:t>对储存点定期检查，及时发现</w:t>
            </w:r>
            <w:r>
              <w:rPr>
                <w:rFonts w:hint="eastAsia"/>
                <w:color w:val="auto"/>
                <w:lang w:val="en-US" w:eastAsia="zh-CN"/>
              </w:rPr>
              <w:t>破损情况</w:t>
            </w:r>
            <w:r>
              <w:rPr>
                <w:color w:val="auto"/>
              </w:rPr>
              <w:t>。</w:t>
            </w:r>
          </w:p>
          <w:p w14:paraId="0AB4C775">
            <w:pPr>
              <w:ind w:firstLine="480"/>
              <w:rPr>
                <w:color w:val="auto"/>
              </w:rPr>
            </w:pPr>
            <w:r>
              <w:rPr>
                <w:rFonts w:hint="eastAsia" w:ascii="宋体" w:hAnsi="宋体" w:cs="宋体"/>
                <w:color w:val="auto"/>
                <w:lang w:eastAsia="ja-JP"/>
              </w:rPr>
              <w:t>②</w:t>
            </w:r>
            <w:r>
              <w:rPr>
                <w:color w:val="auto"/>
              </w:rPr>
              <w:t>做好防渗处理，避免泄漏后的废油渗入地下。</w:t>
            </w:r>
          </w:p>
          <w:p w14:paraId="45A8D30F">
            <w:pPr>
              <w:ind w:firstLine="480"/>
              <w:rPr>
                <w:color w:val="auto"/>
              </w:rPr>
            </w:pPr>
            <w:r>
              <w:rPr>
                <w:rFonts w:hint="eastAsia" w:ascii="宋体" w:hAnsi="宋体" w:cs="宋体"/>
                <w:color w:val="auto"/>
                <w:lang w:eastAsia="ja-JP"/>
              </w:rPr>
              <w:t>③</w:t>
            </w:r>
            <w:r>
              <w:rPr>
                <w:color w:val="auto"/>
              </w:rPr>
              <w:t>危废暂存间设置标识牌，建立台账。</w:t>
            </w:r>
          </w:p>
          <w:p w14:paraId="1B154414">
            <w:pPr>
              <w:ind w:firstLine="480"/>
              <w:rPr>
                <w:color w:val="auto"/>
              </w:rPr>
            </w:pPr>
            <w:r>
              <w:rPr>
                <w:color w:val="auto"/>
              </w:rPr>
              <w:t>3、火灾、爆炸事故预防措施</w:t>
            </w:r>
          </w:p>
          <w:p w14:paraId="1F80CEE1">
            <w:pPr>
              <w:ind w:firstLine="480"/>
              <w:rPr>
                <w:color w:val="auto"/>
              </w:rPr>
            </w:pPr>
            <w:r>
              <w:rPr>
                <w:rFonts w:hint="eastAsia" w:ascii="宋体" w:hAnsi="宋体" w:cs="宋体"/>
                <w:color w:val="auto"/>
                <w:lang w:eastAsia="ja-JP"/>
              </w:rPr>
              <w:t>①</w:t>
            </w:r>
            <w:r>
              <w:rPr>
                <w:color w:val="auto"/>
              </w:rPr>
              <w:t>设置醒目的杜绝明火标志、标语。</w:t>
            </w:r>
          </w:p>
          <w:p w14:paraId="565E2546">
            <w:pPr>
              <w:ind w:firstLine="480"/>
              <w:rPr>
                <w:color w:val="auto"/>
              </w:rPr>
            </w:pPr>
            <w:r>
              <w:rPr>
                <w:rFonts w:hint="eastAsia" w:ascii="宋体" w:hAnsi="宋体" w:cs="宋体"/>
                <w:color w:val="auto"/>
                <w:lang w:eastAsia="ja-JP"/>
              </w:rPr>
              <w:t>②</w:t>
            </w:r>
            <w:r>
              <w:rPr>
                <w:color w:val="auto"/>
              </w:rPr>
              <w:t>严禁在油品附近吸烟和用火。</w:t>
            </w:r>
          </w:p>
          <w:p w14:paraId="2287B2CE">
            <w:pPr>
              <w:ind w:firstLine="480"/>
              <w:rPr>
                <w:color w:val="auto"/>
              </w:rPr>
            </w:pPr>
            <w:r>
              <w:rPr>
                <w:rFonts w:hint="eastAsia" w:ascii="宋体" w:hAnsi="宋体" w:cs="宋体"/>
                <w:color w:val="auto"/>
                <w:lang w:eastAsia="ja-JP"/>
              </w:rPr>
              <w:t>③</w:t>
            </w:r>
            <w:r>
              <w:rPr>
                <w:color w:val="auto"/>
              </w:rPr>
              <w:t>储油设备应远离明火，严禁把其他容易引起燃烧、爆炸的物品以及相应的禁忌物带入库区内。</w:t>
            </w:r>
          </w:p>
          <w:p w14:paraId="44A953AE">
            <w:pPr>
              <w:ind w:firstLine="480"/>
              <w:rPr>
                <w:color w:val="auto"/>
              </w:rPr>
            </w:pPr>
            <w:r>
              <w:rPr>
                <w:rFonts w:hint="eastAsia" w:ascii="宋体" w:hAnsi="宋体" w:cs="宋体"/>
                <w:color w:val="auto"/>
                <w:lang w:eastAsia="ja-JP"/>
              </w:rPr>
              <w:t>④</w:t>
            </w:r>
            <w:r>
              <w:rPr>
                <w:color w:val="auto"/>
              </w:rPr>
              <w:t>健全、完善消防设施，配齐干粉灭火器，并培训员工熟练使用</w:t>
            </w:r>
          </w:p>
          <w:p w14:paraId="1057D031">
            <w:pPr>
              <w:ind w:firstLine="361" w:firstLineChars="150"/>
              <w:rPr>
                <w:b/>
                <w:bCs/>
                <w:color w:val="auto"/>
              </w:rPr>
            </w:pPr>
            <w:r>
              <w:rPr>
                <w:b/>
                <w:bCs/>
                <w:color w:val="auto"/>
              </w:rPr>
              <w:t>4.</w:t>
            </w:r>
            <w:r>
              <w:rPr>
                <w:rFonts w:hint="eastAsia"/>
                <w:b/>
                <w:bCs/>
                <w:color w:val="auto"/>
                <w:lang w:val="en-US" w:eastAsia="zh-CN"/>
              </w:rPr>
              <w:t>9</w:t>
            </w:r>
            <w:r>
              <w:rPr>
                <w:b/>
                <w:bCs/>
                <w:color w:val="auto"/>
              </w:rPr>
              <w:t>.5风险事故应急预案</w:t>
            </w:r>
          </w:p>
          <w:p w14:paraId="3AFB07D7">
            <w:pPr>
              <w:ind w:firstLine="480"/>
              <w:rPr>
                <w:color w:val="auto"/>
              </w:rPr>
            </w:pPr>
            <w:r>
              <w:rPr>
                <w:color w:val="auto"/>
              </w:rPr>
              <w:t>无论预防工作如何周密，风险事故总是难以根本杜绝，制定风险事故应急预案的目的是迅速而有效地将事故损失减至最小，制定应急预案原则如下：</w:t>
            </w:r>
          </w:p>
          <w:p w14:paraId="2B1A9976">
            <w:pPr>
              <w:ind w:firstLine="480"/>
              <w:rPr>
                <w:color w:val="auto"/>
              </w:rPr>
            </w:pPr>
            <w:r>
              <w:rPr>
                <w:rFonts w:hint="eastAsia" w:ascii="宋体" w:hAnsi="宋体" w:cs="宋体"/>
                <w:color w:val="auto"/>
              </w:rPr>
              <w:t>①</w:t>
            </w:r>
            <w:r>
              <w:rPr>
                <w:color w:val="auto"/>
              </w:rPr>
              <w:t>确定救援组织、队伍和联络方式。</w:t>
            </w:r>
          </w:p>
          <w:p w14:paraId="41F45690">
            <w:pPr>
              <w:ind w:firstLine="480"/>
              <w:rPr>
                <w:color w:val="auto"/>
              </w:rPr>
            </w:pPr>
            <w:r>
              <w:rPr>
                <w:rFonts w:hint="eastAsia" w:ascii="宋体" w:hAnsi="宋体" w:cs="宋体"/>
                <w:color w:val="auto"/>
              </w:rPr>
              <w:t>②</w:t>
            </w:r>
            <w:r>
              <w:rPr>
                <w:color w:val="auto"/>
              </w:rPr>
              <w:t>制定事故类型、队伍和联络方式。</w:t>
            </w:r>
          </w:p>
          <w:p w14:paraId="6B954BAF">
            <w:pPr>
              <w:ind w:firstLine="480"/>
              <w:rPr>
                <w:color w:val="auto"/>
              </w:rPr>
            </w:pPr>
            <w:r>
              <w:rPr>
                <w:rFonts w:hint="eastAsia" w:ascii="宋体" w:hAnsi="宋体" w:cs="宋体"/>
                <w:color w:val="auto"/>
              </w:rPr>
              <w:t>③</w:t>
            </w:r>
            <w:r>
              <w:rPr>
                <w:color w:val="auto"/>
              </w:rPr>
              <w:t>配备必要的救灾器具及防护用品。</w:t>
            </w:r>
          </w:p>
          <w:p w14:paraId="0B97A7ED">
            <w:pPr>
              <w:ind w:firstLine="480"/>
              <w:rPr>
                <w:color w:val="auto"/>
              </w:rPr>
            </w:pPr>
            <w:r>
              <w:rPr>
                <w:rFonts w:hint="eastAsia" w:ascii="宋体" w:hAnsi="宋体" w:cs="宋体"/>
                <w:color w:val="auto"/>
              </w:rPr>
              <w:t>④</w:t>
            </w:r>
            <w:r>
              <w:rPr>
                <w:color w:val="auto"/>
              </w:rPr>
              <w:t>岗位培训和演习，设置事故应急学习手册及报告、记录和评估。</w:t>
            </w:r>
          </w:p>
          <w:p w14:paraId="3F0FB07D">
            <w:pPr>
              <w:ind w:firstLine="480"/>
              <w:rPr>
                <w:color w:val="auto"/>
              </w:rPr>
            </w:pPr>
            <w:r>
              <w:rPr>
                <w:rFonts w:hint="eastAsia" w:ascii="宋体" w:hAnsi="宋体" w:cs="宋体"/>
                <w:color w:val="auto"/>
              </w:rPr>
              <w:t>⑤</w:t>
            </w:r>
            <w:r>
              <w:rPr>
                <w:color w:val="auto"/>
              </w:rPr>
              <w:t>制定区域防灾救援方案，与当地政府、消防、环保和医疗救助等部门加强联系，以便风险事故发生时得到及时救援。</w:t>
            </w:r>
          </w:p>
          <w:p w14:paraId="735A9F4A">
            <w:pPr>
              <w:ind w:firstLine="480"/>
              <w:rPr>
                <w:color w:val="auto"/>
              </w:rPr>
            </w:pPr>
            <w:r>
              <w:rPr>
                <w:rFonts w:hint="eastAsia" w:ascii="宋体" w:hAnsi="宋体" w:cs="宋体"/>
                <w:color w:val="auto"/>
              </w:rPr>
              <w:t>⑥</w:t>
            </w:r>
            <w:r>
              <w:rPr>
                <w:color w:val="auto"/>
              </w:rPr>
              <w:t>预留风险事故基金，以备风险事故发生后财产人员损失伤害的补偿。</w:t>
            </w:r>
          </w:p>
          <w:p w14:paraId="557E5BB9">
            <w:pPr>
              <w:ind w:firstLine="482"/>
              <w:rPr>
                <w:b/>
                <w:bCs/>
                <w:color w:val="auto"/>
              </w:rPr>
            </w:pPr>
            <w:r>
              <w:rPr>
                <w:b/>
                <w:bCs/>
                <w:color w:val="auto"/>
              </w:rPr>
              <w:t>4.</w:t>
            </w:r>
            <w:r>
              <w:rPr>
                <w:rFonts w:hint="eastAsia"/>
                <w:b/>
                <w:bCs/>
                <w:color w:val="auto"/>
              </w:rPr>
              <w:t>9</w:t>
            </w:r>
            <w:r>
              <w:rPr>
                <w:b/>
                <w:bCs/>
                <w:color w:val="auto"/>
              </w:rPr>
              <w:t>.6环境风险分析结论</w:t>
            </w:r>
          </w:p>
          <w:p w14:paraId="1AB82D2F">
            <w:pPr>
              <w:ind w:firstLine="480"/>
              <w:rPr>
                <w:color w:val="auto"/>
              </w:rPr>
            </w:pPr>
            <w:r>
              <w:rPr>
                <w:color w:val="auto"/>
              </w:rPr>
              <w:t>本项目的环境风险物质主要是废机油，暂存量较小，不构成重大危险源；可能产生风险事故有废机油泄漏、但风险发生概率较低，项目严格按照国家有关规定加强生产管理，加强维护，发生事故可能性较小。为降低风险损失，建设单位必须加强现场管理，落实责任人切实做好风险管理和防范工作，杜绝一切人为风险事故的发生。</w:t>
            </w:r>
          </w:p>
          <w:p w14:paraId="4ED2F868">
            <w:pPr>
              <w:ind w:firstLine="0" w:firstLineChars="0"/>
              <w:rPr>
                <w:b/>
                <w:bCs/>
                <w:color w:val="auto"/>
              </w:rPr>
            </w:pPr>
            <w:r>
              <w:rPr>
                <w:b/>
                <w:bCs/>
                <w:color w:val="auto"/>
              </w:rPr>
              <w:t>4.</w:t>
            </w:r>
            <w:r>
              <w:rPr>
                <w:rFonts w:hint="eastAsia"/>
                <w:b/>
                <w:bCs/>
                <w:color w:val="auto"/>
              </w:rPr>
              <w:t>7</w:t>
            </w:r>
            <w:r>
              <w:rPr>
                <w:b/>
                <w:bCs/>
                <w:color w:val="auto"/>
              </w:rPr>
              <w:t>环境管理及“三同时”制度</w:t>
            </w:r>
          </w:p>
          <w:p w14:paraId="50A1F6E2">
            <w:pPr>
              <w:ind w:firstLine="482"/>
              <w:rPr>
                <w:b/>
                <w:bCs/>
                <w:color w:val="auto"/>
              </w:rPr>
            </w:pPr>
            <w:r>
              <w:rPr>
                <w:b/>
                <w:bCs/>
                <w:color w:val="auto"/>
              </w:rPr>
              <w:t>4.</w:t>
            </w:r>
            <w:r>
              <w:rPr>
                <w:rFonts w:hint="eastAsia"/>
                <w:b/>
                <w:bCs/>
                <w:color w:val="auto"/>
              </w:rPr>
              <w:t>7</w:t>
            </w:r>
            <w:r>
              <w:rPr>
                <w:b/>
                <w:bCs/>
                <w:color w:val="auto"/>
              </w:rPr>
              <w:t>.1环境管理</w:t>
            </w:r>
          </w:p>
          <w:p w14:paraId="423178D7">
            <w:pPr>
              <w:ind w:firstLine="480"/>
              <w:rPr>
                <w:color w:val="auto"/>
              </w:rPr>
            </w:pPr>
            <w:r>
              <w:rPr>
                <w:color w:val="auto"/>
              </w:rPr>
              <w:t>1、环境管理机构的职责</w:t>
            </w:r>
          </w:p>
          <w:p w14:paraId="542F8112">
            <w:pPr>
              <w:ind w:firstLine="480"/>
              <w:rPr>
                <w:color w:val="auto"/>
              </w:rPr>
            </w:pPr>
            <w:r>
              <w:rPr>
                <w:color w:val="auto"/>
              </w:rPr>
              <w:t>有效保护环境，项目区应设立专人负责的环境保护管理机构，该机构的职责是：</w:t>
            </w:r>
          </w:p>
          <w:p w14:paraId="5B481F78">
            <w:pPr>
              <w:ind w:firstLine="480"/>
              <w:rPr>
                <w:color w:val="auto"/>
              </w:rPr>
            </w:pPr>
            <w:r>
              <w:rPr>
                <w:rFonts w:hint="eastAsia" w:ascii="宋体" w:hAnsi="宋体" w:cs="宋体"/>
                <w:color w:val="auto"/>
              </w:rPr>
              <w:t>①</w:t>
            </w:r>
            <w:r>
              <w:rPr>
                <w:color w:val="auto"/>
              </w:rPr>
              <w:t>建立健全环境保护工作规章制度，明确环保责任制及其奖惩办法；确定项目区的环境目标管理，对项目区各操作岗位进行监督与考核。</w:t>
            </w:r>
          </w:p>
          <w:p w14:paraId="1A0A967A">
            <w:pPr>
              <w:ind w:firstLine="480"/>
              <w:rPr>
                <w:color w:val="auto"/>
              </w:rPr>
            </w:pPr>
            <w:r>
              <w:rPr>
                <w:rFonts w:hint="eastAsia" w:ascii="宋体" w:hAnsi="宋体" w:cs="宋体"/>
                <w:color w:val="auto"/>
              </w:rPr>
              <w:t>②</w:t>
            </w:r>
            <w:r>
              <w:rPr>
                <w:color w:val="auto"/>
              </w:rPr>
              <w:t>在项目运营期间搞好环保设施的“三同时”工作；建立环保档案，包括环评报告、环保工程验收报告、污染源监测报告、环保设备及运行记录、危险固体废物的转移记录，以及</w:t>
            </w:r>
            <w:r>
              <w:rPr>
                <w:rFonts w:hint="eastAsia"/>
                <w:color w:val="auto"/>
                <w:lang w:eastAsia="zh-CN"/>
              </w:rPr>
              <w:t>其他环境</w:t>
            </w:r>
            <w:r>
              <w:rPr>
                <w:color w:val="auto"/>
              </w:rPr>
              <w:t>统计资料。定期编制环境保护报表和年度环境保护工作报告，提交给上级和当地环境主管部门。</w:t>
            </w:r>
          </w:p>
          <w:p w14:paraId="7BAB220F">
            <w:pPr>
              <w:ind w:firstLine="480"/>
              <w:rPr>
                <w:color w:val="auto"/>
              </w:rPr>
            </w:pPr>
            <w:r>
              <w:rPr>
                <w:rFonts w:hint="eastAsia" w:ascii="宋体" w:hAnsi="宋体" w:cs="宋体"/>
                <w:color w:val="auto"/>
              </w:rPr>
              <w:t>③</w:t>
            </w:r>
            <w:r>
              <w:rPr>
                <w:color w:val="auto"/>
              </w:rPr>
              <w:t>为了提高环保工作的质量，要加强环境管理人员、环境监测人员以及兼职环保员工的业务培训，并有一定的经费来保证培训的实施；组织职工的环保考核，搞好环境宣传。</w:t>
            </w:r>
          </w:p>
          <w:p w14:paraId="1EA276A6">
            <w:pPr>
              <w:ind w:firstLine="480"/>
              <w:rPr>
                <w:color w:val="auto"/>
              </w:rPr>
            </w:pPr>
            <w:r>
              <w:rPr>
                <w:rFonts w:hint="eastAsia" w:ascii="宋体" w:hAnsi="宋体" w:cs="宋体"/>
                <w:color w:val="auto"/>
              </w:rPr>
              <w:t>④</w:t>
            </w:r>
            <w:r>
              <w:rPr>
                <w:color w:val="auto"/>
              </w:rPr>
              <w:t>搞好环保设施与生产主体设备的协调管理，使污染防治设施的配备与生产主体设备相适应，并与主体设备同时运行及检修，污染防治设施出现故障时，环境管理机构应立即与生产部门共同采取措施，严防污染扩大；负责污染事故的处理。</w:t>
            </w:r>
          </w:p>
          <w:p w14:paraId="602E3D79">
            <w:pPr>
              <w:ind w:firstLine="480"/>
              <w:rPr>
                <w:color w:val="auto"/>
              </w:rPr>
            </w:pPr>
            <w:r>
              <w:rPr>
                <w:rFonts w:hint="eastAsia" w:ascii="宋体" w:hAnsi="宋体" w:cs="宋体"/>
                <w:color w:val="auto"/>
              </w:rPr>
              <w:t>⑤</w:t>
            </w:r>
            <w:r>
              <w:rPr>
                <w:color w:val="auto"/>
              </w:rPr>
              <w:t>配合搞好危险固体废物监督。</w:t>
            </w:r>
          </w:p>
          <w:p w14:paraId="0F796A77">
            <w:pPr>
              <w:ind w:firstLine="480"/>
              <w:rPr>
                <w:color w:val="auto"/>
              </w:rPr>
            </w:pPr>
            <w:r>
              <w:rPr>
                <w:rFonts w:hint="eastAsia" w:ascii="宋体" w:hAnsi="宋体" w:cs="宋体"/>
                <w:color w:val="auto"/>
              </w:rPr>
              <w:t>⑥</w:t>
            </w:r>
            <w:r>
              <w:rPr>
                <w:color w:val="auto"/>
              </w:rPr>
              <w:t>负责日常环境管理工作，定期检查监督环保法规执行情况，及时和有关部门联系落实各方面的环保措施，使之正常运行。</w:t>
            </w:r>
          </w:p>
          <w:p w14:paraId="40435046">
            <w:pPr>
              <w:ind w:firstLine="480"/>
              <w:rPr>
                <w:color w:val="auto"/>
              </w:rPr>
            </w:pPr>
            <w:r>
              <w:rPr>
                <w:rFonts w:hint="eastAsia" w:ascii="宋体" w:hAnsi="宋体" w:cs="宋体"/>
                <w:color w:val="auto"/>
              </w:rPr>
              <w:t>⑦</w:t>
            </w:r>
            <w:r>
              <w:rPr>
                <w:color w:val="auto"/>
              </w:rPr>
              <w:t>更新突发性事故的应急处理方案并参与突发性事故的应急处理工作。</w:t>
            </w:r>
          </w:p>
          <w:p w14:paraId="03E7C338">
            <w:pPr>
              <w:ind w:firstLine="480"/>
              <w:rPr>
                <w:color w:val="auto"/>
              </w:rPr>
            </w:pPr>
            <w:r>
              <w:rPr>
                <w:color w:val="auto"/>
              </w:rPr>
              <w:t>2、环境管理计划</w:t>
            </w:r>
          </w:p>
          <w:p w14:paraId="3F2CC18C">
            <w:pPr>
              <w:widowControl/>
              <w:ind w:firstLine="480"/>
              <w:rPr>
                <w:color w:val="auto"/>
                <w:kern w:val="0"/>
              </w:rPr>
            </w:pPr>
            <w:r>
              <w:rPr>
                <w:color w:val="auto"/>
                <w:kern w:val="0"/>
              </w:rPr>
              <w:t>为减轻项目对环境的影响，切实落实本报告中提出的环境保护措施，在项目运作的各个阶段，建设单位应执行相应的环境管理计划：</w:t>
            </w:r>
          </w:p>
          <w:p w14:paraId="25A93734">
            <w:pPr>
              <w:widowControl/>
              <w:ind w:firstLine="480"/>
              <w:rPr>
                <w:color w:val="auto"/>
                <w:kern w:val="0"/>
              </w:rPr>
            </w:pPr>
            <w:r>
              <w:rPr>
                <w:rFonts w:hint="eastAsia" w:ascii="宋体" w:hAnsi="宋体" w:cs="宋体"/>
                <w:color w:val="auto"/>
                <w:kern w:val="0"/>
              </w:rPr>
              <w:t>①</w:t>
            </w:r>
            <w:r>
              <w:rPr>
                <w:color w:val="auto"/>
                <w:kern w:val="0"/>
              </w:rPr>
              <w:t>建设前期及施工期</w:t>
            </w:r>
          </w:p>
          <w:p w14:paraId="4E5EDD74">
            <w:pPr>
              <w:widowControl/>
              <w:ind w:firstLine="480"/>
              <w:rPr>
                <w:color w:val="auto"/>
                <w:kern w:val="0"/>
              </w:rPr>
            </w:pPr>
            <w:r>
              <w:rPr>
                <w:color w:val="auto"/>
                <w:kern w:val="0"/>
              </w:rPr>
              <w:t>按照国务院682号令《建设项目环境保护管理条例》的规定，完成项目环保有关报批手续。在工程设计阶段，建设单位应对环保措施的工程设计方案负责审查，建设单位、设计单位及地方主管部门根据环境影响报告表及其审批意见在设计中落实各项环保措施及概算。在工程发包工作中，建设单位应将环保工程放在与主体工程同等重要地位，优先选择环保意识强、环保工程业绩好、能力强的施工单位和队伍，施工合同中应有环境保护要求的内容与条款。</w:t>
            </w:r>
          </w:p>
          <w:p w14:paraId="04DF4CDF">
            <w:pPr>
              <w:widowControl/>
              <w:ind w:firstLine="480"/>
              <w:rPr>
                <w:color w:val="auto"/>
                <w:kern w:val="0"/>
              </w:rPr>
            </w:pPr>
            <w:r>
              <w:rPr>
                <w:color w:val="auto"/>
                <w:kern w:val="0"/>
              </w:rPr>
              <w:t>施工期阶段，建设单位主管环保工作的人员在施工中要把握全局，及时掌握工程施工环保动态，定期检查和总结工程环保措施实施情况，确保环保工程进度要求。建设单位要协调设计单位与施工单位的关系，消除可能存在的环保遗漏和缺口，出现重大环保问题或环境纠纷时，积极组织力量解决。</w:t>
            </w:r>
          </w:p>
          <w:p w14:paraId="4472E1CA">
            <w:pPr>
              <w:widowControl/>
              <w:ind w:firstLine="480"/>
              <w:rPr>
                <w:color w:val="auto"/>
                <w:kern w:val="0"/>
              </w:rPr>
            </w:pPr>
            <w:r>
              <w:rPr>
                <w:rFonts w:hint="eastAsia" w:ascii="宋体" w:hAnsi="宋体" w:cs="宋体"/>
                <w:color w:val="auto"/>
                <w:kern w:val="0"/>
              </w:rPr>
              <w:t>②</w:t>
            </w:r>
            <w:r>
              <w:rPr>
                <w:color w:val="auto"/>
                <w:kern w:val="0"/>
              </w:rPr>
              <w:t>运营期</w:t>
            </w:r>
          </w:p>
          <w:p w14:paraId="519B37BC">
            <w:pPr>
              <w:widowControl/>
              <w:ind w:firstLine="480"/>
              <w:rPr>
                <w:color w:val="auto"/>
                <w:kern w:val="0"/>
              </w:rPr>
            </w:pPr>
            <w:r>
              <w:rPr>
                <w:color w:val="auto"/>
                <w:kern w:val="0"/>
              </w:rPr>
              <w:t>本项目运营过程中会产生一定的废水、废气、噪声、固体废弃物，建设单位应做好相应的环境保护和环境安全管理工作，尽量减少或避免不必要的损失。因此，建设方应设立专职环境保护机构，配置专业人员，并建立相应的工作制度，创造必要的工作条件。</w:t>
            </w:r>
          </w:p>
          <w:p w14:paraId="62ADF652">
            <w:pPr>
              <w:pStyle w:val="18"/>
              <w:ind w:firstLine="210"/>
              <w:rPr>
                <w:rFonts w:hint="eastAsia"/>
                <w:color w:val="auto"/>
              </w:rPr>
            </w:pPr>
          </w:p>
          <w:p w14:paraId="28F8B4F3">
            <w:pPr>
              <w:pStyle w:val="18"/>
              <w:ind w:firstLine="210"/>
              <w:rPr>
                <w:rFonts w:hint="eastAsia"/>
                <w:color w:val="auto"/>
              </w:rPr>
            </w:pPr>
          </w:p>
          <w:p w14:paraId="4DF5D0E0">
            <w:pPr>
              <w:pStyle w:val="18"/>
              <w:ind w:firstLine="210"/>
              <w:rPr>
                <w:rFonts w:hint="eastAsia"/>
                <w:color w:val="auto"/>
              </w:rPr>
            </w:pPr>
          </w:p>
          <w:p w14:paraId="76B60682">
            <w:pPr>
              <w:pStyle w:val="18"/>
              <w:ind w:firstLine="210"/>
              <w:rPr>
                <w:rFonts w:hint="eastAsia"/>
                <w:color w:val="auto"/>
              </w:rPr>
            </w:pPr>
          </w:p>
          <w:p w14:paraId="0994217F">
            <w:pPr>
              <w:pStyle w:val="18"/>
              <w:ind w:firstLine="210"/>
              <w:rPr>
                <w:rFonts w:hint="eastAsia"/>
                <w:color w:val="auto"/>
              </w:rPr>
            </w:pPr>
          </w:p>
          <w:p w14:paraId="5843B720">
            <w:pPr>
              <w:pStyle w:val="18"/>
              <w:ind w:firstLine="210"/>
              <w:rPr>
                <w:rFonts w:hint="eastAsia"/>
                <w:color w:val="auto"/>
              </w:rPr>
            </w:pPr>
          </w:p>
          <w:p w14:paraId="5A00FAB7">
            <w:pPr>
              <w:pStyle w:val="18"/>
              <w:ind w:firstLine="210"/>
              <w:rPr>
                <w:rFonts w:hint="eastAsia"/>
                <w:color w:val="auto"/>
              </w:rPr>
            </w:pPr>
          </w:p>
          <w:p w14:paraId="202278DD">
            <w:pPr>
              <w:pStyle w:val="18"/>
              <w:ind w:firstLine="210"/>
              <w:rPr>
                <w:rFonts w:hint="eastAsia"/>
                <w:color w:val="auto"/>
              </w:rPr>
            </w:pPr>
          </w:p>
          <w:p w14:paraId="3FFD8929">
            <w:pPr>
              <w:pStyle w:val="18"/>
              <w:ind w:firstLine="210"/>
              <w:rPr>
                <w:rFonts w:hint="eastAsia"/>
                <w:color w:val="auto"/>
              </w:rPr>
            </w:pPr>
          </w:p>
          <w:p w14:paraId="7A4C5160">
            <w:pPr>
              <w:pStyle w:val="18"/>
              <w:ind w:firstLine="210"/>
              <w:rPr>
                <w:rFonts w:hint="eastAsia"/>
                <w:color w:val="auto"/>
              </w:rPr>
            </w:pPr>
          </w:p>
          <w:p w14:paraId="03206EC3">
            <w:pPr>
              <w:pStyle w:val="18"/>
              <w:ind w:firstLine="210"/>
              <w:rPr>
                <w:rFonts w:hint="eastAsia"/>
                <w:color w:val="auto"/>
              </w:rPr>
            </w:pPr>
          </w:p>
          <w:p w14:paraId="48EB2378">
            <w:pPr>
              <w:pStyle w:val="18"/>
              <w:ind w:firstLine="210"/>
              <w:rPr>
                <w:rFonts w:hint="eastAsia"/>
                <w:color w:val="auto"/>
              </w:rPr>
            </w:pPr>
          </w:p>
          <w:p w14:paraId="1AB29E13">
            <w:pPr>
              <w:pStyle w:val="18"/>
              <w:ind w:firstLine="210"/>
              <w:rPr>
                <w:rFonts w:hint="eastAsia"/>
                <w:color w:val="auto"/>
              </w:rPr>
            </w:pPr>
          </w:p>
          <w:p w14:paraId="6FA67D6B">
            <w:pPr>
              <w:pStyle w:val="18"/>
              <w:ind w:firstLine="210"/>
              <w:rPr>
                <w:rFonts w:hint="eastAsia"/>
                <w:color w:val="auto"/>
              </w:rPr>
            </w:pPr>
          </w:p>
          <w:p w14:paraId="4412AD9B">
            <w:pPr>
              <w:pStyle w:val="18"/>
              <w:ind w:firstLine="210"/>
              <w:rPr>
                <w:rFonts w:hint="eastAsia"/>
                <w:color w:val="auto"/>
              </w:rPr>
            </w:pPr>
          </w:p>
          <w:p w14:paraId="5622D575">
            <w:pPr>
              <w:pStyle w:val="18"/>
              <w:ind w:firstLine="210"/>
              <w:rPr>
                <w:rFonts w:hint="eastAsia"/>
                <w:color w:val="auto"/>
              </w:rPr>
            </w:pPr>
          </w:p>
          <w:p w14:paraId="170CD5E4">
            <w:pPr>
              <w:pStyle w:val="18"/>
              <w:ind w:firstLine="210"/>
              <w:rPr>
                <w:rFonts w:hint="eastAsia"/>
                <w:color w:val="auto"/>
              </w:rPr>
            </w:pPr>
          </w:p>
          <w:p w14:paraId="2CA4A4DF">
            <w:pPr>
              <w:pStyle w:val="18"/>
              <w:ind w:firstLine="210"/>
              <w:rPr>
                <w:rFonts w:hint="eastAsia"/>
                <w:color w:val="auto"/>
              </w:rPr>
            </w:pPr>
          </w:p>
          <w:p w14:paraId="77E30658">
            <w:pPr>
              <w:pStyle w:val="18"/>
              <w:ind w:firstLine="210"/>
              <w:rPr>
                <w:rFonts w:hint="eastAsia"/>
                <w:color w:val="auto"/>
              </w:rPr>
            </w:pPr>
          </w:p>
          <w:p w14:paraId="71C813F5">
            <w:pPr>
              <w:pStyle w:val="18"/>
              <w:ind w:firstLine="210"/>
              <w:rPr>
                <w:rFonts w:hint="eastAsia"/>
                <w:color w:val="auto"/>
              </w:rPr>
            </w:pPr>
          </w:p>
          <w:p w14:paraId="6ECAD201">
            <w:pPr>
              <w:pStyle w:val="18"/>
              <w:ind w:firstLine="210"/>
              <w:rPr>
                <w:rFonts w:hint="eastAsia"/>
                <w:color w:val="auto"/>
              </w:rPr>
            </w:pPr>
          </w:p>
          <w:p w14:paraId="4B90A29B">
            <w:pPr>
              <w:pStyle w:val="18"/>
              <w:ind w:firstLine="210"/>
              <w:rPr>
                <w:rFonts w:hint="eastAsia"/>
                <w:color w:val="auto"/>
              </w:rPr>
            </w:pPr>
          </w:p>
          <w:p w14:paraId="25688CF0">
            <w:pPr>
              <w:pStyle w:val="18"/>
              <w:ind w:firstLine="210"/>
              <w:rPr>
                <w:rFonts w:hint="eastAsia"/>
                <w:color w:val="auto"/>
              </w:rPr>
            </w:pPr>
          </w:p>
          <w:p w14:paraId="4AF4E23B">
            <w:pPr>
              <w:pStyle w:val="18"/>
              <w:ind w:firstLine="210"/>
              <w:rPr>
                <w:rFonts w:hint="eastAsia"/>
                <w:color w:val="auto"/>
              </w:rPr>
            </w:pPr>
          </w:p>
          <w:p w14:paraId="3F8629FE">
            <w:pPr>
              <w:pStyle w:val="18"/>
              <w:ind w:firstLine="210"/>
              <w:rPr>
                <w:rFonts w:hint="eastAsia"/>
                <w:color w:val="auto"/>
              </w:rPr>
            </w:pPr>
          </w:p>
          <w:p w14:paraId="4C2F6668">
            <w:pPr>
              <w:pStyle w:val="18"/>
              <w:ind w:firstLine="210"/>
              <w:rPr>
                <w:rFonts w:hint="eastAsia"/>
                <w:color w:val="auto"/>
              </w:rPr>
            </w:pPr>
          </w:p>
          <w:p w14:paraId="42A798D1">
            <w:pPr>
              <w:pStyle w:val="18"/>
              <w:ind w:firstLine="210"/>
              <w:rPr>
                <w:rFonts w:hint="eastAsia"/>
                <w:color w:val="auto"/>
              </w:rPr>
            </w:pPr>
          </w:p>
          <w:p w14:paraId="194F9E0F">
            <w:pPr>
              <w:pStyle w:val="18"/>
              <w:ind w:firstLine="210"/>
              <w:rPr>
                <w:rFonts w:hint="eastAsia"/>
                <w:color w:val="auto"/>
              </w:rPr>
            </w:pPr>
          </w:p>
          <w:p w14:paraId="25FD4FAC">
            <w:pPr>
              <w:pStyle w:val="18"/>
              <w:ind w:firstLine="210"/>
              <w:rPr>
                <w:rFonts w:hint="eastAsia"/>
                <w:color w:val="auto"/>
              </w:rPr>
            </w:pPr>
          </w:p>
          <w:p w14:paraId="36484C8F">
            <w:pPr>
              <w:pStyle w:val="18"/>
              <w:ind w:firstLine="210"/>
              <w:rPr>
                <w:rFonts w:hint="eastAsia"/>
                <w:color w:val="auto"/>
              </w:rPr>
            </w:pPr>
          </w:p>
          <w:p w14:paraId="0A309554">
            <w:pPr>
              <w:pStyle w:val="18"/>
              <w:ind w:firstLine="210"/>
              <w:rPr>
                <w:rFonts w:hint="eastAsia"/>
                <w:color w:val="auto"/>
              </w:rPr>
            </w:pPr>
          </w:p>
          <w:p w14:paraId="2680F95E">
            <w:pPr>
              <w:pStyle w:val="18"/>
              <w:ind w:firstLine="210"/>
              <w:rPr>
                <w:rFonts w:hint="eastAsia"/>
                <w:color w:val="auto"/>
              </w:rPr>
            </w:pPr>
          </w:p>
          <w:p w14:paraId="13398F5C">
            <w:pPr>
              <w:pStyle w:val="18"/>
              <w:ind w:firstLine="210"/>
              <w:rPr>
                <w:rFonts w:hint="eastAsia"/>
                <w:color w:val="auto"/>
              </w:rPr>
            </w:pPr>
          </w:p>
          <w:p w14:paraId="3F57BE4C">
            <w:pPr>
              <w:pStyle w:val="18"/>
              <w:ind w:left="0" w:leftChars="0" w:firstLine="0" w:firstLineChars="0"/>
              <w:rPr>
                <w:rFonts w:hint="eastAsia"/>
                <w:color w:val="auto"/>
              </w:rPr>
            </w:pPr>
          </w:p>
        </w:tc>
      </w:tr>
    </w:tbl>
    <w:p w14:paraId="734769A2">
      <w:pPr>
        <w:adjustRightInd w:val="0"/>
        <w:snapToGrid w:val="0"/>
        <w:ind w:firstLine="562"/>
        <w:rPr>
          <w:rFonts w:hint="eastAsia" w:ascii="宋体" w:cs="宋体"/>
          <w:b/>
          <w:color w:val="auto"/>
          <w:kern w:val="0"/>
          <w:sz w:val="28"/>
          <w:szCs w:val="28"/>
        </w:rPr>
        <w:sectPr>
          <w:pgSz w:w="11907" w:h="16840"/>
          <w:pgMar w:top="1417" w:right="1417" w:bottom="1417" w:left="1417" w:header="851" w:footer="851" w:gutter="0"/>
          <w:pgNumType w:fmt="decimal"/>
          <w:cols w:space="720" w:num="1"/>
          <w:docGrid w:linePitch="312" w:charSpace="0"/>
        </w:sectPr>
      </w:pPr>
    </w:p>
    <w:p w14:paraId="6CD3BF45">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outlineLvl w:val="0"/>
        <w:rPr>
          <w:rFonts w:hint="eastAsia" w:ascii="宋体" w:hAnsi="宋体" w:eastAsia="宋体" w:cs="宋体"/>
          <w:b/>
          <w:bCs/>
          <w:snapToGrid w:val="0"/>
          <w:color w:val="auto"/>
          <w:sz w:val="30"/>
          <w:szCs w:val="30"/>
        </w:rPr>
      </w:pPr>
      <w:bookmarkStart w:id="19" w:name="_Toc150763278"/>
      <w:r>
        <w:rPr>
          <w:rFonts w:hint="eastAsia" w:ascii="宋体" w:hAnsi="宋体" w:eastAsia="宋体" w:cs="宋体"/>
          <w:b/>
          <w:bCs/>
          <w:snapToGrid w:val="0"/>
          <w:color w:val="auto"/>
          <w:sz w:val="30"/>
          <w:szCs w:val="30"/>
        </w:rPr>
        <w:t>五、</w:t>
      </w:r>
      <w:bookmarkStart w:id="20" w:name="_Hlk54167917"/>
      <w:r>
        <w:rPr>
          <w:rFonts w:hint="eastAsia" w:ascii="宋体" w:hAnsi="宋体" w:eastAsia="宋体" w:cs="宋体"/>
          <w:b/>
          <w:bCs/>
          <w:snapToGrid w:val="0"/>
          <w:color w:val="auto"/>
          <w:sz w:val="30"/>
          <w:szCs w:val="30"/>
        </w:rPr>
        <w:t>环境保护措施监督检查清单</w:t>
      </w:r>
      <w:bookmarkEnd w:id="19"/>
      <w:bookmarkEnd w:id="20"/>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58"/>
        <w:gridCol w:w="580"/>
        <w:gridCol w:w="1576"/>
        <w:gridCol w:w="2367"/>
        <w:gridCol w:w="5505"/>
        <w:gridCol w:w="3636"/>
      </w:tblGrid>
      <w:tr w14:paraId="569F0F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00" w:type="pct"/>
            <w:gridSpan w:val="2"/>
            <w:tcBorders>
              <w:top w:val="single" w:color="auto" w:sz="4" w:space="0"/>
              <w:left w:val="single" w:color="auto" w:sz="4" w:space="0"/>
              <w:bottom w:val="single" w:color="auto" w:sz="4" w:space="0"/>
              <w:tl2br w:val="single" w:color="auto" w:sz="4" w:space="0"/>
            </w:tcBorders>
            <w:noWrap w:val="0"/>
            <w:vAlign w:val="top"/>
          </w:tcPr>
          <w:p w14:paraId="7B60D006">
            <w:pPr>
              <w:pStyle w:val="28"/>
              <w:rPr>
                <w:b/>
                <w:bCs/>
                <w:color w:val="auto"/>
              </w:rPr>
            </w:pPr>
            <w:r>
              <w:rPr>
                <w:rFonts w:hint="eastAsia"/>
                <w:b/>
                <w:bCs/>
                <w:color w:val="auto"/>
              </w:rPr>
              <w:t xml:space="preserve"> </w:t>
            </w:r>
            <w:r>
              <w:rPr>
                <w:b/>
                <w:bCs/>
                <w:color w:val="auto"/>
              </w:rPr>
              <w:t xml:space="preserve">       内容</w:t>
            </w:r>
          </w:p>
          <w:p w14:paraId="00F5FF1F">
            <w:pPr>
              <w:pStyle w:val="28"/>
              <w:rPr>
                <w:b/>
                <w:bCs/>
                <w:color w:val="auto"/>
              </w:rPr>
            </w:pPr>
            <w:r>
              <w:rPr>
                <w:b/>
                <w:bCs/>
                <w:color w:val="auto"/>
              </w:rPr>
              <w:t>要素</w:t>
            </w:r>
          </w:p>
        </w:tc>
        <w:tc>
          <w:tcPr>
            <w:tcW w:w="554" w:type="pct"/>
            <w:tcBorders>
              <w:top w:val="single" w:color="auto" w:sz="4" w:space="0"/>
              <w:bottom w:val="single" w:color="auto" w:sz="4" w:space="0"/>
            </w:tcBorders>
            <w:noWrap w:val="0"/>
            <w:vAlign w:val="center"/>
          </w:tcPr>
          <w:p w14:paraId="2F43AA67">
            <w:pPr>
              <w:pStyle w:val="28"/>
              <w:rPr>
                <w:b/>
                <w:bCs/>
                <w:color w:val="auto"/>
              </w:rPr>
            </w:pPr>
            <w:r>
              <w:rPr>
                <w:b/>
                <w:bCs/>
                <w:color w:val="auto"/>
              </w:rPr>
              <w:t>排放口</w:t>
            </w:r>
            <w:r>
              <w:rPr>
                <w:rFonts w:hint="eastAsia"/>
                <w:b/>
                <w:bCs/>
                <w:color w:val="auto"/>
                <w:lang w:eastAsia="zh-CN"/>
              </w:rPr>
              <w:t>（</w:t>
            </w:r>
            <w:r>
              <w:rPr>
                <w:b/>
                <w:bCs/>
                <w:color w:val="auto"/>
              </w:rPr>
              <w:t>编号、名称</w:t>
            </w:r>
            <w:r>
              <w:rPr>
                <w:rFonts w:hint="eastAsia"/>
                <w:b/>
                <w:bCs/>
                <w:color w:val="auto"/>
                <w:lang w:eastAsia="zh-CN"/>
              </w:rPr>
              <w:t>）</w:t>
            </w:r>
            <w:r>
              <w:rPr>
                <w:b/>
                <w:bCs/>
                <w:color w:val="auto"/>
              </w:rPr>
              <w:t>/污染源</w:t>
            </w:r>
          </w:p>
        </w:tc>
        <w:tc>
          <w:tcPr>
            <w:tcW w:w="832" w:type="pct"/>
            <w:tcBorders>
              <w:top w:val="single" w:color="auto" w:sz="4" w:space="0"/>
              <w:bottom w:val="single" w:color="auto" w:sz="4" w:space="0"/>
            </w:tcBorders>
            <w:noWrap w:val="0"/>
            <w:vAlign w:val="center"/>
          </w:tcPr>
          <w:p w14:paraId="24AA23B1">
            <w:pPr>
              <w:pStyle w:val="28"/>
              <w:rPr>
                <w:b/>
                <w:bCs/>
                <w:color w:val="auto"/>
              </w:rPr>
            </w:pPr>
            <w:r>
              <w:rPr>
                <w:b/>
                <w:bCs/>
                <w:color w:val="auto"/>
              </w:rPr>
              <w:t>污染物项目</w:t>
            </w:r>
          </w:p>
        </w:tc>
        <w:tc>
          <w:tcPr>
            <w:tcW w:w="1935" w:type="pct"/>
            <w:tcBorders>
              <w:top w:val="single" w:color="auto" w:sz="4" w:space="0"/>
              <w:bottom w:val="single" w:color="auto" w:sz="4" w:space="0"/>
            </w:tcBorders>
            <w:noWrap w:val="0"/>
            <w:vAlign w:val="center"/>
          </w:tcPr>
          <w:p w14:paraId="0C73CAA2">
            <w:pPr>
              <w:pStyle w:val="28"/>
              <w:rPr>
                <w:b/>
                <w:bCs/>
                <w:color w:val="auto"/>
              </w:rPr>
            </w:pPr>
            <w:r>
              <w:rPr>
                <w:b/>
                <w:bCs/>
                <w:color w:val="auto"/>
              </w:rPr>
              <w:t>环境保护措施</w:t>
            </w:r>
          </w:p>
        </w:tc>
        <w:tc>
          <w:tcPr>
            <w:tcW w:w="1278" w:type="pct"/>
            <w:tcBorders>
              <w:top w:val="single" w:color="auto" w:sz="4" w:space="0"/>
              <w:bottom w:val="single" w:color="auto" w:sz="4" w:space="0"/>
              <w:right w:val="single" w:color="auto" w:sz="4" w:space="0"/>
            </w:tcBorders>
            <w:noWrap w:val="0"/>
            <w:vAlign w:val="center"/>
          </w:tcPr>
          <w:p w14:paraId="4A46569A">
            <w:pPr>
              <w:pStyle w:val="28"/>
              <w:rPr>
                <w:b/>
                <w:bCs/>
                <w:color w:val="auto"/>
              </w:rPr>
            </w:pPr>
            <w:r>
              <w:rPr>
                <w:b/>
                <w:bCs/>
                <w:color w:val="auto"/>
              </w:rPr>
              <w:t>执行标准</w:t>
            </w:r>
          </w:p>
        </w:tc>
      </w:tr>
      <w:tr w14:paraId="1DBE87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6" w:type="pct"/>
            <w:vMerge w:val="restart"/>
            <w:tcBorders>
              <w:top w:val="single" w:color="auto" w:sz="4" w:space="0"/>
              <w:left w:val="single" w:color="auto" w:sz="4" w:space="0"/>
            </w:tcBorders>
            <w:noWrap w:val="0"/>
            <w:vAlign w:val="center"/>
          </w:tcPr>
          <w:p w14:paraId="23057EC7">
            <w:pPr>
              <w:pStyle w:val="28"/>
              <w:rPr>
                <w:color w:val="auto"/>
              </w:rPr>
            </w:pPr>
            <w:r>
              <w:rPr>
                <w:color w:val="auto"/>
              </w:rPr>
              <w:t>大气环境</w:t>
            </w:r>
          </w:p>
        </w:tc>
        <w:tc>
          <w:tcPr>
            <w:tcW w:w="203" w:type="pct"/>
            <w:tcBorders>
              <w:top w:val="single" w:color="auto" w:sz="4" w:space="0"/>
              <w:left w:val="single" w:color="auto" w:sz="4" w:space="0"/>
            </w:tcBorders>
            <w:noWrap w:val="0"/>
            <w:vAlign w:val="center"/>
          </w:tcPr>
          <w:p w14:paraId="590AFAD0">
            <w:pPr>
              <w:pStyle w:val="28"/>
              <w:rPr>
                <w:rFonts w:hint="eastAsia"/>
                <w:color w:val="auto"/>
              </w:rPr>
            </w:pPr>
            <w:r>
              <w:rPr>
                <w:rFonts w:hint="eastAsia"/>
                <w:color w:val="auto"/>
              </w:rPr>
              <w:t>施工期</w:t>
            </w:r>
          </w:p>
        </w:tc>
        <w:tc>
          <w:tcPr>
            <w:tcW w:w="554" w:type="pct"/>
            <w:tcBorders>
              <w:top w:val="single" w:color="auto" w:sz="4" w:space="0"/>
            </w:tcBorders>
            <w:noWrap w:val="0"/>
            <w:vAlign w:val="center"/>
          </w:tcPr>
          <w:p w14:paraId="401F08E2">
            <w:pPr>
              <w:pStyle w:val="28"/>
              <w:rPr>
                <w:color w:val="auto"/>
              </w:rPr>
            </w:pPr>
            <w:r>
              <w:rPr>
                <w:rFonts w:hint="eastAsia"/>
                <w:color w:val="auto"/>
              </w:rPr>
              <w:t>施工扬尘</w:t>
            </w:r>
          </w:p>
        </w:tc>
        <w:tc>
          <w:tcPr>
            <w:tcW w:w="832" w:type="pct"/>
            <w:tcBorders>
              <w:top w:val="single" w:color="auto" w:sz="4" w:space="0"/>
              <w:bottom w:val="single" w:color="auto" w:sz="4" w:space="0"/>
            </w:tcBorders>
            <w:noWrap w:val="0"/>
            <w:vAlign w:val="center"/>
          </w:tcPr>
          <w:p w14:paraId="1CA2AB36">
            <w:pPr>
              <w:pStyle w:val="28"/>
              <w:rPr>
                <w:color w:val="auto"/>
              </w:rPr>
            </w:pPr>
            <w:r>
              <w:rPr>
                <w:rFonts w:hint="eastAsia"/>
                <w:color w:val="auto"/>
              </w:rPr>
              <w:t>颗粒物</w:t>
            </w:r>
          </w:p>
        </w:tc>
        <w:tc>
          <w:tcPr>
            <w:tcW w:w="1935" w:type="pct"/>
            <w:tcBorders>
              <w:top w:val="single" w:color="auto" w:sz="4" w:space="0"/>
            </w:tcBorders>
            <w:noWrap w:val="0"/>
            <w:vAlign w:val="center"/>
          </w:tcPr>
          <w:p w14:paraId="1BF5B88B">
            <w:pPr>
              <w:pStyle w:val="28"/>
              <w:rPr>
                <w:rFonts w:hint="eastAsia"/>
                <w:color w:val="auto"/>
              </w:rPr>
            </w:pPr>
            <w:r>
              <w:rPr>
                <w:color w:val="auto"/>
              </w:rPr>
              <w:t>洒水降尘设施</w:t>
            </w:r>
            <w:r>
              <w:rPr>
                <w:rFonts w:hint="eastAsia"/>
                <w:color w:val="auto"/>
                <w:lang w:eastAsia="zh-CN"/>
              </w:rPr>
              <w:t>、材</w:t>
            </w:r>
            <w:r>
              <w:rPr>
                <w:color w:val="auto"/>
              </w:rPr>
              <w:t>料覆盖设施</w:t>
            </w:r>
          </w:p>
        </w:tc>
        <w:tc>
          <w:tcPr>
            <w:tcW w:w="1278" w:type="pct"/>
            <w:tcBorders>
              <w:top w:val="single" w:color="auto" w:sz="4" w:space="0"/>
              <w:right w:val="single" w:color="auto" w:sz="4" w:space="0"/>
            </w:tcBorders>
            <w:noWrap w:val="0"/>
            <w:vAlign w:val="center"/>
          </w:tcPr>
          <w:p w14:paraId="416B4D8F">
            <w:pPr>
              <w:pStyle w:val="28"/>
              <w:rPr>
                <w:color w:val="auto"/>
              </w:rPr>
            </w:pPr>
            <w:r>
              <w:rPr>
                <w:color w:val="auto"/>
              </w:rPr>
              <w:t>《大气污染物综合排放标准》（GB16297－1996）二级</w:t>
            </w:r>
            <w:r>
              <w:rPr>
                <w:rFonts w:hint="eastAsia"/>
                <w:color w:val="auto"/>
              </w:rPr>
              <w:t>标准</w:t>
            </w:r>
            <w:r>
              <w:rPr>
                <w:color w:val="auto"/>
              </w:rPr>
              <w:t>，无组织排放监控浓度限值颗粒物≤1.0（mg/m</w:t>
            </w:r>
            <w:r>
              <w:rPr>
                <w:color w:val="auto"/>
                <w:vertAlign w:val="superscript"/>
              </w:rPr>
              <w:t>3</w:t>
            </w:r>
            <w:r>
              <w:rPr>
                <w:color w:val="auto"/>
              </w:rPr>
              <w:t>）</w:t>
            </w:r>
          </w:p>
        </w:tc>
      </w:tr>
      <w:tr w14:paraId="67071F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6" w:type="pct"/>
            <w:vMerge w:val="continue"/>
            <w:tcBorders>
              <w:left w:val="single" w:color="auto" w:sz="4" w:space="0"/>
            </w:tcBorders>
            <w:noWrap w:val="0"/>
            <w:vAlign w:val="center"/>
          </w:tcPr>
          <w:p w14:paraId="0921D51F">
            <w:pPr>
              <w:pStyle w:val="28"/>
              <w:rPr>
                <w:color w:val="auto"/>
              </w:rPr>
            </w:pPr>
          </w:p>
        </w:tc>
        <w:tc>
          <w:tcPr>
            <w:tcW w:w="203" w:type="pct"/>
            <w:vMerge w:val="restart"/>
            <w:tcBorders>
              <w:top w:val="single" w:color="auto" w:sz="4" w:space="0"/>
              <w:left w:val="single" w:color="auto" w:sz="4" w:space="0"/>
            </w:tcBorders>
            <w:noWrap w:val="0"/>
            <w:vAlign w:val="center"/>
          </w:tcPr>
          <w:p w14:paraId="15E62B0B">
            <w:pPr>
              <w:pStyle w:val="28"/>
              <w:rPr>
                <w:color w:val="auto"/>
              </w:rPr>
            </w:pPr>
            <w:r>
              <w:rPr>
                <w:rFonts w:hint="eastAsia"/>
                <w:color w:val="auto"/>
              </w:rPr>
              <w:t>运营期</w:t>
            </w:r>
          </w:p>
        </w:tc>
        <w:tc>
          <w:tcPr>
            <w:tcW w:w="554" w:type="pct"/>
            <w:tcBorders>
              <w:top w:val="single" w:color="auto" w:sz="4" w:space="0"/>
            </w:tcBorders>
            <w:noWrap w:val="0"/>
            <w:vAlign w:val="center"/>
          </w:tcPr>
          <w:p w14:paraId="18B874BD">
            <w:pPr>
              <w:pStyle w:val="28"/>
              <w:rPr>
                <w:color w:val="auto"/>
              </w:rPr>
            </w:pPr>
            <w:r>
              <w:rPr>
                <w:color w:val="auto"/>
              </w:rPr>
              <w:t>砂石料装</w:t>
            </w:r>
          </w:p>
          <w:p w14:paraId="6E3FD388">
            <w:pPr>
              <w:pStyle w:val="28"/>
              <w:rPr>
                <w:color w:val="auto"/>
              </w:rPr>
            </w:pPr>
            <w:r>
              <w:rPr>
                <w:color w:val="auto"/>
              </w:rPr>
              <w:t>卸扬尘</w:t>
            </w:r>
          </w:p>
        </w:tc>
        <w:tc>
          <w:tcPr>
            <w:tcW w:w="832" w:type="pct"/>
            <w:tcBorders>
              <w:top w:val="single" w:color="auto" w:sz="4" w:space="0"/>
              <w:bottom w:val="single" w:color="auto" w:sz="4" w:space="0"/>
            </w:tcBorders>
            <w:noWrap w:val="0"/>
            <w:vAlign w:val="center"/>
          </w:tcPr>
          <w:p w14:paraId="1C6E5071">
            <w:pPr>
              <w:pStyle w:val="28"/>
              <w:rPr>
                <w:color w:val="auto"/>
              </w:rPr>
            </w:pPr>
            <w:r>
              <w:rPr>
                <w:rFonts w:hint="eastAsia"/>
                <w:color w:val="auto"/>
              </w:rPr>
              <w:t>颗粒物</w:t>
            </w:r>
          </w:p>
        </w:tc>
        <w:tc>
          <w:tcPr>
            <w:tcW w:w="1935" w:type="pct"/>
            <w:tcBorders>
              <w:top w:val="single" w:color="auto" w:sz="4" w:space="0"/>
            </w:tcBorders>
            <w:noWrap w:val="0"/>
            <w:vAlign w:val="center"/>
          </w:tcPr>
          <w:p w14:paraId="71156161">
            <w:pPr>
              <w:pStyle w:val="28"/>
              <w:rPr>
                <w:color w:val="auto"/>
              </w:rPr>
            </w:pPr>
            <w:r>
              <w:rPr>
                <w:rFonts w:hint="eastAsia"/>
                <w:color w:val="auto"/>
              </w:rPr>
              <w:t>项目采取水雾喷淋、三面围挡+顶棚和降低物料装卸过程高度差等降尘防治措施，降尘率可达60%</w:t>
            </w:r>
          </w:p>
        </w:tc>
        <w:tc>
          <w:tcPr>
            <w:tcW w:w="1278" w:type="pct"/>
            <w:vMerge w:val="restart"/>
            <w:tcBorders>
              <w:top w:val="single" w:color="auto" w:sz="4" w:space="0"/>
              <w:right w:val="single" w:color="auto" w:sz="4" w:space="0"/>
            </w:tcBorders>
            <w:noWrap w:val="0"/>
            <w:vAlign w:val="center"/>
          </w:tcPr>
          <w:p w14:paraId="7651B0EB">
            <w:pPr>
              <w:pStyle w:val="28"/>
              <w:rPr>
                <w:rFonts w:hint="eastAsia"/>
                <w:color w:val="auto"/>
              </w:rPr>
            </w:pPr>
            <w:r>
              <w:rPr>
                <w:color w:val="auto"/>
              </w:rPr>
              <w:t>粉尘排放浓度达到《水泥工业大气污染物排放标准》（GB4915-2013）的厂界外无组织排放监控点浓度限值0.5 mg/m</w:t>
            </w:r>
            <w:r>
              <w:rPr>
                <w:color w:val="auto"/>
                <w:vertAlign w:val="superscript"/>
              </w:rPr>
              <w:t>3</w:t>
            </w:r>
            <w:r>
              <w:rPr>
                <w:rFonts w:hint="eastAsia"/>
                <w:color w:val="auto"/>
              </w:rPr>
              <w:t>，同时，周界外浓度最高点执行《大气污染物综合排放标准》（GB16297-1996）表2标准限值。</w:t>
            </w:r>
          </w:p>
        </w:tc>
      </w:tr>
      <w:tr w14:paraId="344DF4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6" w:type="pct"/>
            <w:vMerge w:val="continue"/>
            <w:tcBorders>
              <w:left w:val="single" w:color="auto" w:sz="4" w:space="0"/>
            </w:tcBorders>
            <w:noWrap w:val="0"/>
            <w:vAlign w:val="center"/>
          </w:tcPr>
          <w:p w14:paraId="7DFF5723">
            <w:pPr>
              <w:pStyle w:val="28"/>
              <w:rPr>
                <w:color w:val="auto"/>
              </w:rPr>
            </w:pPr>
          </w:p>
        </w:tc>
        <w:tc>
          <w:tcPr>
            <w:tcW w:w="203" w:type="pct"/>
            <w:vMerge w:val="continue"/>
            <w:tcBorders>
              <w:left w:val="single" w:color="auto" w:sz="4" w:space="0"/>
            </w:tcBorders>
            <w:noWrap w:val="0"/>
            <w:vAlign w:val="center"/>
          </w:tcPr>
          <w:p w14:paraId="33241808">
            <w:pPr>
              <w:pStyle w:val="28"/>
              <w:rPr>
                <w:color w:val="auto"/>
              </w:rPr>
            </w:pPr>
          </w:p>
        </w:tc>
        <w:tc>
          <w:tcPr>
            <w:tcW w:w="554" w:type="pct"/>
            <w:noWrap w:val="0"/>
            <w:vAlign w:val="center"/>
          </w:tcPr>
          <w:p w14:paraId="0FB0FFA7">
            <w:pPr>
              <w:pStyle w:val="28"/>
              <w:rPr>
                <w:color w:val="auto"/>
              </w:rPr>
            </w:pPr>
            <w:r>
              <w:rPr>
                <w:color w:val="auto"/>
              </w:rPr>
              <w:t>车辆运输扬尘</w:t>
            </w:r>
          </w:p>
        </w:tc>
        <w:tc>
          <w:tcPr>
            <w:tcW w:w="832" w:type="pct"/>
            <w:tcBorders>
              <w:top w:val="single" w:color="auto" w:sz="4" w:space="0"/>
              <w:bottom w:val="single" w:color="auto" w:sz="4" w:space="0"/>
            </w:tcBorders>
            <w:noWrap w:val="0"/>
            <w:vAlign w:val="center"/>
          </w:tcPr>
          <w:p w14:paraId="190DF3FB">
            <w:pPr>
              <w:pStyle w:val="28"/>
              <w:rPr>
                <w:color w:val="auto"/>
              </w:rPr>
            </w:pPr>
            <w:r>
              <w:rPr>
                <w:rFonts w:hint="eastAsia"/>
                <w:color w:val="auto"/>
              </w:rPr>
              <w:t>颗粒物</w:t>
            </w:r>
          </w:p>
        </w:tc>
        <w:tc>
          <w:tcPr>
            <w:tcW w:w="1935" w:type="pct"/>
            <w:noWrap w:val="0"/>
            <w:vAlign w:val="center"/>
          </w:tcPr>
          <w:p w14:paraId="0B454370">
            <w:pPr>
              <w:pStyle w:val="28"/>
              <w:rPr>
                <w:color w:val="auto"/>
              </w:rPr>
            </w:pPr>
            <w:r>
              <w:rPr>
                <w:rFonts w:hint="eastAsia"/>
                <w:color w:val="auto"/>
              </w:rPr>
              <w:t>厂区路面进行硬化，运输车辆均减速慢行，按时清扫，按时洒水降尘，排放量可降低60%</w:t>
            </w:r>
          </w:p>
        </w:tc>
        <w:tc>
          <w:tcPr>
            <w:tcW w:w="1278" w:type="pct"/>
            <w:vMerge w:val="continue"/>
            <w:tcBorders>
              <w:right w:val="single" w:color="auto" w:sz="4" w:space="0"/>
            </w:tcBorders>
            <w:noWrap w:val="0"/>
            <w:vAlign w:val="center"/>
          </w:tcPr>
          <w:p w14:paraId="4847DD82">
            <w:pPr>
              <w:pStyle w:val="28"/>
              <w:rPr>
                <w:color w:val="auto"/>
              </w:rPr>
            </w:pPr>
          </w:p>
        </w:tc>
      </w:tr>
      <w:tr w14:paraId="2A2BEE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6" w:type="pct"/>
            <w:vMerge w:val="continue"/>
            <w:tcBorders>
              <w:left w:val="single" w:color="auto" w:sz="4" w:space="0"/>
            </w:tcBorders>
            <w:noWrap w:val="0"/>
            <w:vAlign w:val="center"/>
          </w:tcPr>
          <w:p w14:paraId="3FAB9C49">
            <w:pPr>
              <w:pStyle w:val="28"/>
              <w:rPr>
                <w:color w:val="auto"/>
              </w:rPr>
            </w:pPr>
          </w:p>
        </w:tc>
        <w:tc>
          <w:tcPr>
            <w:tcW w:w="203" w:type="pct"/>
            <w:vMerge w:val="continue"/>
            <w:tcBorders>
              <w:left w:val="single" w:color="auto" w:sz="4" w:space="0"/>
            </w:tcBorders>
            <w:noWrap w:val="0"/>
            <w:vAlign w:val="center"/>
          </w:tcPr>
          <w:p w14:paraId="79548469">
            <w:pPr>
              <w:pStyle w:val="28"/>
              <w:rPr>
                <w:color w:val="auto"/>
              </w:rPr>
            </w:pPr>
          </w:p>
        </w:tc>
        <w:tc>
          <w:tcPr>
            <w:tcW w:w="554" w:type="pct"/>
            <w:noWrap w:val="0"/>
            <w:vAlign w:val="center"/>
          </w:tcPr>
          <w:p w14:paraId="5AC95D0D">
            <w:pPr>
              <w:pStyle w:val="28"/>
              <w:rPr>
                <w:color w:val="auto"/>
              </w:rPr>
            </w:pPr>
            <w:r>
              <w:rPr>
                <w:color w:val="auto"/>
              </w:rPr>
              <w:t>砂石料堆</w:t>
            </w:r>
          </w:p>
          <w:p w14:paraId="5887821A">
            <w:pPr>
              <w:pStyle w:val="28"/>
              <w:rPr>
                <w:color w:val="auto"/>
              </w:rPr>
            </w:pPr>
            <w:r>
              <w:rPr>
                <w:color w:val="auto"/>
              </w:rPr>
              <w:t>场扬尘</w:t>
            </w:r>
          </w:p>
        </w:tc>
        <w:tc>
          <w:tcPr>
            <w:tcW w:w="832" w:type="pct"/>
            <w:tcBorders>
              <w:top w:val="single" w:color="auto" w:sz="4" w:space="0"/>
              <w:bottom w:val="single" w:color="auto" w:sz="4" w:space="0"/>
            </w:tcBorders>
            <w:noWrap w:val="0"/>
            <w:vAlign w:val="center"/>
          </w:tcPr>
          <w:p w14:paraId="6951E70F">
            <w:pPr>
              <w:pStyle w:val="28"/>
              <w:rPr>
                <w:color w:val="auto"/>
              </w:rPr>
            </w:pPr>
            <w:r>
              <w:rPr>
                <w:rFonts w:hint="eastAsia"/>
                <w:color w:val="auto"/>
              </w:rPr>
              <w:t>颗粒物</w:t>
            </w:r>
          </w:p>
        </w:tc>
        <w:tc>
          <w:tcPr>
            <w:tcW w:w="1935" w:type="pct"/>
            <w:tcBorders>
              <w:bottom w:val="single" w:color="auto" w:sz="4" w:space="0"/>
            </w:tcBorders>
            <w:noWrap w:val="0"/>
            <w:vAlign w:val="center"/>
          </w:tcPr>
          <w:p w14:paraId="229F1B36">
            <w:pPr>
              <w:pStyle w:val="28"/>
              <w:rPr>
                <w:color w:val="auto"/>
              </w:rPr>
            </w:pPr>
            <w:r>
              <w:rPr>
                <w:rFonts w:hint="eastAsia"/>
                <w:color w:val="auto"/>
              </w:rPr>
              <w:t>砂石料堆场</w:t>
            </w:r>
            <w:r>
              <w:rPr>
                <w:rFonts w:hint="eastAsia"/>
                <w:color w:val="auto"/>
                <w:lang w:val="en-US" w:eastAsia="zh-CN"/>
              </w:rPr>
              <w:t>位于厂房内</w:t>
            </w:r>
            <w:r>
              <w:rPr>
                <w:color w:val="auto"/>
              </w:rPr>
              <w:t>，对TSP的控制效率为</w:t>
            </w:r>
            <w:r>
              <w:rPr>
                <w:rFonts w:hint="eastAsia"/>
                <w:color w:val="auto"/>
                <w:lang w:val="en-US" w:eastAsia="zh-CN"/>
              </w:rPr>
              <w:t>95%</w:t>
            </w:r>
          </w:p>
        </w:tc>
        <w:tc>
          <w:tcPr>
            <w:tcW w:w="1278" w:type="pct"/>
            <w:vMerge w:val="continue"/>
            <w:tcBorders>
              <w:right w:val="single" w:color="auto" w:sz="4" w:space="0"/>
            </w:tcBorders>
            <w:noWrap w:val="0"/>
            <w:vAlign w:val="center"/>
          </w:tcPr>
          <w:p w14:paraId="69100D06">
            <w:pPr>
              <w:pStyle w:val="28"/>
              <w:rPr>
                <w:color w:val="auto"/>
              </w:rPr>
            </w:pPr>
          </w:p>
        </w:tc>
      </w:tr>
      <w:tr w14:paraId="2B9BA8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6" w:type="pct"/>
            <w:vMerge w:val="continue"/>
            <w:tcBorders>
              <w:left w:val="single" w:color="auto" w:sz="4" w:space="0"/>
            </w:tcBorders>
            <w:noWrap w:val="0"/>
            <w:vAlign w:val="center"/>
          </w:tcPr>
          <w:p w14:paraId="4649D8B0">
            <w:pPr>
              <w:pStyle w:val="28"/>
              <w:rPr>
                <w:color w:val="auto"/>
              </w:rPr>
            </w:pPr>
          </w:p>
        </w:tc>
        <w:tc>
          <w:tcPr>
            <w:tcW w:w="203" w:type="pct"/>
            <w:vMerge w:val="continue"/>
            <w:tcBorders>
              <w:left w:val="single" w:color="auto" w:sz="4" w:space="0"/>
            </w:tcBorders>
            <w:noWrap w:val="0"/>
            <w:vAlign w:val="center"/>
          </w:tcPr>
          <w:p w14:paraId="18102055">
            <w:pPr>
              <w:pStyle w:val="28"/>
              <w:rPr>
                <w:color w:val="auto"/>
              </w:rPr>
            </w:pPr>
          </w:p>
        </w:tc>
        <w:tc>
          <w:tcPr>
            <w:tcW w:w="554" w:type="pct"/>
            <w:noWrap w:val="0"/>
            <w:vAlign w:val="center"/>
          </w:tcPr>
          <w:p w14:paraId="1129F30A">
            <w:pPr>
              <w:pStyle w:val="28"/>
              <w:rPr>
                <w:rFonts w:hint="default" w:eastAsia="宋体"/>
                <w:color w:val="auto"/>
                <w:lang w:val="en-US" w:eastAsia="zh-CN"/>
              </w:rPr>
            </w:pPr>
            <w:r>
              <w:rPr>
                <w:rFonts w:hint="eastAsia"/>
                <w:color w:val="auto"/>
                <w:lang w:val="en-US" w:eastAsia="zh-CN"/>
              </w:rPr>
              <w:t>投料粉尘</w:t>
            </w:r>
          </w:p>
        </w:tc>
        <w:tc>
          <w:tcPr>
            <w:tcW w:w="832" w:type="pct"/>
            <w:tcBorders>
              <w:top w:val="single" w:color="auto" w:sz="4" w:space="0"/>
              <w:bottom w:val="single" w:color="auto" w:sz="4" w:space="0"/>
            </w:tcBorders>
            <w:noWrap w:val="0"/>
            <w:vAlign w:val="center"/>
          </w:tcPr>
          <w:p w14:paraId="62D5F142">
            <w:pPr>
              <w:pStyle w:val="28"/>
              <w:rPr>
                <w:rFonts w:hint="eastAsia" w:eastAsia="宋体"/>
                <w:color w:val="auto"/>
                <w:lang w:val="en-US" w:eastAsia="zh-CN"/>
              </w:rPr>
            </w:pPr>
            <w:r>
              <w:rPr>
                <w:rFonts w:hint="eastAsia"/>
                <w:color w:val="auto"/>
                <w:lang w:val="en-US" w:eastAsia="zh-CN"/>
              </w:rPr>
              <w:t>颗粒物</w:t>
            </w:r>
          </w:p>
        </w:tc>
        <w:tc>
          <w:tcPr>
            <w:tcW w:w="1935" w:type="pct"/>
            <w:tcBorders>
              <w:bottom w:val="single" w:color="auto" w:sz="4" w:space="0"/>
            </w:tcBorders>
            <w:noWrap w:val="0"/>
            <w:vAlign w:val="center"/>
          </w:tcPr>
          <w:p w14:paraId="0F5515E7">
            <w:pPr>
              <w:pStyle w:val="28"/>
              <w:rPr>
                <w:rFonts w:hint="eastAsia"/>
                <w:color w:val="auto"/>
              </w:rPr>
            </w:pPr>
            <w:r>
              <w:rPr>
                <w:rFonts w:hint="eastAsia"/>
                <w:color w:val="auto"/>
                <w:lang w:val="en-US" w:eastAsia="zh-CN"/>
              </w:rPr>
              <w:t>投料工序在封闭车间内进行，</w:t>
            </w:r>
            <w:r>
              <w:rPr>
                <w:rFonts w:hint="eastAsia"/>
                <w:color w:val="auto"/>
              </w:rPr>
              <w:t>投料工序上方</w:t>
            </w:r>
            <w:r>
              <w:rPr>
                <w:rFonts w:hint="eastAsia"/>
                <w:color w:val="auto"/>
                <w:lang w:val="en-US" w:eastAsia="zh-CN"/>
              </w:rPr>
              <w:t>设置喷淋系统</w:t>
            </w:r>
            <w:r>
              <w:rPr>
                <w:rFonts w:hint="eastAsia"/>
                <w:color w:val="auto"/>
              </w:rPr>
              <w:t>，综合降尘效率可达60%</w:t>
            </w:r>
          </w:p>
        </w:tc>
        <w:tc>
          <w:tcPr>
            <w:tcW w:w="1278" w:type="pct"/>
            <w:vMerge w:val="continue"/>
            <w:tcBorders>
              <w:right w:val="single" w:color="auto" w:sz="4" w:space="0"/>
            </w:tcBorders>
            <w:noWrap w:val="0"/>
            <w:vAlign w:val="center"/>
          </w:tcPr>
          <w:p w14:paraId="03E5BC9D">
            <w:pPr>
              <w:pStyle w:val="28"/>
              <w:rPr>
                <w:color w:val="auto"/>
              </w:rPr>
            </w:pPr>
          </w:p>
        </w:tc>
      </w:tr>
      <w:tr w14:paraId="6EB09E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96" w:type="pct"/>
            <w:vMerge w:val="continue"/>
            <w:tcBorders>
              <w:left w:val="single" w:color="auto" w:sz="4" w:space="0"/>
            </w:tcBorders>
            <w:noWrap w:val="0"/>
            <w:vAlign w:val="center"/>
          </w:tcPr>
          <w:p w14:paraId="68BC7481">
            <w:pPr>
              <w:pStyle w:val="28"/>
              <w:rPr>
                <w:color w:val="auto"/>
              </w:rPr>
            </w:pPr>
          </w:p>
        </w:tc>
        <w:tc>
          <w:tcPr>
            <w:tcW w:w="203" w:type="pct"/>
            <w:vMerge w:val="continue"/>
            <w:tcBorders>
              <w:left w:val="single" w:color="auto" w:sz="4" w:space="0"/>
            </w:tcBorders>
            <w:noWrap w:val="0"/>
            <w:vAlign w:val="center"/>
          </w:tcPr>
          <w:p w14:paraId="3C24FAFA">
            <w:pPr>
              <w:pStyle w:val="28"/>
              <w:rPr>
                <w:color w:val="auto"/>
              </w:rPr>
            </w:pPr>
          </w:p>
        </w:tc>
        <w:tc>
          <w:tcPr>
            <w:tcW w:w="554" w:type="pct"/>
            <w:tcBorders>
              <w:top w:val="single" w:color="auto" w:sz="4" w:space="0"/>
              <w:bottom w:val="single" w:color="auto" w:sz="4" w:space="0"/>
            </w:tcBorders>
            <w:noWrap w:val="0"/>
            <w:vAlign w:val="center"/>
          </w:tcPr>
          <w:p w14:paraId="259F6562">
            <w:pPr>
              <w:pStyle w:val="28"/>
              <w:rPr>
                <w:color w:val="auto"/>
                <w:highlight w:val="yellow"/>
              </w:rPr>
            </w:pPr>
            <w:r>
              <w:rPr>
                <w:color w:val="auto"/>
              </w:rPr>
              <w:t>焊接烟尘</w:t>
            </w:r>
          </w:p>
        </w:tc>
        <w:tc>
          <w:tcPr>
            <w:tcW w:w="832" w:type="pct"/>
            <w:tcBorders>
              <w:top w:val="single" w:color="auto" w:sz="4" w:space="0"/>
              <w:bottom w:val="single" w:color="auto" w:sz="4" w:space="0"/>
            </w:tcBorders>
            <w:noWrap w:val="0"/>
            <w:vAlign w:val="center"/>
          </w:tcPr>
          <w:p w14:paraId="658AB897">
            <w:pPr>
              <w:pStyle w:val="28"/>
              <w:rPr>
                <w:color w:val="auto"/>
                <w:highlight w:val="yellow"/>
              </w:rPr>
            </w:pPr>
            <w:r>
              <w:rPr>
                <w:rFonts w:hint="eastAsia"/>
                <w:color w:val="auto"/>
              </w:rPr>
              <w:t>烟尘</w:t>
            </w:r>
          </w:p>
        </w:tc>
        <w:tc>
          <w:tcPr>
            <w:tcW w:w="1935" w:type="pct"/>
            <w:tcBorders>
              <w:top w:val="single" w:color="auto" w:sz="4" w:space="0"/>
              <w:bottom w:val="single" w:color="auto" w:sz="4" w:space="0"/>
            </w:tcBorders>
            <w:noWrap w:val="0"/>
            <w:vAlign w:val="center"/>
          </w:tcPr>
          <w:p w14:paraId="4AD3CEBA">
            <w:pPr>
              <w:pStyle w:val="28"/>
              <w:rPr>
                <w:color w:val="auto"/>
                <w:highlight w:val="yellow"/>
              </w:rPr>
            </w:pPr>
            <w:r>
              <w:rPr>
                <w:color w:val="auto"/>
              </w:rPr>
              <w:t>加强车间通风</w:t>
            </w:r>
          </w:p>
        </w:tc>
        <w:tc>
          <w:tcPr>
            <w:tcW w:w="1278" w:type="pct"/>
            <w:vMerge w:val="continue"/>
            <w:tcBorders>
              <w:right w:val="single" w:color="auto" w:sz="4" w:space="0"/>
            </w:tcBorders>
            <w:noWrap w:val="0"/>
            <w:vAlign w:val="center"/>
          </w:tcPr>
          <w:p w14:paraId="06CEF6CE">
            <w:pPr>
              <w:pStyle w:val="28"/>
              <w:rPr>
                <w:color w:val="auto"/>
              </w:rPr>
            </w:pPr>
          </w:p>
        </w:tc>
      </w:tr>
      <w:tr w14:paraId="4914A2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96" w:type="pct"/>
            <w:vMerge w:val="continue"/>
            <w:tcBorders>
              <w:left w:val="single" w:color="auto" w:sz="4" w:space="0"/>
            </w:tcBorders>
            <w:noWrap w:val="0"/>
            <w:vAlign w:val="center"/>
          </w:tcPr>
          <w:p w14:paraId="23577B59">
            <w:pPr>
              <w:pStyle w:val="28"/>
              <w:rPr>
                <w:color w:val="auto"/>
              </w:rPr>
            </w:pPr>
          </w:p>
        </w:tc>
        <w:tc>
          <w:tcPr>
            <w:tcW w:w="203" w:type="pct"/>
            <w:vMerge w:val="continue"/>
            <w:tcBorders>
              <w:left w:val="single" w:color="auto" w:sz="4" w:space="0"/>
            </w:tcBorders>
            <w:noWrap w:val="0"/>
            <w:vAlign w:val="center"/>
          </w:tcPr>
          <w:p w14:paraId="3B878AFE">
            <w:pPr>
              <w:pStyle w:val="28"/>
              <w:rPr>
                <w:color w:val="auto"/>
              </w:rPr>
            </w:pPr>
          </w:p>
        </w:tc>
        <w:tc>
          <w:tcPr>
            <w:tcW w:w="554" w:type="pct"/>
            <w:tcBorders>
              <w:top w:val="single" w:color="auto" w:sz="4" w:space="0"/>
              <w:bottom w:val="single" w:color="auto" w:sz="4" w:space="0"/>
            </w:tcBorders>
            <w:noWrap w:val="0"/>
            <w:vAlign w:val="center"/>
          </w:tcPr>
          <w:p w14:paraId="7EE17966">
            <w:pPr>
              <w:pStyle w:val="28"/>
              <w:rPr>
                <w:color w:val="auto"/>
              </w:rPr>
            </w:pPr>
            <w:r>
              <w:rPr>
                <w:rFonts w:hint="eastAsia"/>
                <w:color w:val="auto"/>
              </w:rPr>
              <w:t>汽车尾气</w:t>
            </w:r>
          </w:p>
        </w:tc>
        <w:tc>
          <w:tcPr>
            <w:tcW w:w="832" w:type="pct"/>
            <w:tcBorders>
              <w:top w:val="single" w:color="auto" w:sz="4" w:space="0"/>
              <w:bottom w:val="single" w:color="auto" w:sz="4" w:space="0"/>
            </w:tcBorders>
            <w:noWrap w:val="0"/>
            <w:vAlign w:val="center"/>
          </w:tcPr>
          <w:p w14:paraId="1BD6B744">
            <w:pPr>
              <w:pStyle w:val="28"/>
              <w:rPr>
                <w:color w:val="auto"/>
              </w:rPr>
            </w:pPr>
            <w:r>
              <w:rPr>
                <w:rFonts w:hint="eastAsia"/>
                <w:color w:val="auto"/>
              </w:rPr>
              <w:t>颗粒物</w:t>
            </w:r>
          </w:p>
        </w:tc>
        <w:tc>
          <w:tcPr>
            <w:tcW w:w="1935" w:type="pct"/>
            <w:tcBorders>
              <w:top w:val="single" w:color="auto" w:sz="4" w:space="0"/>
              <w:bottom w:val="single" w:color="auto" w:sz="4" w:space="0"/>
            </w:tcBorders>
            <w:noWrap w:val="0"/>
            <w:vAlign w:val="center"/>
          </w:tcPr>
          <w:p w14:paraId="66957AA1">
            <w:pPr>
              <w:pStyle w:val="28"/>
              <w:rPr>
                <w:rFonts w:hint="eastAsia"/>
                <w:color w:val="auto"/>
              </w:rPr>
            </w:pPr>
            <w:r>
              <w:rPr>
                <w:color w:val="auto"/>
              </w:rPr>
              <w:t>在大气环境中自然稀释扩散</w:t>
            </w:r>
            <w:r>
              <w:rPr>
                <w:rFonts w:hint="eastAsia"/>
                <w:color w:val="auto"/>
              </w:rPr>
              <w:t>。</w:t>
            </w:r>
          </w:p>
        </w:tc>
        <w:tc>
          <w:tcPr>
            <w:tcW w:w="1278" w:type="pct"/>
            <w:vMerge w:val="continue"/>
            <w:tcBorders>
              <w:right w:val="single" w:color="auto" w:sz="4" w:space="0"/>
            </w:tcBorders>
            <w:noWrap w:val="0"/>
            <w:vAlign w:val="center"/>
          </w:tcPr>
          <w:p w14:paraId="4BF8DDB3">
            <w:pPr>
              <w:pStyle w:val="28"/>
              <w:rPr>
                <w:color w:val="auto"/>
              </w:rPr>
            </w:pPr>
          </w:p>
        </w:tc>
      </w:tr>
      <w:tr w14:paraId="3FBCE2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96" w:type="pct"/>
            <w:vMerge w:val="continue"/>
            <w:tcBorders>
              <w:left w:val="single" w:color="auto" w:sz="4" w:space="0"/>
            </w:tcBorders>
            <w:noWrap w:val="0"/>
            <w:vAlign w:val="center"/>
          </w:tcPr>
          <w:p w14:paraId="7EC00B4E">
            <w:pPr>
              <w:pStyle w:val="28"/>
              <w:rPr>
                <w:color w:val="auto"/>
              </w:rPr>
            </w:pPr>
          </w:p>
        </w:tc>
        <w:tc>
          <w:tcPr>
            <w:tcW w:w="203" w:type="pct"/>
            <w:vMerge w:val="continue"/>
            <w:tcBorders>
              <w:left w:val="single" w:color="auto" w:sz="4" w:space="0"/>
            </w:tcBorders>
            <w:noWrap w:val="0"/>
            <w:vAlign w:val="center"/>
          </w:tcPr>
          <w:p w14:paraId="67F3B9BC">
            <w:pPr>
              <w:pStyle w:val="28"/>
              <w:rPr>
                <w:color w:val="auto"/>
              </w:rPr>
            </w:pPr>
          </w:p>
        </w:tc>
        <w:tc>
          <w:tcPr>
            <w:tcW w:w="554" w:type="pct"/>
            <w:tcBorders>
              <w:top w:val="single" w:color="auto" w:sz="4" w:space="0"/>
              <w:bottom w:val="single" w:color="auto" w:sz="4" w:space="0"/>
            </w:tcBorders>
            <w:noWrap w:val="0"/>
            <w:vAlign w:val="center"/>
          </w:tcPr>
          <w:p w14:paraId="4C442210">
            <w:pPr>
              <w:pStyle w:val="28"/>
              <w:rPr>
                <w:color w:val="auto"/>
              </w:rPr>
            </w:pPr>
            <w:r>
              <w:rPr>
                <w:color w:val="auto"/>
              </w:rPr>
              <w:t>水泥筒仓粉尘</w:t>
            </w:r>
          </w:p>
        </w:tc>
        <w:tc>
          <w:tcPr>
            <w:tcW w:w="832" w:type="pct"/>
            <w:tcBorders>
              <w:top w:val="single" w:color="auto" w:sz="4" w:space="0"/>
              <w:bottom w:val="single" w:color="auto" w:sz="4" w:space="0"/>
            </w:tcBorders>
            <w:noWrap w:val="0"/>
            <w:vAlign w:val="center"/>
          </w:tcPr>
          <w:p w14:paraId="1008A951">
            <w:pPr>
              <w:pStyle w:val="28"/>
              <w:rPr>
                <w:color w:val="auto"/>
              </w:rPr>
            </w:pPr>
            <w:r>
              <w:rPr>
                <w:rFonts w:hint="eastAsia"/>
                <w:color w:val="auto"/>
              </w:rPr>
              <w:t>颗粒物</w:t>
            </w:r>
          </w:p>
        </w:tc>
        <w:tc>
          <w:tcPr>
            <w:tcW w:w="1935" w:type="pct"/>
            <w:tcBorders>
              <w:top w:val="single" w:color="auto" w:sz="4" w:space="0"/>
              <w:bottom w:val="single" w:color="auto" w:sz="4" w:space="0"/>
            </w:tcBorders>
            <w:noWrap w:val="0"/>
            <w:vAlign w:val="center"/>
          </w:tcPr>
          <w:p w14:paraId="55EE671A">
            <w:pPr>
              <w:pStyle w:val="28"/>
              <w:rPr>
                <w:color w:val="auto"/>
              </w:rPr>
            </w:pPr>
            <w:r>
              <w:rPr>
                <w:rFonts w:hint="eastAsia"/>
                <w:color w:val="auto"/>
              </w:rPr>
              <w:t>由</w:t>
            </w:r>
            <w:r>
              <w:rPr>
                <w:color w:val="auto"/>
              </w:rPr>
              <w:t>仓顶</w:t>
            </w:r>
            <w:r>
              <w:rPr>
                <w:rFonts w:hint="eastAsia"/>
                <w:color w:val="auto"/>
              </w:rPr>
              <w:t>自带除尘器除尘后</w:t>
            </w:r>
            <w:r>
              <w:rPr>
                <w:color w:val="auto"/>
              </w:rPr>
              <w:t>，</w:t>
            </w:r>
            <w:r>
              <w:rPr>
                <w:rFonts w:hint="eastAsia"/>
                <w:color w:val="auto"/>
              </w:rPr>
              <w:t>经过仓顶排口进行达标排放</w:t>
            </w:r>
            <w:r>
              <w:rPr>
                <w:color w:val="auto"/>
              </w:rPr>
              <w:t>，收集后的粉尘经震动清理落入料仓</w:t>
            </w:r>
          </w:p>
        </w:tc>
        <w:tc>
          <w:tcPr>
            <w:tcW w:w="1278" w:type="pct"/>
            <w:tcBorders>
              <w:bottom w:val="single" w:color="auto" w:sz="4" w:space="0"/>
              <w:right w:val="single" w:color="auto" w:sz="4" w:space="0"/>
            </w:tcBorders>
            <w:noWrap w:val="0"/>
            <w:vAlign w:val="center"/>
          </w:tcPr>
          <w:p w14:paraId="59CCDC04">
            <w:pPr>
              <w:pStyle w:val="28"/>
              <w:rPr>
                <w:color w:val="auto"/>
              </w:rPr>
            </w:pPr>
            <w:r>
              <w:rPr>
                <w:color w:val="auto"/>
              </w:rPr>
              <w:t>执行《水泥工业大气污染物排放标准》（GB4915-2013）表1现有与新建企业大气污染物排放限值中的“水泥仓及其他通风生产设备颗粒物排放浓度：20mg/m</w:t>
            </w:r>
            <w:r>
              <w:rPr>
                <w:color w:val="auto"/>
                <w:vertAlign w:val="superscript"/>
              </w:rPr>
              <w:t>3</w:t>
            </w:r>
            <w:r>
              <w:rPr>
                <w:color w:val="auto"/>
              </w:rPr>
              <w:t>”</w:t>
            </w:r>
          </w:p>
        </w:tc>
      </w:tr>
      <w:tr w14:paraId="0B42E1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96" w:type="pct"/>
            <w:vMerge w:val="continue"/>
            <w:tcBorders>
              <w:left w:val="single" w:color="auto" w:sz="4" w:space="0"/>
            </w:tcBorders>
            <w:noWrap w:val="0"/>
            <w:vAlign w:val="center"/>
          </w:tcPr>
          <w:p w14:paraId="4EB58D81">
            <w:pPr>
              <w:pStyle w:val="28"/>
              <w:rPr>
                <w:color w:val="auto"/>
              </w:rPr>
            </w:pPr>
          </w:p>
        </w:tc>
        <w:tc>
          <w:tcPr>
            <w:tcW w:w="203" w:type="pct"/>
            <w:vMerge w:val="continue"/>
            <w:tcBorders>
              <w:left w:val="single" w:color="auto" w:sz="4" w:space="0"/>
            </w:tcBorders>
            <w:noWrap w:val="0"/>
            <w:vAlign w:val="center"/>
          </w:tcPr>
          <w:p w14:paraId="30BEAAFC">
            <w:pPr>
              <w:pStyle w:val="28"/>
              <w:rPr>
                <w:color w:val="auto"/>
              </w:rPr>
            </w:pPr>
          </w:p>
        </w:tc>
        <w:tc>
          <w:tcPr>
            <w:tcW w:w="554" w:type="pct"/>
            <w:tcBorders>
              <w:top w:val="single" w:color="auto" w:sz="4" w:space="0"/>
              <w:bottom w:val="single" w:color="auto" w:sz="4" w:space="0"/>
            </w:tcBorders>
            <w:noWrap w:val="0"/>
            <w:vAlign w:val="center"/>
          </w:tcPr>
          <w:p w14:paraId="59A72CB2">
            <w:pPr>
              <w:pStyle w:val="28"/>
              <w:rPr>
                <w:color w:val="auto"/>
              </w:rPr>
            </w:pPr>
            <w:r>
              <w:rPr>
                <w:color w:val="auto"/>
              </w:rPr>
              <w:t>生物质锅</w:t>
            </w:r>
          </w:p>
          <w:p w14:paraId="2C049C4C">
            <w:pPr>
              <w:pStyle w:val="28"/>
              <w:rPr>
                <w:color w:val="auto"/>
              </w:rPr>
            </w:pPr>
            <w:r>
              <w:rPr>
                <w:color w:val="auto"/>
              </w:rPr>
              <w:t>炉废气</w:t>
            </w:r>
          </w:p>
        </w:tc>
        <w:tc>
          <w:tcPr>
            <w:tcW w:w="832" w:type="pct"/>
            <w:tcBorders>
              <w:top w:val="single" w:color="auto" w:sz="4" w:space="0"/>
              <w:bottom w:val="single" w:color="auto" w:sz="4" w:space="0"/>
            </w:tcBorders>
            <w:noWrap w:val="0"/>
            <w:vAlign w:val="center"/>
          </w:tcPr>
          <w:p w14:paraId="668B7906">
            <w:pPr>
              <w:pStyle w:val="28"/>
              <w:rPr>
                <w:color w:val="auto"/>
              </w:rPr>
            </w:pPr>
            <w:r>
              <w:rPr>
                <w:rFonts w:hint="eastAsia"/>
                <w:color w:val="auto"/>
              </w:rPr>
              <w:t>颗粒物</w:t>
            </w:r>
          </w:p>
        </w:tc>
        <w:tc>
          <w:tcPr>
            <w:tcW w:w="1935" w:type="pct"/>
            <w:tcBorders>
              <w:top w:val="single" w:color="auto" w:sz="4" w:space="0"/>
              <w:bottom w:val="single" w:color="auto" w:sz="4" w:space="0"/>
            </w:tcBorders>
            <w:noWrap w:val="0"/>
            <w:vAlign w:val="center"/>
          </w:tcPr>
          <w:p w14:paraId="2ACCB239">
            <w:pPr>
              <w:pStyle w:val="28"/>
              <w:rPr>
                <w:color w:val="auto"/>
              </w:rPr>
            </w:pPr>
            <w:r>
              <w:rPr>
                <w:color w:val="auto"/>
              </w:rPr>
              <w:t>布袋除尘器+</w:t>
            </w:r>
            <w:r>
              <w:rPr>
                <w:rFonts w:hint="eastAsia"/>
                <w:color w:val="auto"/>
                <w:lang w:val="en-US" w:eastAsia="zh-CN"/>
              </w:rPr>
              <w:t>1根30m</w:t>
            </w:r>
            <w:r>
              <w:rPr>
                <w:color w:val="auto"/>
              </w:rPr>
              <w:t>排气筒（自编号DA00</w:t>
            </w:r>
            <w:r>
              <w:rPr>
                <w:rFonts w:hint="eastAsia"/>
                <w:color w:val="auto"/>
                <w:lang w:val="en-US" w:eastAsia="zh-CN"/>
              </w:rPr>
              <w:t>1</w:t>
            </w:r>
            <w:r>
              <w:rPr>
                <w:color w:val="auto"/>
              </w:rPr>
              <w:t>）</w:t>
            </w:r>
          </w:p>
        </w:tc>
        <w:tc>
          <w:tcPr>
            <w:tcW w:w="1278" w:type="pct"/>
            <w:tcBorders>
              <w:top w:val="single" w:color="auto" w:sz="4" w:space="0"/>
              <w:bottom w:val="single" w:color="auto" w:sz="4" w:space="0"/>
              <w:right w:val="single" w:color="auto" w:sz="4" w:space="0"/>
            </w:tcBorders>
            <w:noWrap w:val="0"/>
            <w:vAlign w:val="center"/>
          </w:tcPr>
          <w:p w14:paraId="50A5FEAA">
            <w:pPr>
              <w:pStyle w:val="28"/>
              <w:rPr>
                <w:color w:val="auto"/>
              </w:rPr>
            </w:pPr>
            <w:r>
              <w:rPr>
                <w:color w:val="auto"/>
              </w:rPr>
              <w:t>锅炉废气的排放达到《锅炉大气污染物排放标准》（GB13271-2014）中“表2新建锅炉大气污染物排放浓度限值”的要求</w:t>
            </w:r>
          </w:p>
        </w:tc>
      </w:tr>
      <w:tr w14:paraId="3D353E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96" w:type="pct"/>
            <w:vMerge w:val="continue"/>
            <w:tcBorders>
              <w:left w:val="single" w:color="auto" w:sz="4" w:space="0"/>
              <w:bottom w:val="single" w:color="auto" w:sz="4" w:space="0"/>
            </w:tcBorders>
            <w:noWrap w:val="0"/>
            <w:vAlign w:val="center"/>
          </w:tcPr>
          <w:p w14:paraId="078F2877">
            <w:pPr>
              <w:pStyle w:val="28"/>
              <w:rPr>
                <w:color w:val="auto"/>
              </w:rPr>
            </w:pPr>
          </w:p>
        </w:tc>
        <w:tc>
          <w:tcPr>
            <w:tcW w:w="203" w:type="pct"/>
            <w:vMerge w:val="continue"/>
            <w:tcBorders>
              <w:left w:val="single" w:color="auto" w:sz="4" w:space="0"/>
              <w:bottom w:val="single" w:color="auto" w:sz="4" w:space="0"/>
            </w:tcBorders>
            <w:noWrap w:val="0"/>
            <w:vAlign w:val="center"/>
          </w:tcPr>
          <w:p w14:paraId="2236BEF3">
            <w:pPr>
              <w:pStyle w:val="28"/>
              <w:rPr>
                <w:color w:val="auto"/>
              </w:rPr>
            </w:pPr>
          </w:p>
        </w:tc>
        <w:tc>
          <w:tcPr>
            <w:tcW w:w="554" w:type="pct"/>
            <w:tcBorders>
              <w:top w:val="single" w:color="auto" w:sz="4" w:space="0"/>
              <w:bottom w:val="single" w:color="auto" w:sz="4" w:space="0"/>
            </w:tcBorders>
            <w:noWrap w:val="0"/>
            <w:vAlign w:val="center"/>
          </w:tcPr>
          <w:p w14:paraId="5FF29FC7">
            <w:pPr>
              <w:pStyle w:val="28"/>
              <w:rPr>
                <w:color w:val="auto"/>
              </w:rPr>
            </w:pPr>
            <w:r>
              <w:rPr>
                <w:color w:val="auto"/>
              </w:rPr>
              <w:t>员工食堂油烟废气</w:t>
            </w:r>
          </w:p>
        </w:tc>
        <w:tc>
          <w:tcPr>
            <w:tcW w:w="832" w:type="pct"/>
            <w:tcBorders>
              <w:top w:val="single" w:color="auto" w:sz="4" w:space="0"/>
              <w:bottom w:val="single" w:color="auto" w:sz="4" w:space="0"/>
            </w:tcBorders>
            <w:noWrap w:val="0"/>
            <w:vAlign w:val="center"/>
          </w:tcPr>
          <w:p w14:paraId="7340550E">
            <w:pPr>
              <w:pStyle w:val="28"/>
              <w:rPr>
                <w:color w:val="auto"/>
              </w:rPr>
            </w:pPr>
            <w:r>
              <w:rPr>
                <w:rFonts w:hint="eastAsia"/>
                <w:color w:val="auto"/>
              </w:rPr>
              <w:t>油烟</w:t>
            </w:r>
          </w:p>
        </w:tc>
        <w:tc>
          <w:tcPr>
            <w:tcW w:w="1935" w:type="pct"/>
            <w:tcBorders>
              <w:top w:val="single" w:color="auto" w:sz="4" w:space="0"/>
              <w:bottom w:val="single" w:color="auto" w:sz="4" w:space="0"/>
            </w:tcBorders>
            <w:noWrap w:val="0"/>
            <w:vAlign w:val="center"/>
          </w:tcPr>
          <w:p w14:paraId="1A6D0283">
            <w:pPr>
              <w:pStyle w:val="28"/>
              <w:rPr>
                <w:color w:val="auto"/>
              </w:rPr>
            </w:pPr>
            <w:r>
              <w:rPr>
                <w:rFonts w:hint="eastAsia"/>
                <w:color w:val="auto"/>
              </w:rPr>
              <w:t>经油烟净化器</w:t>
            </w:r>
            <w:r>
              <w:rPr>
                <w:rFonts w:hint="eastAsia"/>
                <w:color w:val="auto"/>
                <w:lang w:eastAsia="zh-CN"/>
              </w:rPr>
              <w:t>（</w:t>
            </w:r>
            <w:r>
              <w:rPr>
                <w:rFonts w:hint="eastAsia"/>
                <w:color w:val="auto"/>
                <w:lang w:val="en-US" w:eastAsia="zh-CN"/>
              </w:rPr>
              <w:t>净化效率为75%</w:t>
            </w:r>
            <w:r>
              <w:rPr>
                <w:rFonts w:hint="eastAsia"/>
                <w:color w:val="auto"/>
                <w:lang w:eastAsia="zh-CN"/>
              </w:rPr>
              <w:t>）</w:t>
            </w:r>
            <w:r>
              <w:rPr>
                <w:rFonts w:hint="eastAsia"/>
                <w:color w:val="auto"/>
              </w:rPr>
              <w:t>处理后由</w:t>
            </w:r>
            <w:r>
              <w:rPr>
                <w:color w:val="auto"/>
              </w:rPr>
              <w:t>烟管引至室外排放</w:t>
            </w:r>
          </w:p>
        </w:tc>
        <w:tc>
          <w:tcPr>
            <w:tcW w:w="1278" w:type="pct"/>
            <w:tcBorders>
              <w:top w:val="single" w:color="auto" w:sz="4" w:space="0"/>
              <w:bottom w:val="single" w:color="auto" w:sz="4" w:space="0"/>
              <w:right w:val="single" w:color="auto" w:sz="4" w:space="0"/>
            </w:tcBorders>
            <w:noWrap w:val="0"/>
            <w:vAlign w:val="center"/>
          </w:tcPr>
          <w:p w14:paraId="3268898B">
            <w:pPr>
              <w:pStyle w:val="28"/>
              <w:rPr>
                <w:color w:val="auto"/>
              </w:rPr>
            </w:pPr>
            <w:r>
              <w:rPr>
                <w:color w:val="auto"/>
              </w:rPr>
              <w:t>达到《饮食业油烟排放标准》（GB18483-2001）的最高允许排放浓度2.0mg/m³</w:t>
            </w:r>
          </w:p>
        </w:tc>
      </w:tr>
      <w:tr w14:paraId="5D99C7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00" w:type="pct"/>
            <w:gridSpan w:val="2"/>
            <w:tcBorders>
              <w:top w:val="single" w:color="auto" w:sz="4" w:space="0"/>
              <w:left w:val="single" w:color="auto" w:sz="4" w:space="0"/>
              <w:bottom w:val="single" w:color="auto" w:sz="4" w:space="0"/>
            </w:tcBorders>
            <w:noWrap w:val="0"/>
            <w:vAlign w:val="center"/>
          </w:tcPr>
          <w:p w14:paraId="1231E2F2">
            <w:pPr>
              <w:pStyle w:val="28"/>
              <w:rPr>
                <w:color w:val="auto"/>
              </w:rPr>
            </w:pPr>
            <w:r>
              <w:rPr>
                <w:color w:val="auto"/>
              </w:rPr>
              <w:t>地表水</w:t>
            </w:r>
          </w:p>
          <w:p w14:paraId="0D789F12">
            <w:pPr>
              <w:pStyle w:val="28"/>
              <w:rPr>
                <w:color w:val="auto"/>
              </w:rPr>
            </w:pPr>
            <w:r>
              <w:rPr>
                <w:color w:val="auto"/>
              </w:rPr>
              <w:t>环境</w:t>
            </w:r>
          </w:p>
        </w:tc>
        <w:tc>
          <w:tcPr>
            <w:tcW w:w="554" w:type="pct"/>
            <w:tcBorders>
              <w:top w:val="single" w:color="auto" w:sz="4" w:space="0"/>
              <w:bottom w:val="single" w:color="auto" w:sz="4" w:space="0"/>
            </w:tcBorders>
            <w:noWrap w:val="0"/>
            <w:vAlign w:val="center"/>
          </w:tcPr>
          <w:p w14:paraId="06CB4CCD">
            <w:pPr>
              <w:pStyle w:val="28"/>
              <w:rPr>
                <w:color w:val="auto"/>
              </w:rPr>
            </w:pPr>
            <w:r>
              <w:rPr>
                <w:color w:val="auto"/>
              </w:rPr>
              <w:t>/</w:t>
            </w:r>
          </w:p>
        </w:tc>
        <w:tc>
          <w:tcPr>
            <w:tcW w:w="832" w:type="pct"/>
            <w:tcBorders>
              <w:top w:val="single" w:color="auto" w:sz="4" w:space="0"/>
              <w:bottom w:val="single" w:color="auto" w:sz="4" w:space="0"/>
            </w:tcBorders>
            <w:noWrap w:val="0"/>
            <w:vAlign w:val="center"/>
          </w:tcPr>
          <w:p w14:paraId="50BE75B8">
            <w:pPr>
              <w:pStyle w:val="28"/>
              <w:rPr>
                <w:color w:val="auto"/>
              </w:rPr>
            </w:pPr>
            <w:r>
              <w:rPr>
                <w:color w:val="auto"/>
              </w:rPr>
              <w:t>pH、化学需氧量（COD）、BOD5、悬浮物（SS）、氨氮</w:t>
            </w:r>
          </w:p>
        </w:tc>
        <w:tc>
          <w:tcPr>
            <w:tcW w:w="1935" w:type="pct"/>
            <w:tcBorders>
              <w:top w:val="single" w:color="auto" w:sz="4" w:space="0"/>
              <w:bottom w:val="single" w:color="auto" w:sz="4" w:space="0"/>
            </w:tcBorders>
            <w:noWrap w:val="0"/>
            <w:vAlign w:val="center"/>
          </w:tcPr>
          <w:p w14:paraId="4B242CA6">
            <w:pPr>
              <w:pStyle w:val="28"/>
              <w:rPr>
                <w:rFonts w:hint="eastAsia"/>
                <w:color w:val="auto"/>
              </w:rPr>
            </w:pPr>
            <w:r>
              <w:rPr>
                <w:rFonts w:hint="eastAsia"/>
                <w:color w:val="auto"/>
              </w:rPr>
              <w:t>项目施工期废水经临时沉淀池处理后回用于洒水降尘。</w:t>
            </w:r>
          </w:p>
          <w:p w14:paraId="21964D21">
            <w:pPr>
              <w:pStyle w:val="28"/>
              <w:rPr>
                <w:color w:val="auto"/>
              </w:rPr>
            </w:pPr>
            <w:r>
              <w:rPr>
                <w:color w:val="auto"/>
              </w:rPr>
              <w:t>项目运营期实行雨、污分流，雨水经</w:t>
            </w:r>
            <w:r>
              <w:rPr>
                <w:rFonts w:hint="eastAsia"/>
                <w:color w:val="auto"/>
                <w:lang w:val="en-US" w:eastAsia="zh-CN"/>
              </w:rPr>
              <w:t>初期雨水收集池</w:t>
            </w:r>
            <w:r>
              <w:rPr>
                <w:color w:val="auto"/>
              </w:rPr>
              <w:t>（</w:t>
            </w:r>
            <w:r>
              <w:rPr>
                <w:rFonts w:hint="eastAsia"/>
                <w:color w:val="auto"/>
                <w:lang w:val="en-US" w:eastAsia="zh-CN"/>
              </w:rPr>
              <w:t>45</w:t>
            </w:r>
            <w:r>
              <w:rPr>
                <w:color w:val="auto"/>
              </w:rPr>
              <w:t>m</w:t>
            </w:r>
            <w:r>
              <w:rPr>
                <w:color w:val="auto"/>
                <w:vertAlign w:val="superscript"/>
              </w:rPr>
              <w:t>3</w:t>
            </w:r>
            <w:r>
              <w:rPr>
                <w:color w:val="auto"/>
              </w:rPr>
              <w:t>）收集沉淀后回用于搅拌工序</w:t>
            </w:r>
            <w:r>
              <w:rPr>
                <w:rFonts w:hint="eastAsia"/>
                <w:color w:val="auto"/>
              </w:rPr>
              <w:t>，后期雨水经导流沟外排</w:t>
            </w:r>
            <w:r>
              <w:rPr>
                <w:rFonts w:hint="eastAsia"/>
                <w:color w:val="auto"/>
                <w:lang w:eastAsia="zh-CN"/>
              </w:rPr>
              <w:t>；</w:t>
            </w:r>
            <w:r>
              <w:rPr>
                <w:rFonts w:hint="eastAsia"/>
                <w:color w:val="auto"/>
                <w:szCs w:val="21"/>
                <w:lang w:val="en-US" w:eastAsia="zh-CN" w:bidi="ar"/>
              </w:rPr>
              <w:t>本项目</w:t>
            </w:r>
            <w:r>
              <w:rPr>
                <w:rFonts w:hint="eastAsia"/>
                <w:color w:val="auto"/>
              </w:rPr>
              <w:t>生产废水</w:t>
            </w:r>
            <w:r>
              <w:rPr>
                <w:rFonts w:hint="eastAsia"/>
                <w:color w:val="auto"/>
                <w:lang w:val="en-US" w:eastAsia="zh-CN"/>
              </w:rPr>
              <w:t>主要为试验区废水、锅炉清净水、搅拌机清洗废水及罐车清洗废水</w:t>
            </w:r>
            <w:r>
              <w:rPr>
                <w:rFonts w:hint="eastAsia"/>
                <w:color w:val="auto"/>
              </w:rPr>
              <w:t>，</w:t>
            </w:r>
            <w:r>
              <w:rPr>
                <w:rFonts w:hint="eastAsia"/>
                <w:color w:val="auto"/>
                <w:lang w:val="en-US" w:eastAsia="zh-CN"/>
              </w:rPr>
              <w:t>其中搅拌机清洗废水及锅炉清净水排入四级沉淀池处理后回用于混凝土搅拌；试验区废水排入三级沉淀池处理后回用于混凝土搅拌；罐车清洗废水排入五级沉淀池处理后回用于混凝土搅拌，生产废水均用于混凝土搅拌，不外排；</w:t>
            </w:r>
            <w:r>
              <w:rPr>
                <w:rFonts w:hint="eastAsia"/>
                <w:color w:val="auto"/>
              </w:rPr>
              <w:t>食堂废水</w:t>
            </w:r>
            <w:r>
              <w:rPr>
                <w:rFonts w:hint="eastAsia"/>
                <w:color w:val="auto"/>
                <w:lang w:val="en-US" w:eastAsia="zh-CN"/>
              </w:rPr>
              <w:t>及</w:t>
            </w:r>
            <w:r>
              <w:rPr>
                <w:rFonts w:hint="eastAsia"/>
                <w:color w:val="auto"/>
              </w:rPr>
              <w:t>其他生活污水</w:t>
            </w:r>
            <w:r>
              <w:rPr>
                <w:rFonts w:hint="eastAsia"/>
                <w:color w:val="auto"/>
                <w:lang w:val="en-US" w:eastAsia="zh-CN"/>
              </w:rPr>
              <w:t>排</w:t>
            </w:r>
            <w:r>
              <w:rPr>
                <w:rFonts w:hint="eastAsia"/>
                <w:color w:val="auto"/>
              </w:rPr>
              <w:t>入</w:t>
            </w:r>
            <w:r>
              <w:rPr>
                <w:rFonts w:hint="eastAsia"/>
                <w:color w:val="auto"/>
                <w:lang w:val="en-US" w:eastAsia="zh-CN"/>
              </w:rPr>
              <w:t>化粪池处理后委托</w:t>
            </w:r>
            <w:r>
              <w:rPr>
                <w:rFonts w:hint="eastAsia"/>
                <w:color w:val="auto"/>
                <w:szCs w:val="21"/>
                <w:lang w:val="en-US" w:eastAsia="zh-CN"/>
              </w:rPr>
              <w:t>昆明洁龙保洁服务有限公司</w:t>
            </w:r>
            <w:r>
              <w:rPr>
                <w:color w:val="auto"/>
                <w:szCs w:val="21"/>
              </w:rPr>
              <w:t>定期</w:t>
            </w:r>
            <w:r>
              <w:rPr>
                <w:rFonts w:hint="eastAsia"/>
                <w:color w:val="auto"/>
                <w:szCs w:val="21"/>
              </w:rPr>
              <w:t>清掏</w:t>
            </w:r>
            <w:r>
              <w:rPr>
                <w:rFonts w:hint="eastAsia"/>
                <w:b w:val="0"/>
                <w:bCs w:val="0"/>
                <w:color w:val="auto"/>
                <w:kern w:val="44"/>
                <w:sz w:val="21"/>
                <w:szCs w:val="21"/>
                <w:lang w:eastAsia="zh-CN"/>
              </w:rPr>
              <w:t>，</w:t>
            </w:r>
            <w:r>
              <w:rPr>
                <w:rFonts w:hint="eastAsia"/>
                <w:b w:val="0"/>
                <w:bCs w:val="0"/>
                <w:color w:val="auto"/>
                <w:kern w:val="44"/>
                <w:sz w:val="21"/>
                <w:szCs w:val="21"/>
                <w:lang w:val="en-US" w:eastAsia="zh-CN"/>
              </w:rPr>
              <w:t>不设排放标准</w:t>
            </w:r>
            <w:r>
              <w:rPr>
                <w:color w:val="auto"/>
                <w:sz w:val="21"/>
                <w:szCs w:val="21"/>
              </w:rPr>
              <w:t>。</w:t>
            </w:r>
          </w:p>
        </w:tc>
        <w:tc>
          <w:tcPr>
            <w:tcW w:w="1278" w:type="pct"/>
            <w:tcBorders>
              <w:top w:val="single" w:color="auto" w:sz="4" w:space="0"/>
              <w:bottom w:val="single" w:color="auto" w:sz="4" w:space="0"/>
              <w:right w:val="single" w:color="auto" w:sz="4" w:space="0"/>
            </w:tcBorders>
            <w:noWrap w:val="0"/>
            <w:vAlign w:val="center"/>
          </w:tcPr>
          <w:p w14:paraId="30FEF2A9">
            <w:pPr>
              <w:pStyle w:val="28"/>
              <w:rPr>
                <w:rFonts w:hint="eastAsia" w:eastAsia="宋体"/>
                <w:color w:val="auto"/>
                <w:lang w:val="en-US" w:eastAsia="zh-CN"/>
              </w:rPr>
            </w:pPr>
            <w:r>
              <w:rPr>
                <w:rFonts w:hint="eastAsia"/>
                <w:color w:val="auto"/>
                <w:lang w:val="en-US" w:eastAsia="zh-CN"/>
              </w:rPr>
              <w:t>/</w:t>
            </w:r>
          </w:p>
        </w:tc>
      </w:tr>
      <w:tr w14:paraId="6354E3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00" w:type="pct"/>
            <w:gridSpan w:val="2"/>
            <w:tcBorders>
              <w:top w:val="single" w:color="auto" w:sz="4" w:space="0"/>
              <w:left w:val="single" w:color="auto" w:sz="4" w:space="0"/>
              <w:bottom w:val="single" w:color="auto" w:sz="4" w:space="0"/>
            </w:tcBorders>
            <w:noWrap w:val="0"/>
            <w:vAlign w:val="center"/>
          </w:tcPr>
          <w:p w14:paraId="1E9FA897">
            <w:pPr>
              <w:pStyle w:val="28"/>
              <w:rPr>
                <w:color w:val="auto"/>
              </w:rPr>
            </w:pPr>
            <w:r>
              <w:rPr>
                <w:color w:val="auto"/>
              </w:rPr>
              <w:t>声环境</w:t>
            </w:r>
          </w:p>
        </w:tc>
        <w:tc>
          <w:tcPr>
            <w:tcW w:w="554" w:type="pct"/>
            <w:tcBorders>
              <w:top w:val="single" w:color="auto" w:sz="4" w:space="0"/>
              <w:bottom w:val="single" w:color="auto" w:sz="4" w:space="0"/>
            </w:tcBorders>
            <w:noWrap w:val="0"/>
            <w:vAlign w:val="center"/>
          </w:tcPr>
          <w:p w14:paraId="0F0D8FF6">
            <w:pPr>
              <w:pStyle w:val="28"/>
              <w:rPr>
                <w:color w:val="auto"/>
              </w:rPr>
            </w:pPr>
            <w:r>
              <w:rPr>
                <w:color w:val="auto"/>
              </w:rPr>
              <w:t>机械噪声、车辆噪声</w:t>
            </w:r>
          </w:p>
        </w:tc>
        <w:tc>
          <w:tcPr>
            <w:tcW w:w="832" w:type="pct"/>
            <w:tcBorders>
              <w:top w:val="single" w:color="auto" w:sz="4" w:space="0"/>
              <w:bottom w:val="single" w:color="auto" w:sz="4" w:space="0"/>
            </w:tcBorders>
            <w:noWrap w:val="0"/>
            <w:vAlign w:val="center"/>
          </w:tcPr>
          <w:p w14:paraId="0B416C8F">
            <w:pPr>
              <w:pStyle w:val="28"/>
              <w:rPr>
                <w:color w:val="auto"/>
              </w:rPr>
            </w:pPr>
            <w:r>
              <w:rPr>
                <w:color w:val="auto"/>
              </w:rPr>
              <w:t>噪声</w:t>
            </w:r>
          </w:p>
        </w:tc>
        <w:tc>
          <w:tcPr>
            <w:tcW w:w="1935" w:type="pct"/>
            <w:tcBorders>
              <w:top w:val="single" w:color="auto" w:sz="4" w:space="0"/>
              <w:bottom w:val="single" w:color="auto" w:sz="4" w:space="0"/>
            </w:tcBorders>
            <w:noWrap w:val="0"/>
            <w:vAlign w:val="center"/>
          </w:tcPr>
          <w:p w14:paraId="73E6D43B">
            <w:pPr>
              <w:pStyle w:val="28"/>
              <w:rPr>
                <w:color w:val="auto"/>
              </w:rPr>
            </w:pPr>
            <w:r>
              <w:rPr>
                <w:color w:val="auto"/>
              </w:rPr>
              <w:t>主要采用建筑隔声、基础减振等降噪措施，减速慢行，加强设备维护</w:t>
            </w:r>
          </w:p>
        </w:tc>
        <w:tc>
          <w:tcPr>
            <w:tcW w:w="1278" w:type="pct"/>
            <w:tcBorders>
              <w:top w:val="single" w:color="auto" w:sz="4" w:space="0"/>
              <w:bottom w:val="single" w:color="auto" w:sz="4" w:space="0"/>
              <w:right w:val="single" w:color="auto" w:sz="4" w:space="0"/>
            </w:tcBorders>
            <w:noWrap w:val="0"/>
            <w:vAlign w:val="center"/>
          </w:tcPr>
          <w:p w14:paraId="0DE0BF43">
            <w:pPr>
              <w:pStyle w:val="28"/>
              <w:rPr>
                <w:color w:val="auto"/>
              </w:rPr>
            </w:pPr>
            <w:r>
              <w:rPr>
                <w:color w:val="auto"/>
              </w:rPr>
              <w:t>达到《工业企业厂界环境噪声排放标准》2类区标准要求</w:t>
            </w:r>
          </w:p>
        </w:tc>
      </w:tr>
      <w:tr w14:paraId="78837D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00" w:type="pct"/>
            <w:gridSpan w:val="2"/>
            <w:tcBorders>
              <w:top w:val="single" w:color="auto" w:sz="4" w:space="0"/>
              <w:left w:val="single" w:color="auto" w:sz="4" w:space="0"/>
              <w:bottom w:val="single" w:color="auto" w:sz="4" w:space="0"/>
            </w:tcBorders>
            <w:noWrap w:val="0"/>
            <w:vAlign w:val="center"/>
          </w:tcPr>
          <w:p w14:paraId="17ECB85C">
            <w:pPr>
              <w:pStyle w:val="28"/>
              <w:rPr>
                <w:color w:val="auto"/>
              </w:rPr>
            </w:pPr>
            <w:r>
              <w:rPr>
                <w:color w:val="auto"/>
              </w:rPr>
              <w:t>电磁辐射</w:t>
            </w:r>
          </w:p>
        </w:tc>
        <w:tc>
          <w:tcPr>
            <w:tcW w:w="554" w:type="pct"/>
            <w:tcBorders>
              <w:top w:val="single" w:color="auto" w:sz="4" w:space="0"/>
              <w:bottom w:val="single" w:color="auto" w:sz="4" w:space="0"/>
            </w:tcBorders>
            <w:noWrap w:val="0"/>
            <w:vAlign w:val="center"/>
          </w:tcPr>
          <w:p w14:paraId="42685C8D">
            <w:pPr>
              <w:pStyle w:val="28"/>
              <w:rPr>
                <w:color w:val="auto"/>
              </w:rPr>
            </w:pPr>
            <w:r>
              <w:rPr>
                <w:color w:val="auto"/>
              </w:rPr>
              <w:t>/</w:t>
            </w:r>
          </w:p>
        </w:tc>
        <w:tc>
          <w:tcPr>
            <w:tcW w:w="832" w:type="pct"/>
            <w:tcBorders>
              <w:top w:val="single" w:color="auto" w:sz="4" w:space="0"/>
              <w:bottom w:val="single" w:color="auto" w:sz="4" w:space="0"/>
            </w:tcBorders>
            <w:noWrap w:val="0"/>
            <w:vAlign w:val="center"/>
          </w:tcPr>
          <w:p w14:paraId="6D382741">
            <w:pPr>
              <w:pStyle w:val="28"/>
              <w:rPr>
                <w:color w:val="auto"/>
              </w:rPr>
            </w:pPr>
            <w:r>
              <w:rPr>
                <w:color w:val="auto"/>
              </w:rPr>
              <w:t>/</w:t>
            </w:r>
          </w:p>
        </w:tc>
        <w:tc>
          <w:tcPr>
            <w:tcW w:w="1935" w:type="pct"/>
            <w:tcBorders>
              <w:top w:val="single" w:color="auto" w:sz="4" w:space="0"/>
              <w:bottom w:val="single" w:color="auto" w:sz="4" w:space="0"/>
            </w:tcBorders>
            <w:noWrap w:val="0"/>
            <w:vAlign w:val="center"/>
          </w:tcPr>
          <w:p w14:paraId="42C3EDA4">
            <w:pPr>
              <w:pStyle w:val="28"/>
              <w:rPr>
                <w:color w:val="auto"/>
              </w:rPr>
            </w:pPr>
            <w:r>
              <w:rPr>
                <w:color w:val="auto"/>
              </w:rPr>
              <w:t>/</w:t>
            </w:r>
          </w:p>
        </w:tc>
        <w:tc>
          <w:tcPr>
            <w:tcW w:w="1278" w:type="pct"/>
            <w:tcBorders>
              <w:top w:val="single" w:color="auto" w:sz="4" w:space="0"/>
              <w:bottom w:val="single" w:color="auto" w:sz="4" w:space="0"/>
              <w:right w:val="single" w:color="auto" w:sz="4" w:space="0"/>
            </w:tcBorders>
            <w:noWrap w:val="0"/>
            <w:vAlign w:val="center"/>
          </w:tcPr>
          <w:p w14:paraId="5D25E9D3">
            <w:pPr>
              <w:pStyle w:val="28"/>
              <w:rPr>
                <w:color w:val="auto"/>
              </w:rPr>
            </w:pPr>
            <w:r>
              <w:rPr>
                <w:color w:val="auto"/>
              </w:rPr>
              <w:t>/</w:t>
            </w:r>
          </w:p>
        </w:tc>
      </w:tr>
      <w:tr w14:paraId="38E199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400" w:type="pct"/>
            <w:gridSpan w:val="2"/>
            <w:tcBorders>
              <w:top w:val="single" w:color="auto" w:sz="4" w:space="0"/>
              <w:left w:val="single" w:color="auto" w:sz="4" w:space="0"/>
              <w:bottom w:val="single" w:color="auto" w:sz="4" w:space="0"/>
              <w:right w:val="single" w:color="auto" w:sz="4" w:space="0"/>
            </w:tcBorders>
            <w:noWrap w:val="0"/>
            <w:vAlign w:val="center"/>
          </w:tcPr>
          <w:p w14:paraId="0B1B7840">
            <w:pPr>
              <w:pStyle w:val="28"/>
              <w:rPr>
                <w:color w:val="auto"/>
              </w:rPr>
            </w:pPr>
            <w:r>
              <w:rPr>
                <w:color w:val="auto"/>
              </w:rPr>
              <w:t>固体废物</w:t>
            </w:r>
          </w:p>
        </w:tc>
        <w:tc>
          <w:tcPr>
            <w:tcW w:w="4599" w:type="pct"/>
            <w:gridSpan w:val="4"/>
            <w:tcBorders>
              <w:top w:val="single" w:color="auto" w:sz="4" w:space="0"/>
              <w:left w:val="single" w:color="auto" w:sz="4" w:space="0"/>
              <w:bottom w:val="single" w:color="auto" w:sz="4" w:space="0"/>
              <w:right w:val="single" w:color="auto" w:sz="4" w:space="0"/>
            </w:tcBorders>
            <w:noWrap w:val="0"/>
            <w:vAlign w:val="center"/>
          </w:tcPr>
          <w:p w14:paraId="17522994">
            <w:pPr>
              <w:pStyle w:val="28"/>
              <w:rPr>
                <w:rFonts w:hint="eastAsia" w:eastAsia="宋体"/>
                <w:color w:val="auto"/>
                <w:lang w:eastAsia="zh-CN"/>
              </w:rPr>
            </w:pPr>
            <w:r>
              <w:rPr>
                <w:color w:val="auto"/>
              </w:rPr>
              <w:t>一般固废：</w:t>
            </w:r>
            <w:r>
              <w:rPr>
                <w:rFonts w:hint="eastAsia"/>
                <w:color w:val="auto"/>
              </w:rPr>
              <w:t>①</w:t>
            </w:r>
            <w:r>
              <w:rPr>
                <w:rFonts w:hint="eastAsia"/>
                <w:color w:val="auto"/>
                <w:lang w:val="en-US" w:eastAsia="zh-CN"/>
              </w:rPr>
              <w:t>生活垃圾</w:t>
            </w:r>
            <w:r>
              <w:rPr>
                <w:color w:val="auto"/>
              </w:rPr>
              <w:t>集中收集</w:t>
            </w:r>
            <w:r>
              <w:rPr>
                <w:rFonts w:hint="eastAsia"/>
                <w:color w:val="auto"/>
                <w:lang w:val="en-US" w:eastAsia="zh-CN"/>
              </w:rPr>
              <w:t>于一般固废区由昆明洁龙保洁服务有限公司</w:t>
            </w:r>
            <w:r>
              <w:rPr>
                <w:rFonts w:hint="eastAsia"/>
                <w:color w:val="auto"/>
              </w:rPr>
              <w:t>清运处置</w:t>
            </w:r>
            <w:r>
              <w:rPr>
                <w:color w:val="auto"/>
              </w:rPr>
              <w:t>；</w:t>
            </w:r>
            <w:r>
              <w:rPr>
                <w:rFonts w:hint="eastAsia"/>
                <w:color w:val="auto"/>
              </w:rPr>
              <w:t>②</w:t>
            </w:r>
            <w:r>
              <w:rPr>
                <w:rFonts w:hint="eastAsia"/>
                <w:color w:val="auto"/>
                <w:lang w:val="en-US" w:eastAsia="zh-CN"/>
              </w:rPr>
              <w:t>化粪池污泥</w:t>
            </w:r>
            <w:r>
              <w:rPr>
                <w:rFonts w:hint="eastAsia"/>
                <w:color w:val="auto"/>
              </w:rPr>
              <w:t>委托</w:t>
            </w:r>
            <w:r>
              <w:rPr>
                <w:rFonts w:hint="eastAsia"/>
                <w:color w:val="auto"/>
                <w:lang w:val="en-US" w:eastAsia="zh-CN"/>
              </w:rPr>
              <w:t>昆明洁龙保洁服务有限公司清掏后</w:t>
            </w:r>
            <w:r>
              <w:rPr>
                <w:rFonts w:hint="eastAsia"/>
                <w:color w:val="auto"/>
              </w:rPr>
              <w:t>清运处置；</w:t>
            </w:r>
            <w:r>
              <w:rPr>
                <w:rFonts w:hint="eastAsia" w:ascii="GWZT-EN" w:hAnsi="GWZT-EN" w:eastAsia="GWZT-EN" w:cs="GWZT-EN"/>
                <w:color w:val="auto"/>
              </w:rPr>
              <w:t>③</w:t>
            </w:r>
            <w:r>
              <w:rPr>
                <w:rFonts w:hint="eastAsia"/>
                <w:color w:val="auto"/>
              </w:rPr>
              <w:t>食堂泔水和油水分离器废油经收集后委托环卫部门清运处置；</w:t>
            </w:r>
            <w:r>
              <w:rPr>
                <w:rFonts w:hint="eastAsia" w:ascii="微软雅黑" w:hAnsi="微软雅黑" w:eastAsia="微软雅黑" w:cs="微软雅黑"/>
                <w:color w:val="auto"/>
              </w:rPr>
              <w:t>④</w:t>
            </w:r>
            <w:r>
              <w:rPr>
                <w:color w:val="auto"/>
              </w:rPr>
              <w:t>废钢筋边角料经定期收集后，收集后外售给废旧资源回收单位；</w:t>
            </w:r>
            <w:r>
              <w:rPr>
                <w:rFonts w:hint="eastAsia" w:ascii="微软雅黑" w:hAnsi="微软雅黑" w:eastAsia="微软雅黑" w:cs="微软雅黑"/>
                <w:color w:val="auto"/>
              </w:rPr>
              <w:t>⑤</w:t>
            </w:r>
            <w:r>
              <w:rPr>
                <w:color w:val="auto"/>
              </w:rPr>
              <w:t>不合格产品经粉碎后</w:t>
            </w:r>
            <w:r>
              <w:rPr>
                <w:rFonts w:hint="eastAsia"/>
                <w:color w:val="auto"/>
              </w:rPr>
              <w:t>回用于轨枕生产</w:t>
            </w:r>
            <w:r>
              <w:rPr>
                <w:color w:val="auto"/>
              </w:rPr>
              <w:t>；</w:t>
            </w:r>
            <w:r>
              <w:rPr>
                <w:rFonts w:hint="eastAsia" w:ascii="微软雅黑" w:hAnsi="微软雅黑" w:eastAsia="微软雅黑" w:cs="微软雅黑"/>
                <w:color w:val="auto"/>
              </w:rPr>
              <w:t>⑥</w:t>
            </w:r>
            <w:r>
              <w:rPr>
                <w:color w:val="auto"/>
              </w:rPr>
              <w:t>除尘器收集粉尘经定期收集后，回用于混凝土搅拌工序；</w:t>
            </w:r>
            <w:r>
              <w:rPr>
                <w:rFonts w:hint="default" w:ascii="Times New Roman" w:hAnsi="Times New Roman" w:eastAsia="微软雅黑" w:cs="Times New Roman"/>
                <w:color w:val="auto"/>
              </w:rPr>
              <w:t>⑦</w:t>
            </w:r>
            <w:r>
              <w:rPr>
                <w:color w:val="auto"/>
              </w:rPr>
              <w:t>模具残留混凝土返回</w:t>
            </w:r>
            <w:r>
              <w:rPr>
                <w:rFonts w:hint="eastAsia"/>
                <w:color w:val="auto"/>
              </w:rPr>
              <w:t>轨枕生产；</w:t>
            </w:r>
            <w:r>
              <w:rPr>
                <w:rFonts w:hint="eastAsia" w:ascii="微软雅黑" w:hAnsi="微软雅黑" w:eastAsia="微软雅黑" w:cs="微软雅黑"/>
                <w:color w:val="auto"/>
              </w:rPr>
              <w:t>⑧</w:t>
            </w:r>
            <w:r>
              <w:rPr>
                <w:rFonts w:hint="eastAsia"/>
                <w:color w:val="auto"/>
              </w:rPr>
              <w:t>委托</w:t>
            </w:r>
            <w:r>
              <w:rPr>
                <w:rFonts w:hint="eastAsia"/>
                <w:color w:val="auto"/>
                <w:lang w:val="en-US" w:eastAsia="zh-CN"/>
              </w:rPr>
              <w:t>昆明洁龙保洁服务有限公司</w:t>
            </w:r>
            <w:r>
              <w:rPr>
                <w:rFonts w:hint="eastAsia"/>
                <w:color w:val="auto"/>
              </w:rPr>
              <w:t>清运处置；</w:t>
            </w:r>
            <w:r>
              <w:rPr>
                <w:color w:val="auto"/>
              </w:rPr>
              <w:fldChar w:fldCharType="begin"/>
            </w:r>
            <w:r>
              <w:rPr>
                <w:color w:val="auto"/>
              </w:rPr>
              <w:instrText xml:space="preserve"> </w:instrText>
            </w:r>
            <w:r>
              <w:rPr>
                <w:rFonts w:hint="eastAsia"/>
                <w:color w:val="auto"/>
              </w:rPr>
              <w:instrText xml:space="preserve">= 10 \* GB3</w:instrText>
            </w:r>
            <w:r>
              <w:rPr>
                <w:color w:val="auto"/>
              </w:rPr>
              <w:instrText xml:space="preserve"> </w:instrText>
            </w:r>
            <w:r>
              <w:rPr>
                <w:color w:val="auto"/>
              </w:rPr>
              <w:fldChar w:fldCharType="separate"/>
            </w:r>
            <w:r>
              <w:rPr>
                <w:rFonts w:hint="eastAsia"/>
                <w:color w:val="auto"/>
              </w:rPr>
              <w:t>⑩</w:t>
            </w:r>
            <w:r>
              <w:rPr>
                <w:color w:val="auto"/>
              </w:rPr>
              <w:fldChar w:fldCharType="end"/>
            </w:r>
            <w:r>
              <w:rPr>
                <w:rFonts w:hint="eastAsia"/>
                <w:color w:val="auto"/>
                <w:lang w:val="en-US" w:eastAsia="zh-CN"/>
              </w:rPr>
              <w:t>各</w:t>
            </w:r>
            <w:r>
              <w:rPr>
                <w:rFonts w:hint="eastAsia"/>
                <w:color w:val="auto"/>
              </w:rPr>
              <w:t>沉淀池沉渣：</w:t>
            </w:r>
            <w:r>
              <w:rPr>
                <w:rFonts w:hint="eastAsia"/>
                <w:color w:val="auto"/>
                <w:szCs w:val="21"/>
                <w:lang w:val="en-US" w:eastAsia="zh-CN"/>
              </w:rPr>
              <w:t>定期清掏进行填埋处置。</w:t>
            </w:r>
          </w:p>
          <w:p w14:paraId="310161CA">
            <w:pPr>
              <w:pStyle w:val="28"/>
              <w:rPr>
                <w:color w:val="auto"/>
              </w:rPr>
            </w:pPr>
            <w:r>
              <w:rPr>
                <w:color w:val="auto"/>
              </w:rPr>
              <w:t>危险固废：废机油和废机油桶暂存于危废暂存间，定期委托资质单位进行妥善处置。</w:t>
            </w:r>
          </w:p>
        </w:tc>
      </w:tr>
      <w:tr w14:paraId="038134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400" w:type="pct"/>
            <w:gridSpan w:val="2"/>
            <w:tcBorders>
              <w:top w:val="single" w:color="auto" w:sz="4" w:space="0"/>
              <w:left w:val="single" w:color="auto" w:sz="4" w:space="0"/>
              <w:bottom w:val="single" w:color="auto" w:sz="4" w:space="0"/>
              <w:right w:val="single" w:color="auto" w:sz="4" w:space="0"/>
            </w:tcBorders>
            <w:noWrap w:val="0"/>
            <w:vAlign w:val="center"/>
          </w:tcPr>
          <w:p w14:paraId="2ABFAE7E">
            <w:pPr>
              <w:pStyle w:val="28"/>
              <w:rPr>
                <w:color w:val="auto"/>
              </w:rPr>
            </w:pPr>
            <w:r>
              <w:rPr>
                <w:color w:val="auto"/>
              </w:rPr>
              <w:t>土壤及地下水污染防治措施</w:t>
            </w:r>
          </w:p>
        </w:tc>
        <w:tc>
          <w:tcPr>
            <w:tcW w:w="4599" w:type="pct"/>
            <w:gridSpan w:val="4"/>
            <w:tcBorders>
              <w:top w:val="single" w:color="auto" w:sz="4" w:space="0"/>
              <w:left w:val="single" w:color="auto" w:sz="4" w:space="0"/>
              <w:bottom w:val="single" w:color="auto" w:sz="4" w:space="0"/>
              <w:right w:val="single" w:color="auto" w:sz="4" w:space="0"/>
            </w:tcBorders>
            <w:noWrap w:val="0"/>
            <w:vAlign w:val="center"/>
          </w:tcPr>
          <w:p w14:paraId="1CB2C2CE">
            <w:pPr>
              <w:pStyle w:val="28"/>
              <w:jc w:val="both"/>
              <w:rPr>
                <w:color w:val="auto"/>
              </w:rPr>
            </w:pPr>
            <w:r>
              <w:rPr>
                <w:color w:val="auto"/>
              </w:rPr>
              <w:t>加强管理，减少跑、冒、滴、漏，减少污水进入土壤。将厂区划分为重点防渗区、一般防渗区和简单防渗区。</w:t>
            </w:r>
          </w:p>
          <w:p w14:paraId="533D2047">
            <w:pPr>
              <w:pStyle w:val="28"/>
              <w:jc w:val="both"/>
              <w:rPr>
                <w:rFonts w:hint="eastAsia"/>
                <w:color w:val="auto"/>
              </w:rPr>
            </w:pPr>
            <w:r>
              <w:rPr>
                <w:rFonts w:hint="eastAsia"/>
                <w:color w:val="auto"/>
              </w:rPr>
              <w:t>①重点防渗区：</w:t>
            </w:r>
            <w:r>
              <w:rPr>
                <w:rFonts w:hint="eastAsia"/>
                <w:color w:val="auto"/>
                <w:szCs w:val="21"/>
              </w:rPr>
              <w:t>危废暂存间等区域，防渗层为至少1m厚黏土层（渗透系数不大于10</w:t>
            </w:r>
            <w:r>
              <w:rPr>
                <w:rFonts w:hint="eastAsia"/>
                <w:color w:val="auto"/>
                <w:szCs w:val="21"/>
                <w:vertAlign w:val="superscript"/>
              </w:rPr>
              <w:t>-7</w:t>
            </w:r>
            <w:r>
              <w:rPr>
                <w:rFonts w:hint="eastAsia"/>
                <w:color w:val="auto"/>
                <w:szCs w:val="21"/>
              </w:rPr>
              <w:t>cm/s），或至少2mm厚高密度聚乙烯膜等人工防渗材料（渗透系数不大于10</w:t>
            </w:r>
            <w:r>
              <w:rPr>
                <w:rFonts w:hint="eastAsia"/>
                <w:color w:val="auto"/>
                <w:szCs w:val="21"/>
                <w:vertAlign w:val="superscript"/>
              </w:rPr>
              <w:t>-10</w:t>
            </w:r>
            <w:r>
              <w:rPr>
                <w:rFonts w:hint="eastAsia"/>
                <w:color w:val="auto"/>
                <w:szCs w:val="21"/>
              </w:rPr>
              <w:t>cm/s），危废暂存间严格按照《危险废物贮存污染控制标准》（GB18597-2023）的要求进行建设。危废暂存间严格按照《危险废物贮存污染控制标准》</w:t>
            </w:r>
          </w:p>
          <w:p w14:paraId="51991E9C">
            <w:pPr>
              <w:pStyle w:val="28"/>
              <w:numPr>
                <w:ilvl w:val="0"/>
                <w:numId w:val="0"/>
              </w:numPr>
              <w:ind w:left="840" w:leftChars="0" w:hanging="360" w:firstLineChars="0"/>
              <w:jc w:val="both"/>
              <w:rPr>
                <w:color w:val="auto"/>
              </w:rPr>
            </w:pPr>
            <w:r>
              <w:rPr>
                <w:rFonts w:hint="eastAsia" w:ascii="GWZT-EN" w:hAnsi="GWZT-EN" w:eastAsia="GWZT-EN" w:cs="GWZT-EN"/>
                <w:color w:val="auto"/>
              </w:rPr>
              <w:t>②</w:t>
            </w:r>
            <w:r>
              <w:rPr>
                <w:rFonts w:hint="eastAsia"/>
                <w:color w:val="auto"/>
              </w:rPr>
              <w:t>简单防渗区：化粪池、</w:t>
            </w:r>
            <w:r>
              <w:rPr>
                <w:rFonts w:hint="eastAsia"/>
                <w:color w:val="auto"/>
                <w:lang w:val="en-US" w:eastAsia="zh-CN"/>
              </w:rPr>
              <w:t>三级沉淀池、</w:t>
            </w:r>
            <w:r>
              <w:rPr>
                <w:rFonts w:hint="eastAsia"/>
                <w:color w:val="auto"/>
              </w:rPr>
              <w:t>四级沉淀池、</w:t>
            </w:r>
            <w:r>
              <w:rPr>
                <w:rFonts w:hint="eastAsia"/>
                <w:color w:val="auto"/>
                <w:lang w:val="en-US" w:eastAsia="zh-CN"/>
              </w:rPr>
              <w:t>五级沉淀池、</w:t>
            </w:r>
            <w:r>
              <w:rPr>
                <w:rFonts w:hint="eastAsia"/>
                <w:color w:val="auto"/>
              </w:rPr>
              <w:t>办公用房及厂区道路等区域，采用混凝土进行硬化处理。</w:t>
            </w:r>
          </w:p>
        </w:tc>
      </w:tr>
      <w:tr w14:paraId="671FC9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400" w:type="pct"/>
            <w:gridSpan w:val="2"/>
            <w:tcBorders>
              <w:top w:val="single" w:color="auto" w:sz="4" w:space="0"/>
              <w:left w:val="single" w:color="auto" w:sz="4" w:space="0"/>
              <w:bottom w:val="single" w:color="auto" w:sz="4" w:space="0"/>
              <w:right w:val="single" w:color="auto" w:sz="4" w:space="0"/>
            </w:tcBorders>
            <w:noWrap w:val="0"/>
            <w:vAlign w:val="center"/>
          </w:tcPr>
          <w:p w14:paraId="7977C34E">
            <w:pPr>
              <w:pStyle w:val="28"/>
              <w:rPr>
                <w:color w:val="auto"/>
              </w:rPr>
            </w:pPr>
            <w:r>
              <w:rPr>
                <w:color w:val="auto"/>
              </w:rPr>
              <w:t>生态保护</w:t>
            </w:r>
          </w:p>
          <w:p w14:paraId="12DE6C4A">
            <w:pPr>
              <w:pStyle w:val="28"/>
              <w:rPr>
                <w:color w:val="auto"/>
              </w:rPr>
            </w:pPr>
            <w:r>
              <w:rPr>
                <w:color w:val="auto"/>
              </w:rPr>
              <w:t>措施</w:t>
            </w:r>
          </w:p>
        </w:tc>
        <w:tc>
          <w:tcPr>
            <w:tcW w:w="4599" w:type="pct"/>
            <w:gridSpan w:val="4"/>
            <w:tcBorders>
              <w:top w:val="single" w:color="auto" w:sz="4" w:space="0"/>
              <w:left w:val="single" w:color="auto" w:sz="4" w:space="0"/>
              <w:bottom w:val="single" w:color="auto" w:sz="4" w:space="0"/>
              <w:right w:val="single" w:color="auto" w:sz="4" w:space="0"/>
            </w:tcBorders>
            <w:noWrap w:val="0"/>
            <w:vAlign w:val="center"/>
          </w:tcPr>
          <w:p w14:paraId="7183EEA5">
            <w:pPr>
              <w:pStyle w:val="28"/>
              <w:jc w:val="both"/>
              <w:rPr>
                <w:color w:val="auto"/>
              </w:rPr>
            </w:pPr>
            <w:r>
              <w:rPr>
                <w:rFonts w:hint="eastAsia"/>
                <w:color w:val="auto"/>
              </w:rPr>
              <w:t>项目区未发现国家级、省级保护植物</w:t>
            </w:r>
            <w:r>
              <w:rPr>
                <w:rFonts w:hint="eastAsia"/>
                <w:color w:val="auto"/>
                <w:lang w:eastAsia="zh-CN"/>
              </w:rPr>
              <w:t>及其</w:t>
            </w:r>
            <w:r>
              <w:rPr>
                <w:rFonts w:hint="eastAsia"/>
                <w:color w:val="auto"/>
              </w:rPr>
              <w:t>他珍稀濒危保护植物、名木古树；评价区内分布的动物均为常见种，未见珍稀、濒危保护类两栖动物、爬行动物、哺乳动物和鸟类分布。</w:t>
            </w:r>
          </w:p>
          <w:p w14:paraId="277430A9">
            <w:pPr>
              <w:pStyle w:val="28"/>
              <w:jc w:val="both"/>
              <w:rPr>
                <w:color w:val="auto"/>
              </w:rPr>
            </w:pPr>
            <w:r>
              <w:rPr>
                <w:rFonts w:hint="eastAsia"/>
                <w:color w:val="auto"/>
              </w:rPr>
              <w:t>项目建设在一定程度上降低景观的质量和稳定性，建成后</w:t>
            </w:r>
            <w:r>
              <w:rPr>
                <w:rFonts w:hint="eastAsia"/>
                <w:color w:val="auto"/>
                <w:lang w:eastAsia="zh-CN"/>
              </w:rPr>
              <w:t>成为</w:t>
            </w:r>
            <w:r>
              <w:rPr>
                <w:rFonts w:hint="eastAsia"/>
                <w:color w:val="auto"/>
              </w:rPr>
              <w:t>一个比较典型的人工生态系统，项目建成运营后局部景观的质量和稳定性降低相对于当地整个生态系统来讲，其程度是可控的。</w:t>
            </w:r>
          </w:p>
          <w:p w14:paraId="5CFECFB5">
            <w:pPr>
              <w:pStyle w:val="28"/>
              <w:jc w:val="both"/>
              <w:rPr>
                <w:color w:val="auto"/>
              </w:rPr>
            </w:pPr>
            <w:r>
              <w:rPr>
                <w:rFonts w:hint="eastAsia"/>
                <w:color w:val="auto"/>
              </w:rPr>
              <w:t>综上，项目建设对项目区生态环境造成的影响是暂时的，项目的建设未对当地的生态系统产生大的影响，对生态环境的影响较小。</w:t>
            </w:r>
          </w:p>
          <w:p w14:paraId="007DA20A">
            <w:pPr>
              <w:pStyle w:val="28"/>
              <w:jc w:val="both"/>
              <w:rPr>
                <w:color w:val="auto"/>
              </w:rPr>
            </w:pPr>
            <w:r>
              <w:rPr>
                <w:rFonts w:hint="eastAsia"/>
                <w:color w:val="auto"/>
              </w:rPr>
              <w:t>项目建成后，总绿化面积</w:t>
            </w:r>
            <w:r>
              <w:rPr>
                <w:color w:val="auto"/>
              </w:rPr>
              <w:t>100</w:t>
            </w:r>
            <w:r>
              <w:rPr>
                <w:rFonts w:hint="eastAsia"/>
                <w:color w:val="auto"/>
              </w:rPr>
              <w:t>0</w:t>
            </w:r>
            <w:r>
              <w:rPr>
                <w:color w:val="auto"/>
              </w:rPr>
              <w:t>m</w:t>
            </w:r>
            <w:r>
              <w:rPr>
                <w:color w:val="auto"/>
                <w:vertAlign w:val="superscript"/>
              </w:rPr>
              <w:t>2</w:t>
            </w:r>
            <w:r>
              <w:rPr>
                <w:rFonts w:hint="eastAsia"/>
                <w:color w:val="auto"/>
              </w:rPr>
              <w:t>，人工栽培的植物增多，项目投入使用以来，裸露的地表得到覆盖，水土流失得到了有效控制，施工期对项目区域造成的不利影响基本消失。</w:t>
            </w:r>
          </w:p>
        </w:tc>
      </w:tr>
      <w:tr w14:paraId="76E918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00" w:type="pct"/>
            <w:gridSpan w:val="2"/>
            <w:tcBorders>
              <w:top w:val="single" w:color="auto" w:sz="4" w:space="0"/>
              <w:left w:val="single" w:color="auto" w:sz="4" w:space="0"/>
              <w:bottom w:val="single" w:color="auto" w:sz="4" w:space="0"/>
              <w:right w:val="single" w:color="auto" w:sz="4" w:space="0"/>
            </w:tcBorders>
            <w:noWrap w:val="0"/>
            <w:vAlign w:val="center"/>
          </w:tcPr>
          <w:p w14:paraId="6F9C2861">
            <w:pPr>
              <w:pStyle w:val="28"/>
              <w:rPr>
                <w:color w:val="auto"/>
              </w:rPr>
            </w:pPr>
            <w:r>
              <w:rPr>
                <w:color w:val="auto"/>
              </w:rPr>
              <w:t>环境风险</w:t>
            </w:r>
          </w:p>
          <w:p w14:paraId="00FA9417">
            <w:pPr>
              <w:pStyle w:val="28"/>
              <w:rPr>
                <w:color w:val="auto"/>
              </w:rPr>
            </w:pPr>
            <w:r>
              <w:rPr>
                <w:color w:val="auto"/>
              </w:rPr>
              <w:t>防范措施</w:t>
            </w:r>
          </w:p>
        </w:tc>
        <w:tc>
          <w:tcPr>
            <w:tcW w:w="4599" w:type="pct"/>
            <w:gridSpan w:val="4"/>
            <w:tcBorders>
              <w:top w:val="single" w:color="auto" w:sz="4" w:space="0"/>
              <w:left w:val="single" w:color="auto" w:sz="4" w:space="0"/>
              <w:bottom w:val="single" w:color="auto" w:sz="4" w:space="0"/>
              <w:right w:val="single" w:color="auto" w:sz="4" w:space="0"/>
            </w:tcBorders>
            <w:noWrap w:val="0"/>
            <w:vAlign w:val="center"/>
          </w:tcPr>
          <w:p w14:paraId="71E13E2A">
            <w:pPr>
              <w:pStyle w:val="28"/>
              <w:jc w:val="both"/>
              <w:rPr>
                <w:color w:val="auto"/>
              </w:rPr>
            </w:pPr>
            <w:r>
              <w:rPr>
                <w:rFonts w:hint="eastAsia"/>
                <w:color w:val="auto"/>
              </w:rPr>
              <w:t>1、风险管理及防范措施</w:t>
            </w:r>
          </w:p>
          <w:p w14:paraId="5C08504A">
            <w:pPr>
              <w:pStyle w:val="28"/>
              <w:jc w:val="both"/>
              <w:rPr>
                <w:rFonts w:hint="eastAsia"/>
                <w:color w:val="auto"/>
              </w:rPr>
            </w:pPr>
            <w:r>
              <w:rPr>
                <w:color w:val="auto"/>
              </w:rPr>
              <w:fldChar w:fldCharType="begin"/>
            </w:r>
            <w:r>
              <w:rPr>
                <w:color w:val="auto"/>
              </w:rPr>
              <w:instrText xml:space="preserve"> </w:instrText>
            </w:r>
            <w:r>
              <w:rPr>
                <w:rFonts w:hint="eastAsia"/>
                <w:color w:val="auto"/>
              </w:rPr>
              <w:instrText xml:space="preserve">= 1 \* GB3</w:instrText>
            </w:r>
            <w:r>
              <w:rPr>
                <w:color w:val="auto"/>
              </w:rPr>
              <w:instrText xml:space="preserve"> </w:instrText>
            </w:r>
            <w:r>
              <w:rPr>
                <w:color w:val="auto"/>
              </w:rPr>
              <w:fldChar w:fldCharType="separate"/>
            </w:r>
            <w:r>
              <w:rPr>
                <w:rFonts w:hint="eastAsia"/>
                <w:color w:val="auto"/>
              </w:rPr>
              <w:t>①</w:t>
            </w:r>
            <w:r>
              <w:rPr>
                <w:color w:val="auto"/>
              </w:rPr>
              <w:fldChar w:fldCharType="end"/>
            </w:r>
            <w:r>
              <w:rPr>
                <w:rFonts w:hint="eastAsia"/>
                <w:color w:val="auto"/>
              </w:rPr>
              <w:t>危险废物暂存间按照《危险废物贮存污染控制标准》（GB18597-2023）的防渗要求建设，定时进行危废暂存间的检查巡视，杜绝危险废物</w:t>
            </w:r>
            <w:r>
              <w:rPr>
                <w:rFonts w:hint="eastAsia"/>
                <w:color w:val="auto"/>
                <w:lang w:eastAsia="zh-CN"/>
              </w:rPr>
              <w:t>泄漏</w:t>
            </w:r>
            <w:r>
              <w:rPr>
                <w:rFonts w:hint="eastAsia"/>
                <w:color w:val="auto"/>
              </w:rPr>
              <w:t>影响地下水环境。</w:t>
            </w:r>
          </w:p>
          <w:p w14:paraId="1019033C">
            <w:pPr>
              <w:pStyle w:val="28"/>
              <w:jc w:val="both"/>
              <w:rPr>
                <w:rFonts w:hint="eastAsia"/>
                <w:color w:val="auto"/>
              </w:rPr>
            </w:pPr>
            <w:r>
              <w:rPr>
                <w:rFonts w:hint="eastAsia"/>
                <w:color w:val="auto"/>
              </w:rPr>
              <w:t>②营运期加强对危险废物污染源的管理，危险废物采用专用容器收集，集中到暂存间相应类别的容器中。</w:t>
            </w:r>
          </w:p>
          <w:p w14:paraId="7B7B1C78">
            <w:pPr>
              <w:pStyle w:val="28"/>
              <w:jc w:val="both"/>
              <w:rPr>
                <w:rFonts w:hint="eastAsia"/>
                <w:color w:val="auto"/>
              </w:rPr>
            </w:pPr>
            <w:r>
              <w:rPr>
                <w:rFonts w:hint="eastAsia"/>
                <w:color w:val="auto"/>
              </w:rPr>
              <w:t>③危废暂存间</w:t>
            </w:r>
            <w:r>
              <w:rPr>
                <w:rFonts w:hint="eastAsia"/>
                <w:color w:val="auto"/>
                <w:lang w:val="en-US" w:eastAsia="zh-CN"/>
              </w:rPr>
              <w:t>做重点防渗</w:t>
            </w:r>
            <w:r>
              <w:rPr>
                <w:rFonts w:hint="eastAsia"/>
                <w:color w:val="auto"/>
              </w:rPr>
              <w:t>，确保一旦废机油倾翻发生泄漏事故，不会发生漫溢。</w:t>
            </w:r>
          </w:p>
          <w:p w14:paraId="0A9408A5">
            <w:pPr>
              <w:pStyle w:val="28"/>
              <w:jc w:val="both"/>
              <w:rPr>
                <w:rFonts w:hint="eastAsia"/>
                <w:color w:val="auto"/>
              </w:rPr>
            </w:pPr>
            <w:r>
              <w:rPr>
                <w:rFonts w:hint="eastAsia"/>
                <w:color w:val="auto"/>
              </w:rPr>
              <w:t>④须配备有应急桶、铲子、沙子等应急物资，若发现漏油，用沙子吸收溢出的液体，然后用铲子铲装含油沙至应急桶，妥善放置。</w:t>
            </w:r>
          </w:p>
          <w:p w14:paraId="5912F102">
            <w:pPr>
              <w:pStyle w:val="28"/>
              <w:jc w:val="both"/>
              <w:rPr>
                <w:rFonts w:hint="eastAsia"/>
                <w:color w:val="auto"/>
              </w:rPr>
            </w:pPr>
            <w:r>
              <w:rPr>
                <w:rFonts w:hint="eastAsia"/>
                <w:color w:val="auto"/>
              </w:rPr>
              <w:t>2、废机油渗漏风险管理、防范措施</w:t>
            </w:r>
          </w:p>
          <w:p w14:paraId="142AF417">
            <w:pPr>
              <w:pStyle w:val="28"/>
              <w:jc w:val="both"/>
              <w:rPr>
                <w:rFonts w:hint="eastAsia"/>
                <w:color w:val="auto"/>
              </w:rPr>
            </w:pPr>
            <w:r>
              <w:rPr>
                <w:rFonts w:hint="eastAsia"/>
                <w:color w:val="auto"/>
              </w:rPr>
              <w:t>①对储存点定期检查，及时发现</w:t>
            </w:r>
            <w:r>
              <w:rPr>
                <w:rFonts w:hint="eastAsia"/>
                <w:color w:val="auto"/>
                <w:lang w:val="en-US" w:eastAsia="zh-CN"/>
              </w:rPr>
              <w:t>破损情况</w:t>
            </w:r>
            <w:r>
              <w:rPr>
                <w:rFonts w:hint="eastAsia"/>
                <w:color w:val="auto"/>
              </w:rPr>
              <w:t>。</w:t>
            </w:r>
          </w:p>
          <w:p w14:paraId="1558BD1D">
            <w:pPr>
              <w:pStyle w:val="28"/>
              <w:jc w:val="both"/>
              <w:rPr>
                <w:rFonts w:hint="eastAsia"/>
                <w:color w:val="auto"/>
              </w:rPr>
            </w:pPr>
            <w:r>
              <w:rPr>
                <w:rFonts w:hint="eastAsia"/>
                <w:color w:val="auto"/>
              </w:rPr>
              <w:t>②做好防渗处理，避免泄漏后的废油渗入地下。</w:t>
            </w:r>
          </w:p>
          <w:p w14:paraId="3D106331">
            <w:pPr>
              <w:pStyle w:val="28"/>
              <w:jc w:val="both"/>
              <w:rPr>
                <w:rFonts w:hint="eastAsia"/>
                <w:color w:val="auto"/>
              </w:rPr>
            </w:pPr>
            <w:r>
              <w:rPr>
                <w:rFonts w:hint="eastAsia"/>
                <w:color w:val="auto"/>
              </w:rPr>
              <w:t>③危废暂存间设置标识牌，建立台账。</w:t>
            </w:r>
          </w:p>
          <w:p w14:paraId="7AA9F4BD">
            <w:pPr>
              <w:pStyle w:val="28"/>
              <w:jc w:val="both"/>
              <w:rPr>
                <w:rFonts w:hint="eastAsia"/>
                <w:color w:val="auto"/>
              </w:rPr>
            </w:pPr>
            <w:r>
              <w:rPr>
                <w:rFonts w:hint="eastAsia"/>
                <w:color w:val="auto"/>
              </w:rPr>
              <w:t>3、火灾、爆炸事故预防措施</w:t>
            </w:r>
          </w:p>
          <w:p w14:paraId="173821E7">
            <w:pPr>
              <w:pStyle w:val="28"/>
              <w:jc w:val="both"/>
              <w:rPr>
                <w:rFonts w:hint="eastAsia"/>
                <w:color w:val="auto"/>
              </w:rPr>
            </w:pPr>
            <w:r>
              <w:rPr>
                <w:rFonts w:hint="eastAsia"/>
                <w:color w:val="auto"/>
              </w:rPr>
              <w:t>①设置醒目的杜绝明火标志、标语。</w:t>
            </w:r>
          </w:p>
          <w:p w14:paraId="51B4541D">
            <w:pPr>
              <w:pStyle w:val="28"/>
              <w:jc w:val="both"/>
              <w:rPr>
                <w:rFonts w:hint="eastAsia"/>
                <w:color w:val="auto"/>
              </w:rPr>
            </w:pPr>
            <w:r>
              <w:rPr>
                <w:rFonts w:hint="eastAsia"/>
                <w:color w:val="auto"/>
              </w:rPr>
              <w:t>②严禁在油品附近吸烟和用火。</w:t>
            </w:r>
          </w:p>
          <w:p w14:paraId="13650512">
            <w:pPr>
              <w:pStyle w:val="28"/>
              <w:jc w:val="both"/>
              <w:rPr>
                <w:rFonts w:hint="eastAsia"/>
                <w:color w:val="auto"/>
              </w:rPr>
            </w:pPr>
            <w:r>
              <w:rPr>
                <w:rFonts w:hint="eastAsia"/>
                <w:color w:val="auto"/>
              </w:rPr>
              <w:t>③储油设备应远离明火，严禁把其他容易引起燃烧、爆炸的物品以及相应的禁忌物带入库区内。</w:t>
            </w:r>
          </w:p>
          <w:p w14:paraId="49A885C5">
            <w:pPr>
              <w:pStyle w:val="28"/>
              <w:jc w:val="both"/>
              <w:rPr>
                <w:color w:val="auto"/>
              </w:rPr>
            </w:pPr>
            <w:r>
              <w:rPr>
                <w:rFonts w:hint="eastAsia"/>
                <w:color w:val="auto"/>
              </w:rPr>
              <w:t>④健全、完善消防设施，配齐干粉灭火器，并培训员工熟练使用</w:t>
            </w:r>
          </w:p>
        </w:tc>
      </w:tr>
      <w:tr w14:paraId="289E7E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400" w:type="pct"/>
            <w:gridSpan w:val="2"/>
            <w:tcBorders>
              <w:top w:val="single" w:color="auto" w:sz="4" w:space="0"/>
              <w:left w:val="single" w:color="auto" w:sz="4" w:space="0"/>
              <w:bottom w:val="single" w:color="auto" w:sz="4" w:space="0"/>
              <w:right w:val="single" w:color="auto" w:sz="4" w:space="0"/>
            </w:tcBorders>
            <w:noWrap w:val="0"/>
            <w:vAlign w:val="center"/>
          </w:tcPr>
          <w:p w14:paraId="577BA678">
            <w:pPr>
              <w:pStyle w:val="28"/>
              <w:rPr>
                <w:color w:val="auto"/>
              </w:rPr>
            </w:pPr>
            <w:r>
              <w:rPr>
                <w:color w:val="auto"/>
              </w:rPr>
              <w:t>其他环境</w:t>
            </w:r>
          </w:p>
          <w:p w14:paraId="4A36B0F9">
            <w:pPr>
              <w:pStyle w:val="28"/>
              <w:rPr>
                <w:color w:val="auto"/>
              </w:rPr>
            </w:pPr>
            <w:r>
              <w:rPr>
                <w:color w:val="auto"/>
              </w:rPr>
              <w:t>管理要求</w:t>
            </w:r>
          </w:p>
        </w:tc>
        <w:tc>
          <w:tcPr>
            <w:tcW w:w="4599" w:type="pct"/>
            <w:gridSpan w:val="4"/>
            <w:tcBorders>
              <w:top w:val="single" w:color="auto" w:sz="4" w:space="0"/>
              <w:left w:val="single" w:color="auto" w:sz="4" w:space="0"/>
              <w:bottom w:val="single" w:color="auto" w:sz="4" w:space="0"/>
              <w:right w:val="single" w:color="auto" w:sz="4" w:space="0"/>
            </w:tcBorders>
            <w:noWrap w:val="0"/>
            <w:vAlign w:val="center"/>
          </w:tcPr>
          <w:p w14:paraId="1366A1D9">
            <w:pPr>
              <w:pStyle w:val="28"/>
              <w:jc w:val="both"/>
              <w:rPr>
                <w:color w:val="auto"/>
              </w:rPr>
            </w:pPr>
            <w:r>
              <w:rPr>
                <w:color w:val="auto"/>
              </w:rPr>
              <w:t>（1）项目建成投产，应由环保部门、建设单位共同参与对建设项目验收，检查环保设施是否达到“三同时”要求；</w:t>
            </w:r>
          </w:p>
          <w:p w14:paraId="7AA9B267">
            <w:pPr>
              <w:pStyle w:val="28"/>
              <w:jc w:val="both"/>
              <w:rPr>
                <w:color w:val="auto"/>
              </w:rPr>
            </w:pPr>
            <w:r>
              <w:rPr>
                <w:color w:val="auto"/>
              </w:rPr>
              <w:t>（2）加强环保设施的管理，定期检查环保设施运行情况；</w:t>
            </w:r>
          </w:p>
          <w:p w14:paraId="242D6057">
            <w:pPr>
              <w:pStyle w:val="28"/>
              <w:jc w:val="both"/>
              <w:rPr>
                <w:color w:val="auto"/>
              </w:rPr>
            </w:pPr>
            <w:r>
              <w:rPr>
                <w:color w:val="auto"/>
              </w:rPr>
              <w:t>（3）实施环境监测计划；</w:t>
            </w:r>
          </w:p>
          <w:p w14:paraId="0ED38CB7">
            <w:pPr>
              <w:pStyle w:val="28"/>
              <w:jc w:val="both"/>
              <w:rPr>
                <w:color w:val="auto"/>
              </w:rPr>
            </w:pPr>
            <w:r>
              <w:rPr>
                <w:color w:val="auto"/>
              </w:rPr>
              <w:t>（4）加强对环保设施运行监督管理，确保环保设施正常运行和连续达标排放；</w:t>
            </w:r>
          </w:p>
          <w:p w14:paraId="77A524BC">
            <w:pPr>
              <w:pStyle w:val="28"/>
              <w:jc w:val="both"/>
              <w:rPr>
                <w:color w:val="auto"/>
              </w:rPr>
            </w:pPr>
            <w:r>
              <w:rPr>
                <w:color w:val="auto"/>
              </w:rPr>
              <w:t>（5）建立企业完善的环保设施运行、维护、维修等技术档案，对环保设备实施定期检修。</w:t>
            </w:r>
          </w:p>
        </w:tc>
      </w:tr>
    </w:tbl>
    <w:p w14:paraId="5B565499">
      <w:pPr>
        <w:tabs>
          <w:tab w:val="left" w:pos="3307"/>
        </w:tabs>
        <w:ind w:firstLine="480"/>
        <w:rPr>
          <w:rFonts w:hint="eastAsia"/>
          <w:color w:val="auto"/>
        </w:rPr>
        <w:sectPr>
          <w:pgSz w:w="16840" w:h="11907" w:orient="landscape"/>
          <w:pgMar w:top="1417" w:right="1417" w:bottom="1417" w:left="1417" w:header="851" w:footer="851" w:gutter="0"/>
          <w:pgNumType w:fmt="decimal"/>
          <w:cols w:space="720" w:num="1"/>
          <w:docGrid w:linePitch="326" w:charSpace="0"/>
        </w:sectPr>
      </w:pPr>
    </w:p>
    <w:p w14:paraId="3A9DAA3A">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outlineLvl w:val="0"/>
        <w:rPr>
          <w:rFonts w:hint="eastAsia" w:ascii="宋体" w:hAnsi="宋体" w:eastAsia="宋体" w:cs="宋体"/>
          <w:b/>
          <w:bCs/>
          <w:snapToGrid w:val="0"/>
          <w:color w:val="auto"/>
          <w:sz w:val="30"/>
          <w:szCs w:val="30"/>
        </w:rPr>
      </w:pPr>
      <w:bookmarkStart w:id="21" w:name="_Toc150763279"/>
      <w:r>
        <w:rPr>
          <w:rFonts w:hint="eastAsia" w:ascii="宋体" w:hAnsi="宋体" w:eastAsia="宋体" w:cs="宋体"/>
          <w:b/>
          <w:bCs/>
          <w:snapToGrid w:val="0"/>
          <w:color w:val="auto"/>
          <w:sz w:val="30"/>
          <w:szCs w:val="30"/>
        </w:rPr>
        <w:t>六、结论</w:t>
      </w:r>
      <w:bookmarkEnd w:id="21"/>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7A3F01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76501A10">
            <w:pPr>
              <w:snapToGrid w:val="0"/>
              <w:ind w:firstLine="480"/>
              <w:rPr>
                <w:color w:val="auto"/>
              </w:rPr>
            </w:pPr>
            <w:r>
              <w:rPr>
                <w:color w:val="auto"/>
              </w:rPr>
              <w:t>项目</w:t>
            </w:r>
            <w:r>
              <w:rPr>
                <w:rFonts w:hint="eastAsia"/>
                <w:color w:val="auto"/>
              </w:rPr>
              <w:t>建设</w:t>
            </w:r>
            <w:r>
              <w:rPr>
                <w:color w:val="auto"/>
              </w:rPr>
              <w:t>符合国家和云南省产业政策</w:t>
            </w:r>
            <w:r>
              <w:rPr>
                <w:rFonts w:hint="eastAsia"/>
                <w:color w:val="auto"/>
              </w:rPr>
              <w:t>、</w:t>
            </w:r>
            <w:r>
              <w:rPr>
                <w:color w:val="auto"/>
              </w:rPr>
              <w:t>行业准入条件，</w:t>
            </w:r>
            <w:r>
              <w:rPr>
                <w:rFonts w:hint="eastAsia"/>
                <w:color w:val="auto"/>
              </w:rPr>
              <w:t>与“三区三线”、生态环境分区管控等相关要求是相协调的。</w:t>
            </w:r>
            <w:r>
              <w:rPr>
                <w:color w:val="auto"/>
              </w:rPr>
              <w:t>项目</w:t>
            </w:r>
            <w:r>
              <w:rPr>
                <w:rFonts w:hint="eastAsia"/>
                <w:color w:val="auto"/>
              </w:rPr>
              <w:t>区不涉及环境敏感区，无明显环境制约因素。</w:t>
            </w:r>
            <w:r>
              <w:rPr>
                <w:color w:val="auto"/>
              </w:rPr>
              <w:t>项目区域环境质量现状良好，项目运营期环境风险低，生产过程中排放的污染物采取设计和本报告提出的防治措施治理后，项目废气、废水、噪声可做到达标排放，固体废物均能妥善处置，项目实施不会改变</w:t>
            </w:r>
            <w:r>
              <w:rPr>
                <w:rFonts w:hint="eastAsia"/>
                <w:color w:val="auto"/>
              </w:rPr>
              <w:t>区域</w:t>
            </w:r>
            <w:r>
              <w:rPr>
                <w:color w:val="auto"/>
              </w:rPr>
              <w:t>环境</w:t>
            </w:r>
            <w:r>
              <w:rPr>
                <w:rFonts w:hint="eastAsia"/>
                <w:color w:val="auto"/>
              </w:rPr>
              <w:t>质量功能，环境风险可控</w:t>
            </w:r>
            <w:r>
              <w:rPr>
                <w:color w:val="auto"/>
              </w:rPr>
              <w:t>。</w:t>
            </w:r>
          </w:p>
          <w:p w14:paraId="7A04D910">
            <w:pPr>
              <w:ind w:firstLine="480"/>
              <w:rPr>
                <w:color w:val="auto"/>
              </w:rPr>
            </w:pPr>
            <w:r>
              <w:rPr>
                <w:color w:val="auto"/>
              </w:rPr>
              <w:t>综上所述，本评价认为在按“三同时”要求落实各项环境保护措施的条件下，从环境保护角度看，项目建设可行。</w:t>
            </w:r>
          </w:p>
          <w:p w14:paraId="119002C2">
            <w:pPr>
              <w:ind w:firstLine="480"/>
              <w:rPr>
                <w:color w:val="auto"/>
              </w:rPr>
            </w:pPr>
          </w:p>
          <w:p w14:paraId="181388CB">
            <w:pPr>
              <w:ind w:firstLine="480"/>
              <w:rPr>
                <w:color w:val="auto"/>
              </w:rPr>
            </w:pPr>
          </w:p>
          <w:p w14:paraId="05DC5256">
            <w:pPr>
              <w:ind w:firstLine="480"/>
              <w:rPr>
                <w:color w:val="auto"/>
              </w:rPr>
            </w:pPr>
          </w:p>
          <w:p w14:paraId="58E77D63">
            <w:pPr>
              <w:ind w:firstLine="480"/>
              <w:rPr>
                <w:color w:val="auto"/>
              </w:rPr>
            </w:pPr>
          </w:p>
          <w:p w14:paraId="4A292A54">
            <w:pPr>
              <w:ind w:firstLine="480"/>
              <w:rPr>
                <w:color w:val="auto"/>
              </w:rPr>
            </w:pPr>
          </w:p>
          <w:p w14:paraId="380D797A">
            <w:pPr>
              <w:ind w:firstLine="480"/>
              <w:rPr>
                <w:color w:val="auto"/>
              </w:rPr>
            </w:pPr>
          </w:p>
          <w:p w14:paraId="0BC38796">
            <w:pPr>
              <w:ind w:firstLine="480"/>
              <w:rPr>
                <w:color w:val="auto"/>
              </w:rPr>
            </w:pPr>
          </w:p>
          <w:p w14:paraId="71C8E123">
            <w:pPr>
              <w:ind w:firstLine="480"/>
              <w:rPr>
                <w:color w:val="auto"/>
              </w:rPr>
            </w:pPr>
          </w:p>
          <w:p w14:paraId="04D3EAC1">
            <w:pPr>
              <w:ind w:firstLine="480"/>
              <w:rPr>
                <w:color w:val="auto"/>
              </w:rPr>
            </w:pPr>
          </w:p>
          <w:p w14:paraId="59564EDA">
            <w:pPr>
              <w:ind w:firstLine="480"/>
              <w:rPr>
                <w:color w:val="auto"/>
              </w:rPr>
            </w:pPr>
          </w:p>
          <w:p w14:paraId="33EEBE61">
            <w:pPr>
              <w:ind w:firstLine="480"/>
              <w:rPr>
                <w:color w:val="auto"/>
              </w:rPr>
            </w:pPr>
          </w:p>
          <w:p w14:paraId="523D64AB">
            <w:pPr>
              <w:ind w:firstLine="480"/>
              <w:rPr>
                <w:color w:val="auto"/>
              </w:rPr>
            </w:pPr>
          </w:p>
          <w:p w14:paraId="25452F6B">
            <w:pPr>
              <w:ind w:firstLine="480"/>
              <w:rPr>
                <w:color w:val="auto"/>
              </w:rPr>
            </w:pPr>
          </w:p>
          <w:p w14:paraId="3E2C6AD4">
            <w:pPr>
              <w:ind w:firstLine="480"/>
              <w:rPr>
                <w:color w:val="auto"/>
              </w:rPr>
            </w:pPr>
          </w:p>
          <w:p w14:paraId="3720549E">
            <w:pPr>
              <w:ind w:firstLine="480"/>
              <w:rPr>
                <w:color w:val="auto"/>
              </w:rPr>
            </w:pPr>
          </w:p>
          <w:p w14:paraId="0B786708">
            <w:pPr>
              <w:ind w:firstLine="480"/>
              <w:rPr>
                <w:color w:val="auto"/>
              </w:rPr>
            </w:pPr>
          </w:p>
          <w:p w14:paraId="7B7DA695">
            <w:pPr>
              <w:ind w:firstLine="480"/>
              <w:rPr>
                <w:color w:val="auto"/>
              </w:rPr>
            </w:pPr>
          </w:p>
          <w:p w14:paraId="14405E5F">
            <w:pPr>
              <w:ind w:firstLine="480"/>
              <w:rPr>
                <w:color w:val="auto"/>
              </w:rPr>
            </w:pPr>
          </w:p>
          <w:p w14:paraId="3D9A17EA">
            <w:pPr>
              <w:ind w:firstLine="480"/>
              <w:rPr>
                <w:color w:val="auto"/>
              </w:rPr>
            </w:pPr>
          </w:p>
          <w:p w14:paraId="53B423B8">
            <w:pPr>
              <w:ind w:firstLine="480"/>
              <w:rPr>
                <w:color w:val="auto"/>
              </w:rPr>
            </w:pPr>
          </w:p>
          <w:p w14:paraId="16D4123D">
            <w:pPr>
              <w:ind w:firstLine="480"/>
              <w:rPr>
                <w:color w:val="auto"/>
              </w:rPr>
            </w:pPr>
          </w:p>
          <w:p w14:paraId="6B079974">
            <w:pPr>
              <w:ind w:firstLine="480"/>
              <w:rPr>
                <w:color w:val="auto"/>
              </w:rPr>
            </w:pPr>
          </w:p>
          <w:p w14:paraId="73B649B4">
            <w:pPr>
              <w:ind w:left="0" w:leftChars="0" w:firstLine="0" w:firstLineChars="0"/>
              <w:rPr>
                <w:color w:val="auto"/>
              </w:rPr>
            </w:pPr>
          </w:p>
        </w:tc>
      </w:tr>
    </w:tbl>
    <w:p w14:paraId="0BF3E2DF">
      <w:pPr>
        <w:ind w:left="0" w:leftChars="0" w:firstLine="0" w:firstLineChars="0"/>
        <w:rPr>
          <w:color w:val="auto"/>
        </w:rPr>
      </w:pPr>
    </w:p>
    <w:sectPr>
      <w:footerReference r:id="rId12" w:type="default"/>
      <w:pgSz w:w="11906" w:h="16838"/>
      <w:pgMar w:top="1417" w:right="1417" w:bottom="1417" w:left="1417" w:header="851" w:footer="851" w:gutter="0"/>
      <w:pgNumType w:fmt="decimal"/>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9700EFF4-3404-42BF-9179-DB9E4E72FB1A}"/>
  </w:font>
  <w:font w:name="黑体">
    <w:panose1 w:val="02010609060101010101"/>
    <w:charset w:val="86"/>
    <w:family w:val="auto"/>
    <w:pitch w:val="default"/>
    <w:sig w:usb0="800002BF" w:usb1="38CF7CFA" w:usb2="00000016" w:usb3="00000000" w:csb0="00040001" w:csb1="00000000"/>
    <w:embedRegular r:id="rId2" w:fontKey="{AFBA6A47-131A-4C3C-86CC-13B61188BCF7}"/>
  </w:font>
  <w:font w:name="Courier New">
    <w:panose1 w:val="02070309020205020404"/>
    <w:charset w:val="01"/>
    <w:family w:val="modern"/>
    <w:pitch w:val="default"/>
    <w:sig w:usb0="E0002AFF" w:usb1="C0007843" w:usb2="00000009" w:usb3="00000000" w:csb0="400001FF" w:csb1="FFFF0000"/>
    <w:embedRegular r:id="rId3" w:fontKey="{F67326DE-9218-43A9-8130-D71D47C4CEEE}"/>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embedRegular r:id="rId4" w:fontKey="{975706F1-48A3-44EF-819E-F7093068E9CA}"/>
  </w:font>
  <w:font w:name="等线">
    <w:panose1 w:val="02010600030101010101"/>
    <w:charset w:val="86"/>
    <w:family w:val="auto"/>
    <w:pitch w:val="default"/>
    <w:sig w:usb0="A00002BF" w:usb1="38CF7CFA" w:usb2="00000016" w:usb3="00000000" w:csb0="0004000F" w:csb1="00000000"/>
    <w:embedRegular r:id="rId5" w:fontKey="{51821C0B-0E25-4E3A-99D4-4BC7DEE0C757}"/>
  </w:font>
  <w:font w:name="GWZT-EN">
    <w:panose1 w:val="02020400000000000000"/>
    <w:charset w:val="86"/>
    <w:family w:val="auto"/>
    <w:pitch w:val="default"/>
    <w:sig w:usb0="A00002BF" w:usb1="38CF7CFA" w:usb2="00082016" w:usb3="00000000" w:csb0="00040001" w:csb1="00000000"/>
    <w:embedRegular r:id="rId6" w:fontKey="{F749B8B9-7525-424F-967E-1609E4A379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42E06C">
    <w:pPr>
      <w:pStyle w:val="11"/>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00C2F">
    <w:pPr>
      <w:pStyle w:val="11"/>
      <w:framePr w:wrap="around" w:vAnchor="text" w:hAnchor="margin" w:xAlign="center" w:y="1"/>
      <w:ind w:firstLine="360"/>
      <w:rPr>
        <w:rStyle w:val="23"/>
      </w:rPr>
    </w:pPr>
    <w:r>
      <w:fldChar w:fldCharType="begin"/>
    </w:r>
    <w:r>
      <w:rPr>
        <w:rStyle w:val="23"/>
      </w:rPr>
      <w:instrText xml:space="preserve">PAGE  </w:instrText>
    </w:r>
    <w:r>
      <w:fldChar w:fldCharType="end"/>
    </w:r>
  </w:p>
  <w:p w14:paraId="1A5F384B">
    <w:pPr>
      <w:pStyle w:val="1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5C2BF2">
    <w:pPr>
      <w:pStyle w:val="1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F6A76E">
    <w:pPr>
      <w:pStyle w:val="11"/>
      <w:ind w:right="360" w:firstLine="360"/>
      <w:rPr>
        <w:rFonts w:hint="eastAsi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34F7041">
                          <w:pPr>
                            <w:pStyle w:val="11"/>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734F7041">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E078E">
    <w:pPr>
      <w:pStyle w:val="11"/>
      <w:ind w:right="360"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816530F">
                          <w:pPr>
                            <w:pStyle w:val="11"/>
                          </w:pPr>
                          <w:r>
                            <w:fldChar w:fldCharType="begin"/>
                          </w:r>
                          <w:r>
                            <w:instrText xml:space="preserve"> PAGE  \* MERGEFORMAT </w:instrText>
                          </w:r>
                          <w:r>
                            <w:fldChar w:fldCharType="separate"/>
                          </w:r>
                          <w:r>
                            <w:t>94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14:paraId="2816530F">
                    <w:pPr>
                      <w:pStyle w:val="11"/>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84143">
    <w:pPr>
      <w:pStyle w:val="12"/>
      <w:snapToGrid/>
      <w:spacing w:line="240" w:lineRule="auto"/>
      <w:ind w:firstLine="0" w:firstLineChars="0"/>
    </w:pPr>
    <w:r>
      <w:rPr>
        <w:rFonts w:hint="eastAsia"/>
      </w:rPr>
      <w:t>重庆至昆明高速铁路云贵段（寻甸）站前八标段轨枕场临时用地项目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FCCC5">
    <w:pPr>
      <w:pStyle w:val="1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B6E252">
    <w:pPr>
      <w:pStyle w:val="1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3D04D96"/>
    <w:multiLevelType w:val="singleLevel"/>
    <w:tmpl w:val="33D04D96"/>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M0NjNmZTI0M2ZjZGY4NjgxYTJjMzk0ZWUxMDliOTkifQ=="/>
  </w:docVars>
  <w:rsids>
    <w:rsidRoot w:val="2EFA579B"/>
    <w:rsid w:val="003550AC"/>
    <w:rsid w:val="0057718F"/>
    <w:rsid w:val="00683C36"/>
    <w:rsid w:val="006B1E81"/>
    <w:rsid w:val="0095622B"/>
    <w:rsid w:val="01145609"/>
    <w:rsid w:val="011E528D"/>
    <w:rsid w:val="01574761"/>
    <w:rsid w:val="016F6FBD"/>
    <w:rsid w:val="0176342C"/>
    <w:rsid w:val="01856768"/>
    <w:rsid w:val="01936772"/>
    <w:rsid w:val="01A94426"/>
    <w:rsid w:val="01D408F4"/>
    <w:rsid w:val="01F64027"/>
    <w:rsid w:val="0212689D"/>
    <w:rsid w:val="021D1CB0"/>
    <w:rsid w:val="02677347"/>
    <w:rsid w:val="026F109C"/>
    <w:rsid w:val="027E0930"/>
    <w:rsid w:val="028D6C1D"/>
    <w:rsid w:val="029201D1"/>
    <w:rsid w:val="02A12ECC"/>
    <w:rsid w:val="02A36C44"/>
    <w:rsid w:val="02A40196"/>
    <w:rsid w:val="02AD48A7"/>
    <w:rsid w:val="02B844D6"/>
    <w:rsid w:val="02C61F83"/>
    <w:rsid w:val="02F70D3E"/>
    <w:rsid w:val="034A5312"/>
    <w:rsid w:val="0367492A"/>
    <w:rsid w:val="0399352E"/>
    <w:rsid w:val="04113803"/>
    <w:rsid w:val="041F679F"/>
    <w:rsid w:val="04272340"/>
    <w:rsid w:val="043B10FF"/>
    <w:rsid w:val="043B3CCE"/>
    <w:rsid w:val="044B4C8F"/>
    <w:rsid w:val="04763046"/>
    <w:rsid w:val="047A7B9E"/>
    <w:rsid w:val="048760F2"/>
    <w:rsid w:val="04916528"/>
    <w:rsid w:val="049A2D39"/>
    <w:rsid w:val="05244EDA"/>
    <w:rsid w:val="053B2047"/>
    <w:rsid w:val="053C2268"/>
    <w:rsid w:val="054B5371"/>
    <w:rsid w:val="05695060"/>
    <w:rsid w:val="057272FF"/>
    <w:rsid w:val="05931151"/>
    <w:rsid w:val="05AB7BBE"/>
    <w:rsid w:val="05C22BAD"/>
    <w:rsid w:val="05D24EDA"/>
    <w:rsid w:val="05DC7B5B"/>
    <w:rsid w:val="05F35BC3"/>
    <w:rsid w:val="05FF131C"/>
    <w:rsid w:val="060D2154"/>
    <w:rsid w:val="061978E9"/>
    <w:rsid w:val="06227AE0"/>
    <w:rsid w:val="06471FDD"/>
    <w:rsid w:val="064A6342"/>
    <w:rsid w:val="065F7326"/>
    <w:rsid w:val="06620BC5"/>
    <w:rsid w:val="06680FFF"/>
    <w:rsid w:val="0687687D"/>
    <w:rsid w:val="069B7C33"/>
    <w:rsid w:val="06A222DE"/>
    <w:rsid w:val="06B8187F"/>
    <w:rsid w:val="06DB1FC1"/>
    <w:rsid w:val="06DF60EB"/>
    <w:rsid w:val="06FE6B3F"/>
    <w:rsid w:val="06FF4665"/>
    <w:rsid w:val="070A4EC7"/>
    <w:rsid w:val="07155C37"/>
    <w:rsid w:val="072F4C55"/>
    <w:rsid w:val="07442078"/>
    <w:rsid w:val="074E5D05"/>
    <w:rsid w:val="07711D76"/>
    <w:rsid w:val="078C33D3"/>
    <w:rsid w:val="078D1495"/>
    <w:rsid w:val="078F2096"/>
    <w:rsid w:val="079D0D09"/>
    <w:rsid w:val="07A35325"/>
    <w:rsid w:val="07BE50E6"/>
    <w:rsid w:val="07C74DC8"/>
    <w:rsid w:val="07FF0977"/>
    <w:rsid w:val="080B3BC2"/>
    <w:rsid w:val="0845254C"/>
    <w:rsid w:val="084D42F2"/>
    <w:rsid w:val="0858023A"/>
    <w:rsid w:val="086C7580"/>
    <w:rsid w:val="087E49FE"/>
    <w:rsid w:val="087E65FF"/>
    <w:rsid w:val="08D50E83"/>
    <w:rsid w:val="08FC0E5C"/>
    <w:rsid w:val="09045F63"/>
    <w:rsid w:val="091763DD"/>
    <w:rsid w:val="096768FF"/>
    <w:rsid w:val="09927E26"/>
    <w:rsid w:val="09CE6324"/>
    <w:rsid w:val="09F20B0E"/>
    <w:rsid w:val="09FF478C"/>
    <w:rsid w:val="0A2166A1"/>
    <w:rsid w:val="0A3D797F"/>
    <w:rsid w:val="0A5B026E"/>
    <w:rsid w:val="0A606A6A"/>
    <w:rsid w:val="0A892600"/>
    <w:rsid w:val="0A922A21"/>
    <w:rsid w:val="0AC459AA"/>
    <w:rsid w:val="0AD1485C"/>
    <w:rsid w:val="0AF07B70"/>
    <w:rsid w:val="0AF35823"/>
    <w:rsid w:val="0AF93BA4"/>
    <w:rsid w:val="0B0C6885"/>
    <w:rsid w:val="0B1835C3"/>
    <w:rsid w:val="0B392A21"/>
    <w:rsid w:val="0B4D23FC"/>
    <w:rsid w:val="0B836A53"/>
    <w:rsid w:val="0BA648D7"/>
    <w:rsid w:val="0BD16726"/>
    <w:rsid w:val="0BE84D82"/>
    <w:rsid w:val="0C022D96"/>
    <w:rsid w:val="0C1C7A68"/>
    <w:rsid w:val="0C264442"/>
    <w:rsid w:val="0C502E4E"/>
    <w:rsid w:val="0C563668"/>
    <w:rsid w:val="0C686BA2"/>
    <w:rsid w:val="0CB55840"/>
    <w:rsid w:val="0D2026E6"/>
    <w:rsid w:val="0D382FA9"/>
    <w:rsid w:val="0D3A221F"/>
    <w:rsid w:val="0D417190"/>
    <w:rsid w:val="0D426E9C"/>
    <w:rsid w:val="0D6841FB"/>
    <w:rsid w:val="0D7C1107"/>
    <w:rsid w:val="0D7D0761"/>
    <w:rsid w:val="0DA03CDB"/>
    <w:rsid w:val="0DA745A8"/>
    <w:rsid w:val="0DD3492E"/>
    <w:rsid w:val="0E03733F"/>
    <w:rsid w:val="0E2772E2"/>
    <w:rsid w:val="0E4705D1"/>
    <w:rsid w:val="0E526682"/>
    <w:rsid w:val="0E754FBF"/>
    <w:rsid w:val="0E836518"/>
    <w:rsid w:val="0E912C14"/>
    <w:rsid w:val="0EA5148E"/>
    <w:rsid w:val="0EB8217A"/>
    <w:rsid w:val="0EEA5BFB"/>
    <w:rsid w:val="0F1113DA"/>
    <w:rsid w:val="0F1177AE"/>
    <w:rsid w:val="0F317FF3"/>
    <w:rsid w:val="0F490538"/>
    <w:rsid w:val="0F4B669A"/>
    <w:rsid w:val="0F5372FC"/>
    <w:rsid w:val="0F967099"/>
    <w:rsid w:val="0FD22ED4"/>
    <w:rsid w:val="0FD41F8C"/>
    <w:rsid w:val="0FD974B5"/>
    <w:rsid w:val="0FEB0B1C"/>
    <w:rsid w:val="0FFB1C8B"/>
    <w:rsid w:val="10170692"/>
    <w:rsid w:val="103241E5"/>
    <w:rsid w:val="10415B61"/>
    <w:rsid w:val="10520DA7"/>
    <w:rsid w:val="105F3771"/>
    <w:rsid w:val="10AC2FEB"/>
    <w:rsid w:val="10C21E4D"/>
    <w:rsid w:val="10D10E21"/>
    <w:rsid w:val="1107444E"/>
    <w:rsid w:val="112943C1"/>
    <w:rsid w:val="112F5222"/>
    <w:rsid w:val="113768E4"/>
    <w:rsid w:val="11446B5C"/>
    <w:rsid w:val="11583891"/>
    <w:rsid w:val="115C4694"/>
    <w:rsid w:val="11D07A50"/>
    <w:rsid w:val="11DF26EC"/>
    <w:rsid w:val="11EC1991"/>
    <w:rsid w:val="11F6163F"/>
    <w:rsid w:val="122A64EE"/>
    <w:rsid w:val="125B5CAB"/>
    <w:rsid w:val="12624F41"/>
    <w:rsid w:val="127732FB"/>
    <w:rsid w:val="128D5005"/>
    <w:rsid w:val="12DA7363"/>
    <w:rsid w:val="132711CC"/>
    <w:rsid w:val="1328578C"/>
    <w:rsid w:val="133F61FB"/>
    <w:rsid w:val="13517327"/>
    <w:rsid w:val="135F5A6D"/>
    <w:rsid w:val="139C44D2"/>
    <w:rsid w:val="139C75AD"/>
    <w:rsid w:val="13CA1B57"/>
    <w:rsid w:val="13CE7899"/>
    <w:rsid w:val="13E03C38"/>
    <w:rsid w:val="13FB0751"/>
    <w:rsid w:val="142B3CF9"/>
    <w:rsid w:val="14477A16"/>
    <w:rsid w:val="14551824"/>
    <w:rsid w:val="149923D7"/>
    <w:rsid w:val="14B4083D"/>
    <w:rsid w:val="14BE346A"/>
    <w:rsid w:val="14E30324"/>
    <w:rsid w:val="14FE49E3"/>
    <w:rsid w:val="14FF2788"/>
    <w:rsid w:val="15325BC7"/>
    <w:rsid w:val="15630788"/>
    <w:rsid w:val="15877D00"/>
    <w:rsid w:val="158B33E1"/>
    <w:rsid w:val="158C065F"/>
    <w:rsid w:val="159B0CE6"/>
    <w:rsid w:val="15A0573A"/>
    <w:rsid w:val="15CE3873"/>
    <w:rsid w:val="16486627"/>
    <w:rsid w:val="16534086"/>
    <w:rsid w:val="16585255"/>
    <w:rsid w:val="16A310E1"/>
    <w:rsid w:val="16C136E5"/>
    <w:rsid w:val="16EB154F"/>
    <w:rsid w:val="16F76AD3"/>
    <w:rsid w:val="171152BC"/>
    <w:rsid w:val="17162B5C"/>
    <w:rsid w:val="17211648"/>
    <w:rsid w:val="172A5C4D"/>
    <w:rsid w:val="17497826"/>
    <w:rsid w:val="17567CE5"/>
    <w:rsid w:val="17693981"/>
    <w:rsid w:val="1776002C"/>
    <w:rsid w:val="17874CBB"/>
    <w:rsid w:val="17A44970"/>
    <w:rsid w:val="17BA1C09"/>
    <w:rsid w:val="17C26585"/>
    <w:rsid w:val="17FB2C27"/>
    <w:rsid w:val="17FF564B"/>
    <w:rsid w:val="182F45FC"/>
    <w:rsid w:val="183C2FAA"/>
    <w:rsid w:val="18491C92"/>
    <w:rsid w:val="185932DA"/>
    <w:rsid w:val="186C142F"/>
    <w:rsid w:val="18880E16"/>
    <w:rsid w:val="188D1CDA"/>
    <w:rsid w:val="189B6375"/>
    <w:rsid w:val="18B20944"/>
    <w:rsid w:val="19006747"/>
    <w:rsid w:val="193C44A6"/>
    <w:rsid w:val="193E689A"/>
    <w:rsid w:val="196611BE"/>
    <w:rsid w:val="19704F4F"/>
    <w:rsid w:val="19761EAB"/>
    <w:rsid w:val="19796219"/>
    <w:rsid w:val="197B401F"/>
    <w:rsid w:val="197E55D4"/>
    <w:rsid w:val="199649B5"/>
    <w:rsid w:val="19B71113"/>
    <w:rsid w:val="19C10596"/>
    <w:rsid w:val="19C12E1A"/>
    <w:rsid w:val="19D535DF"/>
    <w:rsid w:val="19D84FCE"/>
    <w:rsid w:val="19DA379B"/>
    <w:rsid w:val="1A3A0A19"/>
    <w:rsid w:val="1A6A7BF0"/>
    <w:rsid w:val="1A7F18ED"/>
    <w:rsid w:val="1A8B2040"/>
    <w:rsid w:val="1A962E09"/>
    <w:rsid w:val="1A9877F2"/>
    <w:rsid w:val="1A9E7226"/>
    <w:rsid w:val="1AA933C8"/>
    <w:rsid w:val="1AAB26E3"/>
    <w:rsid w:val="1AD109F5"/>
    <w:rsid w:val="1AD32D1C"/>
    <w:rsid w:val="1ADA05D5"/>
    <w:rsid w:val="1B057F96"/>
    <w:rsid w:val="1B3156EE"/>
    <w:rsid w:val="1B4B7383"/>
    <w:rsid w:val="1B5031E0"/>
    <w:rsid w:val="1B54433E"/>
    <w:rsid w:val="1B59663B"/>
    <w:rsid w:val="1B616EF2"/>
    <w:rsid w:val="1B8459DF"/>
    <w:rsid w:val="1B8A054A"/>
    <w:rsid w:val="1B9A78D3"/>
    <w:rsid w:val="1BA12039"/>
    <w:rsid w:val="1BB03147"/>
    <w:rsid w:val="1BBE01F3"/>
    <w:rsid w:val="1BC5023D"/>
    <w:rsid w:val="1C042B2C"/>
    <w:rsid w:val="1C362480"/>
    <w:rsid w:val="1C446765"/>
    <w:rsid w:val="1C5F238E"/>
    <w:rsid w:val="1C862E71"/>
    <w:rsid w:val="1CC3143F"/>
    <w:rsid w:val="1D1A76CF"/>
    <w:rsid w:val="1D3B4A8E"/>
    <w:rsid w:val="1D4C4E4E"/>
    <w:rsid w:val="1D7C1C8C"/>
    <w:rsid w:val="1D9E0A57"/>
    <w:rsid w:val="1D9E6D02"/>
    <w:rsid w:val="1DB10B65"/>
    <w:rsid w:val="1E2A0473"/>
    <w:rsid w:val="1E3C1982"/>
    <w:rsid w:val="1E78352E"/>
    <w:rsid w:val="1E9E1EA9"/>
    <w:rsid w:val="1EAE27A1"/>
    <w:rsid w:val="1EBE309F"/>
    <w:rsid w:val="1ED117F5"/>
    <w:rsid w:val="1EDC7DA8"/>
    <w:rsid w:val="1F134DE3"/>
    <w:rsid w:val="1F67244F"/>
    <w:rsid w:val="1FBB0031"/>
    <w:rsid w:val="1FBE07C2"/>
    <w:rsid w:val="1FC87ED5"/>
    <w:rsid w:val="1FCA383E"/>
    <w:rsid w:val="1FE17B55"/>
    <w:rsid w:val="20237EB0"/>
    <w:rsid w:val="20674FC2"/>
    <w:rsid w:val="206750B4"/>
    <w:rsid w:val="207A603F"/>
    <w:rsid w:val="207D771F"/>
    <w:rsid w:val="20833120"/>
    <w:rsid w:val="20A076D5"/>
    <w:rsid w:val="20CF128C"/>
    <w:rsid w:val="20D05686"/>
    <w:rsid w:val="20E87F3E"/>
    <w:rsid w:val="20F9296C"/>
    <w:rsid w:val="21103286"/>
    <w:rsid w:val="21217CF4"/>
    <w:rsid w:val="214048BD"/>
    <w:rsid w:val="215760B8"/>
    <w:rsid w:val="219852BC"/>
    <w:rsid w:val="21B0309D"/>
    <w:rsid w:val="21DC13D3"/>
    <w:rsid w:val="21DD373E"/>
    <w:rsid w:val="220E3CD9"/>
    <w:rsid w:val="222114DC"/>
    <w:rsid w:val="224B3F58"/>
    <w:rsid w:val="224D6746"/>
    <w:rsid w:val="225A426B"/>
    <w:rsid w:val="229F21A5"/>
    <w:rsid w:val="22B31319"/>
    <w:rsid w:val="22D2770F"/>
    <w:rsid w:val="22D746D9"/>
    <w:rsid w:val="22FC68C8"/>
    <w:rsid w:val="232474D6"/>
    <w:rsid w:val="23264FFC"/>
    <w:rsid w:val="23376059"/>
    <w:rsid w:val="234C0E84"/>
    <w:rsid w:val="236D0130"/>
    <w:rsid w:val="237B2DC8"/>
    <w:rsid w:val="23804366"/>
    <w:rsid w:val="23822B70"/>
    <w:rsid w:val="239A7550"/>
    <w:rsid w:val="23AB5501"/>
    <w:rsid w:val="23B34692"/>
    <w:rsid w:val="23B373A0"/>
    <w:rsid w:val="23B57333"/>
    <w:rsid w:val="24002CCB"/>
    <w:rsid w:val="241A2687"/>
    <w:rsid w:val="241A4435"/>
    <w:rsid w:val="24451F15"/>
    <w:rsid w:val="24455956"/>
    <w:rsid w:val="244E7A3B"/>
    <w:rsid w:val="245C004A"/>
    <w:rsid w:val="24653902"/>
    <w:rsid w:val="247C3491"/>
    <w:rsid w:val="248A7E55"/>
    <w:rsid w:val="248B0E8F"/>
    <w:rsid w:val="248C1502"/>
    <w:rsid w:val="248F5DD5"/>
    <w:rsid w:val="24B44131"/>
    <w:rsid w:val="24B92E0B"/>
    <w:rsid w:val="24B944E6"/>
    <w:rsid w:val="24D05501"/>
    <w:rsid w:val="24DA2039"/>
    <w:rsid w:val="24DE5462"/>
    <w:rsid w:val="24E90CD0"/>
    <w:rsid w:val="24F55C08"/>
    <w:rsid w:val="24FD1D8D"/>
    <w:rsid w:val="25010A26"/>
    <w:rsid w:val="252D60E7"/>
    <w:rsid w:val="25397BBE"/>
    <w:rsid w:val="25725C3E"/>
    <w:rsid w:val="258D1A39"/>
    <w:rsid w:val="25C428AA"/>
    <w:rsid w:val="25C44658"/>
    <w:rsid w:val="25C9707F"/>
    <w:rsid w:val="25E41196"/>
    <w:rsid w:val="25F872DD"/>
    <w:rsid w:val="260B670E"/>
    <w:rsid w:val="26307F40"/>
    <w:rsid w:val="26667E05"/>
    <w:rsid w:val="266746F5"/>
    <w:rsid w:val="267442D0"/>
    <w:rsid w:val="267E5A4E"/>
    <w:rsid w:val="26B0201E"/>
    <w:rsid w:val="26BB11B9"/>
    <w:rsid w:val="26ED19A3"/>
    <w:rsid w:val="26F306C2"/>
    <w:rsid w:val="271B7436"/>
    <w:rsid w:val="2727432F"/>
    <w:rsid w:val="272E194F"/>
    <w:rsid w:val="27395AA0"/>
    <w:rsid w:val="273F32D3"/>
    <w:rsid w:val="274719E5"/>
    <w:rsid w:val="278C488D"/>
    <w:rsid w:val="27A10C04"/>
    <w:rsid w:val="27A837FA"/>
    <w:rsid w:val="27B173C2"/>
    <w:rsid w:val="27DF3476"/>
    <w:rsid w:val="27E17743"/>
    <w:rsid w:val="27EC0C1C"/>
    <w:rsid w:val="27F65B44"/>
    <w:rsid w:val="28100259"/>
    <w:rsid w:val="28516D09"/>
    <w:rsid w:val="28650375"/>
    <w:rsid w:val="28675334"/>
    <w:rsid w:val="286A45E6"/>
    <w:rsid w:val="28AC35DB"/>
    <w:rsid w:val="28AE6D6C"/>
    <w:rsid w:val="28B40D6B"/>
    <w:rsid w:val="28DD6409"/>
    <w:rsid w:val="28E31299"/>
    <w:rsid w:val="28EA6ACC"/>
    <w:rsid w:val="293F3EBF"/>
    <w:rsid w:val="295C39EB"/>
    <w:rsid w:val="29B95010"/>
    <w:rsid w:val="29BC27DC"/>
    <w:rsid w:val="29BD6437"/>
    <w:rsid w:val="29BE4D9A"/>
    <w:rsid w:val="29D9389D"/>
    <w:rsid w:val="2A024C13"/>
    <w:rsid w:val="2A093958"/>
    <w:rsid w:val="2A185A04"/>
    <w:rsid w:val="2A262462"/>
    <w:rsid w:val="2A273408"/>
    <w:rsid w:val="2A3B2B66"/>
    <w:rsid w:val="2A507293"/>
    <w:rsid w:val="2A660D80"/>
    <w:rsid w:val="2A685EFA"/>
    <w:rsid w:val="2A6A7EA4"/>
    <w:rsid w:val="2A810D6A"/>
    <w:rsid w:val="2A86701A"/>
    <w:rsid w:val="2AA64C74"/>
    <w:rsid w:val="2ACF4481"/>
    <w:rsid w:val="2AE93672"/>
    <w:rsid w:val="2AEB2EBA"/>
    <w:rsid w:val="2B043E08"/>
    <w:rsid w:val="2B223C5F"/>
    <w:rsid w:val="2B2840EB"/>
    <w:rsid w:val="2B41594C"/>
    <w:rsid w:val="2B595843"/>
    <w:rsid w:val="2B5E0F76"/>
    <w:rsid w:val="2B6C0ED7"/>
    <w:rsid w:val="2B717030"/>
    <w:rsid w:val="2B7A0CFF"/>
    <w:rsid w:val="2B7B7CDC"/>
    <w:rsid w:val="2B823170"/>
    <w:rsid w:val="2B9A6F4E"/>
    <w:rsid w:val="2BB21C22"/>
    <w:rsid w:val="2BBA5C02"/>
    <w:rsid w:val="2BBE1594"/>
    <w:rsid w:val="2BFB6476"/>
    <w:rsid w:val="2C092B91"/>
    <w:rsid w:val="2C22657D"/>
    <w:rsid w:val="2C4130ED"/>
    <w:rsid w:val="2C87594B"/>
    <w:rsid w:val="2C900FC5"/>
    <w:rsid w:val="2C98683F"/>
    <w:rsid w:val="2C9F79F1"/>
    <w:rsid w:val="2CE13D42"/>
    <w:rsid w:val="2CE47D2A"/>
    <w:rsid w:val="2CEF53A0"/>
    <w:rsid w:val="2D1361AA"/>
    <w:rsid w:val="2D1F5B4E"/>
    <w:rsid w:val="2D442249"/>
    <w:rsid w:val="2D6700E3"/>
    <w:rsid w:val="2D7449E5"/>
    <w:rsid w:val="2D83386F"/>
    <w:rsid w:val="2D875CCE"/>
    <w:rsid w:val="2DA26A63"/>
    <w:rsid w:val="2DB80F46"/>
    <w:rsid w:val="2DC754E1"/>
    <w:rsid w:val="2DD60347"/>
    <w:rsid w:val="2DDF4725"/>
    <w:rsid w:val="2DE955A4"/>
    <w:rsid w:val="2DEC75FC"/>
    <w:rsid w:val="2E195F2F"/>
    <w:rsid w:val="2E2E0276"/>
    <w:rsid w:val="2E3A0708"/>
    <w:rsid w:val="2E567479"/>
    <w:rsid w:val="2E5D41C5"/>
    <w:rsid w:val="2E875757"/>
    <w:rsid w:val="2EDF63DC"/>
    <w:rsid w:val="2EE10029"/>
    <w:rsid w:val="2EFA579B"/>
    <w:rsid w:val="2EFB2629"/>
    <w:rsid w:val="2F083FD6"/>
    <w:rsid w:val="2F11754B"/>
    <w:rsid w:val="2F145C80"/>
    <w:rsid w:val="2F146650"/>
    <w:rsid w:val="2F3000AA"/>
    <w:rsid w:val="2F4C1343"/>
    <w:rsid w:val="2F5A5AF8"/>
    <w:rsid w:val="2F63179E"/>
    <w:rsid w:val="2F650C5A"/>
    <w:rsid w:val="2F6A2B3A"/>
    <w:rsid w:val="2F6F3DDB"/>
    <w:rsid w:val="2F725125"/>
    <w:rsid w:val="2FA620A0"/>
    <w:rsid w:val="2FB35E69"/>
    <w:rsid w:val="2FB53A9F"/>
    <w:rsid w:val="2FD129FD"/>
    <w:rsid w:val="2FD13178"/>
    <w:rsid w:val="30021656"/>
    <w:rsid w:val="300E150D"/>
    <w:rsid w:val="30183345"/>
    <w:rsid w:val="302815D6"/>
    <w:rsid w:val="303D4414"/>
    <w:rsid w:val="30471898"/>
    <w:rsid w:val="305D0E7F"/>
    <w:rsid w:val="30747F74"/>
    <w:rsid w:val="30892C70"/>
    <w:rsid w:val="308C6171"/>
    <w:rsid w:val="30AD0B0B"/>
    <w:rsid w:val="30B6612F"/>
    <w:rsid w:val="31215055"/>
    <w:rsid w:val="313A5317"/>
    <w:rsid w:val="31500118"/>
    <w:rsid w:val="315F31FC"/>
    <w:rsid w:val="316170FA"/>
    <w:rsid w:val="317909ED"/>
    <w:rsid w:val="3179279B"/>
    <w:rsid w:val="31A33CBC"/>
    <w:rsid w:val="31AC17F7"/>
    <w:rsid w:val="31B05E08"/>
    <w:rsid w:val="31E75B21"/>
    <w:rsid w:val="31F831EB"/>
    <w:rsid w:val="32197A18"/>
    <w:rsid w:val="321B5F48"/>
    <w:rsid w:val="32226443"/>
    <w:rsid w:val="32534847"/>
    <w:rsid w:val="325531A0"/>
    <w:rsid w:val="32746563"/>
    <w:rsid w:val="32747406"/>
    <w:rsid w:val="32B20CD9"/>
    <w:rsid w:val="32C44075"/>
    <w:rsid w:val="331B47C0"/>
    <w:rsid w:val="331F098A"/>
    <w:rsid w:val="337C42F2"/>
    <w:rsid w:val="338F338D"/>
    <w:rsid w:val="339337F1"/>
    <w:rsid w:val="339E473B"/>
    <w:rsid w:val="33AF6CB8"/>
    <w:rsid w:val="33BD4A98"/>
    <w:rsid w:val="33D15C38"/>
    <w:rsid w:val="33E4188F"/>
    <w:rsid w:val="33E52369"/>
    <w:rsid w:val="33F63E9A"/>
    <w:rsid w:val="340646BC"/>
    <w:rsid w:val="340E0CB6"/>
    <w:rsid w:val="345E700B"/>
    <w:rsid w:val="3478152A"/>
    <w:rsid w:val="347A1A66"/>
    <w:rsid w:val="347D6787"/>
    <w:rsid w:val="34A70E86"/>
    <w:rsid w:val="34A90091"/>
    <w:rsid w:val="34DC6915"/>
    <w:rsid w:val="353939B3"/>
    <w:rsid w:val="354D5619"/>
    <w:rsid w:val="357419CD"/>
    <w:rsid w:val="357A3318"/>
    <w:rsid w:val="359D0A22"/>
    <w:rsid w:val="35AE5D70"/>
    <w:rsid w:val="35EB67D0"/>
    <w:rsid w:val="360941BC"/>
    <w:rsid w:val="360E7E12"/>
    <w:rsid w:val="3620283E"/>
    <w:rsid w:val="36224759"/>
    <w:rsid w:val="36554D38"/>
    <w:rsid w:val="36723C5D"/>
    <w:rsid w:val="3680029D"/>
    <w:rsid w:val="369013A3"/>
    <w:rsid w:val="36935731"/>
    <w:rsid w:val="36B8743C"/>
    <w:rsid w:val="36C97B09"/>
    <w:rsid w:val="36D32BC4"/>
    <w:rsid w:val="36DA0180"/>
    <w:rsid w:val="36DF7EB5"/>
    <w:rsid w:val="36F477C1"/>
    <w:rsid w:val="37152F66"/>
    <w:rsid w:val="3719299A"/>
    <w:rsid w:val="372D0377"/>
    <w:rsid w:val="37373D19"/>
    <w:rsid w:val="37482F9A"/>
    <w:rsid w:val="37490FD0"/>
    <w:rsid w:val="378C4B81"/>
    <w:rsid w:val="37F306BF"/>
    <w:rsid w:val="37FE7E9E"/>
    <w:rsid w:val="383876D7"/>
    <w:rsid w:val="383B019C"/>
    <w:rsid w:val="38536423"/>
    <w:rsid w:val="385C20A3"/>
    <w:rsid w:val="38A5656B"/>
    <w:rsid w:val="38B05A93"/>
    <w:rsid w:val="38C41DC3"/>
    <w:rsid w:val="38C6103F"/>
    <w:rsid w:val="390B35B6"/>
    <w:rsid w:val="390F7E89"/>
    <w:rsid w:val="39226139"/>
    <w:rsid w:val="392A10C1"/>
    <w:rsid w:val="39461AFC"/>
    <w:rsid w:val="39661562"/>
    <w:rsid w:val="396C7089"/>
    <w:rsid w:val="397B3919"/>
    <w:rsid w:val="39970912"/>
    <w:rsid w:val="39AA5F4F"/>
    <w:rsid w:val="39B2341E"/>
    <w:rsid w:val="39B90520"/>
    <w:rsid w:val="39D7783F"/>
    <w:rsid w:val="39DC0787"/>
    <w:rsid w:val="39E708FB"/>
    <w:rsid w:val="3A1F1A7E"/>
    <w:rsid w:val="3A276278"/>
    <w:rsid w:val="3A3E27D3"/>
    <w:rsid w:val="3A6904A9"/>
    <w:rsid w:val="3A89235F"/>
    <w:rsid w:val="3A8D72B7"/>
    <w:rsid w:val="3A9B6793"/>
    <w:rsid w:val="3AA83F11"/>
    <w:rsid w:val="3AE35129"/>
    <w:rsid w:val="3B1F0D17"/>
    <w:rsid w:val="3B7E4C2C"/>
    <w:rsid w:val="3B9A72FA"/>
    <w:rsid w:val="3BC43850"/>
    <w:rsid w:val="3C14165B"/>
    <w:rsid w:val="3C1744A2"/>
    <w:rsid w:val="3C183264"/>
    <w:rsid w:val="3C936544"/>
    <w:rsid w:val="3C9F73FC"/>
    <w:rsid w:val="3CAF0A33"/>
    <w:rsid w:val="3CB11983"/>
    <w:rsid w:val="3CC1403E"/>
    <w:rsid w:val="3CDA3873"/>
    <w:rsid w:val="3CDF414C"/>
    <w:rsid w:val="3D257C7B"/>
    <w:rsid w:val="3DBA32F9"/>
    <w:rsid w:val="3DE7686A"/>
    <w:rsid w:val="3DFB2BEA"/>
    <w:rsid w:val="3DFC2E81"/>
    <w:rsid w:val="3E061932"/>
    <w:rsid w:val="3E0E4BB3"/>
    <w:rsid w:val="3E1E3150"/>
    <w:rsid w:val="3E3C74E4"/>
    <w:rsid w:val="3E3E7246"/>
    <w:rsid w:val="3E487C2B"/>
    <w:rsid w:val="3E5A7DF8"/>
    <w:rsid w:val="3E9D077E"/>
    <w:rsid w:val="3E9E5F37"/>
    <w:rsid w:val="3E9F6BFE"/>
    <w:rsid w:val="3EAA48DB"/>
    <w:rsid w:val="3EB2553E"/>
    <w:rsid w:val="3ED83AF5"/>
    <w:rsid w:val="3F01463B"/>
    <w:rsid w:val="3F1C6564"/>
    <w:rsid w:val="3F201683"/>
    <w:rsid w:val="3F327A47"/>
    <w:rsid w:val="3F4F77BB"/>
    <w:rsid w:val="3F566BAC"/>
    <w:rsid w:val="3F5D4601"/>
    <w:rsid w:val="3F611C6A"/>
    <w:rsid w:val="3F775FF0"/>
    <w:rsid w:val="3F7B6278"/>
    <w:rsid w:val="3F7E7C4C"/>
    <w:rsid w:val="3FC92B3F"/>
    <w:rsid w:val="3FDD11E7"/>
    <w:rsid w:val="3FFA193D"/>
    <w:rsid w:val="40280463"/>
    <w:rsid w:val="40B86852"/>
    <w:rsid w:val="40B966B7"/>
    <w:rsid w:val="40BA0DD8"/>
    <w:rsid w:val="40E15D2C"/>
    <w:rsid w:val="40E816EB"/>
    <w:rsid w:val="40F22F45"/>
    <w:rsid w:val="41004A1A"/>
    <w:rsid w:val="415C79E3"/>
    <w:rsid w:val="41654AEA"/>
    <w:rsid w:val="41795EB1"/>
    <w:rsid w:val="41CE29BE"/>
    <w:rsid w:val="420846AC"/>
    <w:rsid w:val="420C5D06"/>
    <w:rsid w:val="420D5605"/>
    <w:rsid w:val="420E7F0F"/>
    <w:rsid w:val="42962EAD"/>
    <w:rsid w:val="429F5BAC"/>
    <w:rsid w:val="42B40800"/>
    <w:rsid w:val="42F84B6A"/>
    <w:rsid w:val="42FE6CB0"/>
    <w:rsid w:val="430F595E"/>
    <w:rsid w:val="43291B47"/>
    <w:rsid w:val="438751EB"/>
    <w:rsid w:val="439648D1"/>
    <w:rsid w:val="43AA2C88"/>
    <w:rsid w:val="43B21B3C"/>
    <w:rsid w:val="43FB437E"/>
    <w:rsid w:val="44066083"/>
    <w:rsid w:val="442B201A"/>
    <w:rsid w:val="4445144B"/>
    <w:rsid w:val="445F4D0F"/>
    <w:rsid w:val="447339C1"/>
    <w:rsid w:val="447540E8"/>
    <w:rsid w:val="44A85FC4"/>
    <w:rsid w:val="44AB6CB7"/>
    <w:rsid w:val="44AD23A9"/>
    <w:rsid w:val="44CD30D2"/>
    <w:rsid w:val="44D02BC2"/>
    <w:rsid w:val="44DA269C"/>
    <w:rsid w:val="456A772D"/>
    <w:rsid w:val="457A48DC"/>
    <w:rsid w:val="45841998"/>
    <w:rsid w:val="45897EAB"/>
    <w:rsid w:val="45A63E41"/>
    <w:rsid w:val="45C868C6"/>
    <w:rsid w:val="45EC7588"/>
    <w:rsid w:val="460505F6"/>
    <w:rsid w:val="460551C7"/>
    <w:rsid w:val="460C0745"/>
    <w:rsid w:val="460D4C3F"/>
    <w:rsid w:val="46212CFC"/>
    <w:rsid w:val="46510E55"/>
    <w:rsid w:val="46BD4A69"/>
    <w:rsid w:val="46C557DB"/>
    <w:rsid w:val="46C76F55"/>
    <w:rsid w:val="46E3183F"/>
    <w:rsid w:val="46E666CD"/>
    <w:rsid w:val="46E81166"/>
    <w:rsid w:val="47133570"/>
    <w:rsid w:val="471A1A7F"/>
    <w:rsid w:val="4723522B"/>
    <w:rsid w:val="472E4E39"/>
    <w:rsid w:val="473302F3"/>
    <w:rsid w:val="477353BB"/>
    <w:rsid w:val="47925F0D"/>
    <w:rsid w:val="47C36C18"/>
    <w:rsid w:val="47EE5CE3"/>
    <w:rsid w:val="481D6E33"/>
    <w:rsid w:val="48200DA0"/>
    <w:rsid w:val="48481793"/>
    <w:rsid w:val="487839C5"/>
    <w:rsid w:val="487877F8"/>
    <w:rsid w:val="48D82045"/>
    <w:rsid w:val="48E861DE"/>
    <w:rsid w:val="48EB7FCA"/>
    <w:rsid w:val="48EE731B"/>
    <w:rsid w:val="48F426FB"/>
    <w:rsid w:val="49001499"/>
    <w:rsid w:val="49093C2D"/>
    <w:rsid w:val="490F7BB5"/>
    <w:rsid w:val="491D0561"/>
    <w:rsid w:val="492611BD"/>
    <w:rsid w:val="493274C3"/>
    <w:rsid w:val="4979575C"/>
    <w:rsid w:val="49812106"/>
    <w:rsid w:val="499542AC"/>
    <w:rsid w:val="49A446BE"/>
    <w:rsid w:val="49BE1255"/>
    <w:rsid w:val="49CB7D62"/>
    <w:rsid w:val="49CC16CC"/>
    <w:rsid w:val="49D1732F"/>
    <w:rsid w:val="49E25489"/>
    <w:rsid w:val="49EC0015"/>
    <w:rsid w:val="49F143AA"/>
    <w:rsid w:val="49F9689A"/>
    <w:rsid w:val="4A0F4E4B"/>
    <w:rsid w:val="4A774290"/>
    <w:rsid w:val="4A7B0A4F"/>
    <w:rsid w:val="4A8F7DB6"/>
    <w:rsid w:val="4A91474C"/>
    <w:rsid w:val="4AAB55FC"/>
    <w:rsid w:val="4AC81EE0"/>
    <w:rsid w:val="4B010D5B"/>
    <w:rsid w:val="4B06485B"/>
    <w:rsid w:val="4B1F0583"/>
    <w:rsid w:val="4B3621D8"/>
    <w:rsid w:val="4B4E4840"/>
    <w:rsid w:val="4B896940"/>
    <w:rsid w:val="4B8B339F"/>
    <w:rsid w:val="4B902A9C"/>
    <w:rsid w:val="4B9A49BE"/>
    <w:rsid w:val="4BA1307A"/>
    <w:rsid w:val="4BA47241"/>
    <w:rsid w:val="4BAB1356"/>
    <w:rsid w:val="4BBC3E0D"/>
    <w:rsid w:val="4BC65FDF"/>
    <w:rsid w:val="4BC66ACD"/>
    <w:rsid w:val="4BD165C6"/>
    <w:rsid w:val="4BF707D3"/>
    <w:rsid w:val="4C1A3426"/>
    <w:rsid w:val="4C3E6663"/>
    <w:rsid w:val="4C406983"/>
    <w:rsid w:val="4C4745FD"/>
    <w:rsid w:val="4C480AFE"/>
    <w:rsid w:val="4C9C0C27"/>
    <w:rsid w:val="4C9F12A5"/>
    <w:rsid w:val="4CA93410"/>
    <w:rsid w:val="4CB15087"/>
    <w:rsid w:val="4CB47A6E"/>
    <w:rsid w:val="4CE07E85"/>
    <w:rsid w:val="4D0E4287"/>
    <w:rsid w:val="4D137AF0"/>
    <w:rsid w:val="4D31544E"/>
    <w:rsid w:val="4D465B49"/>
    <w:rsid w:val="4D64784A"/>
    <w:rsid w:val="4D9E2ACF"/>
    <w:rsid w:val="4DBB3B00"/>
    <w:rsid w:val="4DBE73C9"/>
    <w:rsid w:val="4DCB3509"/>
    <w:rsid w:val="4DF0398D"/>
    <w:rsid w:val="4DF8671F"/>
    <w:rsid w:val="4DFA2840"/>
    <w:rsid w:val="4E070752"/>
    <w:rsid w:val="4E0B3365"/>
    <w:rsid w:val="4E144E86"/>
    <w:rsid w:val="4E3B5550"/>
    <w:rsid w:val="4E6F6FA8"/>
    <w:rsid w:val="4E724206"/>
    <w:rsid w:val="4E735949"/>
    <w:rsid w:val="4E770255"/>
    <w:rsid w:val="4E8912DF"/>
    <w:rsid w:val="4EB06DEA"/>
    <w:rsid w:val="4EB36E4C"/>
    <w:rsid w:val="4EE47996"/>
    <w:rsid w:val="4EEC05F8"/>
    <w:rsid w:val="4EF660F6"/>
    <w:rsid w:val="4EFA4E68"/>
    <w:rsid w:val="4F035942"/>
    <w:rsid w:val="4F0E67C1"/>
    <w:rsid w:val="4F116DDC"/>
    <w:rsid w:val="4F1418FD"/>
    <w:rsid w:val="4F1E2646"/>
    <w:rsid w:val="4F247AF6"/>
    <w:rsid w:val="4F3167EF"/>
    <w:rsid w:val="4F3855EC"/>
    <w:rsid w:val="4F4334BD"/>
    <w:rsid w:val="4F631E49"/>
    <w:rsid w:val="4F6E2D92"/>
    <w:rsid w:val="4F7B128F"/>
    <w:rsid w:val="4F92533F"/>
    <w:rsid w:val="4FB81003"/>
    <w:rsid w:val="4FDB0BF1"/>
    <w:rsid w:val="501C27AC"/>
    <w:rsid w:val="50450DD2"/>
    <w:rsid w:val="50453280"/>
    <w:rsid w:val="504A7CCC"/>
    <w:rsid w:val="504C5DC6"/>
    <w:rsid w:val="505A77E4"/>
    <w:rsid w:val="506110B6"/>
    <w:rsid w:val="507E34D2"/>
    <w:rsid w:val="50DE6667"/>
    <w:rsid w:val="50FF4610"/>
    <w:rsid w:val="511B400D"/>
    <w:rsid w:val="515063BF"/>
    <w:rsid w:val="515B568A"/>
    <w:rsid w:val="5166191C"/>
    <w:rsid w:val="51690173"/>
    <w:rsid w:val="517B5C63"/>
    <w:rsid w:val="518B234A"/>
    <w:rsid w:val="51AC51CB"/>
    <w:rsid w:val="51AD6BC5"/>
    <w:rsid w:val="51C07B1A"/>
    <w:rsid w:val="522A286E"/>
    <w:rsid w:val="524C5358"/>
    <w:rsid w:val="52574047"/>
    <w:rsid w:val="528F7887"/>
    <w:rsid w:val="52A906CC"/>
    <w:rsid w:val="52E33AC0"/>
    <w:rsid w:val="52FD115A"/>
    <w:rsid w:val="532C6F31"/>
    <w:rsid w:val="533918DC"/>
    <w:rsid w:val="534D64E5"/>
    <w:rsid w:val="53820CD1"/>
    <w:rsid w:val="53871939"/>
    <w:rsid w:val="538D0EFF"/>
    <w:rsid w:val="53AC35C3"/>
    <w:rsid w:val="53BF0356"/>
    <w:rsid w:val="53EC14F6"/>
    <w:rsid w:val="53EF08A4"/>
    <w:rsid w:val="542E0595"/>
    <w:rsid w:val="54592906"/>
    <w:rsid w:val="54662252"/>
    <w:rsid w:val="5468773F"/>
    <w:rsid w:val="549A5D91"/>
    <w:rsid w:val="54BE2A37"/>
    <w:rsid w:val="54D438D0"/>
    <w:rsid w:val="55035D66"/>
    <w:rsid w:val="55345CCC"/>
    <w:rsid w:val="55366A71"/>
    <w:rsid w:val="5547068F"/>
    <w:rsid w:val="555E317E"/>
    <w:rsid w:val="55620662"/>
    <w:rsid w:val="55870F97"/>
    <w:rsid w:val="559519EA"/>
    <w:rsid w:val="55A47598"/>
    <w:rsid w:val="55B21005"/>
    <w:rsid w:val="55E20101"/>
    <w:rsid w:val="560814D6"/>
    <w:rsid w:val="563C7ACF"/>
    <w:rsid w:val="56466840"/>
    <w:rsid w:val="56491534"/>
    <w:rsid w:val="5663166A"/>
    <w:rsid w:val="566507A0"/>
    <w:rsid w:val="56967ACB"/>
    <w:rsid w:val="56B55774"/>
    <w:rsid w:val="56C267F8"/>
    <w:rsid w:val="56C63334"/>
    <w:rsid w:val="56EF5035"/>
    <w:rsid w:val="56F92E37"/>
    <w:rsid w:val="56FF2028"/>
    <w:rsid w:val="573F3DC4"/>
    <w:rsid w:val="576527DB"/>
    <w:rsid w:val="57803483"/>
    <w:rsid w:val="57AC3744"/>
    <w:rsid w:val="57CC0775"/>
    <w:rsid w:val="57E17FBA"/>
    <w:rsid w:val="57EC3417"/>
    <w:rsid w:val="57F66044"/>
    <w:rsid w:val="5842734C"/>
    <w:rsid w:val="58684B74"/>
    <w:rsid w:val="588D2755"/>
    <w:rsid w:val="58B141AE"/>
    <w:rsid w:val="58B42881"/>
    <w:rsid w:val="58BF0B2C"/>
    <w:rsid w:val="58D553A4"/>
    <w:rsid w:val="58D565A1"/>
    <w:rsid w:val="58E324DA"/>
    <w:rsid w:val="58FD62BE"/>
    <w:rsid w:val="59091DA7"/>
    <w:rsid w:val="590E1BD2"/>
    <w:rsid w:val="591311F4"/>
    <w:rsid w:val="59152159"/>
    <w:rsid w:val="591C4E46"/>
    <w:rsid w:val="59352755"/>
    <w:rsid w:val="595B6D8C"/>
    <w:rsid w:val="59A92DFA"/>
    <w:rsid w:val="59B316AC"/>
    <w:rsid w:val="59B409FE"/>
    <w:rsid w:val="5A065489"/>
    <w:rsid w:val="5A0B4A39"/>
    <w:rsid w:val="5A13672F"/>
    <w:rsid w:val="5A160626"/>
    <w:rsid w:val="5A7A07C2"/>
    <w:rsid w:val="5ACB7D97"/>
    <w:rsid w:val="5AF95C18"/>
    <w:rsid w:val="5B0B0F2F"/>
    <w:rsid w:val="5B133DAA"/>
    <w:rsid w:val="5B2E5754"/>
    <w:rsid w:val="5B306357"/>
    <w:rsid w:val="5B391AA2"/>
    <w:rsid w:val="5B5F4B5E"/>
    <w:rsid w:val="5BAB4156"/>
    <w:rsid w:val="5BCD1E2F"/>
    <w:rsid w:val="5BD34204"/>
    <w:rsid w:val="5C21067F"/>
    <w:rsid w:val="5C261EDB"/>
    <w:rsid w:val="5C277A05"/>
    <w:rsid w:val="5C49708A"/>
    <w:rsid w:val="5C5657C0"/>
    <w:rsid w:val="5C630AD7"/>
    <w:rsid w:val="5C7C6AFF"/>
    <w:rsid w:val="5CB0171D"/>
    <w:rsid w:val="5CB639C4"/>
    <w:rsid w:val="5CC46318"/>
    <w:rsid w:val="5CE63CF3"/>
    <w:rsid w:val="5CEF05A9"/>
    <w:rsid w:val="5CFA5CE8"/>
    <w:rsid w:val="5D244D4B"/>
    <w:rsid w:val="5D3F048D"/>
    <w:rsid w:val="5D4162B8"/>
    <w:rsid w:val="5D694F7E"/>
    <w:rsid w:val="5D7937D8"/>
    <w:rsid w:val="5D8929AE"/>
    <w:rsid w:val="5DA62406"/>
    <w:rsid w:val="5DAA7FFC"/>
    <w:rsid w:val="5DAB1E3A"/>
    <w:rsid w:val="5DAD0F84"/>
    <w:rsid w:val="5DBE7604"/>
    <w:rsid w:val="5DE362CD"/>
    <w:rsid w:val="5E0B089B"/>
    <w:rsid w:val="5E10335D"/>
    <w:rsid w:val="5E150F15"/>
    <w:rsid w:val="5E2C5938"/>
    <w:rsid w:val="5E330192"/>
    <w:rsid w:val="5E4A0E97"/>
    <w:rsid w:val="5E665056"/>
    <w:rsid w:val="5E722567"/>
    <w:rsid w:val="5E8B689C"/>
    <w:rsid w:val="5ED15115"/>
    <w:rsid w:val="5ED50A40"/>
    <w:rsid w:val="5ED62EED"/>
    <w:rsid w:val="5EF50358"/>
    <w:rsid w:val="5F156A02"/>
    <w:rsid w:val="5F4B7EC1"/>
    <w:rsid w:val="5F685A79"/>
    <w:rsid w:val="5F950838"/>
    <w:rsid w:val="5F9C5723"/>
    <w:rsid w:val="5FB965F9"/>
    <w:rsid w:val="5FC6177D"/>
    <w:rsid w:val="5FD770C4"/>
    <w:rsid w:val="5FEC2A61"/>
    <w:rsid w:val="600A25A8"/>
    <w:rsid w:val="601C1D24"/>
    <w:rsid w:val="603D04B2"/>
    <w:rsid w:val="60703B2B"/>
    <w:rsid w:val="60785ADB"/>
    <w:rsid w:val="60862A98"/>
    <w:rsid w:val="60DB671F"/>
    <w:rsid w:val="60F8527A"/>
    <w:rsid w:val="60FA2170"/>
    <w:rsid w:val="611E2EDC"/>
    <w:rsid w:val="611F2AAF"/>
    <w:rsid w:val="613876CD"/>
    <w:rsid w:val="616D2728"/>
    <w:rsid w:val="6182403A"/>
    <w:rsid w:val="61A12D37"/>
    <w:rsid w:val="61A31AEF"/>
    <w:rsid w:val="61B828FB"/>
    <w:rsid w:val="623F03E8"/>
    <w:rsid w:val="6264122F"/>
    <w:rsid w:val="62946B14"/>
    <w:rsid w:val="62D641FC"/>
    <w:rsid w:val="62F70A87"/>
    <w:rsid w:val="631B3DC6"/>
    <w:rsid w:val="63350A29"/>
    <w:rsid w:val="6349015D"/>
    <w:rsid w:val="63520F1A"/>
    <w:rsid w:val="635E0A01"/>
    <w:rsid w:val="6363332A"/>
    <w:rsid w:val="637569B7"/>
    <w:rsid w:val="637F41CC"/>
    <w:rsid w:val="638E2526"/>
    <w:rsid w:val="63AE011A"/>
    <w:rsid w:val="63B66A2C"/>
    <w:rsid w:val="63B95393"/>
    <w:rsid w:val="63D00091"/>
    <w:rsid w:val="63D77E29"/>
    <w:rsid w:val="63E15DFA"/>
    <w:rsid w:val="63EC4278"/>
    <w:rsid w:val="640970FF"/>
    <w:rsid w:val="640D0C28"/>
    <w:rsid w:val="64101037"/>
    <w:rsid w:val="64117CAC"/>
    <w:rsid w:val="644A38E2"/>
    <w:rsid w:val="64737A8F"/>
    <w:rsid w:val="6483589B"/>
    <w:rsid w:val="64A64644"/>
    <w:rsid w:val="64C94C51"/>
    <w:rsid w:val="64E27649"/>
    <w:rsid w:val="64E27812"/>
    <w:rsid w:val="64E96F8A"/>
    <w:rsid w:val="64FA337E"/>
    <w:rsid w:val="6523039D"/>
    <w:rsid w:val="65322062"/>
    <w:rsid w:val="65334880"/>
    <w:rsid w:val="653B06E6"/>
    <w:rsid w:val="65430629"/>
    <w:rsid w:val="65447215"/>
    <w:rsid w:val="65721845"/>
    <w:rsid w:val="659077A3"/>
    <w:rsid w:val="65DB5CA6"/>
    <w:rsid w:val="65ED2A13"/>
    <w:rsid w:val="661701F9"/>
    <w:rsid w:val="662E5351"/>
    <w:rsid w:val="66654171"/>
    <w:rsid w:val="668D6DE5"/>
    <w:rsid w:val="66BE0817"/>
    <w:rsid w:val="66BE41FF"/>
    <w:rsid w:val="66EC13BE"/>
    <w:rsid w:val="6716125A"/>
    <w:rsid w:val="672A321C"/>
    <w:rsid w:val="67317098"/>
    <w:rsid w:val="678A5A74"/>
    <w:rsid w:val="678E44EB"/>
    <w:rsid w:val="6796393B"/>
    <w:rsid w:val="67B041D2"/>
    <w:rsid w:val="67BD15B9"/>
    <w:rsid w:val="67BD6B7E"/>
    <w:rsid w:val="67C63FD9"/>
    <w:rsid w:val="67DC2FF0"/>
    <w:rsid w:val="67F1512B"/>
    <w:rsid w:val="680B4763"/>
    <w:rsid w:val="680E7E46"/>
    <w:rsid w:val="685017A0"/>
    <w:rsid w:val="685A7FAF"/>
    <w:rsid w:val="685C47A7"/>
    <w:rsid w:val="6867711E"/>
    <w:rsid w:val="686D2CF4"/>
    <w:rsid w:val="68792AA5"/>
    <w:rsid w:val="68B37104"/>
    <w:rsid w:val="68B57855"/>
    <w:rsid w:val="68BE670A"/>
    <w:rsid w:val="68E95438"/>
    <w:rsid w:val="691602F4"/>
    <w:rsid w:val="691D11F3"/>
    <w:rsid w:val="69207E48"/>
    <w:rsid w:val="693410C2"/>
    <w:rsid w:val="6949649F"/>
    <w:rsid w:val="694F4F20"/>
    <w:rsid w:val="696D3DBF"/>
    <w:rsid w:val="696D6B39"/>
    <w:rsid w:val="69921FD4"/>
    <w:rsid w:val="69A022B3"/>
    <w:rsid w:val="69B13F78"/>
    <w:rsid w:val="69BF7EA1"/>
    <w:rsid w:val="69CB5649"/>
    <w:rsid w:val="69E61596"/>
    <w:rsid w:val="69FF3AE6"/>
    <w:rsid w:val="6A0006F1"/>
    <w:rsid w:val="6A276531"/>
    <w:rsid w:val="6A467706"/>
    <w:rsid w:val="6A5966E8"/>
    <w:rsid w:val="6A5D6A77"/>
    <w:rsid w:val="6A9B40CC"/>
    <w:rsid w:val="6AB53DC8"/>
    <w:rsid w:val="6AB93487"/>
    <w:rsid w:val="6AC235A4"/>
    <w:rsid w:val="6AC76C5B"/>
    <w:rsid w:val="6AE02431"/>
    <w:rsid w:val="6AF602B3"/>
    <w:rsid w:val="6B2A62D8"/>
    <w:rsid w:val="6B3709F5"/>
    <w:rsid w:val="6B712159"/>
    <w:rsid w:val="6B737C7F"/>
    <w:rsid w:val="6B77011F"/>
    <w:rsid w:val="6BA63569"/>
    <w:rsid w:val="6BB77FE6"/>
    <w:rsid w:val="6BBA6837"/>
    <w:rsid w:val="6BBC429C"/>
    <w:rsid w:val="6BC563E4"/>
    <w:rsid w:val="6BF97B03"/>
    <w:rsid w:val="6C694426"/>
    <w:rsid w:val="6C9526A2"/>
    <w:rsid w:val="6C9818B5"/>
    <w:rsid w:val="6C9D2ADA"/>
    <w:rsid w:val="6CC62031"/>
    <w:rsid w:val="6CD738FF"/>
    <w:rsid w:val="6CF43457"/>
    <w:rsid w:val="6D3D4FCB"/>
    <w:rsid w:val="6D5C2995"/>
    <w:rsid w:val="6D9531EB"/>
    <w:rsid w:val="6DAB4B75"/>
    <w:rsid w:val="6DEA7FA1"/>
    <w:rsid w:val="6E1D0CC8"/>
    <w:rsid w:val="6E3A0F28"/>
    <w:rsid w:val="6E693FAD"/>
    <w:rsid w:val="6E91253A"/>
    <w:rsid w:val="6EB45A24"/>
    <w:rsid w:val="6F0E2E09"/>
    <w:rsid w:val="6F1277AF"/>
    <w:rsid w:val="6F196B7E"/>
    <w:rsid w:val="6F394517"/>
    <w:rsid w:val="6F640D66"/>
    <w:rsid w:val="6F642130"/>
    <w:rsid w:val="6F6561FB"/>
    <w:rsid w:val="6F68493F"/>
    <w:rsid w:val="6F765F12"/>
    <w:rsid w:val="6F7F4125"/>
    <w:rsid w:val="6F851031"/>
    <w:rsid w:val="6F9270D1"/>
    <w:rsid w:val="6FB47687"/>
    <w:rsid w:val="6FC52B44"/>
    <w:rsid w:val="6FD7191C"/>
    <w:rsid w:val="6FE07C0D"/>
    <w:rsid w:val="6FE74546"/>
    <w:rsid w:val="6FFF2F39"/>
    <w:rsid w:val="70093CC2"/>
    <w:rsid w:val="701A152C"/>
    <w:rsid w:val="702472A5"/>
    <w:rsid w:val="70293112"/>
    <w:rsid w:val="70297105"/>
    <w:rsid w:val="704774F7"/>
    <w:rsid w:val="70643A4D"/>
    <w:rsid w:val="706D26D8"/>
    <w:rsid w:val="70A408DB"/>
    <w:rsid w:val="70C96594"/>
    <w:rsid w:val="70F21646"/>
    <w:rsid w:val="70F6426E"/>
    <w:rsid w:val="71000FCE"/>
    <w:rsid w:val="710C7771"/>
    <w:rsid w:val="710F033B"/>
    <w:rsid w:val="71233EF6"/>
    <w:rsid w:val="71274A34"/>
    <w:rsid w:val="713C4FCA"/>
    <w:rsid w:val="7174160B"/>
    <w:rsid w:val="718A0141"/>
    <w:rsid w:val="71CC7250"/>
    <w:rsid w:val="71DA21B2"/>
    <w:rsid w:val="722731C5"/>
    <w:rsid w:val="722F3768"/>
    <w:rsid w:val="72580A84"/>
    <w:rsid w:val="725B76BF"/>
    <w:rsid w:val="72771F9F"/>
    <w:rsid w:val="727E0720"/>
    <w:rsid w:val="72873175"/>
    <w:rsid w:val="729E5B0A"/>
    <w:rsid w:val="72DB43BD"/>
    <w:rsid w:val="72DC0898"/>
    <w:rsid w:val="72F311AA"/>
    <w:rsid w:val="730B446C"/>
    <w:rsid w:val="730E3B99"/>
    <w:rsid w:val="731E6C78"/>
    <w:rsid w:val="73696FFE"/>
    <w:rsid w:val="7382641E"/>
    <w:rsid w:val="73A878E3"/>
    <w:rsid w:val="73AF0CE3"/>
    <w:rsid w:val="73B84230"/>
    <w:rsid w:val="73C843FF"/>
    <w:rsid w:val="73EF5BEA"/>
    <w:rsid w:val="741A3CA7"/>
    <w:rsid w:val="744D11B3"/>
    <w:rsid w:val="74566390"/>
    <w:rsid w:val="74567ED4"/>
    <w:rsid w:val="746360AF"/>
    <w:rsid w:val="746B21F4"/>
    <w:rsid w:val="747E0535"/>
    <w:rsid w:val="74A54E21"/>
    <w:rsid w:val="74C50E20"/>
    <w:rsid w:val="74F30A4F"/>
    <w:rsid w:val="750616C5"/>
    <w:rsid w:val="75554A6B"/>
    <w:rsid w:val="75571B50"/>
    <w:rsid w:val="755A5A0C"/>
    <w:rsid w:val="756A12D2"/>
    <w:rsid w:val="756A1C55"/>
    <w:rsid w:val="758F3128"/>
    <w:rsid w:val="759A7575"/>
    <w:rsid w:val="75C22BCC"/>
    <w:rsid w:val="75CB7F75"/>
    <w:rsid w:val="75E21275"/>
    <w:rsid w:val="75F13A47"/>
    <w:rsid w:val="75FE00A6"/>
    <w:rsid w:val="760A0EAA"/>
    <w:rsid w:val="762107BE"/>
    <w:rsid w:val="7630247D"/>
    <w:rsid w:val="763D58B3"/>
    <w:rsid w:val="765B5DDA"/>
    <w:rsid w:val="766543D8"/>
    <w:rsid w:val="766C01D4"/>
    <w:rsid w:val="766E79D6"/>
    <w:rsid w:val="76852E13"/>
    <w:rsid w:val="768F49C6"/>
    <w:rsid w:val="76910AFE"/>
    <w:rsid w:val="76C439A1"/>
    <w:rsid w:val="772A6322"/>
    <w:rsid w:val="77443A25"/>
    <w:rsid w:val="777B00BC"/>
    <w:rsid w:val="77D26378"/>
    <w:rsid w:val="77F008AA"/>
    <w:rsid w:val="78070E37"/>
    <w:rsid w:val="780879A1"/>
    <w:rsid w:val="78370287"/>
    <w:rsid w:val="785A23FA"/>
    <w:rsid w:val="786D5CD2"/>
    <w:rsid w:val="78724B49"/>
    <w:rsid w:val="787F34BE"/>
    <w:rsid w:val="788D3CEF"/>
    <w:rsid w:val="788E0664"/>
    <w:rsid w:val="78AA2F01"/>
    <w:rsid w:val="78BE62B2"/>
    <w:rsid w:val="78C95DA3"/>
    <w:rsid w:val="78FC7A49"/>
    <w:rsid w:val="790C2AF7"/>
    <w:rsid w:val="790D7AFC"/>
    <w:rsid w:val="791E2DF8"/>
    <w:rsid w:val="793F12A3"/>
    <w:rsid w:val="794762A8"/>
    <w:rsid w:val="79646E59"/>
    <w:rsid w:val="79921895"/>
    <w:rsid w:val="79925BB5"/>
    <w:rsid w:val="799D0F10"/>
    <w:rsid w:val="79D06E6C"/>
    <w:rsid w:val="79D510B7"/>
    <w:rsid w:val="79D67893"/>
    <w:rsid w:val="7A4474CC"/>
    <w:rsid w:val="7A596F46"/>
    <w:rsid w:val="7ABF4E76"/>
    <w:rsid w:val="7ACB2DEB"/>
    <w:rsid w:val="7ACE5F52"/>
    <w:rsid w:val="7AD660C8"/>
    <w:rsid w:val="7AE31ADF"/>
    <w:rsid w:val="7B045492"/>
    <w:rsid w:val="7B0E32FF"/>
    <w:rsid w:val="7B101403"/>
    <w:rsid w:val="7B191EC6"/>
    <w:rsid w:val="7B4B1342"/>
    <w:rsid w:val="7B4B34D5"/>
    <w:rsid w:val="7BBA7205"/>
    <w:rsid w:val="7BBF44BB"/>
    <w:rsid w:val="7BC34082"/>
    <w:rsid w:val="7C023192"/>
    <w:rsid w:val="7C190ABB"/>
    <w:rsid w:val="7C2B3C5E"/>
    <w:rsid w:val="7C37414E"/>
    <w:rsid w:val="7C3B504E"/>
    <w:rsid w:val="7C5228EC"/>
    <w:rsid w:val="7C645443"/>
    <w:rsid w:val="7C7C6F68"/>
    <w:rsid w:val="7CB44C11"/>
    <w:rsid w:val="7D132D5D"/>
    <w:rsid w:val="7D413E44"/>
    <w:rsid w:val="7D505F2F"/>
    <w:rsid w:val="7D6A50F3"/>
    <w:rsid w:val="7D8D2833"/>
    <w:rsid w:val="7DDA357B"/>
    <w:rsid w:val="7E130F14"/>
    <w:rsid w:val="7E2A6E94"/>
    <w:rsid w:val="7EB96EE8"/>
    <w:rsid w:val="7EF84474"/>
    <w:rsid w:val="7EFA3B68"/>
    <w:rsid w:val="7F051A9D"/>
    <w:rsid w:val="7F1C364B"/>
    <w:rsid w:val="7F1C3657"/>
    <w:rsid w:val="7F2F7F0A"/>
    <w:rsid w:val="7F400790"/>
    <w:rsid w:val="7F422A9B"/>
    <w:rsid w:val="7F437175"/>
    <w:rsid w:val="7F466C57"/>
    <w:rsid w:val="7F5671CF"/>
    <w:rsid w:val="7F655FD6"/>
    <w:rsid w:val="7F6567B2"/>
    <w:rsid w:val="7F7F30FF"/>
    <w:rsid w:val="7F8A6F3C"/>
    <w:rsid w:val="7FCC5784"/>
    <w:rsid w:val="7FD66183"/>
    <w:rsid w:val="7FE1343C"/>
    <w:rsid w:val="7FED709F"/>
    <w:rsid w:val="7FF54C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2">
    <w:name w:val="heading 5"/>
    <w:basedOn w:val="1"/>
    <w:next w:val="1"/>
    <w:qFormat/>
    <w:uiPriority w:val="0"/>
    <w:pPr>
      <w:keepNext/>
      <w:keepLines/>
      <w:spacing w:before="280" w:after="290" w:line="376" w:lineRule="auto"/>
      <w:outlineLvl w:val="4"/>
    </w:pPr>
    <w:rPr>
      <w:b/>
      <w:bCs/>
      <w:sz w:val="28"/>
      <w:szCs w:val="28"/>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3">
    <w:name w:val="Normal Indent"/>
    <w:basedOn w:val="1"/>
    <w:qFormat/>
    <w:uiPriority w:val="0"/>
    <w:pPr>
      <w:ind w:firstLine="420"/>
    </w:pPr>
    <w:rPr>
      <w:snapToGrid/>
      <w:kern w:val="2"/>
      <w:sz w:val="21"/>
    </w:rPr>
  </w:style>
  <w:style w:type="paragraph" w:styleId="4">
    <w:name w:val="annotation text"/>
    <w:basedOn w:val="1"/>
    <w:qFormat/>
    <w:uiPriority w:val="0"/>
    <w:pPr>
      <w:jc w:val="left"/>
    </w:pPr>
    <w:rPr>
      <w:kern w:val="0"/>
      <w:sz w:val="24"/>
      <w:szCs w:val="20"/>
    </w:rPr>
  </w:style>
  <w:style w:type="paragraph" w:styleId="5">
    <w:name w:val="Salutation"/>
    <w:basedOn w:val="1"/>
    <w:next w:val="1"/>
    <w:qFormat/>
    <w:uiPriority w:val="0"/>
    <w:rPr>
      <w:rFonts w:ascii="Times New Roman" w:hAnsi="Times New Roman" w:eastAsia="宋体" w:cs="Times New Roman"/>
    </w:rPr>
  </w:style>
  <w:style w:type="paragraph" w:styleId="6">
    <w:name w:val="Body Text"/>
    <w:basedOn w:val="1"/>
    <w:qFormat/>
    <w:uiPriority w:val="0"/>
    <w:pPr>
      <w:widowControl/>
      <w:snapToGrid w:val="0"/>
      <w:spacing w:before="60" w:after="160" w:line="259" w:lineRule="auto"/>
      <w:ind w:right="113"/>
    </w:pPr>
    <w:rPr>
      <w:kern w:val="0"/>
      <w:sz w:val="18"/>
      <w:szCs w:val="20"/>
    </w:rPr>
  </w:style>
  <w:style w:type="paragraph" w:styleId="7">
    <w:name w:val="Body Text Indent"/>
    <w:basedOn w:val="1"/>
    <w:next w:val="8"/>
    <w:qFormat/>
    <w:uiPriority w:val="0"/>
    <w:pPr>
      <w:spacing w:after="120"/>
      <w:ind w:left="420" w:leftChars="200"/>
    </w:pPr>
    <w:rPr>
      <w:kern w:val="0"/>
      <w:sz w:val="24"/>
      <w:szCs w:val="20"/>
    </w:rPr>
  </w:style>
  <w:style w:type="paragraph" w:styleId="8">
    <w:name w:val="envelope return"/>
    <w:basedOn w:val="1"/>
    <w:qFormat/>
    <w:uiPriority w:val="0"/>
    <w:pPr>
      <w:snapToGrid w:val="0"/>
    </w:pPr>
    <w:rPr>
      <w:rFonts w:ascii="Arial" w:hAnsi="Arial" w:cs="Arial"/>
    </w:rPr>
  </w:style>
  <w:style w:type="paragraph" w:styleId="9">
    <w:name w:val="Plain Text"/>
    <w:basedOn w:val="1"/>
    <w:next w:val="1"/>
    <w:unhideWhenUsed/>
    <w:qFormat/>
    <w:uiPriority w:val="0"/>
    <w:pPr>
      <w:jc w:val="center"/>
    </w:pPr>
    <w:rPr>
      <w:rFonts w:ascii="Times New Roman" w:hAnsi="Times New Roman" w:eastAsia="宋体" w:cs="Courier New"/>
      <w:sz w:val="21"/>
      <w:szCs w:val="21"/>
    </w:rPr>
  </w:style>
  <w:style w:type="paragraph" w:styleId="10">
    <w:name w:val="Body Text Indent 2"/>
    <w:basedOn w:val="1"/>
    <w:qFormat/>
    <w:uiPriority w:val="0"/>
    <w:pPr>
      <w:spacing w:after="120" w:afterLines="0" w:line="480" w:lineRule="auto"/>
      <w:ind w:left="420" w:leftChars="200"/>
    </w:pPr>
  </w:style>
  <w:style w:type="paragraph" w:styleId="11">
    <w:name w:val="footer"/>
    <w:basedOn w:val="1"/>
    <w:qFormat/>
    <w:uiPriority w:val="99"/>
    <w:pPr>
      <w:tabs>
        <w:tab w:val="center" w:pos="4153"/>
        <w:tab w:val="right" w:pos="8306"/>
      </w:tabs>
      <w:snapToGrid w:val="0"/>
      <w:jc w:val="left"/>
    </w:pPr>
    <w:rPr>
      <w:kern w:val="0"/>
      <w:sz w:val="18"/>
      <w:szCs w:val="20"/>
    </w:rPr>
  </w:style>
  <w:style w:type="paragraph" w:styleId="12">
    <w:name w:val="header"/>
    <w:basedOn w:val="1"/>
    <w:next w:val="1"/>
    <w:qFormat/>
    <w:uiPriority w:val="0"/>
    <w:pPr>
      <w:pBdr>
        <w:bottom w:val="single" w:color="auto" w:sz="6" w:space="1"/>
      </w:pBdr>
      <w:tabs>
        <w:tab w:val="center" w:pos="4153"/>
        <w:tab w:val="right" w:pos="8306"/>
      </w:tabs>
      <w:snapToGrid w:val="0"/>
      <w:jc w:val="center"/>
    </w:pPr>
    <w:rPr>
      <w:kern w:val="0"/>
      <w:sz w:val="18"/>
      <w:szCs w:val="20"/>
    </w:rPr>
  </w:style>
  <w:style w:type="paragraph" w:styleId="13">
    <w:name w:val="toc 1"/>
    <w:basedOn w:val="1"/>
    <w:next w:val="1"/>
    <w:qFormat/>
    <w:uiPriority w:val="39"/>
    <w:pPr>
      <w:tabs>
        <w:tab w:val="right" w:leader="dot" w:pos="9062"/>
      </w:tabs>
      <w:spacing w:line="360" w:lineRule="auto"/>
    </w:pPr>
  </w:style>
  <w:style w:type="paragraph" w:styleId="14">
    <w:name w:val="index heading"/>
    <w:basedOn w:val="1"/>
    <w:next w:val="15"/>
    <w:qFormat/>
    <w:uiPriority w:val="0"/>
    <w:rPr>
      <w:rFonts w:ascii="Arial" w:hAnsi="Arial"/>
      <w:b/>
    </w:rPr>
  </w:style>
  <w:style w:type="paragraph" w:styleId="15">
    <w:name w:val="index 1"/>
    <w:basedOn w:val="1"/>
    <w:next w:val="1"/>
    <w:qFormat/>
    <w:uiPriority w:val="0"/>
    <w:pPr>
      <w:spacing w:line="360" w:lineRule="auto"/>
    </w:pPr>
    <w:rPr>
      <w:sz w:val="24"/>
      <w:szCs w:val="21"/>
    </w:rPr>
  </w:style>
  <w:style w:type="paragraph" w:styleId="16">
    <w:name w:val="Normal (Web)"/>
    <w:basedOn w:val="1"/>
    <w:qFormat/>
    <w:uiPriority w:val="99"/>
    <w:pPr>
      <w:widowControl/>
      <w:spacing w:before="100" w:beforeAutospacing="1" w:after="100" w:afterAutospacing="1"/>
      <w:jc w:val="left"/>
    </w:pPr>
    <w:rPr>
      <w:rFonts w:ascii="宋体" w:hAnsi="宋体"/>
      <w:kern w:val="0"/>
      <w:sz w:val="24"/>
      <w:szCs w:val="20"/>
    </w:rPr>
  </w:style>
  <w:style w:type="paragraph" w:styleId="17">
    <w:name w:val="Title"/>
    <w:basedOn w:val="1"/>
    <w:next w:val="1"/>
    <w:qFormat/>
    <w:uiPriority w:val="0"/>
    <w:pPr>
      <w:jc w:val="center"/>
      <w:outlineLvl w:val="2"/>
    </w:pPr>
    <w:rPr>
      <w:rFonts w:ascii="Times New Roman" w:hAnsi="Times New Roman" w:cs="Times New Roman"/>
      <w:b/>
      <w:sz w:val="21"/>
    </w:rPr>
  </w:style>
  <w:style w:type="paragraph" w:styleId="18">
    <w:name w:val="Body Text First Indent"/>
    <w:basedOn w:val="6"/>
    <w:qFormat/>
    <w:uiPriority w:val="0"/>
    <w:pPr>
      <w:spacing w:after="120" w:afterLines="0" w:line="240" w:lineRule="auto"/>
      <w:ind w:firstLine="420" w:firstLineChars="100"/>
    </w:pPr>
    <w:rPr>
      <w:rFonts w:ascii="Times New Roman" w:hAnsi="Times New Roman" w:eastAsia="宋体" w:cs="Times New Roman"/>
      <w:sz w:val="21"/>
    </w:rPr>
  </w:style>
  <w:style w:type="paragraph" w:styleId="19">
    <w:name w:val="Body Text First Indent 2"/>
    <w:basedOn w:val="7"/>
    <w:next w:val="1"/>
    <w:qFormat/>
    <w:uiPriority w:val="0"/>
    <w:pPr>
      <w:ind w:firstLine="420" w:firstLineChars="200"/>
    </w:pPr>
  </w:style>
  <w:style w:type="table" w:styleId="21">
    <w:name w:val="Table Grid"/>
    <w:basedOn w:val="20"/>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qFormat/>
    <w:uiPriority w:val="0"/>
  </w:style>
  <w:style w:type="character" w:styleId="24">
    <w:name w:val="Hyperlink"/>
    <w:qFormat/>
    <w:uiPriority w:val="99"/>
    <w:rPr>
      <w:color w:val="333333"/>
      <w:u w:val="none"/>
    </w:rPr>
  </w:style>
  <w:style w:type="character" w:styleId="25">
    <w:name w:val="annotation reference"/>
    <w:qFormat/>
    <w:uiPriority w:val="0"/>
    <w:rPr>
      <w:sz w:val="21"/>
    </w:rPr>
  </w:style>
  <w:style w:type="paragraph" w:customStyle="1" w:styleId="26">
    <w:name w:val="环评表格"/>
    <w:basedOn w:val="1"/>
    <w:qFormat/>
    <w:uiPriority w:val="0"/>
    <w:pPr>
      <w:snapToGrid w:val="0"/>
      <w:spacing w:line="240" w:lineRule="auto"/>
      <w:ind w:firstLine="0" w:firstLineChars="0"/>
      <w:jc w:val="center"/>
    </w:pPr>
    <w:rPr>
      <w:rFonts w:ascii="Times New Roman" w:hAnsi="Times New Roman" w:eastAsia="宋体" w:cs="Times New Roman"/>
      <w:color w:val="auto"/>
      <w:sz w:val="21"/>
    </w:rPr>
  </w:style>
  <w:style w:type="paragraph" w:customStyle="1" w:styleId="27">
    <w:name w:val="文本"/>
    <w:basedOn w:val="1"/>
    <w:qFormat/>
    <w:uiPriority w:val="0"/>
    <w:pPr>
      <w:spacing w:line="360" w:lineRule="auto"/>
      <w:ind w:firstLine="200" w:firstLineChars="200"/>
    </w:pPr>
    <w:rPr>
      <w:sz w:val="24"/>
    </w:rPr>
  </w:style>
  <w:style w:type="paragraph" w:customStyle="1" w:styleId="28">
    <w:name w:val="表格1"/>
    <w:basedOn w:val="1"/>
    <w:qFormat/>
    <w:uiPriority w:val="0"/>
    <w:pPr>
      <w:autoSpaceDE w:val="0"/>
      <w:autoSpaceDN w:val="0"/>
      <w:spacing w:line="240" w:lineRule="auto"/>
      <w:ind w:firstLine="0" w:firstLineChars="0"/>
      <w:jc w:val="center"/>
    </w:pPr>
    <w:rPr>
      <w:kern w:val="0"/>
      <w:sz w:val="21"/>
    </w:rPr>
  </w:style>
  <w:style w:type="paragraph" w:customStyle="1" w:styleId="29">
    <w:name w:val="表头"/>
    <w:basedOn w:val="30"/>
    <w:qFormat/>
    <w:uiPriority w:val="0"/>
    <w:pPr>
      <w:keepNext/>
      <w:adjustRightInd/>
      <w:snapToGrid/>
      <w:spacing w:before="10" w:after="10" w:line="240" w:lineRule="auto"/>
      <w:ind w:firstLine="0" w:firstLineChars="0"/>
    </w:pPr>
    <w:rPr>
      <w:rFonts w:ascii="Times New Roman"/>
      <w:b/>
      <w:kern w:val="2"/>
      <w:szCs w:val="24"/>
    </w:rPr>
  </w:style>
  <w:style w:type="paragraph" w:customStyle="1" w:styleId="30">
    <w:name w:val="表格"/>
    <w:basedOn w:val="3"/>
    <w:next w:val="1"/>
    <w:qFormat/>
    <w:uiPriority w:val="0"/>
    <w:pPr>
      <w:adjustRightInd w:val="0"/>
      <w:snapToGrid w:val="0"/>
      <w:spacing w:beforeLines="10" w:afterLines="10" w:line="259" w:lineRule="auto"/>
      <w:jc w:val="center"/>
    </w:pPr>
    <w:rPr>
      <w:rFonts w:ascii="宋体"/>
      <w:kern w:val="0"/>
      <w:szCs w:val="20"/>
    </w:rPr>
  </w:style>
  <w:style w:type="paragraph" w:customStyle="1" w:styleId="31">
    <w:name w:val="赵"/>
    <w:basedOn w:val="1"/>
    <w:qFormat/>
    <w:uiPriority w:val="0"/>
    <w:pPr>
      <w:widowControl/>
      <w:tabs>
        <w:tab w:val="left" w:pos="540"/>
        <w:tab w:val="left" w:pos="851"/>
        <w:tab w:val="left" w:pos="994"/>
        <w:tab w:val="left" w:pos="1260"/>
        <w:tab w:val="left" w:pos="3108"/>
        <w:tab w:val="left" w:pos="3150"/>
      </w:tabs>
    </w:pPr>
    <w:rPr>
      <w:snapToGrid w:val="0"/>
      <w:color w:val="000000"/>
      <w:kern w:val="32"/>
      <w:szCs w:val="28"/>
    </w:rPr>
  </w:style>
  <w:style w:type="paragraph" w:customStyle="1" w:styleId="32">
    <w:name w:val="正文周"/>
    <w:basedOn w:val="1"/>
    <w:qFormat/>
    <w:uiPriority w:val="0"/>
    <w:pPr>
      <w:spacing w:line="360" w:lineRule="auto"/>
      <w:ind w:firstLine="200" w:firstLineChars="200"/>
      <w:textAlignment w:val="baseline"/>
    </w:pPr>
    <w:rPr>
      <w:sz w:val="24"/>
      <w:szCs w:val="30"/>
    </w:rPr>
  </w:style>
  <w:style w:type="paragraph" w:customStyle="1" w:styleId="33">
    <w:name w:val="5 Char"/>
    <w:basedOn w:val="1"/>
    <w:qFormat/>
    <w:uiPriority w:val="0"/>
    <w:pPr>
      <w:adjustRightInd w:val="0"/>
      <w:spacing w:line="360" w:lineRule="atLeast"/>
      <w:ind w:firstLine="0" w:firstLineChars="0"/>
      <w:textAlignment w:val="baseline"/>
    </w:pPr>
    <w:rPr>
      <w:szCs w:val="20"/>
    </w:rPr>
  </w:style>
  <w:style w:type="paragraph" w:customStyle="1" w:styleId="3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5">
    <w:name w:val="正文部分"/>
    <w:basedOn w:val="1"/>
    <w:qFormat/>
    <w:uiPriority w:val="0"/>
    <w:pPr>
      <w:spacing w:line="480" w:lineRule="exact"/>
      <w:ind w:firstLine="1446" w:firstLineChars="200"/>
    </w:pPr>
    <w:rPr>
      <w:snapToGrid/>
      <w:kern w:val="2"/>
      <w:szCs w:val="24"/>
    </w:rPr>
  </w:style>
  <w:style w:type="paragraph" w:customStyle="1" w:styleId="36">
    <w:name w:val="表格内容"/>
    <w:basedOn w:val="29"/>
    <w:qFormat/>
    <w:uiPriority w:val="0"/>
    <w:pPr>
      <w:overflowPunct w:val="0"/>
      <w:spacing w:line="240" w:lineRule="auto"/>
      <w:ind w:firstLine="0" w:firstLineChars="0"/>
      <w:jc w:val="center"/>
      <w:textAlignment w:val="baseline"/>
    </w:pPr>
    <w:rPr>
      <w:sz w:val="21"/>
    </w:rPr>
  </w:style>
  <w:style w:type="paragraph" w:customStyle="1" w:styleId="37">
    <w:name w:val="Table Paragraph"/>
    <w:basedOn w:val="1"/>
    <w:qFormat/>
    <w:uiPriority w:val="1"/>
    <w:pPr>
      <w:autoSpaceDE w:val="0"/>
      <w:autoSpaceDN w:val="0"/>
      <w:jc w:val="left"/>
    </w:pPr>
    <w:rPr>
      <w:snapToGrid/>
      <w:sz w:val="22"/>
      <w:szCs w:val="22"/>
    </w:rPr>
  </w:style>
  <w:style w:type="paragraph" w:customStyle="1" w:styleId="38">
    <w:name w:val="报告表正文"/>
    <w:basedOn w:val="1"/>
    <w:qFormat/>
    <w:uiPriority w:val="0"/>
    <w:pPr>
      <w:wordWrap w:val="0"/>
      <w:topLinePunct/>
      <w:textAlignment w:val="baseline"/>
    </w:pPr>
    <w:rPr>
      <w:rFonts w:cs="宋体"/>
      <w:szCs w:val="20"/>
    </w:rPr>
  </w:style>
  <w:style w:type="paragraph" w:customStyle="1" w:styleId="39">
    <w:name w:val="正本文字"/>
    <w:basedOn w:val="1"/>
    <w:qFormat/>
    <w:uiPriority w:val="0"/>
    <w:pPr>
      <w:adjustRightInd w:val="0"/>
      <w:snapToGrid w:val="0"/>
      <w:jc w:val="left"/>
    </w:pPr>
    <w:rPr>
      <w:rFonts w:cs="宋体"/>
      <w:kern w:val="18"/>
      <w:szCs w:val="20"/>
    </w:rPr>
  </w:style>
  <w:style w:type="paragraph" w:customStyle="1" w:styleId="40">
    <w:name w:val="【正文】"/>
    <w:basedOn w:val="1"/>
    <w:qFormat/>
    <w:uiPriority w:val="0"/>
    <w:rPr>
      <w:kern w:val="0"/>
    </w:rPr>
  </w:style>
  <w:style w:type="paragraph" w:customStyle="1" w:styleId="41">
    <w:name w:val="Normal Indent"/>
    <w:basedOn w:val="1"/>
    <w:qFormat/>
    <w:uiPriority w:val="0"/>
    <w:rPr>
      <w:rFonts w:ascii="宋体" w:hAnsi="宋体"/>
    </w:rPr>
  </w:style>
  <w:style w:type="paragraph" w:customStyle="1" w:styleId="42">
    <w:name w:val="列出段落1"/>
    <w:basedOn w:val="1"/>
    <w:qFormat/>
    <w:uiPriority w:val="34"/>
    <w:pPr>
      <w:adjustRightInd w:val="0"/>
      <w:snapToGrid w:val="0"/>
      <w:ind w:firstLine="420"/>
    </w:pPr>
    <w:rPr>
      <w:szCs w:val="20"/>
    </w:rPr>
  </w:style>
  <w:style w:type="paragraph" w:customStyle="1" w:styleId="43">
    <w:name w:val="表题"/>
    <w:basedOn w:val="1"/>
    <w:qFormat/>
    <w:uiPriority w:val="0"/>
    <w:pPr>
      <w:autoSpaceDE w:val="0"/>
      <w:autoSpaceDN w:val="0"/>
      <w:adjustRightInd/>
      <w:spacing w:line="240" w:lineRule="auto"/>
      <w:ind w:firstLine="0" w:firstLineChars="0"/>
      <w:jc w:val="center"/>
    </w:pPr>
    <w:rPr>
      <w:rFonts w:ascii="Times New Roman" w:hAnsi="Times New Roman" w:eastAsia="宋体"/>
      <w:b/>
    </w:rPr>
  </w:style>
  <w:style w:type="character" w:customStyle="1" w:styleId="44">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9.wmf"/><Relationship Id="rId23" Type="http://schemas.openxmlformats.org/officeDocument/2006/relationships/oleObject" Target="embeddings/oleObject2.bin"/><Relationship Id="rId22" Type="http://schemas.openxmlformats.org/officeDocument/2006/relationships/image" Target="media/image8.png"/><Relationship Id="rId21" Type="http://schemas.openxmlformats.org/officeDocument/2006/relationships/image" Target="media/image7.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95</Pages>
  <Words>14694</Words>
  <Characters>15429</Characters>
  <Lines>0</Lines>
  <Paragraphs>0</Paragraphs>
  <TotalTime>16</TotalTime>
  <ScaleCrop>false</ScaleCrop>
  <LinksUpToDate>false</LinksUpToDate>
  <CharactersWithSpaces>15476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2024-09-20T05:42:00Z</dcterms:created>
  <dc:creator>王DY</dc:creator>
  <cp:lastModifiedBy>Administrator</cp:lastModifiedBy>
  <dcterms:modified xsi:type="dcterms:W3CDTF">2025-03-28T03:04:54Z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F8D5D1A8B0314A529DBD92CAE14EFAA7_11</vt:lpwstr>
  </property>
  <property fmtid="{D5CDD505-2E9C-101B-9397-08002B2CF9AE}" pid="4" name="KSOTemplateDocerSaveRecord">
    <vt:lpwstr>eyJoZGlkIjoiOTc5MzZiOTVlYzA1Y2QxZjJhNzRkYjUxYWVhZGEwN2UifQ==</vt:lpwstr>
  </property>
</Properties>
</file>