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eastAsia="zh-CN"/>
        </w:rPr>
      </w:pPr>
      <w:r>
        <w:rPr>
          <w:rFonts w:hint="eastAsia" w:ascii="黑体" w:hAnsi="黑体" w:eastAsia="黑体" w:cs="黑体"/>
          <w:lang w:eastAsia="zh-CN"/>
        </w:rPr>
        <w:t>附件3：</w:t>
      </w:r>
    </w:p>
    <w:p>
      <w:pPr>
        <w:pStyle w:val="2"/>
        <w:ind w:left="0" w:leftChars="0" w:firstLine="0" w:firstLineChars="0"/>
        <w:jc w:val="center"/>
        <w:rPr>
          <w:rFonts w:hint="eastAsia" w:ascii="方正小标宋简体" w:hAnsi="方正小标宋简体" w:eastAsia="方正小标宋简体" w:cs="方正小标宋简体"/>
          <w:sz w:val="44"/>
          <w:szCs w:val="44"/>
          <w:lang w:eastAsia="zh-CN"/>
        </w:rPr>
      </w:pPr>
    </w:p>
    <w:p>
      <w:pPr>
        <w:pStyle w:val="2"/>
        <w:ind w:left="0" w:leftChars="0" w:firstLine="0" w:firstLineChars="0"/>
        <w:jc w:val="center"/>
        <w:rPr>
          <w:rFonts w:hint="eastAsia" w:ascii="方正小标宋简体" w:hAnsi="方正小标宋简体" w:eastAsia="方正小标宋简体" w:cs="方正小标宋简体"/>
          <w:sz w:val="44"/>
          <w:szCs w:val="44"/>
          <w:lang w:eastAsia="zh-CN"/>
        </w:rPr>
      </w:pPr>
      <w:bookmarkStart w:id="1" w:name="_GoBack"/>
      <w:r>
        <w:rPr>
          <w:rFonts w:hint="eastAsia" w:ascii="方正小标宋简体" w:hAnsi="方正小标宋简体" w:eastAsia="方正小标宋简体" w:cs="方正小标宋简体"/>
          <w:sz w:val="44"/>
          <w:szCs w:val="44"/>
          <w:lang w:eastAsia="zh-CN"/>
        </w:rPr>
        <w:t>寻甸回族彝族自治县文化和旅游局2024年部门整体支出绩效评价指标体系</w:t>
      </w:r>
      <w:bookmarkEnd w:id="1"/>
    </w:p>
    <w:p>
      <w:pPr>
        <w:pStyle w:val="2"/>
        <w:ind w:left="0" w:leftChars="0" w:firstLine="0" w:firstLineChars="0"/>
        <w:jc w:val="both"/>
        <w:rPr>
          <w:rFonts w:hint="eastAsia" w:ascii="方正小标宋简体" w:hAnsi="方正小标宋简体" w:eastAsia="方正小标宋简体" w:cs="方正小标宋简体"/>
          <w:sz w:val="44"/>
          <w:szCs w:val="44"/>
          <w:lang w:eastAsia="zh-CN"/>
        </w:rPr>
      </w:pPr>
    </w:p>
    <w:tbl>
      <w:tblPr>
        <w:tblStyle w:val="3"/>
        <w:tblW w:w="0" w:type="auto"/>
        <w:tblInd w:w="2" w:type="dxa"/>
        <w:tblLayout w:type="fixed"/>
        <w:tblCellMar>
          <w:top w:w="0" w:type="dxa"/>
          <w:left w:w="108" w:type="dxa"/>
          <w:bottom w:w="0" w:type="dxa"/>
          <w:right w:w="108" w:type="dxa"/>
        </w:tblCellMar>
      </w:tblPr>
      <w:tblGrid>
        <w:gridCol w:w="579"/>
        <w:gridCol w:w="981"/>
        <w:gridCol w:w="1559"/>
        <w:gridCol w:w="689"/>
        <w:gridCol w:w="2050"/>
        <w:gridCol w:w="2846"/>
        <w:gridCol w:w="1361"/>
      </w:tblGrid>
      <w:tr>
        <w:tblPrEx>
          <w:tblCellMar>
            <w:top w:w="0" w:type="dxa"/>
            <w:left w:w="108" w:type="dxa"/>
            <w:bottom w:w="0" w:type="dxa"/>
            <w:right w:w="108" w:type="dxa"/>
          </w:tblCellMar>
        </w:tblPrEx>
        <w:trPr>
          <w:trHeight w:val="270" w:hRule="atLeast"/>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bookmarkStart w:id="0" w:name="OLE_LINK9"/>
            <w:r>
              <w:rPr>
                <w:rFonts w:hint="default" w:ascii="Times New Roman" w:hAnsi="Times New Roman" w:cs="Times New Roman"/>
                <w:b/>
                <w:bCs/>
                <w:color w:val="000000"/>
                <w:kern w:val="0"/>
                <w:sz w:val="18"/>
                <w:szCs w:val="18"/>
              </w:rPr>
              <w:t>一级指标</w:t>
            </w:r>
          </w:p>
        </w:tc>
        <w:tc>
          <w:tcPr>
            <w:tcW w:w="981"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二级</w:t>
            </w:r>
          </w:p>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指标</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三级指标</w:t>
            </w:r>
          </w:p>
        </w:tc>
        <w:tc>
          <w:tcPr>
            <w:tcW w:w="68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得分</w:t>
            </w:r>
          </w:p>
        </w:tc>
        <w:tc>
          <w:tcPr>
            <w:tcW w:w="20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指标解释</w:t>
            </w:r>
          </w:p>
        </w:tc>
        <w:tc>
          <w:tcPr>
            <w:tcW w:w="284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指标评分细则</w:t>
            </w:r>
          </w:p>
        </w:tc>
        <w:tc>
          <w:tcPr>
            <w:tcW w:w="1361"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数据来源</w:t>
            </w:r>
          </w:p>
        </w:tc>
      </w:tr>
      <w:tr>
        <w:tblPrEx>
          <w:tblCellMar>
            <w:top w:w="0" w:type="dxa"/>
            <w:left w:w="108" w:type="dxa"/>
            <w:bottom w:w="0" w:type="dxa"/>
            <w:right w:w="108" w:type="dxa"/>
          </w:tblCellMar>
        </w:tblPrEx>
        <w:trPr>
          <w:trHeight w:val="1575" w:hRule="atLeast"/>
        </w:trPr>
        <w:tc>
          <w:tcPr>
            <w:tcW w:w="579"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A部门决策（35分）</w:t>
            </w:r>
          </w:p>
        </w:tc>
        <w:tc>
          <w:tcPr>
            <w:tcW w:w="981" w:type="dxa"/>
            <w:vMerge w:val="restart"/>
            <w:tcBorders>
              <w:top w:val="nil"/>
              <w:left w:val="single" w:color="auto" w:sz="4" w:space="0"/>
              <w:bottom w:val="single" w:color="000000" w:sz="4" w:space="0"/>
              <w:right w:val="single" w:color="auto" w:sz="4" w:space="0"/>
            </w:tcBorders>
            <w:noWrap/>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A1部门目标（12分）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A11部门中长期规划目标的明确性与合理性（2分）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部门（单位）中长期规划目标的设定情况；中长期规划目标应设定明确，应与政府中长期规划目标相适应，且应与部门职能相适应。</w:t>
            </w:r>
          </w:p>
        </w:tc>
        <w:tc>
          <w:tcPr>
            <w:tcW w:w="2846" w:type="dxa"/>
            <w:tcBorders>
              <w:top w:val="nil"/>
              <w:left w:val="nil"/>
              <w:bottom w:val="single" w:color="auto" w:sz="4" w:space="0"/>
              <w:right w:val="single" w:color="auto" w:sz="4" w:space="0"/>
            </w:tcBorders>
            <w:noWrap/>
          </w:tcPr>
          <w:p>
            <w:pPr>
              <w:widowControl/>
              <w:numPr>
                <w:ilvl w:val="0"/>
                <w:numId w:val="1"/>
              </w:numP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定了部门中长期规划目标，得0.5分；②设定的部门中长期规划目标明确，得0.5分；③能够适应《寻甸县文化旅游事业发展“十三五”规划》，得0.5分；④能够与部门职能相适应，得0.5分。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部门中长期规划目标、市政府相关规划、部门“三定”方案、部门职能文件。</w:t>
            </w:r>
          </w:p>
        </w:tc>
      </w:tr>
      <w:tr>
        <w:tblPrEx>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A12年度工作目标的明确性与合理性（2分）</w:t>
            </w:r>
          </w:p>
        </w:tc>
        <w:tc>
          <w:tcPr>
            <w:tcW w:w="68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部门年度工作目标的设定是否明确合理</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①部门年度工作目标明确设定，得1分；②年度工作目标与部门中长期规划目标一致，得1分。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年度工作目标与部门中长期规划文件</w:t>
            </w:r>
          </w:p>
        </w:tc>
      </w:tr>
      <w:tr>
        <w:tblPrEx>
          <w:tblCellMar>
            <w:top w:w="0" w:type="dxa"/>
            <w:left w:w="108" w:type="dxa"/>
            <w:bottom w:w="0" w:type="dxa"/>
            <w:right w:w="108" w:type="dxa"/>
          </w:tblCellMar>
        </w:tblPrEx>
        <w:trPr>
          <w:trHeight w:val="123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A13年度工作计划与年度工作目标的一致性（2分）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部门年度工作计划是否与部门年度工作目标相一致。</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将部门详细工作计划与年度工作目标对应匹配，视匹配情况酌情得0-2分。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年度工作计划与年度工作目标文件</w:t>
            </w:r>
          </w:p>
        </w:tc>
      </w:tr>
      <w:tr>
        <w:tblPrEx>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A14绩效目标合理性（3分）</w:t>
            </w:r>
          </w:p>
        </w:tc>
        <w:tc>
          <w:tcPr>
            <w:tcW w:w="689" w:type="dxa"/>
            <w:tcBorders>
              <w:top w:val="nil"/>
              <w:left w:val="nil"/>
              <w:bottom w:val="single" w:color="auto" w:sz="4" w:space="0"/>
              <w:right w:val="single" w:color="auto" w:sz="4" w:space="0"/>
            </w:tcBorders>
            <w:noWrap/>
          </w:tcPr>
          <w:p>
            <w:pPr>
              <w:widowControl/>
              <w:jc w:val="center"/>
              <w:rPr>
                <w:rFonts w:hint="default" w:ascii="Times New Roman" w:hAnsi="Times New Roman" w:cs="Times New Roman"/>
                <w:color w:val="000000"/>
                <w:kern w:val="0"/>
                <w:sz w:val="18"/>
                <w:szCs w:val="18"/>
              </w:rPr>
            </w:pPr>
          </w:p>
          <w:p>
            <w:pPr>
              <w:widowControl/>
              <w:jc w:val="center"/>
              <w:rPr>
                <w:rFonts w:hint="default" w:ascii="Times New Roman" w:hAnsi="Times New Roman" w:cs="Times New Roman"/>
                <w:color w:val="000000"/>
                <w:kern w:val="0"/>
                <w:sz w:val="18"/>
                <w:szCs w:val="18"/>
              </w:rPr>
            </w:pP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用以反映和考核部门整体绩效目标与部门职能、年度工作目标的一致性。</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①符合部门制定的中长期实施规划计1分；②符合部门“三定”方案确定的职责计1分；③与部门年度工作目标、任务相一致计1分。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部门中长期规划、部门“三定”方案、年度重点工作任务与工作计划</w:t>
            </w:r>
          </w:p>
        </w:tc>
      </w:tr>
      <w:tr>
        <w:tblPrEx>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A15绩效指标明确性（3分）</w:t>
            </w:r>
          </w:p>
        </w:tc>
        <w:tc>
          <w:tcPr>
            <w:tcW w:w="689" w:type="dxa"/>
            <w:tcBorders>
              <w:top w:val="nil"/>
              <w:left w:val="nil"/>
              <w:bottom w:val="single" w:color="auto" w:sz="4" w:space="0"/>
              <w:right w:val="single" w:color="auto" w:sz="4" w:space="0"/>
            </w:tcBorders>
            <w:noWrap/>
          </w:tcPr>
          <w:p>
            <w:pPr>
              <w:widowControl/>
              <w:jc w:val="center"/>
              <w:rPr>
                <w:rFonts w:hint="default" w:ascii="Times New Roman" w:hAnsi="Times New Roman" w:cs="Times New Roman"/>
                <w:color w:val="000000"/>
                <w:kern w:val="0"/>
                <w:sz w:val="18"/>
                <w:szCs w:val="18"/>
              </w:rPr>
            </w:pPr>
          </w:p>
          <w:p>
            <w:pPr>
              <w:widowControl/>
              <w:jc w:val="center"/>
              <w:rPr>
                <w:rFonts w:hint="default" w:ascii="Times New Roman" w:hAnsi="Times New Roman" w:cs="Times New Roman"/>
                <w:color w:val="000000"/>
                <w:kern w:val="0"/>
                <w:sz w:val="18"/>
                <w:szCs w:val="18"/>
              </w:rPr>
            </w:pP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整体绩效目标所设定的绩效指标是否依据部门工作目标和工作任务进行细化、量化，绩效指标是否可衡量。</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部门年度重点工作任务与工作计划。</w:t>
            </w:r>
          </w:p>
        </w:tc>
      </w:tr>
      <w:tr>
        <w:tblPrEx>
          <w:tblCellMar>
            <w:top w:w="0" w:type="dxa"/>
            <w:left w:w="108" w:type="dxa"/>
            <w:bottom w:w="0" w:type="dxa"/>
            <w:right w:w="108" w:type="dxa"/>
          </w:tblCellMar>
        </w:tblPrEx>
        <w:trPr>
          <w:trHeight w:val="108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A2部门职能（10分）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A21部门职能的明确性与科学性（1分）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考察部门职能界定是否明确科学，是否有相关文件。</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①职能明确、设定依据充分，得1分；②有“三定”文件，但职能描述不明确，得0.5分;③没有职能设定的文件依据且职能不清，得0分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部门职能描述、“三定”文件</w:t>
            </w:r>
          </w:p>
        </w:tc>
      </w:tr>
      <w:tr>
        <w:tblPrEx>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A22年度工作目标与部门职能的适应性（4分）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4</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部门所设定的具体目标是否与部门职能相适应。</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将部门详细工作目标与部门职能对应匹配，视匹配情况酌情得0-4分。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部门年度工作目标、部门职能</w:t>
            </w:r>
          </w:p>
        </w:tc>
      </w:tr>
      <w:tr>
        <w:tblPrEx>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A23年度具体工作与部门职能的匹配性（4分）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4</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部门年度各类具体工作是否与部门职能相匹配。</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将部门年度具体工作与部门职能对应匹配，视匹配情况酌情得0-4分。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部门年度各项具体工作，部门职能</w:t>
            </w:r>
          </w:p>
        </w:tc>
      </w:tr>
      <w:tr>
        <w:tblPrEx>
          <w:tblCellMar>
            <w:top w:w="0" w:type="dxa"/>
            <w:left w:w="108" w:type="dxa"/>
            <w:bottom w:w="0" w:type="dxa"/>
            <w:right w:w="108" w:type="dxa"/>
          </w:tblCellMar>
        </w:tblPrEx>
        <w:trPr>
          <w:trHeight w:val="112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single" w:color="auto" w:sz="4" w:space="0"/>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A24部门内设科室及下属单位职责的明确性（1分）</w:t>
            </w:r>
          </w:p>
        </w:tc>
        <w:tc>
          <w:tcPr>
            <w:tcW w:w="689"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single" w:color="auto" w:sz="4" w:space="0"/>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部门内设科室及下属单位具体职责是否明确</w:t>
            </w:r>
          </w:p>
        </w:tc>
        <w:tc>
          <w:tcPr>
            <w:tcW w:w="2846" w:type="dxa"/>
            <w:tcBorders>
              <w:top w:val="single" w:color="auto" w:sz="4" w:space="0"/>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①有职责文件制度规定部门各科室及下属单位具体职责，得0.5分；②具体职责明确，得0.5分。</w:t>
            </w:r>
          </w:p>
        </w:tc>
        <w:tc>
          <w:tcPr>
            <w:tcW w:w="1361" w:type="dxa"/>
            <w:tcBorders>
              <w:top w:val="single" w:color="auto" w:sz="4" w:space="0"/>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内设科室及下属单位职责文件</w:t>
            </w:r>
          </w:p>
        </w:tc>
      </w:tr>
      <w:tr>
        <w:tblPrEx>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A3资源配置（13分）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A31基本支出预算合理性（2分）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用以反映部门年度基本支出预算是否根据人员经费、公用经费标准进行合理编制。</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①如实核定人员基数，得1分；②根据基本预算标准进行编制，得1分。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部门基本支出预算标准、基本支出预算</w:t>
            </w:r>
          </w:p>
        </w:tc>
      </w:tr>
      <w:tr>
        <w:tblPrEx>
          <w:tblCellMar>
            <w:top w:w="0" w:type="dxa"/>
            <w:left w:w="108" w:type="dxa"/>
            <w:bottom w:w="0" w:type="dxa"/>
            <w:right w:w="108" w:type="dxa"/>
          </w:tblCellMar>
        </w:tblPrEx>
        <w:trPr>
          <w:trHeight w:val="135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A32项目支出预算合理性（4分）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4</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用以反映部门年度项目支出预算程序、预算依据、适用范围的合理性。</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①预算程序合理，得1分；②预算依据充分，得2分；③符合资金使用范围，得1分。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部门项目支出预算编制详细资料，访谈、文件梳理等、其他资料</w:t>
            </w:r>
          </w:p>
        </w:tc>
      </w:tr>
      <w:tr>
        <w:tblPrEx>
          <w:tblCellMar>
            <w:top w:w="0" w:type="dxa"/>
            <w:left w:w="108" w:type="dxa"/>
            <w:bottom w:w="0" w:type="dxa"/>
            <w:right w:w="108" w:type="dxa"/>
          </w:tblCellMar>
        </w:tblPrEx>
        <w:trPr>
          <w:trHeight w:val="67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A33人力资源投入合理性（2分）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用以反映部门核定人员的编制与部门工作内容的合理性</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通过问卷及访谈调研,分析人员的工作量和工作时长，视匹配情况得0-2分。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人员编制文件、调研</w:t>
            </w:r>
          </w:p>
        </w:tc>
      </w:tr>
      <w:tr>
        <w:tblPrEx>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A34办公资源投入合理性（2分）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用以反映部门现有办公资源能否满足部门日常工作需求。</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①办公资源经费保障充足，得1分；②办公资源配置合理，得1分。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部门办公资源配置情况、调研等资料</w:t>
            </w:r>
          </w:p>
        </w:tc>
      </w:tr>
      <w:tr>
        <w:tblPrEx>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A35重点项目资源分配合理性（3分）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部门本年度预算安排的重点项目支出与部门项目总支出的比率，用以反映和考核部门对履行主要职责或完成重点任务的保障程度。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重点项目相关资料</w:t>
            </w:r>
          </w:p>
        </w:tc>
      </w:tr>
      <w:tr>
        <w:tblPrEx>
          <w:tblCellMar>
            <w:top w:w="0" w:type="dxa"/>
            <w:left w:w="108" w:type="dxa"/>
            <w:bottom w:w="0" w:type="dxa"/>
            <w:right w:w="108" w:type="dxa"/>
          </w:tblCellMar>
        </w:tblPrEx>
        <w:trPr>
          <w:trHeight w:val="1635" w:hRule="atLeast"/>
        </w:trPr>
        <w:tc>
          <w:tcPr>
            <w:tcW w:w="579"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B部门管理（20分）</w:t>
            </w: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B1预算管理（7分）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B11基本支出预算执行率（1分）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部门基本支出本年度决算数与预算数的比率，用以反映和考核部门（单位）基本支出预算执行程度。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执行率=部门基本支出决算/部门基本支出预算×100%。决算数：部门本年度基本支出实际支出资金数。预算数：财政部门批复的本年度部门基本支出预算数以及当年批复的调整数。预算完成率≥95%得满分，未达到的每低于1%扣0.1分，扣完为止。</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基本支出预算批复，预算调整批复、预算编制等其他资料</w:t>
            </w:r>
          </w:p>
        </w:tc>
      </w:tr>
      <w:tr>
        <w:tblPrEx>
          <w:tblCellMar>
            <w:top w:w="0" w:type="dxa"/>
            <w:left w:w="108" w:type="dxa"/>
            <w:bottom w:w="0" w:type="dxa"/>
            <w:right w:w="108" w:type="dxa"/>
          </w:tblCellMar>
        </w:tblPrEx>
        <w:trPr>
          <w:trHeight w:val="18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B12项目支出预算执行率（4分）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3</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部门项目支出本年度决算数与预算数的比率，用以反映和考核部门项目支出预算执行程度。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执行率=部门项目支出决算/部门项目支出预算×100%。决算数：部门（单位）本年度项目支出实际支出资金数。预算数：财政部门批复的本年度部门（单位）项目支出预算数以及当年批复的调整数。预算完成率≥95%得满分，每低于1%扣0.2分，扣完为止。</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项目支出预算批复，预算调整批复、预算编制等其他资料</w:t>
            </w:r>
          </w:p>
        </w:tc>
      </w:tr>
      <w:tr>
        <w:tblPrEx>
          <w:tblCellMar>
            <w:top w:w="0" w:type="dxa"/>
            <w:left w:w="108" w:type="dxa"/>
            <w:bottom w:w="0" w:type="dxa"/>
            <w:right w:w="108" w:type="dxa"/>
          </w:tblCellMar>
        </w:tblPrEx>
        <w:trPr>
          <w:trHeight w:val="180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B13“三公经费”控制率（1分）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部门本年度“三公”经费预算数与上年度“三公”经费预算数的变动比率，用以反映和考核部门（单位）对控制行政成本的努力程度。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三公经费使用情况</w:t>
            </w:r>
          </w:p>
        </w:tc>
      </w:tr>
      <w:tr>
        <w:tblPrEx>
          <w:tblCellMar>
            <w:top w:w="0" w:type="dxa"/>
            <w:left w:w="108" w:type="dxa"/>
            <w:bottom w:w="0" w:type="dxa"/>
            <w:right w:w="108" w:type="dxa"/>
          </w:tblCellMar>
        </w:tblPrEx>
        <w:trPr>
          <w:trHeight w:val="85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B14预算调整情况（1分）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用以反映预算单位是否根据年中预算实际执行情况及时合规进行预算调整。</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①根据年中预算执行情况及时申请预算调整，得0.5分；②按规定程序进行预算调整，得0.5分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预算调整相关资料</w:t>
            </w:r>
          </w:p>
        </w:tc>
      </w:tr>
      <w:tr>
        <w:tblPrEx>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B2财务管理（6分）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B21财务管理制度健全性及执行情况（1分）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部门为加强预算管理、规范财务行为而制定的财务管理制度是否健全完整。用以反映和考核部门预算管理制度对完成主要职责或促进事业发展的保障情况。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①是否已制定预算资金管理办法、内部财务管理制度、会计核算制度等管理制度，0.25分；②相关管理制度是否合法、合规、完整，0.25分；③相关管理制度是否得到有效执行，0.5分。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财务管理相关制度及执行情况调研</w:t>
            </w:r>
          </w:p>
        </w:tc>
      </w:tr>
      <w:tr>
        <w:tblPrEx>
          <w:tblCellMar>
            <w:top w:w="0" w:type="dxa"/>
            <w:left w:w="108" w:type="dxa"/>
            <w:bottom w:w="0" w:type="dxa"/>
            <w:right w:w="108" w:type="dxa"/>
          </w:tblCellMar>
        </w:tblPrEx>
        <w:trPr>
          <w:trHeight w:val="220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B22资金使用合规性（4分）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4</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部门使用预算资金是否符合相关财务管理制度的规定，用以反映和考核部门预算资金的规范运行情况。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符合国家财经法规和财务管理制度规定以及有关专项资金管理办法的规定,1分；②资金的拨付有完整的审批程序和手续，1分；③项目的重大开支经过专题论证，1分；④符合部门预算批复的用途，1分；⑤是否存在截留、挤占、挪用、虚列支出等情况，一旦存在该指标不得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资金支出相关凭证、流程梳理等</w:t>
            </w:r>
          </w:p>
        </w:tc>
      </w:tr>
      <w:tr>
        <w:tblPrEx>
          <w:tblCellMar>
            <w:top w:w="0" w:type="dxa"/>
            <w:left w:w="108" w:type="dxa"/>
            <w:bottom w:w="0" w:type="dxa"/>
            <w:right w:w="108" w:type="dxa"/>
          </w:tblCellMar>
        </w:tblPrEx>
        <w:trPr>
          <w:trHeight w:val="112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B23财务监控的有效性（1分）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用以反映部门财务监控监督工作的有效性，包括监控、监督措施的制定及执行等方面。</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①制定明确的财务监控监督措施，得0.5分；②监控、监督措施执行有效，得0.5分；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财务监控监督相关办法及条款，实际执行情况资料</w:t>
            </w:r>
          </w:p>
        </w:tc>
      </w:tr>
      <w:tr>
        <w:tblPrEx>
          <w:tblCellMar>
            <w:top w:w="0" w:type="dxa"/>
            <w:left w:w="108" w:type="dxa"/>
            <w:bottom w:w="0" w:type="dxa"/>
            <w:right w:w="108" w:type="dxa"/>
          </w:tblCellMar>
        </w:tblPrEx>
        <w:trPr>
          <w:trHeight w:val="157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B3人力资源管理（2分）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B31在职人员控制率（1分）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部门本年度实际在职人员数与编制数的比率，用以反映和考核部门对人员成本的控制程度。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部门编制数、在职人数、年内变化情况</w:t>
            </w:r>
          </w:p>
        </w:tc>
      </w:tr>
      <w:tr>
        <w:tblPrEx>
          <w:tblCellMar>
            <w:top w:w="0" w:type="dxa"/>
            <w:left w:w="108" w:type="dxa"/>
            <w:bottom w:w="0" w:type="dxa"/>
            <w:right w:w="108" w:type="dxa"/>
          </w:tblCellMar>
        </w:tblPrEx>
        <w:trPr>
          <w:trHeight w:val="124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B32人力资源管理执行情况（1分）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考察部门人力资源管理的健全性及执行规范性，包括在编、派遣、临时员工的管理，包括招聘、培训、工资发放及考核等。</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①有具体的人力资源管理制度文件或参照文件，得0.5分；②严格按照相关文件对各类型人员进行管理和考核，得0.5分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人力资源管理相关文件及实施情况</w:t>
            </w:r>
          </w:p>
        </w:tc>
      </w:tr>
      <w:tr>
        <w:tblPrEx>
          <w:tblCellMar>
            <w:top w:w="0" w:type="dxa"/>
            <w:left w:w="108" w:type="dxa"/>
            <w:bottom w:w="0" w:type="dxa"/>
            <w:right w:w="108" w:type="dxa"/>
          </w:tblCellMar>
        </w:tblPrEx>
        <w:trPr>
          <w:trHeight w:val="166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B4资产管理（2分）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B41资产管理制度健全性及执行情况（1分）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部门为加强资产管理、规范资产使用而制定的资产管理制度是否健全完整，用以反映和考核部门资产管理制度对完成主要职责或促进事业发展的保障情况。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①是否已制定或具有固定资产管理办法、资产使用办法等管理制度，得0.25分；②相关管理制度是否合法、合规、完整，得0.25分；③相关管理制度是否得到有效执行，得0.5分。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资产管理相关办法</w:t>
            </w:r>
          </w:p>
        </w:tc>
      </w:tr>
      <w:tr>
        <w:tblPrEx>
          <w:tblCellMar>
            <w:top w:w="0" w:type="dxa"/>
            <w:left w:w="108" w:type="dxa"/>
            <w:bottom w:w="0" w:type="dxa"/>
            <w:right w:w="108" w:type="dxa"/>
          </w:tblCellMar>
        </w:tblPrEx>
        <w:trPr>
          <w:trHeight w:val="126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B42固定资产在用率（1分）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部门实际在用固定资产总额与所有固定资产总额的比率，用以反映和考核部门固定资产使用效率及程度。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固定资产在用率=（实际在用固定资产总额/所有固定资产总额）×100%。固定资产在用率达到95%以上得满分.每降低1%扣权重分（1分）的5%，扣完为止。</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固定资产卡片、固定资产使用信息等</w:t>
            </w:r>
          </w:p>
        </w:tc>
      </w:tr>
      <w:tr>
        <w:tblPrEx>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B5业务管理（3分）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B51业务管理制度健全性及执行情况（1分）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部门为加强业务管理、规范业务执行而制定的管理制度是否健全完整，用以反映和考核部门业务管理制度对完成主要职责或促进事业发展的保障情况。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①已制定或具有业务管理、项目管理等管理制度，得0.25分；②相关管理制度合法、合规、完整，得0.25分；③相关管理制度得到有效执行，得0.5分。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业务管理相关办法及执行情况资料</w:t>
            </w:r>
          </w:p>
        </w:tc>
      </w:tr>
      <w:tr>
        <w:tblPrEx>
          <w:tblCellMar>
            <w:top w:w="0" w:type="dxa"/>
            <w:left w:w="108" w:type="dxa"/>
            <w:bottom w:w="0" w:type="dxa"/>
            <w:right w:w="108" w:type="dxa"/>
          </w:tblCellMar>
        </w:tblPrEx>
        <w:trPr>
          <w:trHeight w:val="79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B52政府采购规范性（1分）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考察政府采购项目的采购程序、采购方式的规范性</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①政府采购方式、程序都规范，得满分；②采购方式、程序中每有一点不规范，扣0.5分，扣完为止。</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政府采购相关资料</w:t>
            </w:r>
          </w:p>
        </w:tc>
      </w:tr>
      <w:tr>
        <w:tblPrEx>
          <w:tblCellMar>
            <w:top w:w="0" w:type="dxa"/>
            <w:left w:w="108" w:type="dxa"/>
            <w:bottom w:w="0" w:type="dxa"/>
            <w:right w:w="108" w:type="dxa"/>
          </w:tblCellMar>
        </w:tblPrEx>
        <w:trPr>
          <w:trHeight w:val="79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B53监督考核情况（1分）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考察部门是否对各所属单位或项目实施主体进行工作监督和定期考核。</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有定期指导记录、考核结果，得1分，缺少项视情况酌情进行扣分。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监督考核记录等</w:t>
            </w:r>
          </w:p>
        </w:tc>
      </w:tr>
      <w:tr>
        <w:tblPrEx>
          <w:tblCellMar>
            <w:top w:w="0" w:type="dxa"/>
            <w:left w:w="108" w:type="dxa"/>
            <w:bottom w:w="0" w:type="dxa"/>
            <w:right w:w="108" w:type="dxa"/>
          </w:tblCellMar>
        </w:tblPrEx>
        <w:trPr>
          <w:trHeight w:val="1215" w:hRule="atLeast"/>
        </w:trPr>
        <w:tc>
          <w:tcPr>
            <w:tcW w:w="579"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C部门绩效（45分）</w:t>
            </w: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1部门产出（18分）（说明：该指标主要反映部门（单位）重点工作任务的完成情况。三级指标以寻甸县文化和旅游局2020年部门整体支出绩效评价为例设置，供各部门参考。各部门在绩效自评工作中要结合自身工作职能设置个性化的三级指标。）</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C11重点项目完成情况（10分）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公共文化服务中心建设、旅游厕所建设、旅游发展项目建设情况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重点项目全部完成为满分，每一项不达标扣权重分（4分）的20%；三项不达标则为零分。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重点项目指标及完成情况</w:t>
            </w:r>
          </w:p>
        </w:tc>
      </w:tr>
      <w:tr>
        <w:tblPrEx>
          <w:tblCellMar>
            <w:top w:w="0" w:type="dxa"/>
            <w:left w:w="108" w:type="dxa"/>
            <w:bottom w:w="0" w:type="dxa"/>
            <w:right w:w="108" w:type="dxa"/>
          </w:tblCellMar>
        </w:tblPrEx>
        <w:trPr>
          <w:trHeight w:val="102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C16政府采购项目完成率（8分）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8</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农家书屋图书、贫困地区文化设备配置采购</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农家书屋图书、贫困地区文化设备配置采购政府采购项目的实施情况，按照权重分*完成率进行打分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政府采购项目实施情况资料</w:t>
            </w:r>
          </w:p>
        </w:tc>
      </w:tr>
      <w:tr>
        <w:tblPrEx>
          <w:tblCellMar>
            <w:top w:w="0" w:type="dxa"/>
            <w:left w:w="108" w:type="dxa"/>
            <w:bottom w:w="0" w:type="dxa"/>
            <w:right w:w="108" w:type="dxa"/>
          </w:tblCellMar>
        </w:tblPrEx>
        <w:trPr>
          <w:trHeight w:val="190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C17考核任务完成率（8分）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8</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达到考核标准的实际工作数与计划工作数的比率,用以反映和考核部门履职质量目标的实现程度。</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核完成率=（考核达标实际工作数/计划工作数）×100%。考核达标实际工作数：一定时期（年度或规划期）内部门实际完成工作数中达到上级部门（或同级政府）目标要求（绩效标准值）的工作任务数量。考核完成率达到100%得满分，未达到按权重进行扣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部门考核数与实际完成情况</w:t>
            </w:r>
          </w:p>
        </w:tc>
      </w:tr>
      <w:tr>
        <w:tblPrEx>
          <w:tblCellMar>
            <w:top w:w="0" w:type="dxa"/>
            <w:left w:w="108" w:type="dxa"/>
            <w:bottom w:w="0" w:type="dxa"/>
            <w:right w:w="108" w:type="dxa"/>
          </w:tblCellMar>
        </w:tblPrEx>
        <w:trPr>
          <w:trHeight w:val="145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2部门效果（21分）（说明：该指标反映部门（单位）的工作效果。三级指标以XX县残疾人联合会XX年部门整体支出绩效评价为例设置，供各部门参考。各部门在绩效自评工作中要结合自身工作职能设置个性化的三级指标。）</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C21投诉信访降低率（2分）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考察部门通过各项工作使服务对象投诉信访降低情况，旅游景区投诉、文化市场投诉降低情况。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①投诉信访降低率=（本年度投诉信访数-上年度投诉信访数）/本年度投诉信访数×100%，投诉信访降低率≤0得满分，超过按权重进行扣分；②每有一项部门有责投诉扣0.5分。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服务对象投诉信访情况</w:t>
            </w:r>
          </w:p>
        </w:tc>
      </w:tr>
      <w:tr>
        <w:tblPrEx>
          <w:tblCellMar>
            <w:top w:w="0" w:type="dxa"/>
            <w:left w:w="108" w:type="dxa"/>
            <w:bottom w:w="0" w:type="dxa"/>
            <w:right w:w="108" w:type="dxa"/>
          </w:tblCellMar>
        </w:tblPrEx>
        <w:trPr>
          <w:trHeight w:val="76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C22公共文化服务覆盖率（10分）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考察公共文化项目的覆盖情况、县乡级基层公共文化服务项目考核指标完成率达80%以上</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考察公共文化服务项目覆盖程度，酌情得0-2分、县乡级基层公共文化服务项目考核指标完成程度0-5分，基层公共文化服务配套设施完成程度0-3分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社会保障项目完成效果</w:t>
            </w:r>
          </w:p>
        </w:tc>
      </w:tr>
      <w:tr>
        <w:tblPrEx>
          <w:tblCellMar>
            <w:top w:w="0" w:type="dxa"/>
            <w:left w:w="108" w:type="dxa"/>
            <w:bottom w:w="0" w:type="dxa"/>
            <w:right w:w="108" w:type="dxa"/>
          </w:tblCellMar>
        </w:tblPrEx>
        <w:trPr>
          <w:trHeight w:val="102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C25政策宣传知晓率（2分）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考察政策宣传的力度和范围、基层公共文化服务法律法规的宣传范围。</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考察群众对县文化和旅游局现提供服务政策的知晓程度，知晓率≥80%得满分；知晓率＜80%；按权重*知晓率评分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调研问卷</w:t>
            </w:r>
          </w:p>
        </w:tc>
      </w:tr>
      <w:tr>
        <w:tblPrEx>
          <w:tblCellMar>
            <w:top w:w="0" w:type="dxa"/>
            <w:left w:w="108" w:type="dxa"/>
            <w:bottom w:w="0" w:type="dxa"/>
            <w:right w:w="108" w:type="dxa"/>
          </w:tblCellMar>
        </w:tblPrEx>
        <w:trPr>
          <w:trHeight w:val="73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C3部门可持续发展（6分）</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C31队伍建设情况（2分）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考察部门管理人员是否定期接受培训，熟悉政策、提高业务能力。</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部门全体人员每年至少接受一次业务或政策等培训，酌情得0-2分。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培训记录、培训效果调研</w:t>
            </w:r>
          </w:p>
        </w:tc>
      </w:tr>
      <w:tr>
        <w:tblPrEx>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C32信息共享、公开情况（2分）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部门是否按照政府信息公开有关规定公开相关预决算信息、绩效信息及其他信息，是否信息共享，用以反映和考核部门信息公开透明及信息共享情况。</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①按规定内容公开预决算信息、绩效信息及其他信息，得0.5分；②按规定时限公开预决算信息、绩效信息及其他信息，得0.5分。③各处室、下属单位等信息共享，得1分。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信息公开、信息共享情况</w:t>
            </w:r>
          </w:p>
        </w:tc>
      </w:tr>
      <w:tr>
        <w:tblPrEx>
          <w:tblCellMar>
            <w:top w:w="0" w:type="dxa"/>
            <w:left w:w="108" w:type="dxa"/>
            <w:bottom w:w="0" w:type="dxa"/>
            <w:right w:w="108" w:type="dxa"/>
          </w:tblCellMar>
        </w:tblPrEx>
        <w:trPr>
          <w:trHeight w:val="1665" w:hRule="atLeast"/>
        </w:trPr>
        <w:tc>
          <w:tcPr>
            <w:tcW w:w="579"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18"/>
                <w:szCs w:val="18"/>
              </w:rPr>
            </w:pP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C33长效管理创新情况（2分）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1</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考察部门是否在鼓励处室改进管理、提高效率方面建立了新举措，比如人员绩效考核机制、信息化建设、数据库管理等，是部门工作长期可持续发展的保障。</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管理创新机制和措施明确，且有相应工作及产出。酌情得0-2分。</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管理创新情况</w:t>
            </w:r>
          </w:p>
        </w:tc>
      </w:tr>
      <w:tr>
        <w:tblPrEx>
          <w:tblCellMar>
            <w:top w:w="0" w:type="dxa"/>
            <w:left w:w="108" w:type="dxa"/>
            <w:bottom w:w="0" w:type="dxa"/>
            <w:right w:w="108" w:type="dxa"/>
          </w:tblCellMar>
        </w:tblPrEx>
        <w:trPr>
          <w:trHeight w:val="270" w:hRule="atLeast"/>
        </w:trPr>
        <w:tc>
          <w:tcPr>
            <w:tcW w:w="579" w:type="dxa"/>
            <w:tcBorders>
              <w:top w:val="nil"/>
              <w:left w:val="single" w:color="auto" w:sz="4" w:space="0"/>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合计</w:t>
            </w:r>
          </w:p>
        </w:tc>
        <w:tc>
          <w:tcPr>
            <w:tcW w:w="981" w:type="dxa"/>
            <w:tcBorders>
              <w:top w:val="nil"/>
              <w:left w:val="nil"/>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w:t>
            </w:r>
          </w:p>
        </w:tc>
        <w:tc>
          <w:tcPr>
            <w:tcW w:w="1559" w:type="dxa"/>
            <w:tcBorders>
              <w:top w:val="nil"/>
              <w:left w:val="nil"/>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100分</w:t>
            </w:r>
          </w:p>
        </w:tc>
        <w:tc>
          <w:tcPr>
            <w:tcW w:w="689" w:type="dxa"/>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97</w:t>
            </w:r>
          </w:p>
        </w:tc>
        <w:tc>
          <w:tcPr>
            <w:tcW w:w="2050" w:type="dxa"/>
            <w:tcBorders>
              <w:top w:val="nil"/>
              <w:left w:val="nil"/>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w:t>
            </w:r>
          </w:p>
        </w:tc>
        <w:tc>
          <w:tcPr>
            <w:tcW w:w="2846" w:type="dxa"/>
            <w:tcBorders>
              <w:top w:val="nil"/>
              <w:left w:val="nil"/>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w:t>
            </w:r>
          </w:p>
        </w:tc>
        <w:tc>
          <w:tcPr>
            <w:tcW w:w="1361" w:type="dxa"/>
            <w:tcBorders>
              <w:top w:val="nil"/>
              <w:left w:val="nil"/>
              <w:bottom w:val="single" w:color="auto" w:sz="4" w:space="0"/>
              <w:right w:val="single" w:color="auto" w:sz="4" w:space="0"/>
            </w:tcBorders>
            <w:noWrap/>
          </w:tcPr>
          <w:p>
            <w:pPr>
              <w:widowControl/>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w:t>
            </w:r>
          </w:p>
        </w:tc>
      </w:tr>
      <w:bookmarkEnd w:id="0"/>
    </w:tbl>
    <w:p>
      <w:pPr>
        <w:pStyle w:val="2"/>
        <w:ind w:left="0" w:leftChars="0" w:firstLine="0" w:firstLineChars="0"/>
        <w:jc w:val="both"/>
        <w:rPr>
          <w:rFonts w:hint="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36E76"/>
    <w:multiLevelType w:val="multilevel"/>
    <w:tmpl w:val="6C536E76"/>
    <w:lvl w:ilvl="0" w:tentative="0">
      <w:start w:val="1"/>
      <w:numFmt w:val="decimalEnclosedCircle"/>
      <w:lvlText w:val="%1_x0001_"/>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9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spacing w:line="610" w:lineRule="exact"/>
      <w:ind w:firstLine="420" w:firstLineChars="200"/>
    </w:pPr>
    <w:rPr>
      <w:rFonts w:ascii="Times New Roman" w:hAnsi="Times New Roman" w:eastAsia="仿宋_GB2312" w:cs="Times New Roman"/>
      <w:kern w:val="44"/>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2025-05-23T09:23:46Z</dcterms:created>
  <dc:creator>Administrator</dc:creator>
  <cp:lastModifiedBy>马鹏</cp:lastModifiedBy>
  <dcterms:modified xsi:type="dcterms:W3CDTF">2025-05-23T09:41:23Z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54000ECBD0E141BF8E5D33DE181D4CC7</vt:lpwstr>
  </property>
</Properties>
</file>