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B3C34">
      <w:pPr>
        <w:jc w:val="center"/>
        <w:rPr>
          <w:color w:val="auto"/>
          <w:sz w:val="72"/>
          <w:szCs w:val="72"/>
        </w:rPr>
      </w:pPr>
      <w:bookmarkStart w:id="0" w:name="_Toc10516"/>
      <w:bookmarkStart w:id="1" w:name="_Toc27577"/>
      <w:bookmarkStart w:id="2" w:name="_Toc18270"/>
    </w:p>
    <w:p w14:paraId="34F3D756">
      <w:pPr>
        <w:ind w:firstLine="0" w:firstLineChars="0"/>
        <w:jc w:val="center"/>
        <w:rPr>
          <w:color w:val="auto"/>
          <w:sz w:val="72"/>
          <w:szCs w:val="72"/>
        </w:rPr>
      </w:pPr>
      <w:r>
        <w:rPr>
          <w:color w:val="auto"/>
          <w:sz w:val="72"/>
          <w:szCs w:val="72"/>
        </w:rPr>
        <w:t>建设项目环境影响报告表</w:t>
      </w:r>
      <w:bookmarkEnd w:id="0"/>
      <w:bookmarkEnd w:id="1"/>
    </w:p>
    <w:p w14:paraId="77587C1F">
      <w:pPr>
        <w:ind w:firstLine="960"/>
        <w:jc w:val="center"/>
        <w:rPr>
          <w:bCs/>
          <w:color w:val="auto"/>
          <w:sz w:val="48"/>
          <w:szCs w:val="48"/>
        </w:rPr>
      </w:pPr>
      <w:r>
        <w:rPr>
          <w:bCs/>
          <w:color w:val="auto"/>
          <w:sz w:val="48"/>
          <w:szCs w:val="48"/>
        </w:rPr>
        <w:t>（污染影响类）</w:t>
      </w:r>
    </w:p>
    <w:p w14:paraId="3308AF26">
      <w:pPr>
        <w:ind w:firstLine="720"/>
        <w:jc w:val="center"/>
        <w:rPr>
          <w:bCs/>
          <w:color w:val="auto"/>
          <w:sz w:val="36"/>
          <w:szCs w:val="36"/>
        </w:rPr>
      </w:pPr>
      <w:r>
        <w:rPr>
          <w:rFonts w:hint="eastAsia"/>
          <w:bCs/>
          <w:color w:val="auto"/>
          <w:sz w:val="36"/>
          <w:szCs w:val="36"/>
        </w:rPr>
        <w:t>（送审稿）</w:t>
      </w:r>
    </w:p>
    <w:p w14:paraId="4D7D33F8">
      <w:pPr>
        <w:adjustRightInd w:val="0"/>
        <w:snapToGrid w:val="0"/>
        <w:spacing w:line="288" w:lineRule="auto"/>
        <w:ind w:firstLine="720"/>
        <w:rPr>
          <w:color w:val="auto"/>
          <w:sz w:val="36"/>
          <w:szCs w:val="36"/>
        </w:rPr>
      </w:pPr>
    </w:p>
    <w:p w14:paraId="3EC2F8FB">
      <w:pPr>
        <w:adjustRightInd w:val="0"/>
        <w:snapToGrid w:val="0"/>
        <w:spacing w:line="288" w:lineRule="auto"/>
        <w:ind w:firstLine="720"/>
        <w:rPr>
          <w:color w:val="auto"/>
          <w:sz w:val="36"/>
          <w:szCs w:val="36"/>
        </w:rPr>
      </w:pPr>
    </w:p>
    <w:p w14:paraId="73E202D9">
      <w:pPr>
        <w:adjustRightInd w:val="0"/>
        <w:snapToGrid w:val="0"/>
        <w:spacing w:line="288" w:lineRule="auto"/>
        <w:ind w:firstLine="720"/>
        <w:rPr>
          <w:color w:val="auto"/>
          <w:sz w:val="36"/>
          <w:szCs w:val="36"/>
        </w:rPr>
      </w:pPr>
    </w:p>
    <w:p w14:paraId="512DC783">
      <w:pPr>
        <w:adjustRightInd w:val="0"/>
        <w:snapToGrid w:val="0"/>
        <w:spacing w:line="288" w:lineRule="auto"/>
        <w:ind w:firstLine="720"/>
        <w:rPr>
          <w:color w:val="auto"/>
          <w:sz w:val="36"/>
          <w:szCs w:val="36"/>
        </w:rPr>
      </w:pPr>
    </w:p>
    <w:p w14:paraId="271905BC">
      <w:pPr>
        <w:adjustRightInd w:val="0"/>
        <w:snapToGrid w:val="0"/>
        <w:spacing w:line="288" w:lineRule="auto"/>
        <w:ind w:firstLine="720"/>
        <w:rPr>
          <w:color w:val="auto"/>
          <w:sz w:val="36"/>
          <w:szCs w:val="36"/>
        </w:rPr>
      </w:pPr>
    </w:p>
    <w:p w14:paraId="2720D04D">
      <w:pPr>
        <w:ind w:firstLine="0" w:firstLineChars="0"/>
        <w:rPr>
          <w:color w:val="auto"/>
          <w:sz w:val="44"/>
          <w:szCs w:val="44"/>
        </w:rPr>
      </w:pPr>
    </w:p>
    <w:p w14:paraId="1B4D9DD3">
      <w:pPr>
        <w:adjustRightInd w:val="0"/>
        <w:snapToGrid w:val="0"/>
        <w:spacing w:line="360" w:lineRule="auto"/>
        <w:ind w:firstLine="720"/>
        <w:rPr>
          <w:color w:val="auto"/>
          <w:sz w:val="36"/>
          <w:szCs w:val="36"/>
          <w:u w:val="single"/>
        </w:rPr>
      </w:pPr>
      <w:r>
        <w:rPr>
          <w:color w:val="auto"/>
          <w:sz w:val="36"/>
          <w:szCs w:val="36"/>
        </w:rPr>
        <w:t>项目名称：</w:t>
      </w:r>
      <w:r>
        <w:rPr>
          <w:color w:val="auto"/>
          <w:sz w:val="36"/>
          <w:szCs w:val="36"/>
          <w:u w:val="single"/>
        </w:rPr>
        <w:t xml:space="preserve"> 年产10万吨商品混凝土生产线扩建项目 </w:t>
      </w:r>
    </w:p>
    <w:p w14:paraId="4E229F43">
      <w:pPr>
        <w:adjustRightInd w:val="0"/>
        <w:snapToGrid w:val="0"/>
        <w:spacing w:line="360" w:lineRule="auto"/>
        <w:ind w:firstLine="720"/>
        <w:rPr>
          <w:color w:val="auto"/>
          <w:sz w:val="36"/>
          <w:szCs w:val="36"/>
          <w:u w:val="single"/>
        </w:rPr>
      </w:pPr>
      <w:r>
        <w:rPr>
          <w:color w:val="auto"/>
          <w:sz w:val="36"/>
          <w:szCs w:val="36"/>
        </w:rPr>
        <w:t>建设单位（盖章）：</w:t>
      </w:r>
      <w:r>
        <w:rPr>
          <w:color w:val="auto"/>
          <w:sz w:val="36"/>
          <w:szCs w:val="36"/>
          <w:u w:val="single"/>
        </w:rPr>
        <w:t xml:space="preserve"> 寻甸科宏建筑材料有限公司  </w:t>
      </w:r>
    </w:p>
    <w:p w14:paraId="76197BE2">
      <w:pPr>
        <w:adjustRightInd w:val="0"/>
        <w:snapToGrid w:val="0"/>
        <w:spacing w:line="360" w:lineRule="auto"/>
        <w:ind w:firstLine="720"/>
        <w:rPr>
          <w:color w:val="auto"/>
          <w:sz w:val="36"/>
          <w:szCs w:val="36"/>
          <w:u w:val="single"/>
        </w:rPr>
      </w:pPr>
      <w:r>
        <w:rPr>
          <w:color w:val="auto"/>
          <w:sz w:val="36"/>
          <w:szCs w:val="36"/>
        </w:rPr>
        <w:t>编制日期：</w:t>
      </w:r>
      <w:r>
        <w:rPr>
          <w:color w:val="auto"/>
          <w:sz w:val="36"/>
          <w:szCs w:val="36"/>
          <w:u w:val="single"/>
        </w:rPr>
        <w:t xml:space="preserve">            202</w:t>
      </w:r>
      <w:r>
        <w:rPr>
          <w:rFonts w:hint="eastAsia"/>
          <w:color w:val="auto"/>
          <w:sz w:val="36"/>
          <w:szCs w:val="36"/>
          <w:u w:val="single"/>
        </w:rPr>
        <w:t>5</w:t>
      </w:r>
      <w:r>
        <w:rPr>
          <w:color w:val="auto"/>
          <w:sz w:val="36"/>
          <w:szCs w:val="36"/>
          <w:u w:val="single"/>
        </w:rPr>
        <w:t>年</w:t>
      </w:r>
      <w:r>
        <w:rPr>
          <w:rFonts w:hint="eastAsia"/>
          <w:color w:val="auto"/>
          <w:sz w:val="36"/>
          <w:szCs w:val="36"/>
          <w:u w:val="single"/>
          <w:lang w:val="en-US" w:eastAsia="zh-CN"/>
        </w:rPr>
        <w:t>6</w:t>
      </w:r>
      <w:r>
        <w:rPr>
          <w:color w:val="auto"/>
          <w:sz w:val="36"/>
          <w:szCs w:val="36"/>
          <w:u w:val="single"/>
        </w:rPr>
        <w:t xml:space="preserve">月            </w:t>
      </w:r>
    </w:p>
    <w:p w14:paraId="71D26CE5">
      <w:pPr>
        <w:adjustRightInd w:val="0"/>
        <w:snapToGrid w:val="0"/>
        <w:spacing w:line="288" w:lineRule="auto"/>
        <w:ind w:firstLine="720"/>
        <w:rPr>
          <w:color w:val="auto"/>
          <w:sz w:val="36"/>
          <w:szCs w:val="36"/>
          <w:u w:val="single"/>
        </w:rPr>
      </w:pPr>
      <w:bookmarkStart w:id="3" w:name="_Hlk57884087"/>
    </w:p>
    <w:p w14:paraId="6CC254A5">
      <w:pPr>
        <w:adjustRightInd w:val="0"/>
        <w:snapToGrid w:val="0"/>
        <w:spacing w:line="288" w:lineRule="auto"/>
        <w:ind w:firstLine="720"/>
        <w:rPr>
          <w:color w:val="auto"/>
          <w:sz w:val="36"/>
          <w:szCs w:val="36"/>
        </w:rPr>
      </w:pPr>
    </w:p>
    <w:p w14:paraId="52F7B672">
      <w:pPr>
        <w:adjustRightInd w:val="0"/>
        <w:snapToGrid w:val="0"/>
        <w:spacing w:line="288" w:lineRule="auto"/>
        <w:ind w:firstLine="720"/>
        <w:rPr>
          <w:color w:val="auto"/>
          <w:sz w:val="36"/>
          <w:szCs w:val="36"/>
        </w:rPr>
      </w:pPr>
    </w:p>
    <w:p w14:paraId="3AE8212D">
      <w:pPr>
        <w:adjustRightInd w:val="0"/>
        <w:snapToGrid w:val="0"/>
        <w:spacing w:line="288" w:lineRule="auto"/>
        <w:ind w:firstLine="720"/>
        <w:rPr>
          <w:color w:val="auto"/>
          <w:sz w:val="36"/>
          <w:szCs w:val="36"/>
          <w:u w:val="single"/>
        </w:rPr>
      </w:pPr>
    </w:p>
    <w:p w14:paraId="369CBD45">
      <w:pPr>
        <w:adjustRightInd w:val="0"/>
        <w:snapToGrid w:val="0"/>
        <w:spacing w:line="288" w:lineRule="auto"/>
        <w:ind w:firstLine="720"/>
        <w:rPr>
          <w:color w:val="auto"/>
          <w:sz w:val="36"/>
          <w:szCs w:val="36"/>
          <w:u w:val="single"/>
        </w:rPr>
      </w:pPr>
    </w:p>
    <w:p w14:paraId="6B9FF095">
      <w:pPr>
        <w:adjustRightInd w:val="0"/>
        <w:snapToGrid w:val="0"/>
        <w:spacing w:line="288" w:lineRule="auto"/>
        <w:ind w:firstLine="720"/>
        <w:rPr>
          <w:color w:val="auto"/>
          <w:sz w:val="36"/>
          <w:szCs w:val="36"/>
          <w:u w:val="single"/>
        </w:rPr>
      </w:pPr>
    </w:p>
    <w:p w14:paraId="5425DEE3">
      <w:pPr>
        <w:adjustRightInd w:val="0"/>
        <w:snapToGrid w:val="0"/>
        <w:spacing w:line="288" w:lineRule="auto"/>
        <w:ind w:firstLine="720"/>
        <w:rPr>
          <w:color w:val="auto"/>
          <w:sz w:val="36"/>
          <w:szCs w:val="36"/>
        </w:rPr>
      </w:pPr>
    </w:p>
    <w:bookmarkEnd w:id="3"/>
    <w:p w14:paraId="64A7A03E">
      <w:pPr>
        <w:adjustRightInd w:val="0"/>
        <w:snapToGrid w:val="0"/>
        <w:spacing w:line="288" w:lineRule="auto"/>
        <w:ind w:firstLine="720"/>
        <w:jc w:val="center"/>
        <w:rPr>
          <w:color w:val="auto"/>
          <w:sz w:val="36"/>
          <w:szCs w:val="36"/>
        </w:rPr>
      </w:pPr>
      <w:r>
        <w:rPr>
          <w:color w:val="auto"/>
          <w:sz w:val="36"/>
          <w:szCs w:val="36"/>
        </w:rPr>
        <w:t>中华人民共和国生态环境部制</w:t>
      </w:r>
    </w:p>
    <w:p w14:paraId="542D0DF2">
      <w:pPr>
        <w:adjustRightInd w:val="0"/>
        <w:snapToGrid w:val="0"/>
        <w:spacing w:line="288" w:lineRule="auto"/>
        <w:ind w:firstLine="720"/>
        <w:rPr>
          <w:color w:val="auto"/>
          <w:sz w:val="36"/>
          <w:szCs w:val="36"/>
        </w:rPr>
        <w:sectPr>
          <w:footerReference r:id="rId5" w:type="default"/>
          <w:footerReference r:id="rId6" w:type="even"/>
          <w:pgSz w:w="11906" w:h="16838"/>
          <w:pgMar w:top="1701" w:right="1531" w:bottom="1701" w:left="1531" w:header="851" w:footer="1077" w:gutter="0"/>
          <w:pgNumType w:start="3"/>
          <w:cols w:space="720" w:num="1"/>
          <w:docGrid w:linePitch="312" w:charSpace="0"/>
        </w:sectPr>
      </w:pPr>
    </w:p>
    <w:p w14:paraId="4072BF93">
      <w:pPr>
        <w:adjustRightInd w:val="0"/>
        <w:snapToGrid w:val="0"/>
        <w:spacing w:line="360" w:lineRule="auto"/>
        <w:ind w:firstLine="562"/>
        <w:jc w:val="center"/>
        <w:rPr>
          <w:b/>
          <w:bCs/>
          <w:color w:val="auto"/>
          <w:sz w:val="28"/>
          <w:szCs w:val="28"/>
        </w:rPr>
      </w:pPr>
      <w:r>
        <w:rPr>
          <w:b/>
          <w:bCs/>
          <w:color w:val="auto"/>
          <w:sz w:val="28"/>
          <w:szCs w:val="28"/>
        </w:rPr>
        <w:t>目  录</w:t>
      </w:r>
    </w:p>
    <w:p w14:paraId="19A4DAB3">
      <w:pPr>
        <w:pStyle w:val="30"/>
        <w:tabs>
          <w:tab w:val="right" w:leader="dot" w:pos="8844"/>
        </w:tabs>
        <w:spacing w:line="360" w:lineRule="auto"/>
        <w:ind w:firstLine="562"/>
        <w:rPr>
          <w:color w:val="auto"/>
          <w:sz w:val="28"/>
          <w:szCs w:val="28"/>
        </w:rPr>
      </w:pPr>
      <w:r>
        <w:rPr>
          <w:b/>
          <w:bCs/>
          <w:color w:val="auto"/>
          <w:sz w:val="28"/>
          <w:szCs w:val="28"/>
        </w:rPr>
        <w:fldChar w:fldCharType="begin"/>
      </w:r>
      <w:r>
        <w:rPr>
          <w:b/>
          <w:bCs/>
          <w:color w:val="auto"/>
          <w:sz w:val="28"/>
          <w:szCs w:val="28"/>
        </w:rPr>
        <w:instrText xml:space="preserve">TOC \o "1-1" \h \u </w:instrText>
      </w:r>
      <w:r>
        <w:rPr>
          <w:b/>
          <w:bCs/>
          <w:color w:val="auto"/>
          <w:sz w:val="28"/>
          <w:szCs w:val="28"/>
        </w:rPr>
        <w:fldChar w:fldCharType="separate"/>
      </w:r>
      <w:r>
        <w:rPr>
          <w:color w:val="auto"/>
        </w:rPr>
        <w:fldChar w:fldCharType="begin"/>
      </w:r>
      <w:r>
        <w:rPr>
          <w:color w:val="auto"/>
        </w:rPr>
        <w:instrText xml:space="preserve"> HYPERLINK \l "_Toc20961" </w:instrText>
      </w:r>
      <w:r>
        <w:rPr>
          <w:color w:val="auto"/>
        </w:rPr>
        <w:fldChar w:fldCharType="separate"/>
      </w:r>
      <w:r>
        <w:rPr>
          <w:bCs/>
          <w:snapToGrid w:val="0"/>
          <w:color w:val="auto"/>
          <w:sz w:val="28"/>
          <w:szCs w:val="28"/>
        </w:rPr>
        <w:t>一、建设项目基本情况</w:t>
      </w:r>
      <w:r>
        <w:rPr>
          <w:color w:val="auto"/>
          <w:sz w:val="28"/>
          <w:szCs w:val="28"/>
        </w:rPr>
        <w:tab/>
      </w:r>
      <w:r>
        <w:rPr>
          <w:color w:val="auto"/>
          <w:sz w:val="28"/>
          <w:szCs w:val="28"/>
        </w:rPr>
        <w:fldChar w:fldCharType="begin"/>
      </w:r>
      <w:r>
        <w:rPr>
          <w:color w:val="auto"/>
          <w:sz w:val="28"/>
          <w:szCs w:val="28"/>
        </w:rPr>
        <w:instrText xml:space="preserve"> PAGEREF _Toc20961 \h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14:paraId="66A5617B">
      <w:pPr>
        <w:pStyle w:val="30"/>
        <w:tabs>
          <w:tab w:val="right" w:leader="dot" w:pos="8844"/>
        </w:tabs>
        <w:spacing w:line="360" w:lineRule="auto"/>
        <w:ind w:firstLine="560"/>
        <w:rPr>
          <w:color w:val="auto"/>
          <w:sz w:val="28"/>
          <w:szCs w:val="28"/>
        </w:rPr>
      </w:pPr>
      <w:r>
        <w:rPr>
          <w:color w:val="auto"/>
        </w:rPr>
        <w:fldChar w:fldCharType="begin"/>
      </w:r>
      <w:r>
        <w:rPr>
          <w:color w:val="auto"/>
        </w:rPr>
        <w:instrText xml:space="preserve"> HYPERLINK \l "_Toc1587" </w:instrText>
      </w:r>
      <w:r>
        <w:rPr>
          <w:color w:val="auto"/>
        </w:rPr>
        <w:fldChar w:fldCharType="separate"/>
      </w:r>
      <w:r>
        <w:rPr>
          <w:bCs/>
          <w:snapToGrid w:val="0"/>
          <w:color w:val="auto"/>
          <w:sz w:val="28"/>
          <w:szCs w:val="28"/>
        </w:rPr>
        <w:t>二、建设项目工程分析</w:t>
      </w:r>
      <w:r>
        <w:rPr>
          <w:color w:val="auto"/>
          <w:sz w:val="28"/>
          <w:szCs w:val="28"/>
        </w:rPr>
        <w:tab/>
      </w:r>
      <w:r>
        <w:rPr>
          <w:color w:val="auto"/>
          <w:sz w:val="28"/>
          <w:szCs w:val="28"/>
        </w:rPr>
        <w:fldChar w:fldCharType="begin"/>
      </w:r>
      <w:r>
        <w:rPr>
          <w:color w:val="auto"/>
          <w:sz w:val="28"/>
          <w:szCs w:val="28"/>
        </w:rPr>
        <w:instrText xml:space="preserve"> PAGEREF _Toc1587 \h </w:instrText>
      </w:r>
      <w:r>
        <w:rPr>
          <w:color w:val="auto"/>
          <w:sz w:val="28"/>
          <w:szCs w:val="28"/>
        </w:rPr>
        <w:fldChar w:fldCharType="separate"/>
      </w:r>
      <w:r>
        <w:rPr>
          <w:color w:val="auto"/>
          <w:sz w:val="28"/>
          <w:szCs w:val="28"/>
        </w:rPr>
        <w:t>19</w:t>
      </w:r>
      <w:r>
        <w:rPr>
          <w:color w:val="auto"/>
          <w:sz w:val="28"/>
          <w:szCs w:val="28"/>
        </w:rPr>
        <w:fldChar w:fldCharType="end"/>
      </w:r>
      <w:r>
        <w:rPr>
          <w:color w:val="auto"/>
          <w:sz w:val="28"/>
          <w:szCs w:val="28"/>
        </w:rPr>
        <w:fldChar w:fldCharType="end"/>
      </w:r>
    </w:p>
    <w:p w14:paraId="0DA94E8F">
      <w:pPr>
        <w:pStyle w:val="30"/>
        <w:tabs>
          <w:tab w:val="right" w:leader="dot" w:pos="8844"/>
        </w:tabs>
        <w:spacing w:line="360" w:lineRule="auto"/>
        <w:ind w:firstLine="560"/>
        <w:rPr>
          <w:color w:val="auto"/>
          <w:sz w:val="28"/>
          <w:szCs w:val="28"/>
        </w:rPr>
      </w:pPr>
      <w:r>
        <w:rPr>
          <w:color w:val="auto"/>
        </w:rPr>
        <w:fldChar w:fldCharType="begin"/>
      </w:r>
      <w:r>
        <w:rPr>
          <w:color w:val="auto"/>
        </w:rPr>
        <w:instrText xml:space="preserve"> HYPERLINK \l "_Toc7404" </w:instrText>
      </w:r>
      <w:r>
        <w:rPr>
          <w:color w:val="auto"/>
        </w:rPr>
        <w:fldChar w:fldCharType="separate"/>
      </w:r>
      <w:r>
        <w:rPr>
          <w:bCs/>
          <w:snapToGrid w:val="0"/>
          <w:color w:val="auto"/>
          <w:sz w:val="28"/>
          <w:szCs w:val="28"/>
        </w:rPr>
        <w:t>三、区域环境质量现状、环境保护目标及评价标准</w:t>
      </w:r>
      <w:r>
        <w:rPr>
          <w:color w:val="auto"/>
          <w:sz w:val="28"/>
          <w:szCs w:val="28"/>
        </w:rPr>
        <w:tab/>
      </w:r>
      <w:r>
        <w:rPr>
          <w:color w:val="auto"/>
          <w:sz w:val="28"/>
          <w:szCs w:val="28"/>
        </w:rPr>
        <w:fldChar w:fldCharType="begin"/>
      </w:r>
      <w:r>
        <w:rPr>
          <w:color w:val="auto"/>
          <w:sz w:val="28"/>
          <w:szCs w:val="28"/>
        </w:rPr>
        <w:instrText xml:space="preserve"> PAGEREF _Toc7404 \h </w:instrText>
      </w:r>
      <w:r>
        <w:rPr>
          <w:color w:val="auto"/>
          <w:sz w:val="28"/>
          <w:szCs w:val="28"/>
        </w:rPr>
        <w:fldChar w:fldCharType="separate"/>
      </w:r>
      <w:r>
        <w:rPr>
          <w:color w:val="auto"/>
          <w:sz w:val="28"/>
          <w:szCs w:val="28"/>
        </w:rPr>
        <w:t>53</w:t>
      </w:r>
      <w:r>
        <w:rPr>
          <w:color w:val="auto"/>
          <w:sz w:val="28"/>
          <w:szCs w:val="28"/>
        </w:rPr>
        <w:fldChar w:fldCharType="end"/>
      </w:r>
      <w:r>
        <w:rPr>
          <w:color w:val="auto"/>
          <w:sz w:val="28"/>
          <w:szCs w:val="28"/>
        </w:rPr>
        <w:fldChar w:fldCharType="end"/>
      </w:r>
    </w:p>
    <w:p w14:paraId="7A79E597">
      <w:pPr>
        <w:pStyle w:val="30"/>
        <w:tabs>
          <w:tab w:val="right" w:leader="dot" w:pos="8844"/>
        </w:tabs>
        <w:spacing w:line="360" w:lineRule="auto"/>
        <w:ind w:firstLine="560"/>
        <w:rPr>
          <w:color w:val="auto"/>
          <w:sz w:val="28"/>
          <w:szCs w:val="28"/>
        </w:rPr>
      </w:pPr>
      <w:r>
        <w:rPr>
          <w:color w:val="auto"/>
        </w:rPr>
        <w:fldChar w:fldCharType="begin"/>
      </w:r>
      <w:r>
        <w:rPr>
          <w:color w:val="auto"/>
        </w:rPr>
        <w:instrText xml:space="preserve"> HYPERLINK \l "_Toc6112" </w:instrText>
      </w:r>
      <w:r>
        <w:rPr>
          <w:color w:val="auto"/>
        </w:rPr>
        <w:fldChar w:fldCharType="separate"/>
      </w:r>
      <w:r>
        <w:rPr>
          <w:bCs/>
          <w:snapToGrid w:val="0"/>
          <w:color w:val="auto"/>
          <w:sz w:val="28"/>
          <w:szCs w:val="28"/>
        </w:rPr>
        <w:t>四、主要环境影响和保护措施</w:t>
      </w:r>
      <w:r>
        <w:rPr>
          <w:color w:val="auto"/>
          <w:sz w:val="28"/>
          <w:szCs w:val="28"/>
        </w:rPr>
        <w:tab/>
      </w:r>
      <w:r>
        <w:rPr>
          <w:color w:val="auto"/>
          <w:sz w:val="28"/>
          <w:szCs w:val="28"/>
        </w:rPr>
        <w:fldChar w:fldCharType="begin"/>
      </w:r>
      <w:r>
        <w:rPr>
          <w:color w:val="auto"/>
          <w:sz w:val="28"/>
          <w:szCs w:val="28"/>
        </w:rPr>
        <w:instrText xml:space="preserve"> PAGEREF _Toc6112 \h </w:instrText>
      </w:r>
      <w:r>
        <w:rPr>
          <w:color w:val="auto"/>
          <w:sz w:val="28"/>
          <w:szCs w:val="28"/>
        </w:rPr>
        <w:fldChar w:fldCharType="separate"/>
      </w:r>
      <w:r>
        <w:rPr>
          <w:color w:val="auto"/>
          <w:sz w:val="28"/>
          <w:szCs w:val="28"/>
        </w:rPr>
        <w:t>60</w:t>
      </w:r>
      <w:r>
        <w:rPr>
          <w:color w:val="auto"/>
          <w:sz w:val="28"/>
          <w:szCs w:val="28"/>
        </w:rPr>
        <w:fldChar w:fldCharType="end"/>
      </w:r>
      <w:r>
        <w:rPr>
          <w:color w:val="auto"/>
          <w:sz w:val="28"/>
          <w:szCs w:val="28"/>
        </w:rPr>
        <w:fldChar w:fldCharType="end"/>
      </w:r>
    </w:p>
    <w:p w14:paraId="6D374D81">
      <w:pPr>
        <w:pStyle w:val="30"/>
        <w:tabs>
          <w:tab w:val="right" w:leader="dot" w:pos="8844"/>
        </w:tabs>
        <w:spacing w:line="360" w:lineRule="auto"/>
        <w:ind w:firstLine="560"/>
        <w:rPr>
          <w:color w:val="auto"/>
          <w:sz w:val="28"/>
          <w:szCs w:val="28"/>
        </w:rPr>
      </w:pPr>
      <w:r>
        <w:rPr>
          <w:color w:val="auto"/>
        </w:rPr>
        <w:fldChar w:fldCharType="begin"/>
      </w:r>
      <w:r>
        <w:rPr>
          <w:color w:val="auto"/>
        </w:rPr>
        <w:instrText xml:space="preserve"> HYPERLINK \l "_Toc6939" </w:instrText>
      </w:r>
      <w:r>
        <w:rPr>
          <w:color w:val="auto"/>
        </w:rPr>
        <w:fldChar w:fldCharType="separate"/>
      </w:r>
      <w:r>
        <w:rPr>
          <w:bCs/>
          <w:snapToGrid w:val="0"/>
          <w:color w:val="auto"/>
          <w:sz w:val="28"/>
          <w:szCs w:val="28"/>
        </w:rPr>
        <w:t>五、环境保护措施监督检查清单</w:t>
      </w:r>
      <w:r>
        <w:rPr>
          <w:color w:val="auto"/>
          <w:sz w:val="28"/>
          <w:szCs w:val="28"/>
        </w:rPr>
        <w:tab/>
      </w:r>
      <w:r>
        <w:rPr>
          <w:color w:val="auto"/>
          <w:sz w:val="28"/>
          <w:szCs w:val="28"/>
        </w:rPr>
        <w:fldChar w:fldCharType="begin"/>
      </w:r>
      <w:r>
        <w:rPr>
          <w:color w:val="auto"/>
          <w:sz w:val="28"/>
          <w:szCs w:val="28"/>
        </w:rPr>
        <w:instrText xml:space="preserve"> PAGEREF _Toc6939 \h </w:instrText>
      </w:r>
      <w:r>
        <w:rPr>
          <w:color w:val="auto"/>
          <w:sz w:val="28"/>
          <w:szCs w:val="28"/>
        </w:rPr>
        <w:fldChar w:fldCharType="separate"/>
      </w:r>
      <w:r>
        <w:rPr>
          <w:color w:val="auto"/>
          <w:sz w:val="28"/>
          <w:szCs w:val="28"/>
        </w:rPr>
        <w:t>88</w:t>
      </w:r>
      <w:r>
        <w:rPr>
          <w:color w:val="auto"/>
          <w:sz w:val="28"/>
          <w:szCs w:val="28"/>
        </w:rPr>
        <w:fldChar w:fldCharType="end"/>
      </w:r>
      <w:r>
        <w:rPr>
          <w:color w:val="auto"/>
          <w:sz w:val="28"/>
          <w:szCs w:val="28"/>
        </w:rPr>
        <w:fldChar w:fldCharType="end"/>
      </w:r>
    </w:p>
    <w:p w14:paraId="1961F088">
      <w:pPr>
        <w:pStyle w:val="30"/>
        <w:tabs>
          <w:tab w:val="right" w:leader="dot" w:pos="8844"/>
        </w:tabs>
        <w:spacing w:line="360" w:lineRule="auto"/>
        <w:ind w:firstLine="560"/>
        <w:rPr>
          <w:color w:val="auto"/>
          <w:sz w:val="28"/>
          <w:szCs w:val="28"/>
        </w:rPr>
      </w:pPr>
      <w:r>
        <w:rPr>
          <w:color w:val="auto"/>
        </w:rPr>
        <w:fldChar w:fldCharType="begin"/>
      </w:r>
      <w:r>
        <w:rPr>
          <w:color w:val="auto"/>
        </w:rPr>
        <w:instrText xml:space="preserve"> HYPERLINK \l "_Toc24787" </w:instrText>
      </w:r>
      <w:r>
        <w:rPr>
          <w:color w:val="auto"/>
        </w:rPr>
        <w:fldChar w:fldCharType="separate"/>
      </w:r>
      <w:r>
        <w:rPr>
          <w:bCs/>
          <w:snapToGrid w:val="0"/>
          <w:color w:val="auto"/>
          <w:sz w:val="28"/>
          <w:szCs w:val="28"/>
        </w:rPr>
        <w:t>六、结论</w:t>
      </w:r>
      <w:r>
        <w:rPr>
          <w:color w:val="auto"/>
          <w:sz w:val="28"/>
          <w:szCs w:val="28"/>
        </w:rPr>
        <w:tab/>
      </w:r>
      <w:r>
        <w:rPr>
          <w:color w:val="auto"/>
          <w:sz w:val="28"/>
          <w:szCs w:val="28"/>
        </w:rPr>
        <w:fldChar w:fldCharType="begin"/>
      </w:r>
      <w:r>
        <w:rPr>
          <w:color w:val="auto"/>
          <w:sz w:val="28"/>
          <w:szCs w:val="28"/>
        </w:rPr>
        <w:instrText xml:space="preserve"> PAGEREF _Toc24787 \h </w:instrText>
      </w:r>
      <w:r>
        <w:rPr>
          <w:color w:val="auto"/>
          <w:sz w:val="28"/>
          <w:szCs w:val="28"/>
        </w:rPr>
        <w:fldChar w:fldCharType="separate"/>
      </w:r>
      <w:r>
        <w:rPr>
          <w:color w:val="auto"/>
          <w:sz w:val="28"/>
          <w:szCs w:val="28"/>
        </w:rPr>
        <w:t>91</w:t>
      </w:r>
      <w:r>
        <w:rPr>
          <w:color w:val="auto"/>
          <w:sz w:val="28"/>
          <w:szCs w:val="28"/>
        </w:rPr>
        <w:fldChar w:fldCharType="end"/>
      </w:r>
      <w:r>
        <w:rPr>
          <w:color w:val="auto"/>
          <w:sz w:val="28"/>
          <w:szCs w:val="28"/>
        </w:rPr>
        <w:fldChar w:fldCharType="end"/>
      </w:r>
    </w:p>
    <w:p w14:paraId="77BA8582">
      <w:pPr>
        <w:pStyle w:val="30"/>
        <w:tabs>
          <w:tab w:val="right" w:leader="dot" w:pos="8844"/>
        </w:tabs>
        <w:spacing w:line="360" w:lineRule="auto"/>
        <w:ind w:firstLine="560"/>
        <w:rPr>
          <w:color w:val="auto"/>
          <w:sz w:val="28"/>
          <w:szCs w:val="28"/>
        </w:rPr>
      </w:pPr>
      <w:r>
        <w:rPr>
          <w:color w:val="auto"/>
        </w:rPr>
        <w:fldChar w:fldCharType="begin"/>
      </w:r>
      <w:r>
        <w:rPr>
          <w:color w:val="auto"/>
        </w:rPr>
        <w:instrText xml:space="preserve"> HYPERLINK \l "_Toc24156" </w:instrText>
      </w:r>
      <w:r>
        <w:rPr>
          <w:color w:val="auto"/>
        </w:rPr>
        <w:fldChar w:fldCharType="separate"/>
      </w:r>
      <w:r>
        <w:rPr>
          <w:bCs/>
          <w:snapToGrid w:val="0"/>
          <w:color w:val="auto"/>
          <w:sz w:val="28"/>
          <w:szCs w:val="28"/>
        </w:rPr>
        <w:t>附表</w:t>
      </w:r>
      <w:r>
        <w:rPr>
          <w:color w:val="auto"/>
          <w:sz w:val="28"/>
          <w:szCs w:val="28"/>
        </w:rPr>
        <w:tab/>
      </w:r>
      <w:r>
        <w:rPr>
          <w:color w:val="auto"/>
          <w:sz w:val="28"/>
          <w:szCs w:val="28"/>
        </w:rPr>
        <w:fldChar w:fldCharType="begin"/>
      </w:r>
      <w:r>
        <w:rPr>
          <w:color w:val="auto"/>
          <w:sz w:val="28"/>
          <w:szCs w:val="28"/>
        </w:rPr>
        <w:instrText xml:space="preserve"> PAGEREF _Toc24156 \h </w:instrText>
      </w:r>
      <w:r>
        <w:rPr>
          <w:color w:val="auto"/>
          <w:sz w:val="28"/>
          <w:szCs w:val="28"/>
        </w:rPr>
        <w:fldChar w:fldCharType="separate"/>
      </w:r>
      <w:r>
        <w:rPr>
          <w:color w:val="auto"/>
          <w:sz w:val="28"/>
          <w:szCs w:val="28"/>
        </w:rPr>
        <w:t>92</w:t>
      </w:r>
      <w:r>
        <w:rPr>
          <w:color w:val="auto"/>
          <w:sz w:val="28"/>
          <w:szCs w:val="28"/>
        </w:rPr>
        <w:fldChar w:fldCharType="end"/>
      </w:r>
      <w:r>
        <w:rPr>
          <w:color w:val="auto"/>
          <w:sz w:val="28"/>
          <w:szCs w:val="28"/>
        </w:rPr>
        <w:fldChar w:fldCharType="end"/>
      </w:r>
    </w:p>
    <w:p w14:paraId="71F20CF0">
      <w:pPr>
        <w:pStyle w:val="33"/>
        <w:adjustRightInd w:val="0"/>
        <w:snapToGrid w:val="0"/>
        <w:spacing w:before="0" w:beforeAutospacing="0" w:after="0" w:afterAutospacing="0" w:line="360" w:lineRule="auto"/>
        <w:ind w:firstLine="0" w:firstLineChars="0"/>
        <w:jc w:val="both"/>
        <w:rPr>
          <w:rFonts w:ascii="Times New Roman" w:hAnsi="Times New Roman"/>
          <w:bCs/>
          <w:color w:val="auto"/>
          <w:szCs w:val="24"/>
        </w:rPr>
        <w:sectPr>
          <w:headerReference r:id="rId7" w:type="default"/>
          <w:footerReference r:id="rId8" w:type="default"/>
          <w:pgSz w:w="11906" w:h="16838"/>
          <w:pgMar w:top="1701" w:right="1531" w:bottom="1701" w:left="1531" w:header="851" w:footer="1077" w:gutter="0"/>
          <w:cols w:space="720" w:num="1"/>
          <w:docGrid w:linePitch="312" w:charSpace="0"/>
        </w:sectPr>
      </w:pPr>
      <w:r>
        <w:rPr>
          <w:rFonts w:ascii="Times New Roman" w:hAnsi="Times New Roman"/>
          <w:bCs/>
          <w:color w:val="auto"/>
          <w:sz w:val="28"/>
          <w:szCs w:val="28"/>
        </w:rPr>
        <w:fldChar w:fldCharType="end"/>
      </w:r>
    </w:p>
    <w:p w14:paraId="3F9003AA">
      <w:pPr>
        <w:spacing w:line="360" w:lineRule="auto"/>
        <w:ind w:firstLine="482"/>
        <w:jc w:val="left"/>
        <w:rPr>
          <w:b/>
          <w:color w:val="auto"/>
          <w:sz w:val="24"/>
        </w:rPr>
      </w:pPr>
      <w:r>
        <w:rPr>
          <w:b/>
          <w:color w:val="auto"/>
          <w:sz w:val="24"/>
        </w:rPr>
        <w:t>附件：</w:t>
      </w:r>
    </w:p>
    <w:p w14:paraId="2B608B96">
      <w:pPr>
        <w:spacing w:line="360" w:lineRule="auto"/>
        <w:ind w:firstLine="480"/>
        <w:jc w:val="left"/>
        <w:rPr>
          <w:color w:val="auto"/>
          <w:sz w:val="24"/>
        </w:rPr>
      </w:pPr>
      <w:r>
        <w:rPr>
          <w:color w:val="auto"/>
          <w:sz w:val="24"/>
        </w:rPr>
        <w:t>附件1：委托书；</w:t>
      </w:r>
    </w:p>
    <w:p w14:paraId="2D9B3CD3">
      <w:pPr>
        <w:spacing w:line="360" w:lineRule="auto"/>
        <w:ind w:firstLine="480"/>
        <w:jc w:val="left"/>
        <w:rPr>
          <w:color w:val="auto"/>
          <w:sz w:val="24"/>
        </w:rPr>
      </w:pPr>
      <w:r>
        <w:rPr>
          <w:color w:val="auto"/>
          <w:sz w:val="24"/>
        </w:rPr>
        <w:t>附件</w:t>
      </w:r>
      <w:r>
        <w:rPr>
          <w:rFonts w:hint="eastAsia"/>
          <w:color w:val="auto"/>
          <w:sz w:val="24"/>
        </w:rPr>
        <w:t>2</w:t>
      </w:r>
      <w:r>
        <w:rPr>
          <w:color w:val="auto"/>
          <w:sz w:val="24"/>
        </w:rPr>
        <w:t>：</w:t>
      </w:r>
      <w:r>
        <w:rPr>
          <w:bCs/>
          <w:color w:val="auto"/>
          <w:sz w:val="24"/>
        </w:rPr>
        <w:t>投资</w:t>
      </w:r>
      <w:r>
        <w:rPr>
          <w:color w:val="auto"/>
          <w:sz w:val="24"/>
        </w:rPr>
        <w:t>项目备案证；</w:t>
      </w:r>
    </w:p>
    <w:p w14:paraId="2E60CF6B">
      <w:pPr>
        <w:spacing w:line="360" w:lineRule="auto"/>
        <w:ind w:firstLine="480"/>
        <w:jc w:val="left"/>
        <w:rPr>
          <w:color w:val="auto"/>
          <w:sz w:val="24"/>
        </w:rPr>
      </w:pPr>
      <w:r>
        <w:rPr>
          <w:rFonts w:hint="eastAsia"/>
          <w:color w:val="auto"/>
          <w:sz w:val="24"/>
        </w:rPr>
        <w:t>附件3：“三区三线”查询意见；</w:t>
      </w:r>
    </w:p>
    <w:p w14:paraId="117FBF38">
      <w:pPr>
        <w:spacing w:line="360" w:lineRule="auto"/>
        <w:ind w:firstLine="480"/>
        <w:jc w:val="left"/>
        <w:rPr>
          <w:color w:val="auto"/>
          <w:sz w:val="24"/>
        </w:rPr>
      </w:pPr>
      <w:r>
        <w:rPr>
          <w:rFonts w:hint="eastAsia"/>
          <w:color w:val="auto"/>
          <w:sz w:val="24"/>
        </w:rPr>
        <w:t>附件4：“三线一单”查询意见；</w:t>
      </w:r>
    </w:p>
    <w:p w14:paraId="206B0433">
      <w:pPr>
        <w:spacing w:line="360" w:lineRule="auto"/>
        <w:ind w:firstLine="480"/>
        <w:jc w:val="left"/>
        <w:rPr>
          <w:color w:val="auto"/>
          <w:sz w:val="24"/>
        </w:rPr>
      </w:pPr>
      <w:r>
        <w:rPr>
          <w:color w:val="auto"/>
          <w:sz w:val="24"/>
        </w:rPr>
        <w:t>附件</w:t>
      </w:r>
      <w:r>
        <w:rPr>
          <w:rFonts w:hint="eastAsia"/>
          <w:color w:val="auto"/>
          <w:sz w:val="24"/>
        </w:rPr>
        <w:t>5</w:t>
      </w:r>
      <w:r>
        <w:rPr>
          <w:color w:val="auto"/>
          <w:sz w:val="24"/>
        </w:rPr>
        <w:t>：原项目</w:t>
      </w:r>
      <w:r>
        <w:rPr>
          <w:rFonts w:hint="eastAsia"/>
          <w:color w:val="auto"/>
          <w:sz w:val="24"/>
        </w:rPr>
        <w:t>环评批复</w:t>
      </w:r>
      <w:r>
        <w:rPr>
          <w:color w:val="auto"/>
          <w:sz w:val="24"/>
        </w:rPr>
        <w:t>；</w:t>
      </w:r>
    </w:p>
    <w:p w14:paraId="177C4718">
      <w:pPr>
        <w:spacing w:line="360" w:lineRule="auto"/>
        <w:ind w:firstLine="480"/>
        <w:jc w:val="left"/>
        <w:rPr>
          <w:color w:val="auto"/>
          <w:sz w:val="24"/>
        </w:rPr>
      </w:pPr>
      <w:r>
        <w:rPr>
          <w:rFonts w:hint="eastAsia"/>
          <w:color w:val="auto"/>
          <w:sz w:val="24"/>
        </w:rPr>
        <w:t>附件</w:t>
      </w:r>
      <w:r>
        <w:rPr>
          <w:rFonts w:hint="eastAsia"/>
          <w:color w:val="auto"/>
          <w:sz w:val="24"/>
          <w:lang w:val="en-US" w:eastAsia="zh-CN"/>
        </w:rPr>
        <w:t>6</w:t>
      </w:r>
      <w:r>
        <w:rPr>
          <w:rFonts w:hint="eastAsia"/>
          <w:color w:val="auto"/>
          <w:sz w:val="24"/>
        </w:rPr>
        <w:t>：</w:t>
      </w:r>
      <w:r>
        <w:rPr>
          <w:rFonts w:hint="eastAsia"/>
          <w:color w:val="auto"/>
          <w:sz w:val="24"/>
          <w:lang w:val="en-US" w:eastAsia="zh-CN"/>
        </w:rPr>
        <w:t>原项目应急预案备案表</w:t>
      </w:r>
      <w:r>
        <w:rPr>
          <w:rFonts w:hint="eastAsia"/>
          <w:color w:val="auto"/>
          <w:sz w:val="24"/>
        </w:rPr>
        <w:t>；</w:t>
      </w:r>
    </w:p>
    <w:p w14:paraId="181761C3">
      <w:pPr>
        <w:spacing w:line="360" w:lineRule="auto"/>
        <w:ind w:firstLine="480"/>
        <w:jc w:val="left"/>
        <w:rPr>
          <w:color w:val="auto"/>
          <w:sz w:val="24"/>
        </w:rPr>
      </w:pPr>
      <w:r>
        <w:rPr>
          <w:rFonts w:hint="eastAsia"/>
          <w:color w:val="auto"/>
          <w:sz w:val="24"/>
        </w:rPr>
        <w:t>附件</w:t>
      </w:r>
      <w:r>
        <w:rPr>
          <w:rFonts w:hint="eastAsia"/>
          <w:color w:val="auto"/>
          <w:sz w:val="24"/>
          <w:lang w:val="en-US" w:eastAsia="zh-CN"/>
        </w:rPr>
        <w:t>7</w:t>
      </w:r>
      <w:r>
        <w:rPr>
          <w:rFonts w:hint="eastAsia"/>
          <w:color w:val="auto"/>
          <w:sz w:val="24"/>
        </w:rPr>
        <w:t>：原项目验收意见；</w:t>
      </w:r>
    </w:p>
    <w:p w14:paraId="1813CA02">
      <w:pPr>
        <w:spacing w:line="360" w:lineRule="auto"/>
        <w:ind w:firstLine="480"/>
        <w:jc w:val="left"/>
        <w:rPr>
          <w:color w:val="auto"/>
          <w:sz w:val="24"/>
        </w:rPr>
      </w:pPr>
      <w:r>
        <w:rPr>
          <w:rFonts w:hint="eastAsia"/>
          <w:color w:val="auto"/>
          <w:sz w:val="24"/>
        </w:rPr>
        <w:t>附件</w:t>
      </w:r>
      <w:r>
        <w:rPr>
          <w:rFonts w:hint="eastAsia"/>
          <w:color w:val="auto"/>
          <w:sz w:val="24"/>
          <w:lang w:val="en-US" w:eastAsia="zh-CN"/>
        </w:rPr>
        <w:t>8</w:t>
      </w:r>
      <w:r>
        <w:rPr>
          <w:rFonts w:hint="eastAsia"/>
          <w:color w:val="auto"/>
          <w:sz w:val="24"/>
        </w:rPr>
        <w:t>：责令改正违法行为决定书 （昆生环改字〔2023﹞11-30号）；</w:t>
      </w:r>
    </w:p>
    <w:p w14:paraId="5492B842">
      <w:pPr>
        <w:spacing w:line="360" w:lineRule="auto"/>
        <w:ind w:firstLine="480"/>
        <w:rPr>
          <w:color w:val="auto"/>
          <w:sz w:val="24"/>
        </w:rPr>
      </w:pPr>
      <w:r>
        <w:rPr>
          <w:rFonts w:hint="eastAsia"/>
          <w:color w:val="auto"/>
          <w:sz w:val="24"/>
        </w:rPr>
        <w:t>附件</w:t>
      </w:r>
      <w:r>
        <w:rPr>
          <w:rFonts w:hint="eastAsia"/>
          <w:color w:val="auto"/>
          <w:sz w:val="24"/>
          <w:lang w:val="en-US" w:eastAsia="zh-CN"/>
        </w:rPr>
        <w:t>9</w:t>
      </w:r>
      <w:r>
        <w:rPr>
          <w:rFonts w:hint="eastAsia"/>
          <w:color w:val="auto"/>
          <w:sz w:val="24"/>
        </w:rPr>
        <w:t>：</w:t>
      </w:r>
      <w:r>
        <w:rPr>
          <w:rFonts w:hint="eastAsia"/>
          <w:color w:val="auto"/>
          <w:sz w:val="24"/>
          <w:lang w:val="en-US" w:eastAsia="zh-CN"/>
        </w:rPr>
        <w:t>不予处罚决定通知书</w:t>
      </w:r>
      <w:r>
        <w:rPr>
          <w:rFonts w:hint="eastAsia"/>
          <w:color w:val="auto"/>
          <w:sz w:val="24"/>
        </w:rPr>
        <w:t>；</w:t>
      </w:r>
    </w:p>
    <w:p w14:paraId="3328560F">
      <w:pPr>
        <w:spacing w:line="360" w:lineRule="auto"/>
        <w:ind w:firstLine="480"/>
        <w:rPr>
          <w:color w:val="auto"/>
          <w:sz w:val="24"/>
        </w:rPr>
      </w:pPr>
      <w:r>
        <w:rPr>
          <w:rFonts w:hint="eastAsia"/>
          <w:color w:val="auto"/>
          <w:sz w:val="24"/>
        </w:rPr>
        <w:t>附件</w:t>
      </w:r>
      <w:r>
        <w:rPr>
          <w:rFonts w:hint="eastAsia"/>
          <w:color w:val="auto"/>
          <w:sz w:val="24"/>
          <w:lang w:val="en-US" w:eastAsia="zh-CN"/>
        </w:rPr>
        <w:t>10</w:t>
      </w:r>
      <w:r>
        <w:rPr>
          <w:rFonts w:hint="eastAsia"/>
          <w:color w:val="auto"/>
          <w:sz w:val="24"/>
        </w:rPr>
        <w:t>：现状检测报告；</w:t>
      </w:r>
    </w:p>
    <w:p w14:paraId="472AF658">
      <w:pPr>
        <w:spacing w:line="360" w:lineRule="auto"/>
        <w:ind w:firstLine="480"/>
        <w:rPr>
          <w:color w:val="auto"/>
          <w:sz w:val="24"/>
        </w:rPr>
      </w:pPr>
      <w:r>
        <w:rPr>
          <w:color w:val="auto"/>
          <w:sz w:val="24"/>
        </w:rPr>
        <w:t>附件</w:t>
      </w:r>
      <w:r>
        <w:rPr>
          <w:rFonts w:hint="eastAsia"/>
          <w:color w:val="auto"/>
          <w:sz w:val="24"/>
        </w:rPr>
        <w:t>1</w:t>
      </w:r>
      <w:r>
        <w:rPr>
          <w:rFonts w:hint="eastAsia"/>
          <w:color w:val="auto"/>
          <w:sz w:val="24"/>
          <w:lang w:val="en-US" w:eastAsia="zh-CN"/>
        </w:rPr>
        <w:t>1</w:t>
      </w:r>
      <w:r>
        <w:rPr>
          <w:color w:val="auto"/>
          <w:sz w:val="24"/>
        </w:rPr>
        <w:t>：</w:t>
      </w:r>
      <w:r>
        <w:rPr>
          <w:rFonts w:hint="eastAsia"/>
          <w:color w:val="auto"/>
          <w:sz w:val="24"/>
          <w:lang w:val="en-US" w:eastAsia="zh-CN"/>
        </w:rPr>
        <w:t>无组织废气、噪声检测报告</w:t>
      </w:r>
      <w:r>
        <w:rPr>
          <w:rFonts w:hint="eastAsia"/>
          <w:color w:val="auto"/>
          <w:sz w:val="24"/>
        </w:rPr>
        <w:t>；</w:t>
      </w:r>
    </w:p>
    <w:p w14:paraId="1915E0E9">
      <w:pPr>
        <w:spacing w:line="360" w:lineRule="auto"/>
        <w:ind w:firstLine="480"/>
        <w:rPr>
          <w:rFonts w:hint="default" w:eastAsia="宋体"/>
          <w:color w:val="auto"/>
          <w:sz w:val="24"/>
          <w:lang w:val="en-US" w:eastAsia="zh-CN"/>
        </w:rPr>
      </w:pPr>
      <w:r>
        <w:rPr>
          <w:rFonts w:hint="eastAsia"/>
          <w:color w:val="auto"/>
          <w:sz w:val="24"/>
        </w:rPr>
        <w:t>附件1</w:t>
      </w:r>
      <w:r>
        <w:rPr>
          <w:rFonts w:hint="eastAsia"/>
          <w:color w:val="auto"/>
          <w:sz w:val="24"/>
          <w:lang w:val="en-US" w:eastAsia="zh-CN"/>
        </w:rPr>
        <w:t>2</w:t>
      </w:r>
      <w:r>
        <w:rPr>
          <w:rFonts w:hint="eastAsia"/>
          <w:color w:val="auto"/>
          <w:sz w:val="24"/>
        </w:rPr>
        <w:t>：</w:t>
      </w:r>
      <w:r>
        <w:rPr>
          <w:rFonts w:hint="eastAsia"/>
          <w:color w:val="auto"/>
          <w:sz w:val="24"/>
          <w:lang w:val="en-US" w:eastAsia="zh-CN"/>
        </w:rPr>
        <w:t>项目距离哨上大村的情况说明；</w:t>
      </w:r>
    </w:p>
    <w:p w14:paraId="15D80631">
      <w:pPr>
        <w:spacing w:line="360" w:lineRule="auto"/>
        <w:ind w:firstLine="480"/>
        <w:rPr>
          <w:color w:val="auto"/>
          <w:sz w:val="24"/>
        </w:rPr>
      </w:pPr>
      <w:r>
        <w:rPr>
          <w:rFonts w:hint="eastAsia"/>
          <w:color w:val="auto"/>
          <w:sz w:val="24"/>
          <w:lang w:val="en-US" w:eastAsia="zh-CN"/>
        </w:rPr>
        <w:t>附件13：</w:t>
      </w:r>
      <w:r>
        <w:rPr>
          <w:rFonts w:hint="eastAsia"/>
          <w:color w:val="auto"/>
          <w:sz w:val="24"/>
        </w:rPr>
        <w:t>年产10万吨商品混凝土生产线</w:t>
      </w:r>
      <w:r>
        <w:rPr>
          <w:rFonts w:hint="eastAsia"/>
          <w:color w:val="auto"/>
          <w:sz w:val="24"/>
          <w:lang w:eastAsia="zh-CN"/>
        </w:rPr>
        <w:t>（</w:t>
      </w:r>
      <w:r>
        <w:rPr>
          <w:rFonts w:hint="eastAsia"/>
          <w:color w:val="auto"/>
          <w:sz w:val="24"/>
          <w:lang w:val="en-US" w:eastAsia="zh-CN"/>
        </w:rPr>
        <w:t>原有筒仓</w:t>
      </w:r>
      <w:r>
        <w:rPr>
          <w:rFonts w:hint="eastAsia"/>
          <w:color w:val="auto"/>
          <w:sz w:val="24"/>
          <w:lang w:eastAsia="zh-CN"/>
        </w:rPr>
        <w:t>）</w:t>
      </w:r>
      <w:r>
        <w:rPr>
          <w:rFonts w:hint="eastAsia"/>
          <w:color w:val="auto"/>
          <w:sz w:val="24"/>
          <w:lang w:val="en-US" w:eastAsia="zh-CN"/>
        </w:rPr>
        <w:t>现状</w:t>
      </w:r>
      <w:r>
        <w:rPr>
          <w:rFonts w:hint="eastAsia"/>
          <w:color w:val="auto"/>
          <w:sz w:val="24"/>
        </w:rPr>
        <w:t>检测报告；</w:t>
      </w:r>
    </w:p>
    <w:p w14:paraId="73B1763D">
      <w:pPr>
        <w:spacing w:line="360" w:lineRule="auto"/>
        <w:ind w:firstLine="480"/>
        <w:rPr>
          <w:rFonts w:hint="default" w:eastAsia="宋体"/>
          <w:color w:val="auto"/>
          <w:sz w:val="24"/>
          <w:lang w:val="en-US" w:eastAsia="zh-CN"/>
        </w:rPr>
      </w:pPr>
      <w:r>
        <w:rPr>
          <w:rFonts w:hint="eastAsia"/>
          <w:color w:val="auto"/>
          <w:sz w:val="24"/>
        </w:rPr>
        <w:t>附件1</w:t>
      </w:r>
      <w:r>
        <w:rPr>
          <w:rFonts w:hint="eastAsia"/>
          <w:color w:val="auto"/>
          <w:sz w:val="24"/>
          <w:lang w:val="en-US" w:eastAsia="zh-CN"/>
        </w:rPr>
        <w:t>4：公示截图；</w:t>
      </w:r>
    </w:p>
    <w:p w14:paraId="52F2E2FE">
      <w:pPr>
        <w:spacing w:line="360" w:lineRule="auto"/>
        <w:ind w:firstLine="480"/>
        <w:rPr>
          <w:rFonts w:hint="eastAsia" w:eastAsia="宋体"/>
          <w:color w:val="auto"/>
          <w:sz w:val="24"/>
          <w:lang w:eastAsia="zh-CN"/>
        </w:rPr>
      </w:pPr>
      <w:r>
        <w:rPr>
          <w:rFonts w:hint="eastAsia"/>
          <w:color w:val="auto"/>
          <w:sz w:val="24"/>
          <w:lang w:val="en-US" w:eastAsia="zh-CN"/>
        </w:rPr>
        <w:t>附件15</w:t>
      </w:r>
      <w:r>
        <w:rPr>
          <w:rFonts w:hint="eastAsia"/>
          <w:color w:val="auto"/>
          <w:sz w:val="24"/>
        </w:rPr>
        <w:t>：</w:t>
      </w:r>
      <w:r>
        <w:rPr>
          <w:rFonts w:hint="eastAsia"/>
          <w:color w:val="auto"/>
          <w:sz w:val="24"/>
          <w:lang w:val="en-US" w:eastAsia="zh-CN"/>
        </w:rPr>
        <w:t>环评咨询</w:t>
      </w:r>
      <w:r>
        <w:rPr>
          <w:color w:val="auto"/>
          <w:sz w:val="24"/>
        </w:rPr>
        <w:t>合同</w:t>
      </w:r>
      <w:r>
        <w:rPr>
          <w:rFonts w:hint="eastAsia"/>
          <w:color w:val="auto"/>
          <w:sz w:val="24"/>
          <w:lang w:eastAsia="zh-CN"/>
        </w:rPr>
        <w:t>；</w:t>
      </w:r>
    </w:p>
    <w:p w14:paraId="161221CD">
      <w:pPr>
        <w:spacing w:line="360" w:lineRule="auto"/>
        <w:ind w:firstLine="480"/>
        <w:rPr>
          <w:rFonts w:hint="eastAsia" w:eastAsia="宋体"/>
          <w:color w:val="auto"/>
          <w:sz w:val="24"/>
          <w:lang w:eastAsia="zh-CN"/>
        </w:rPr>
      </w:pPr>
      <w:r>
        <w:rPr>
          <w:rFonts w:hint="eastAsia"/>
          <w:color w:val="auto"/>
          <w:sz w:val="24"/>
          <w:lang w:val="en-US" w:eastAsia="zh-CN"/>
        </w:rPr>
        <w:t>附件16：项目进度表、内部审核表</w:t>
      </w:r>
      <w:r>
        <w:rPr>
          <w:rFonts w:hint="eastAsia"/>
          <w:color w:val="auto"/>
          <w:sz w:val="24"/>
          <w:lang w:eastAsia="zh-CN"/>
        </w:rPr>
        <w:t>；</w:t>
      </w:r>
    </w:p>
    <w:p w14:paraId="2CA884E4">
      <w:pPr>
        <w:pStyle w:val="33"/>
        <w:adjustRightInd w:val="0"/>
        <w:snapToGrid w:val="0"/>
        <w:spacing w:before="0" w:beforeAutospacing="0" w:after="0" w:afterAutospacing="0" w:line="360" w:lineRule="auto"/>
        <w:ind w:firstLine="482"/>
        <w:jc w:val="both"/>
        <w:rPr>
          <w:rFonts w:ascii="Times New Roman" w:hAnsi="Times New Roman"/>
          <w:b/>
          <w:color w:val="auto"/>
          <w:szCs w:val="24"/>
        </w:rPr>
      </w:pPr>
    </w:p>
    <w:p w14:paraId="1EF52302">
      <w:pPr>
        <w:spacing w:line="360" w:lineRule="auto"/>
        <w:ind w:firstLine="482"/>
        <w:jc w:val="left"/>
        <w:rPr>
          <w:b/>
          <w:color w:val="auto"/>
          <w:sz w:val="24"/>
        </w:rPr>
      </w:pPr>
      <w:r>
        <w:rPr>
          <w:b/>
          <w:color w:val="auto"/>
          <w:sz w:val="24"/>
        </w:rPr>
        <w:t>附图：</w:t>
      </w:r>
    </w:p>
    <w:p w14:paraId="79E30BC2">
      <w:pPr>
        <w:spacing w:line="360" w:lineRule="auto"/>
        <w:ind w:firstLine="480"/>
        <w:jc w:val="left"/>
        <w:rPr>
          <w:color w:val="auto"/>
          <w:sz w:val="24"/>
        </w:rPr>
      </w:pPr>
      <w:r>
        <w:rPr>
          <w:color w:val="auto"/>
          <w:sz w:val="24"/>
        </w:rPr>
        <w:t>附图1：项目地理位置图；</w:t>
      </w:r>
    </w:p>
    <w:p w14:paraId="14B67632">
      <w:pPr>
        <w:spacing w:line="360" w:lineRule="auto"/>
        <w:ind w:firstLine="480"/>
        <w:jc w:val="left"/>
        <w:rPr>
          <w:color w:val="auto"/>
          <w:sz w:val="24"/>
        </w:rPr>
      </w:pPr>
      <w:r>
        <w:rPr>
          <w:color w:val="auto"/>
          <w:sz w:val="24"/>
        </w:rPr>
        <w:t>附图2</w:t>
      </w:r>
      <w:r>
        <w:rPr>
          <w:rFonts w:hint="eastAsia"/>
          <w:color w:val="auto"/>
          <w:sz w:val="24"/>
        </w:rPr>
        <w:t>：</w:t>
      </w:r>
      <w:r>
        <w:rPr>
          <w:color w:val="auto"/>
          <w:sz w:val="24"/>
        </w:rPr>
        <w:t>项目周边关系图；</w:t>
      </w:r>
    </w:p>
    <w:p w14:paraId="1DD2EC5C">
      <w:pPr>
        <w:spacing w:line="360" w:lineRule="auto"/>
        <w:ind w:firstLine="480"/>
        <w:jc w:val="left"/>
        <w:rPr>
          <w:color w:val="auto"/>
          <w:sz w:val="24"/>
        </w:rPr>
      </w:pPr>
      <w:r>
        <w:rPr>
          <w:color w:val="auto"/>
          <w:sz w:val="24"/>
        </w:rPr>
        <w:t>附图</w:t>
      </w:r>
      <w:r>
        <w:rPr>
          <w:rFonts w:hint="eastAsia"/>
          <w:color w:val="auto"/>
          <w:sz w:val="24"/>
        </w:rPr>
        <w:t>3</w:t>
      </w:r>
      <w:r>
        <w:rPr>
          <w:color w:val="auto"/>
          <w:sz w:val="24"/>
        </w:rPr>
        <w:t>：项目区域水系图</w:t>
      </w:r>
      <w:r>
        <w:rPr>
          <w:rFonts w:hint="eastAsia"/>
          <w:color w:val="auto"/>
          <w:sz w:val="24"/>
        </w:rPr>
        <w:t>；</w:t>
      </w:r>
    </w:p>
    <w:p w14:paraId="4E43DFDF">
      <w:pPr>
        <w:spacing w:line="360" w:lineRule="auto"/>
        <w:ind w:firstLine="480"/>
        <w:jc w:val="left"/>
        <w:rPr>
          <w:rFonts w:hint="eastAsia" w:eastAsia="宋体"/>
          <w:color w:val="auto"/>
          <w:sz w:val="24"/>
          <w:lang w:eastAsia="zh-CN"/>
        </w:rPr>
      </w:pPr>
      <w:r>
        <w:rPr>
          <w:color w:val="auto"/>
          <w:sz w:val="24"/>
        </w:rPr>
        <w:t>附图</w:t>
      </w:r>
      <w:r>
        <w:rPr>
          <w:rFonts w:hint="eastAsia"/>
          <w:color w:val="auto"/>
          <w:sz w:val="24"/>
        </w:rPr>
        <w:t>4</w:t>
      </w:r>
      <w:r>
        <w:rPr>
          <w:color w:val="auto"/>
          <w:sz w:val="24"/>
        </w:rPr>
        <w:t>：项目与昆明市生态环境分区管控单元位置关系图</w:t>
      </w:r>
      <w:r>
        <w:rPr>
          <w:rFonts w:hint="eastAsia"/>
          <w:color w:val="auto"/>
          <w:sz w:val="24"/>
          <w:lang w:eastAsia="zh-CN"/>
        </w:rPr>
        <w:t>；</w:t>
      </w:r>
    </w:p>
    <w:p w14:paraId="425073F9">
      <w:pPr>
        <w:spacing w:line="360" w:lineRule="auto"/>
        <w:ind w:firstLine="480"/>
        <w:jc w:val="left"/>
        <w:rPr>
          <w:color w:val="auto"/>
          <w:sz w:val="24"/>
        </w:rPr>
      </w:pPr>
      <w:r>
        <w:rPr>
          <w:color w:val="auto"/>
          <w:sz w:val="24"/>
        </w:rPr>
        <w:t>附图</w:t>
      </w:r>
      <w:r>
        <w:rPr>
          <w:rFonts w:hint="eastAsia"/>
          <w:color w:val="auto"/>
          <w:sz w:val="24"/>
        </w:rPr>
        <w:t>5</w:t>
      </w:r>
      <w:r>
        <w:rPr>
          <w:color w:val="auto"/>
          <w:sz w:val="24"/>
        </w:rPr>
        <w:t>：扩建完成后项目区总平面布置图；</w:t>
      </w:r>
    </w:p>
    <w:p w14:paraId="139BA2D1">
      <w:pPr>
        <w:spacing w:line="360" w:lineRule="auto"/>
        <w:ind w:firstLine="480"/>
        <w:jc w:val="left"/>
        <w:rPr>
          <w:color w:val="auto"/>
          <w:sz w:val="24"/>
        </w:rPr>
      </w:pPr>
      <w:r>
        <w:rPr>
          <w:rFonts w:hint="eastAsia"/>
          <w:color w:val="auto"/>
          <w:sz w:val="24"/>
        </w:rPr>
        <w:t>附图6：项目监测点位图；</w:t>
      </w:r>
    </w:p>
    <w:p w14:paraId="7DEA1EDC">
      <w:pPr>
        <w:spacing w:line="360" w:lineRule="auto"/>
        <w:ind w:firstLine="480"/>
        <w:jc w:val="left"/>
        <w:rPr>
          <w:color w:val="auto"/>
          <w:sz w:val="24"/>
        </w:rPr>
      </w:pPr>
      <w:r>
        <w:rPr>
          <w:color w:val="auto"/>
          <w:sz w:val="24"/>
        </w:rPr>
        <w:t>附图7</w:t>
      </w:r>
      <w:r>
        <w:rPr>
          <w:rFonts w:hint="eastAsia"/>
          <w:color w:val="auto"/>
          <w:sz w:val="24"/>
        </w:rPr>
        <w:t>：</w:t>
      </w:r>
      <w:r>
        <w:rPr>
          <w:color w:val="auto"/>
          <w:sz w:val="24"/>
        </w:rPr>
        <w:t>项目与牛栏江流域水环境保护规划图位置关系图</w:t>
      </w:r>
      <w:r>
        <w:rPr>
          <w:rFonts w:hint="eastAsia"/>
          <w:color w:val="auto"/>
          <w:sz w:val="24"/>
        </w:rPr>
        <w:t>；</w:t>
      </w:r>
    </w:p>
    <w:p w14:paraId="428D3EC7">
      <w:pPr>
        <w:spacing w:line="360" w:lineRule="auto"/>
        <w:ind w:firstLine="480"/>
        <w:jc w:val="left"/>
        <w:rPr>
          <w:rFonts w:hint="eastAsia"/>
          <w:color w:val="auto"/>
          <w:sz w:val="24"/>
          <w:lang w:eastAsia="zh-CN"/>
        </w:rPr>
      </w:pPr>
      <w:r>
        <w:rPr>
          <w:rFonts w:hint="eastAsia"/>
          <w:color w:val="auto"/>
          <w:sz w:val="24"/>
        </w:rPr>
        <w:t>附图8：项目与牛栏江水环境规划位置关系图</w:t>
      </w:r>
      <w:r>
        <w:rPr>
          <w:rFonts w:hint="eastAsia"/>
          <w:color w:val="auto"/>
          <w:sz w:val="24"/>
          <w:lang w:eastAsia="zh-CN"/>
        </w:rPr>
        <w:t>；</w:t>
      </w:r>
    </w:p>
    <w:p w14:paraId="03443154">
      <w:pPr>
        <w:spacing w:line="360" w:lineRule="auto"/>
        <w:ind w:firstLine="480"/>
        <w:jc w:val="left"/>
        <w:rPr>
          <w:rFonts w:hint="eastAsia"/>
          <w:color w:val="auto"/>
          <w:sz w:val="24"/>
          <w:lang w:eastAsia="zh-CN"/>
        </w:rPr>
        <w:sectPr>
          <w:pgSz w:w="11906" w:h="16838"/>
          <w:pgMar w:top="1701" w:right="1531" w:bottom="1701" w:left="1531" w:header="851" w:footer="1077" w:gutter="0"/>
          <w:cols w:space="720" w:num="1"/>
          <w:docGrid w:linePitch="312" w:charSpace="0"/>
        </w:sectPr>
      </w:pPr>
      <w:r>
        <w:rPr>
          <w:rFonts w:hint="eastAsia"/>
          <w:color w:val="auto"/>
          <w:sz w:val="24"/>
          <w:lang w:eastAsia="zh-CN"/>
        </w:rPr>
        <w:t>附图9 项目与滇中产业新区水功能区划位置关系图。</w:t>
      </w:r>
    </w:p>
    <w:p w14:paraId="71FB2A2B">
      <w:pPr>
        <w:pStyle w:val="33"/>
        <w:adjustRightInd w:val="0"/>
        <w:snapToGrid w:val="0"/>
        <w:spacing w:before="0" w:beforeAutospacing="0" w:after="0" w:afterAutospacing="0" w:line="336" w:lineRule="auto"/>
        <w:ind w:firstLine="0" w:firstLineChars="0"/>
        <w:jc w:val="center"/>
        <w:outlineLvl w:val="0"/>
        <w:rPr>
          <w:rFonts w:ascii="Times New Roman" w:hAnsi="Times New Roman"/>
          <w:snapToGrid w:val="0"/>
          <w:color w:val="auto"/>
          <w:sz w:val="30"/>
          <w:szCs w:val="30"/>
        </w:rPr>
      </w:pPr>
      <w:bookmarkStart w:id="4" w:name="_Toc20961"/>
      <w:r>
        <w:rPr>
          <w:rFonts w:ascii="Times New Roman" w:hAnsi="Times New Roman"/>
          <w:b/>
          <w:bCs/>
          <w:snapToGrid w:val="0"/>
          <w:color w:val="auto"/>
          <w:sz w:val="30"/>
          <w:szCs w:val="30"/>
        </w:rPr>
        <w:t>一、建设项目基本情况</w:t>
      </w:r>
      <w:bookmarkEnd w:id="2"/>
      <w:bookmarkEnd w:id="4"/>
    </w:p>
    <w:tbl>
      <w:tblPr>
        <w:tblStyle w:val="37"/>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89"/>
        <w:gridCol w:w="663"/>
        <w:gridCol w:w="660"/>
        <w:gridCol w:w="2271"/>
        <w:gridCol w:w="1785"/>
        <w:gridCol w:w="3003"/>
      </w:tblGrid>
      <w:tr w14:paraId="3C615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2012" w:type="dxa"/>
            <w:gridSpan w:val="3"/>
            <w:tcMar>
              <w:top w:w="16" w:type="dxa"/>
              <w:left w:w="16" w:type="dxa"/>
              <w:right w:w="16" w:type="dxa"/>
            </w:tcMar>
            <w:vAlign w:val="center"/>
          </w:tcPr>
          <w:p w14:paraId="1B46AC17">
            <w:pPr>
              <w:adjustRightInd w:val="0"/>
              <w:snapToGrid w:val="0"/>
              <w:ind w:firstLine="0" w:firstLineChars="0"/>
              <w:jc w:val="center"/>
              <w:rPr>
                <w:color w:val="auto"/>
                <w:sz w:val="24"/>
              </w:rPr>
            </w:pPr>
            <w:r>
              <w:rPr>
                <w:color w:val="auto"/>
                <w:sz w:val="24"/>
              </w:rPr>
              <w:t>建设项目名称</w:t>
            </w:r>
          </w:p>
        </w:tc>
        <w:tc>
          <w:tcPr>
            <w:tcW w:w="7059" w:type="dxa"/>
            <w:gridSpan w:val="3"/>
            <w:vAlign w:val="center"/>
          </w:tcPr>
          <w:p w14:paraId="2C771191">
            <w:pPr>
              <w:adjustRightInd w:val="0"/>
              <w:snapToGrid w:val="0"/>
              <w:ind w:firstLine="0" w:firstLineChars="0"/>
              <w:jc w:val="center"/>
              <w:rPr>
                <w:color w:val="auto"/>
                <w:sz w:val="24"/>
              </w:rPr>
            </w:pPr>
            <w:r>
              <w:rPr>
                <w:color w:val="auto"/>
                <w:sz w:val="24"/>
              </w:rPr>
              <w:t>年产10万吨商品混凝土生产线扩建项目</w:t>
            </w:r>
          </w:p>
        </w:tc>
      </w:tr>
      <w:tr w14:paraId="401DC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2012" w:type="dxa"/>
            <w:gridSpan w:val="3"/>
            <w:tcMar>
              <w:top w:w="16" w:type="dxa"/>
              <w:left w:w="16" w:type="dxa"/>
              <w:right w:w="16" w:type="dxa"/>
            </w:tcMar>
            <w:vAlign w:val="center"/>
          </w:tcPr>
          <w:p w14:paraId="6E0B26C8">
            <w:pPr>
              <w:adjustRightInd w:val="0"/>
              <w:snapToGrid w:val="0"/>
              <w:ind w:firstLine="0" w:firstLineChars="0"/>
              <w:jc w:val="center"/>
              <w:rPr>
                <w:color w:val="auto"/>
                <w:sz w:val="24"/>
              </w:rPr>
            </w:pPr>
            <w:r>
              <w:rPr>
                <w:color w:val="auto"/>
                <w:sz w:val="24"/>
              </w:rPr>
              <w:t>项目代码</w:t>
            </w:r>
          </w:p>
        </w:tc>
        <w:tc>
          <w:tcPr>
            <w:tcW w:w="7059" w:type="dxa"/>
            <w:gridSpan w:val="3"/>
            <w:vAlign w:val="center"/>
          </w:tcPr>
          <w:p w14:paraId="3C4FF411">
            <w:pPr>
              <w:adjustRightInd w:val="0"/>
              <w:snapToGrid w:val="0"/>
              <w:ind w:firstLine="0" w:firstLineChars="0"/>
              <w:jc w:val="center"/>
              <w:rPr>
                <w:color w:val="auto"/>
                <w:sz w:val="24"/>
              </w:rPr>
            </w:pPr>
            <w:r>
              <w:rPr>
                <w:color w:val="auto"/>
                <w:sz w:val="24"/>
              </w:rPr>
              <w:t>2401-530129-04-01-498518</w:t>
            </w:r>
          </w:p>
        </w:tc>
      </w:tr>
      <w:tr w14:paraId="1B6A4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2012" w:type="dxa"/>
            <w:gridSpan w:val="3"/>
            <w:tcMar>
              <w:top w:w="16" w:type="dxa"/>
              <w:left w:w="16" w:type="dxa"/>
              <w:right w:w="16" w:type="dxa"/>
            </w:tcMar>
            <w:vAlign w:val="center"/>
          </w:tcPr>
          <w:p w14:paraId="028EFE85">
            <w:pPr>
              <w:adjustRightInd w:val="0"/>
              <w:snapToGrid w:val="0"/>
              <w:ind w:firstLine="0" w:firstLineChars="0"/>
              <w:jc w:val="center"/>
              <w:rPr>
                <w:color w:val="auto"/>
                <w:sz w:val="24"/>
              </w:rPr>
            </w:pPr>
            <w:r>
              <w:rPr>
                <w:color w:val="auto"/>
                <w:sz w:val="24"/>
              </w:rPr>
              <w:t>建设单位联系人</w:t>
            </w:r>
          </w:p>
        </w:tc>
        <w:tc>
          <w:tcPr>
            <w:tcW w:w="2271" w:type="dxa"/>
            <w:vAlign w:val="center"/>
          </w:tcPr>
          <w:p w14:paraId="45A17497">
            <w:pPr>
              <w:adjustRightInd w:val="0"/>
              <w:snapToGrid w:val="0"/>
              <w:ind w:firstLine="0" w:firstLineChars="0"/>
              <w:jc w:val="center"/>
              <w:rPr>
                <w:color w:val="auto"/>
                <w:sz w:val="24"/>
              </w:rPr>
            </w:pPr>
          </w:p>
        </w:tc>
        <w:tc>
          <w:tcPr>
            <w:tcW w:w="1785" w:type="dxa"/>
            <w:vAlign w:val="center"/>
          </w:tcPr>
          <w:p w14:paraId="797E9B06">
            <w:pPr>
              <w:adjustRightInd w:val="0"/>
              <w:snapToGrid w:val="0"/>
              <w:ind w:firstLine="0" w:firstLineChars="0"/>
              <w:jc w:val="center"/>
              <w:rPr>
                <w:color w:val="auto"/>
                <w:sz w:val="24"/>
              </w:rPr>
            </w:pPr>
            <w:r>
              <w:rPr>
                <w:color w:val="auto"/>
                <w:sz w:val="24"/>
              </w:rPr>
              <w:t>联系方式</w:t>
            </w:r>
          </w:p>
        </w:tc>
        <w:tc>
          <w:tcPr>
            <w:tcW w:w="3003" w:type="dxa"/>
            <w:vAlign w:val="center"/>
          </w:tcPr>
          <w:p w14:paraId="2CDA0482">
            <w:pPr>
              <w:adjustRightInd w:val="0"/>
              <w:snapToGrid w:val="0"/>
              <w:ind w:firstLine="0" w:firstLineChars="0"/>
              <w:jc w:val="center"/>
              <w:rPr>
                <w:color w:val="auto"/>
                <w:sz w:val="24"/>
              </w:rPr>
            </w:pPr>
          </w:p>
        </w:tc>
      </w:tr>
      <w:tr w14:paraId="3D1AF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2012" w:type="dxa"/>
            <w:gridSpan w:val="3"/>
            <w:tcMar>
              <w:top w:w="16" w:type="dxa"/>
              <w:left w:w="16" w:type="dxa"/>
              <w:right w:w="16" w:type="dxa"/>
            </w:tcMar>
            <w:vAlign w:val="center"/>
          </w:tcPr>
          <w:p w14:paraId="7B5EC94A">
            <w:pPr>
              <w:adjustRightInd w:val="0"/>
              <w:snapToGrid w:val="0"/>
              <w:ind w:firstLine="0" w:firstLineChars="0"/>
              <w:jc w:val="center"/>
              <w:rPr>
                <w:color w:val="auto"/>
                <w:sz w:val="24"/>
              </w:rPr>
            </w:pPr>
            <w:r>
              <w:rPr>
                <w:color w:val="auto"/>
                <w:sz w:val="24"/>
              </w:rPr>
              <w:t>建设地点</w:t>
            </w:r>
          </w:p>
        </w:tc>
        <w:tc>
          <w:tcPr>
            <w:tcW w:w="7059" w:type="dxa"/>
            <w:gridSpan w:val="3"/>
            <w:vAlign w:val="center"/>
          </w:tcPr>
          <w:p w14:paraId="10777E71">
            <w:pPr>
              <w:adjustRightInd w:val="0"/>
              <w:snapToGrid w:val="0"/>
              <w:ind w:firstLine="0" w:firstLineChars="0"/>
              <w:jc w:val="center"/>
              <w:rPr>
                <w:color w:val="auto"/>
                <w:sz w:val="24"/>
              </w:rPr>
            </w:pPr>
            <w:r>
              <w:rPr>
                <w:color w:val="auto"/>
                <w:sz w:val="24"/>
              </w:rPr>
              <w:t>云南省昆明市寻甸县金所乡哨上大村</w:t>
            </w:r>
          </w:p>
        </w:tc>
      </w:tr>
      <w:tr w14:paraId="35A73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12" w:type="dxa"/>
            <w:gridSpan w:val="3"/>
            <w:tcMar>
              <w:top w:w="16" w:type="dxa"/>
              <w:left w:w="16" w:type="dxa"/>
              <w:right w:w="16" w:type="dxa"/>
            </w:tcMar>
            <w:vAlign w:val="center"/>
          </w:tcPr>
          <w:p w14:paraId="1764D2D3">
            <w:pPr>
              <w:adjustRightInd w:val="0"/>
              <w:snapToGrid w:val="0"/>
              <w:ind w:firstLine="0" w:firstLineChars="0"/>
              <w:jc w:val="center"/>
              <w:rPr>
                <w:color w:val="auto"/>
                <w:sz w:val="24"/>
              </w:rPr>
            </w:pPr>
            <w:r>
              <w:rPr>
                <w:color w:val="auto"/>
                <w:sz w:val="24"/>
              </w:rPr>
              <w:t>地理坐标</w:t>
            </w:r>
          </w:p>
        </w:tc>
        <w:tc>
          <w:tcPr>
            <w:tcW w:w="7059" w:type="dxa"/>
            <w:gridSpan w:val="3"/>
            <w:vAlign w:val="center"/>
          </w:tcPr>
          <w:p w14:paraId="2225B87C">
            <w:pPr>
              <w:ind w:firstLine="0" w:firstLineChars="0"/>
              <w:jc w:val="center"/>
              <w:rPr>
                <w:color w:val="auto"/>
                <w:sz w:val="24"/>
              </w:rPr>
            </w:pPr>
            <w:r>
              <w:rPr>
                <w:color w:val="auto"/>
                <w:sz w:val="24"/>
              </w:rPr>
              <w:t>（</w:t>
            </w:r>
            <w:r>
              <w:rPr>
                <w:color w:val="auto"/>
                <w:sz w:val="24"/>
                <w:u w:val="single"/>
              </w:rPr>
              <w:t>103</w:t>
            </w:r>
            <w:r>
              <w:rPr>
                <w:color w:val="auto"/>
                <w:sz w:val="24"/>
              </w:rPr>
              <w:t>度13分16.887秒，</w:t>
            </w:r>
            <w:r>
              <w:rPr>
                <w:color w:val="auto"/>
                <w:sz w:val="24"/>
                <w:u w:val="single"/>
              </w:rPr>
              <w:t>25</w:t>
            </w:r>
            <w:r>
              <w:rPr>
                <w:color w:val="auto"/>
                <w:sz w:val="24"/>
              </w:rPr>
              <w:t>度33分0.348秒）</w:t>
            </w:r>
          </w:p>
        </w:tc>
      </w:tr>
      <w:tr w14:paraId="3B1B5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12" w:type="dxa"/>
            <w:gridSpan w:val="3"/>
            <w:tcMar>
              <w:top w:w="16" w:type="dxa"/>
              <w:left w:w="16" w:type="dxa"/>
              <w:right w:w="16" w:type="dxa"/>
            </w:tcMar>
            <w:vAlign w:val="center"/>
          </w:tcPr>
          <w:p w14:paraId="37105EC6">
            <w:pPr>
              <w:adjustRightInd w:val="0"/>
              <w:snapToGrid w:val="0"/>
              <w:ind w:firstLine="0" w:firstLineChars="0"/>
              <w:jc w:val="center"/>
              <w:rPr>
                <w:color w:val="auto"/>
                <w:sz w:val="24"/>
              </w:rPr>
            </w:pPr>
            <w:r>
              <w:rPr>
                <w:color w:val="auto"/>
                <w:sz w:val="24"/>
              </w:rPr>
              <w:t>国民经济</w:t>
            </w:r>
          </w:p>
          <w:p w14:paraId="2E92BDDA">
            <w:pPr>
              <w:adjustRightInd w:val="0"/>
              <w:snapToGrid w:val="0"/>
              <w:ind w:firstLine="0" w:firstLineChars="0"/>
              <w:jc w:val="center"/>
              <w:rPr>
                <w:color w:val="auto"/>
                <w:sz w:val="24"/>
              </w:rPr>
            </w:pPr>
            <w:r>
              <w:rPr>
                <w:color w:val="auto"/>
                <w:sz w:val="24"/>
              </w:rPr>
              <w:t>行业类别</w:t>
            </w:r>
          </w:p>
        </w:tc>
        <w:tc>
          <w:tcPr>
            <w:tcW w:w="2271" w:type="dxa"/>
            <w:vAlign w:val="center"/>
          </w:tcPr>
          <w:p w14:paraId="1F7CEE12">
            <w:pPr>
              <w:adjustRightInd w:val="0"/>
              <w:snapToGrid w:val="0"/>
              <w:ind w:firstLine="0" w:firstLineChars="0"/>
              <w:jc w:val="center"/>
              <w:rPr>
                <w:color w:val="auto"/>
                <w:sz w:val="24"/>
              </w:rPr>
            </w:pPr>
            <w:r>
              <w:rPr>
                <w:color w:val="auto"/>
                <w:sz w:val="24"/>
              </w:rPr>
              <w:t>C3021水泥制品制造</w:t>
            </w:r>
          </w:p>
        </w:tc>
        <w:tc>
          <w:tcPr>
            <w:tcW w:w="1785" w:type="dxa"/>
            <w:vAlign w:val="center"/>
          </w:tcPr>
          <w:p w14:paraId="5BFCF5CB">
            <w:pPr>
              <w:adjustRightInd w:val="0"/>
              <w:snapToGrid w:val="0"/>
              <w:ind w:firstLine="0" w:firstLineChars="0"/>
              <w:jc w:val="center"/>
              <w:rPr>
                <w:color w:val="auto"/>
                <w:sz w:val="24"/>
              </w:rPr>
            </w:pPr>
            <w:bookmarkStart w:id="5" w:name="_Hlk49843745"/>
            <w:r>
              <w:rPr>
                <w:color w:val="auto"/>
                <w:sz w:val="24"/>
              </w:rPr>
              <w:t>建设项目</w:t>
            </w:r>
          </w:p>
          <w:p w14:paraId="02C5FF30">
            <w:pPr>
              <w:adjustRightInd w:val="0"/>
              <w:snapToGrid w:val="0"/>
              <w:ind w:firstLine="0" w:firstLineChars="0"/>
              <w:jc w:val="center"/>
              <w:rPr>
                <w:color w:val="auto"/>
                <w:sz w:val="24"/>
              </w:rPr>
            </w:pPr>
            <w:r>
              <w:rPr>
                <w:color w:val="auto"/>
                <w:sz w:val="24"/>
              </w:rPr>
              <w:t>行业类别</w:t>
            </w:r>
            <w:bookmarkEnd w:id="5"/>
          </w:p>
        </w:tc>
        <w:tc>
          <w:tcPr>
            <w:tcW w:w="3003" w:type="dxa"/>
            <w:vAlign w:val="center"/>
          </w:tcPr>
          <w:p w14:paraId="75EF8B2C">
            <w:pPr>
              <w:adjustRightInd w:val="0"/>
              <w:snapToGrid w:val="0"/>
              <w:ind w:firstLine="0" w:firstLineChars="0"/>
              <w:jc w:val="left"/>
              <w:rPr>
                <w:rFonts w:hint="eastAsia" w:eastAsia="宋体"/>
                <w:color w:val="auto"/>
                <w:sz w:val="24"/>
                <w:lang w:eastAsia="zh-CN"/>
              </w:rPr>
            </w:pPr>
            <w:r>
              <w:rPr>
                <w:color w:val="auto"/>
                <w:sz w:val="24"/>
              </w:rPr>
              <w:t>二十七</w:t>
            </w:r>
            <w:r>
              <w:rPr>
                <w:rFonts w:hint="eastAsia"/>
                <w:color w:val="auto"/>
                <w:sz w:val="24"/>
              </w:rPr>
              <w:t>、</w:t>
            </w:r>
            <w:r>
              <w:rPr>
                <w:color w:val="auto"/>
                <w:sz w:val="24"/>
              </w:rPr>
              <w:t>非金属矿物制品业</w:t>
            </w:r>
            <w:r>
              <w:rPr>
                <w:rFonts w:hint="eastAsia"/>
                <w:color w:val="auto"/>
                <w:sz w:val="24"/>
              </w:rPr>
              <w:t>30；55、</w:t>
            </w:r>
            <w:r>
              <w:rPr>
                <w:color w:val="auto"/>
                <w:sz w:val="24"/>
              </w:rPr>
              <w:t>石膏、水泥制品及类似制品制造302</w:t>
            </w:r>
            <w:r>
              <w:rPr>
                <w:rFonts w:hint="eastAsia"/>
                <w:color w:val="auto"/>
                <w:sz w:val="24"/>
              </w:rPr>
              <w:t>；</w:t>
            </w:r>
            <w:r>
              <w:rPr>
                <w:color w:val="auto"/>
                <w:sz w:val="24"/>
              </w:rPr>
              <w:t>商品混凝土</w:t>
            </w:r>
            <w:r>
              <w:rPr>
                <w:rFonts w:hint="eastAsia"/>
                <w:color w:val="auto"/>
                <w:sz w:val="24"/>
              </w:rPr>
              <w:t>制造</w:t>
            </w:r>
            <w:r>
              <w:rPr>
                <w:rFonts w:hint="eastAsia"/>
                <w:color w:val="auto"/>
                <w:sz w:val="24"/>
                <w:lang w:eastAsia="zh-CN"/>
              </w:rPr>
              <w:t>；</w:t>
            </w:r>
          </w:p>
        </w:tc>
      </w:tr>
      <w:tr w14:paraId="37BA3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12" w:type="dxa"/>
            <w:gridSpan w:val="3"/>
            <w:tcMar>
              <w:top w:w="16" w:type="dxa"/>
              <w:left w:w="16" w:type="dxa"/>
              <w:right w:w="16" w:type="dxa"/>
            </w:tcMar>
            <w:vAlign w:val="center"/>
          </w:tcPr>
          <w:p w14:paraId="7F1D97D3">
            <w:pPr>
              <w:adjustRightInd w:val="0"/>
              <w:snapToGrid w:val="0"/>
              <w:ind w:firstLine="0" w:firstLineChars="0"/>
              <w:jc w:val="center"/>
              <w:rPr>
                <w:color w:val="auto"/>
                <w:sz w:val="24"/>
              </w:rPr>
            </w:pPr>
            <w:r>
              <w:rPr>
                <w:color w:val="auto"/>
                <w:sz w:val="24"/>
              </w:rPr>
              <w:t>建设性质</w:t>
            </w:r>
          </w:p>
        </w:tc>
        <w:tc>
          <w:tcPr>
            <w:tcW w:w="2271" w:type="dxa"/>
            <w:vAlign w:val="center"/>
          </w:tcPr>
          <w:p w14:paraId="4CEA0ED1">
            <w:pPr>
              <w:ind w:firstLine="0" w:firstLineChars="0"/>
              <w:jc w:val="left"/>
              <w:rPr>
                <w:color w:val="auto"/>
                <w:sz w:val="24"/>
              </w:rPr>
            </w:pPr>
            <w:r>
              <w:rPr>
                <w:color w:val="auto"/>
                <w:sz w:val="24"/>
              </w:rPr>
              <w:sym w:font="Wingdings 2" w:char="00A3"/>
            </w:r>
            <w:r>
              <w:rPr>
                <w:color w:val="auto"/>
                <w:sz w:val="24"/>
              </w:rPr>
              <w:t>新建（迁建）</w:t>
            </w:r>
          </w:p>
          <w:p w14:paraId="63418FE9">
            <w:pPr>
              <w:ind w:firstLine="0" w:firstLineChars="0"/>
              <w:jc w:val="left"/>
              <w:rPr>
                <w:color w:val="auto"/>
                <w:sz w:val="24"/>
              </w:rPr>
            </w:pPr>
            <w:r>
              <w:rPr>
                <w:color w:val="auto"/>
                <w:sz w:val="24"/>
              </w:rPr>
              <w:sym w:font="Wingdings 2" w:char="00A3"/>
            </w:r>
            <w:r>
              <w:rPr>
                <w:color w:val="auto"/>
                <w:sz w:val="24"/>
              </w:rPr>
              <w:t>改建</w:t>
            </w:r>
          </w:p>
          <w:p w14:paraId="5024C783">
            <w:pPr>
              <w:ind w:firstLine="0" w:firstLineChars="0"/>
              <w:jc w:val="left"/>
              <w:rPr>
                <w:color w:val="auto"/>
                <w:sz w:val="24"/>
              </w:rPr>
            </w:pPr>
            <w:r>
              <w:rPr>
                <w:color w:val="auto"/>
                <w:sz w:val="24"/>
              </w:rPr>
              <w:sym w:font="Wingdings 2" w:char="0052"/>
            </w:r>
            <w:r>
              <w:rPr>
                <w:color w:val="auto"/>
                <w:sz w:val="24"/>
              </w:rPr>
              <w:t>扩建</w:t>
            </w:r>
          </w:p>
          <w:p w14:paraId="46940E0B">
            <w:pPr>
              <w:ind w:firstLine="0" w:firstLineChars="0"/>
              <w:jc w:val="left"/>
              <w:rPr>
                <w:color w:val="auto"/>
                <w:sz w:val="24"/>
              </w:rPr>
            </w:pPr>
            <w:r>
              <w:rPr>
                <w:color w:val="auto"/>
                <w:sz w:val="24"/>
              </w:rPr>
              <w:sym w:font="Wingdings 2" w:char="00A3"/>
            </w:r>
            <w:r>
              <w:rPr>
                <w:color w:val="auto"/>
                <w:sz w:val="24"/>
              </w:rPr>
              <w:t>技术改造</w:t>
            </w:r>
          </w:p>
        </w:tc>
        <w:tc>
          <w:tcPr>
            <w:tcW w:w="1785" w:type="dxa"/>
            <w:vAlign w:val="center"/>
          </w:tcPr>
          <w:p w14:paraId="27D53897">
            <w:pPr>
              <w:adjustRightInd w:val="0"/>
              <w:snapToGrid w:val="0"/>
              <w:ind w:firstLine="0" w:firstLineChars="0"/>
              <w:jc w:val="center"/>
              <w:rPr>
                <w:color w:val="auto"/>
                <w:sz w:val="24"/>
              </w:rPr>
            </w:pPr>
            <w:r>
              <w:rPr>
                <w:color w:val="auto"/>
                <w:sz w:val="24"/>
              </w:rPr>
              <w:t>建设项目</w:t>
            </w:r>
          </w:p>
          <w:p w14:paraId="522FD0DA">
            <w:pPr>
              <w:adjustRightInd w:val="0"/>
              <w:snapToGrid w:val="0"/>
              <w:ind w:firstLine="0" w:firstLineChars="0"/>
              <w:jc w:val="center"/>
              <w:rPr>
                <w:color w:val="auto"/>
                <w:sz w:val="24"/>
              </w:rPr>
            </w:pPr>
            <w:r>
              <w:rPr>
                <w:color w:val="auto"/>
                <w:sz w:val="24"/>
              </w:rPr>
              <w:t>申报情形</w:t>
            </w:r>
          </w:p>
        </w:tc>
        <w:tc>
          <w:tcPr>
            <w:tcW w:w="3003" w:type="dxa"/>
            <w:vAlign w:val="center"/>
          </w:tcPr>
          <w:p w14:paraId="7BD5B0FB">
            <w:pPr>
              <w:ind w:firstLine="0" w:firstLineChars="0"/>
              <w:jc w:val="left"/>
              <w:rPr>
                <w:color w:val="auto"/>
                <w:sz w:val="24"/>
              </w:rPr>
            </w:pPr>
            <w:r>
              <w:rPr>
                <w:color w:val="auto"/>
                <w:sz w:val="24"/>
              </w:rPr>
              <w:sym w:font="Wingdings 2" w:char="0052"/>
            </w:r>
            <w:r>
              <w:rPr>
                <w:color w:val="auto"/>
                <w:sz w:val="24"/>
              </w:rPr>
              <w:t>首次申报项目</w:t>
            </w:r>
          </w:p>
          <w:p w14:paraId="14F45719">
            <w:pPr>
              <w:ind w:firstLine="0" w:firstLineChars="0"/>
              <w:jc w:val="left"/>
              <w:rPr>
                <w:color w:val="auto"/>
                <w:sz w:val="24"/>
              </w:rPr>
            </w:pPr>
            <w:r>
              <w:rPr>
                <w:color w:val="auto"/>
                <w:sz w:val="24"/>
              </w:rPr>
              <w:sym w:font="Wingdings 2" w:char="00A3"/>
            </w:r>
            <w:r>
              <w:rPr>
                <w:color w:val="auto"/>
                <w:sz w:val="24"/>
              </w:rPr>
              <w:t>不予批准后再次申报项目</w:t>
            </w:r>
          </w:p>
          <w:p w14:paraId="56FA50E7">
            <w:pPr>
              <w:ind w:firstLine="0" w:firstLineChars="0"/>
              <w:jc w:val="left"/>
              <w:rPr>
                <w:color w:val="auto"/>
                <w:sz w:val="24"/>
              </w:rPr>
            </w:pPr>
            <w:r>
              <w:rPr>
                <w:color w:val="auto"/>
                <w:sz w:val="24"/>
              </w:rPr>
              <w:sym w:font="Wingdings 2" w:char="00A3"/>
            </w:r>
            <w:r>
              <w:rPr>
                <w:color w:val="auto"/>
                <w:sz w:val="24"/>
              </w:rPr>
              <w:t>超五年重新审核项目</w:t>
            </w:r>
          </w:p>
          <w:p w14:paraId="5600CAC9">
            <w:pPr>
              <w:ind w:firstLine="0" w:firstLineChars="0"/>
              <w:jc w:val="left"/>
              <w:rPr>
                <w:color w:val="auto"/>
                <w:sz w:val="24"/>
              </w:rPr>
            </w:pPr>
            <w:r>
              <w:rPr>
                <w:color w:val="auto"/>
                <w:sz w:val="24"/>
              </w:rPr>
              <w:sym w:font="Wingdings 2" w:char="00A3"/>
            </w:r>
            <w:r>
              <w:rPr>
                <w:color w:val="auto"/>
                <w:sz w:val="24"/>
              </w:rPr>
              <w:t>重大变动重新报批项目</w:t>
            </w:r>
          </w:p>
        </w:tc>
      </w:tr>
      <w:tr w14:paraId="5EE5A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12" w:type="dxa"/>
            <w:gridSpan w:val="3"/>
            <w:tcMar>
              <w:top w:w="16" w:type="dxa"/>
              <w:left w:w="16" w:type="dxa"/>
              <w:right w:w="16" w:type="dxa"/>
            </w:tcMar>
            <w:vAlign w:val="center"/>
          </w:tcPr>
          <w:p w14:paraId="42222F8B">
            <w:pPr>
              <w:adjustRightInd w:val="0"/>
              <w:snapToGrid w:val="0"/>
              <w:ind w:firstLine="0" w:firstLineChars="0"/>
              <w:jc w:val="center"/>
              <w:rPr>
                <w:color w:val="auto"/>
                <w:sz w:val="24"/>
              </w:rPr>
            </w:pPr>
            <w:r>
              <w:rPr>
                <w:color w:val="auto"/>
                <w:sz w:val="24"/>
              </w:rPr>
              <w:t>项目审批（核准/</w:t>
            </w:r>
          </w:p>
          <w:p w14:paraId="569B4345">
            <w:pPr>
              <w:adjustRightInd w:val="0"/>
              <w:snapToGrid w:val="0"/>
              <w:ind w:firstLine="0" w:firstLineChars="0"/>
              <w:jc w:val="center"/>
              <w:rPr>
                <w:color w:val="auto"/>
                <w:sz w:val="24"/>
              </w:rPr>
            </w:pPr>
            <w:r>
              <w:rPr>
                <w:color w:val="auto"/>
                <w:sz w:val="24"/>
              </w:rPr>
              <w:t>备案）部门</w:t>
            </w:r>
          </w:p>
        </w:tc>
        <w:tc>
          <w:tcPr>
            <w:tcW w:w="2271" w:type="dxa"/>
            <w:vAlign w:val="center"/>
          </w:tcPr>
          <w:p w14:paraId="31163F24">
            <w:pPr>
              <w:adjustRightInd w:val="0"/>
              <w:snapToGrid w:val="0"/>
              <w:ind w:firstLine="0" w:firstLineChars="0"/>
              <w:jc w:val="center"/>
              <w:rPr>
                <w:color w:val="auto"/>
                <w:sz w:val="24"/>
              </w:rPr>
            </w:pPr>
            <w:r>
              <w:rPr>
                <w:color w:val="auto"/>
                <w:sz w:val="24"/>
              </w:rPr>
              <w:t>寻甸回族彝族自治县发展和改革局</w:t>
            </w:r>
          </w:p>
        </w:tc>
        <w:tc>
          <w:tcPr>
            <w:tcW w:w="1785" w:type="dxa"/>
            <w:vAlign w:val="center"/>
          </w:tcPr>
          <w:p w14:paraId="26197293">
            <w:pPr>
              <w:adjustRightInd w:val="0"/>
              <w:snapToGrid w:val="0"/>
              <w:ind w:firstLine="0" w:firstLineChars="0"/>
              <w:jc w:val="center"/>
              <w:rPr>
                <w:color w:val="auto"/>
                <w:sz w:val="24"/>
              </w:rPr>
            </w:pPr>
            <w:r>
              <w:rPr>
                <w:color w:val="auto"/>
                <w:sz w:val="24"/>
              </w:rPr>
              <w:t>项目审批（核准/</w:t>
            </w:r>
          </w:p>
          <w:p w14:paraId="6C48D8AD">
            <w:pPr>
              <w:adjustRightInd w:val="0"/>
              <w:snapToGrid w:val="0"/>
              <w:ind w:firstLine="0" w:firstLineChars="0"/>
              <w:jc w:val="center"/>
              <w:rPr>
                <w:color w:val="auto"/>
                <w:sz w:val="24"/>
              </w:rPr>
            </w:pPr>
            <w:r>
              <w:rPr>
                <w:color w:val="auto"/>
                <w:sz w:val="24"/>
              </w:rPr>
              <w:t>备案）文号</w:t>
            </w:r>
          </w:p>
        </w:tc>
        <w:tc>
          <w:tcPr>
            <w:tcW w:w="3003" w:type="dxa"/>
            <w:vAlign w:val="center"/>
          </w:tcPr>
          <w:p w14:paraId="7E608BFA">
            <w:pPr>
              <w:adjustRightInd w:val="0"/>
              <w:snapToGrid w:val="0"/>
              <w:ind w:firstLine="0" w:firstLineChars="0"/>
              <w:jc w:val="center"/>
              <w:rPr>
                <w:color w:val="auto"/>
                <w:sz w:val="24"/>
              </w:rPr>
            </w:pPr>
            <w:r>
              <w:rPr>
                <w:color w:val="auto"/>
                <w:sz w:val="24"/>
              </w:rPr>
              <w:t>2401-530129-04-01-498518</w:t>
            </w:r>
          </w:p>
        </w:tc>
      </w:tr>
      <w:tr w14:paraId="27652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2012" w:type="dxa"/>
            <w:gridSpan w:val="3"/>
            <w:tcMar>
              <w:top w:w="16" w:type="dxa"/>
              <w:left w:w="16" w:type="dxa"/>
              <w:right w:w="16" w:type="dxa"/>
            </w:tcMar>
            <w:vAlign w:val="center"/>
          </w:tcPr>
          <w:p w14:paraId="1A5BC0D3">
            <w:pPr>
              <w:adjustRightInd w:val="0"/>
              <w:snapToGrid w:val="0"/>
              <w:ind w:firstLine="0" w:firstLineChars="0"/>
              <w:jc w:val="center"/>
              <w:rPr>
                <w:color w:val="auto"/>
                <w:sz w:val="24"/>
              </w:rPr>
            </w:pPr>
            <w:r>
              <w:rPr>
                <w:color w:val="auto"/>
                <w:sz w:val="24"/>
              </w:rPr>
              <w:t>总投资（万元）</w:t>
            </w:r>
          </w:p>
        </w:tc>
        <w:tc>
          <w:tcPr>
            <w:tcW w:w="2271" w:type="dxa"/>
            <w:vAlign w:val="center"/>
          </w:tcPr>
          <w:p w14:paraId="2A6F7559">
            <w:pPr>
              <w:adjustRightInd w:val="0"/>
              <w:snapToGrid w:val="0"/>
              <w:ind w:firstLine="0" w:firstLineChars="0"/>
              <w:jc w:val="center"/>
              <w:rPr>
                <w:color w:val="auto"/>
                <w:sz w:val="24"/>
              </w:rPr>
            </w:pPr>
            <w:r>
              <w:rPr>
                <w:color w:val="auto"/>
                <w:sz w:val="24"/>
              </w:rPr>
              <w:t>500</w:t>
            </w:r>
          </w:p>
        </w:tc>
        <w:tc>
          <w:tcPr>
            <w:tcW w:w="1785" w:type="dxa"/>
            <w:tcMar>
              <w:top w:w="16" w:type="dxa"/>
              <w:left w:w="16" w:type="dxa"/>
              <w:right w:w="16" w:type="dxa"/>
            </w:tcMar>
            <w:vAlign w:val="center"/>
          </w:tcPr>
          <w:p w14:paraId="7136C47F">
            <w:pPr>
              <w:adjustRightInd w:val="0"/>
              <w:snapToGrid w:val="0"/>
              <w:ind w:firstLine="0" w:firstLineChars="0"/>
              <w:jc w:val="center"/>
              <w:rPr>
                <w:color w:val="auto"/>
                <w:sz w:val="24"/>
              </w:rPr>
            </w:pPr>
            <w:r>
              <w:rPr>
                <w:color w:val="auto"/>
                <w:sz w:val="24"/>
              </w:rPr>
              <w:t>环保投资（万元）</w:t>
            </w:r>
          </w:p>
        </w:tc>
        <w:tc>
          <w:tcPr>
            <w:tcW w:w="3003" w:type="dxa"/>
            <w:vAlign w:val="center"/>
          </w:tcPr>
          <w:p w14:paraId="65AB550A">
            <w:pPr>
              <w:adjustRightInd w:val="0"/>
              <w:snapToGrid w:val="0"/>
              <w:ind w:firstLine="0" w:firstLineChars="0"/>
              <w:jc w:val="center"/>
              <w:rPr>
                <w:color w:val="auto"/>
                <w:sz w:val="24"/>
              </w:rPr>
            </w:pPr>
            <w:r>
              <w:rPr>
                <w:rFonts w:hint="eastAsia"/>
                <w:color w:val="auto"/>
                <w:sz w:val="24"/>
              </w:rPr>
              <w:t>25</w:t>
            </w:r>
          </w:p>
        </w:tc>
      </w:tr>
      <w:tr w14:paraId="7C593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12" w:type="dxa"/>
            <w:gridSpan w:val="3"/>
            <w:tcMar>
              <w:top w:w="16" w:type="dxa"/>
              <w:left w:w="16" w:type="dxa"/>
              <w:right w:w="16" w:type="dxa"/>
            </w:tcMar>
            <w:vAlign w:val="center"/>
          </w:tcPr>
          <w:p w14:paraId="72ED3F56">
            <w:pPr>
              <w:adjustRightInd w:val="0"/>
              <w:snapToGrid w:val="0"/>
              <w:ind w:firstLine="0" w:firstLineChars="0"/>
              <w:jc w:val="center"/>
              <w:rPr>
                <w:color w:val="auto"/>
                <w:sz w:val="24"/>
              </w:rPr>
            </w:pPr>
            <w:r>
              <w:rPr>
                <w:color w:val="auto"/>
                <w:sz w:val="24"/>
              </w:rPr>
              <w:t>环保投资占比（%）</w:t>
            </w:r>
          </w:p>
        </w:tc>
        <w:tc>
          <w:tcPr>
            <w:tcW w:w="2271" w:type="dxa"/>
            <w:vAlign w:val="center"/>
          </w:tcPr>
          <w:p w14:paraId="2F39AE78">
            <w:pPr>
              <w:adjustRightInd w:val="0"/>
              <w:snapToGrid w:val="0"/>
              <w:ind w:firstLine="0" w:firstLineChars="0"/>
              <w:jc w:val="center"/>
              <w:rPr>
                <w:color w:val="auto"/>
                <w:sz w:val="24"/>
              </w:rPr>
            </w:pPr>
            <w:r>
              <w:rPr>
                <w:rFonts w:hint="eastAsia"/>
                <w:color w:val="auto"/>
                <w:sz w:val="24"/>
              </w:rPr>
              <w:t>5</w:t>
            </w:r>
          </w:p>
        </w:tc>
        <w:tc>
          <w:tcPr>
            <w:tcW w:w="1785" w:type="dxa"/>
            <w:tcMar>
              <w:top w:w="16" w:type="dxa"/>
              <w:left w:w="16" w:type="dxa"/>
              <w:right w:w="16" w:type="dxa"/>
            </w:tcMar>
            <w:vAlign w:val="center"/>
          </w:tcPr>
          <w:p w14:paraId="621A8E71">
            <w:pPr>
              <w:adjustRightInd w:val="0"/>
              <w:snapToGrid w:val="0"/>
              <w:ind w:firstLine="0" w:firstLineChars="0"/>
              <w:jc w:val="center"/>
              <w:rPr>
                <w:color w:val="auto"/>
                <w:sz w:val="24"/>
              </w:rPr>
            </w:pPr>
            <w:r>
              <w:rPr>
                <w:color w:val="auto"/>
                <w:sz w:val="24"/>
              </w:rPr>
              <w:t>施工工期</w:t>
            </w:r>
          </w:p>
        </w:tc>
        <w:tc>
          <w:tcPr>
            <w:tcW w:w="3003" w:type="dxa"/>
            <w:vAlign w:val="center"/>
          </w:tcPr>
          <w:p w14:paraId="00525093">
            <w:pPr>
              <w:adjustRightInd w:val="0"/>
              <w:snapToGrid w:val="0"/>
              <w:ind w:firstLine="0" w:firstLineChars="0"/>
              <w:jc w:val="center"/>
              <w:rPr>
                <w:color w:val="auto"/>
                <w:sz w:val="24"/>
              </w:rPr>
            </w:pPr>
            <w:r>
              <w:rPr>
                <w:color w:val="auto"/>
                <w:sz w:val="24"/>
              </w:rPr>
              <w:t>3个月</w:t>
            </w:r>
          </w:p>
        </w:tc>
      </w:tr>
      <w:tr w14:paraId="0DE07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12" w:type="dxa"/>
            <w:gridSpan w:val="3"/>
            <w:tcMar>
              <w:top w:w="16" w:type="dxa"/>
              <w:left w:w="16" w:type="dxa"/>
              <w:right w:w="16" w:type="dxa"/>
            </w:tcMar>
            <w:vAlign w:val="center"/>
          </w:tcPr>
          <w:p w14:paraId="222312DE">
            <w:pPr>
              <w:adjustRightInd w:val="0"/>
              <w:snapToGrid w:val="0"/>
              <w:ind w:firstLine="0" w:firstLineChars="0"/>
              <w:jc w:val="center"/>
              <w:rPr>
                <w:color w:val="auto"/>
                <w:sz w:val="24"/>
              </w:rPr>
            </w:pPr>
            <w:r>
              <w:rPr>
                <w:color w:val="auto"/>
                <w:sz w:val="24"/>
              </w:rPr>
              <w:t>是否开工建设</w:t>
            </w:r>
          </w:p>
        </w:tc>
        <w:tc>
          <w:tcPr>
            <w:tcW w:w="2271" w:type="dxa"/>
            <w:vAlign w:val="center"/>
          </w:tcPr>
          <w:p w14:paraId="1BE1E453">
            <w:pPr>
              <w:adjustRightInd w:val="0"/>
              <w:snapToGrid w:val="0"/>
              <w:ind w:firstLine="0" w:firstLineChars="0"/>
              <w:rPr>
                <w:color w:val="auto"/>
                <w:sz w:val="24"/>
              </w:rPr>
            </w:pPr>
            <w:r>
              <w:rPr>
                <w:color w:val="auto"/>
                <w:sz w:val="24"/>
              </w:rPr>
              <w:sym w:font="Wingdings 2" w:char="00A3"/>
            </w:r>
            <w:r>
              <w:rPr>
                <w:color w:val="auto"/>
                <w:sz w:val="24"/>
              </w:rPr>
              <w:t>否</w:t>
            </w:r>
          </w:p>
          <w:p w14:paraId="45ACA970">
            <w:pPr>
              <w:adjustRightInd w:val="0"/>
              <w:snapToGrid w:val="0"/>
              <w:ind w:firstLine="0" w:firstLineChars="0"/>
              <w:rPr>
                <w:color w:val="auto"/>
                <w:sz w:val="24"/>
              </w:rPr>
            </w:pPr>
            <w:r>
              <w:rPr>
                <w:color w:val="auto"/>
                <w:sz w:val="24"/>
              </w:rPr>
              <w:sym w:font="Wingdings 2" w:char="0052"/>
            </w:r>
            <w:r>
              <w:rPr>
                <w:color w:val="auto"/>
                <w:sz w:val="24"/>
              </w:rPr>
              <w:t>是：</w:t>
            </w:r>
            <w:r>
              <w:rPr>
                <w:rFonts w:hint="eastAsia"/>
                <w:color w:val="auto"/>
                <w:sz w:val="24"/>
                <w:u w:val="single"/>
              </w:rPr>
              <w:t>本扩建项目原料仓三面围挡、水泥筒仓、粉煤灰筒仓、矿粉筒仓及破碎制砂车间均已安装完成，本项目因未批先建于2025年2月10日受到《昆明市生态环境局不予行政处罚决定书》昆生环不罚〔2025〕11-02号，目前已停止施工，正在完善环评手续</w:t>
            </w:r>
            <w:r>
              <w:rPr>
                <w:color w:val="auto"/>
                <w:sz w:val="24"/>
                <w:u w:val="single"/>
              </w:rPr>
              <w:t>。</w:t>
            </w:r>
          </w:p>
        </w:tc>
        <w:tc>
          <w:tcPr>
            <w:tcW w:w="1785" w:type="dxa"/>
            <w:tcMar>
              <w:top w:w="16" w:type="dxa"/>
              <w:left w:w="16" w:type="dxa"/>
              <w:right w:w="16" w:type="dxa"/>
            </w:tcMar>
            <w:vAlign w:val="center"/>
          </w:tcPr>
          <w:p w14:paraId="06782640">
            <w:pPr>
              <w:adjustRightInd w:val="0"/>
              <w:snapToGrid w:val="0"/>
              <w:ind w:firstLine="0" w:firstLineChars="0"/>
              <w:jc w:val="center"/>
              <w:rPr>
                <w:color w:val="auto"/>
                <w:spacing w:val="-6"/>
                <w:sz w:val="24"/>
              </w:rPr>
            </w:pPr>
            <w:r>
              <w:rPr>
                <w:color w:val="auto"/>
                <w:spacing w:val="-6"/>
                <w:sz w:val="24"/>
              </w:rPr>
              <w:t>用地（用海）</w:t>
            </w:r>
          </w:p>
          <w:p w14:paraId="2700D7E2">
            <w:pPr>
              <w:adjustRightInd w:val="0"/>
              <w:snapToGrid w:val="0"/>
              <w:ind w:firstLine="0" w:firstLineChars="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003" w:type="dxa"/>
            <w:vAlign w:val="center"/>
          </w:tcPr>
          <w:p w14:paraId="7EC87673">
            <w:pPr>
              <w:adjustRightInd w:val="0"/>
              <w:snapToGrid w:val="0"/>
              <w:ind w:firstLine="0" w:firstLineChars="0"/>
              <w:jc w:val="center"/>
              <w:rPr>
                <w:color w:val="auto"/>
                <w:sz w:val="24"/>
              </w:rPr>
            </w:pPr>
            <w:r>
              <w:rPr>
                <w:rFonts w:hint="eastAsia"/>
                <w:color w:val="auto"/>
                <w:sz w:val="24"/>
                <w:lang w:val="en-US" w:eastAsia="zh-CN"/>
              </w:rPr>
              <w:t>9</w:t>
            </w:r>
            <w:r>
              <w:rPr>
                <w:color w:val="auto"/>
                <w:sz w:val="24"/>
              </w:rPr>
              <w:t>00</w:t>
            </w:r>
          </w:p>
        </w:tc>
      </w:tr>
      <w:tr w14:paraId="48E8C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52" w:type="dxa"/>
            <w:gridSpan w:val="2"/>
            <w:vAlign w:val="center"/>
          </w:tcPr>
          <w:p w14:paraId="1114DEE7">
            <w:pPr>
              <w:autoSpaceDE w:val="0"/>
              <w:autoSpaceDN w:val="0"/>
              <w:adjustRightInd w:val="0"/>
              <w:snapToGrid w:val="0"/>
              <w:ind w:firstLine="0" w:firstLineChars="0"/>
              <w:jc w:val="center"/>
              <w:rPr>
                <w:color w:val="auto"/>
                <w:kern w:val="0"/>
                <w:sz w:val="24"/>
              </w:rPr>
            </w:pPr>
            <w:r>
              <w:rPr>
                <w:color w:val="auto"/>
                <w:kern w:val="0"/>
                <w:sz w:val="24"/>
              </w:rPr>
              <w:t>专项评价设置情况</w:t>
            </w:r>
          </w:p>
        </w:tc>
        <w:tc>
          <w:tcPr>
            <w:tcW w:w="7719" w:type="dxa"/>
            <w:gridSpan w:val="4"/>
            <w:vAlign w:val="center"/>
          </w:tcPr>
          <w:p w14:paraId="2FDBFE3A">
            <w:pPr>
              <w:autoSpaceDE w:val="0"/>
              <w:autoSpaceDN w:val="0"/>
              <w:adjustRightInd w:val="0"/>
              <w:snapToGrid w:val="0"/>
              <w:spacing w:line="288" w:lineRule="auto"/>
              <w:ind w:firstLine="480"/>
              <w:rPr>
                <w:b/>
                <w:bCs/>
                <w:color w:val="auto"/>
                <w:kern w:val="0"/>
                <w:szCs w:val="21"/>
              </w:rPr>
            </w:pPr>
            <w:r>
              <w:rPr>
                <w:color w:val="auto"/>
                <w:kern w:val="0"/>
                <w:sz w:val="24"/>
              </w:rPr>
              <w:t>项目专项评价判定情况如下表所示。</w:t>
            </w:r>
          </w:p>
          <w:p w14:paraId="5AF0279D">
            <w:pPr>
              <w:autoSpaceDE w:val="0"/>
              <w:autoSpaceDN w:val="0"/>
              <w:adjustRightInd w:val="0"/>
              <w:snapToGrid w:val="0"/>
              <w:ind w:firstLine="422"/>
              <w:jc w:val="center"/>
              <w:rPr>
                <w:color w:val="auto"/>
                <w:kern w:val="0"/>
                <w:szCs w:val="21"/>
              </w:rPr>
            </w:pPr>
            <w:r>
              <w:rPr>
                <w:b/>
                <w:bCs/>
                <w:color w:val="auto"/>
                <w:kern w:val="0"/>
                <w:szCs w:val="21"/>
              </w:rPr>
              <w:t>表1-1   项目专项评价判定表</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2440"/>
              <w:gridCol w:w="3062"/>
              <w:gridCol w:w="1263"/>
            </w:tblGrid>
            <w:tr w14:paraId="7394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vAlign w:val="center"/>
                </w:tcPr>
                <w:p w14:paraId="2325F509">
                  <w:pPr>
                    <w:autoSpaceDE w:val="0"/>
                    <w:autoSpaceDN w:val="0"/>
                    <w:adjustRightInd w:val="0"/>
                    <w:snapToGrid w:val="0"/>
                    <w:ind w:firstLine="0" w:firstLineChars="0"/>
                    <w:jc w:val="center"/>
                    <w:rPr>
                      <w:b/>
                      <w:bCs/>
                      <w:color w:val="auto"/>
                      <w:kern w:val="0"/>
                      <w:szCs w:val="21"/>
                    </w:rPr>
                  </w:pPr>
                  <w:r>
                    <w:rPr>
                      <w:b/>
                      <w:bCs/>
                      <w:color w:val="auto"/>
                      <w:kern w:val="0"/>
                      <w:szCs w:val="21"/>
                    </w:rPr>
                    <w:t>专项评价类比</w:t>
                  </w:r>
                </w:p>
              </w:tc>
              <w:tc>
                <w:tcPr>
                  <w:tcW w:w="1629" w:type="pct"/>
                  <w:vAlign w:val="center"/>
                </w:tcPr>
                <w:p w14:paraId="485ECCD6">
                  <w:pPr>
                    <w:autoSpaceDE w:val="0"/>
                    <w:autoSpaceDN w:val="0"/>
                    <w:adjustRightInd w:val="0"/>
                    <w:snapToGrid w:val="0"/>
                    <w:ind w:firstLine="0" w:firstLineChars="0"/>
                    <w:jc w:val="center"/>
                    <w:rPr>
                      <w:b/>
                      <w:bCs/>
                      <w:color w:val="auto"/>
                      <w:kern w:val="0"/>
                      <w:szCs w:val="21"/>
                    </w:rPr>
                  </w:pPr>
                  <w:r>
                    <w:rPr>
                      <w:b/>
                      <w:bCs/>
                      <w:color w:val="auto"/>
                      <w:kern w:val="0"/>
                      <w:szCs w:val="21"/>
                    </w:rPr>
                    <w:t>设置原则</w:t>
                  </w:r>
                </w:p>
              </w:tc>
              <w:tc>
                <w:tcPr>
                  <w:tcW w:w="2044" w:type="pct"/>
                  <w:vAlign w:val="center"/>
                </w:tcPr>
                <w:p w14:paraId="7A7FF42A">
                  <w:pPr>
                    <w:autoSpaceDE w:val="0"/>
                    <w:autoSpaceDN w:val="0"/>
                    <w:adjustRightInd w:val="0"/>
                    <w:snapToGrid w:val="0"/>
                    <w:ind w:firstLine="0" w:firstLineChars="0"/>
                    <w:jc w:val="center"/>
                    <w:rPr>
                      <w:b/>
                      <w:bCs/>
                      <w:color w:val="auto"/>
                      <w:kern w:val="0"/>
                      <w:szCs w:val="21"/>
                    </w:rPr>
                  </w:pPr>
                  <w:r>
                    <w:rPr>
                      <w:b/>
                      <w:bCs/>
                      <w:color w:val="auto"/>
                      <w:kern w:val="0"/>
                      <w:szCs w:val="21"/>
                    </w:rPr>
                    <w:t>本项目情况</w:t>
                  </w:r>
                </w:p>
              </w:tc>
              <w:tc>
                <w:tcPr>
                  <w:tcW w:w="842" w:type="pct"/>
                  <w:vAlign w:val="center"/>
                </w:tcPr>
                <w:p w14:paraId="2E7C4C07">
                  <w:pPr>
                    <w:autoSpaceDE w:val="0"/>
                    <w:autoSpaceDN w:val="0"/>
                    <w:adjustRightInd w:val="0"/>
                    <w:snapToGrid w:val="0"/>
                    <w:ind w:firstLine="0" w:firstLineChars="0"/>
                    <w:jc w:val="center"/>
                    <w:rPr>
                      <w:b/>
                      <w:bCs/>
                      <w:color w:val="auto"/>
                      <w:kern w:val="0"/>
                      <w:szCs w:val="21"/>
                    </w:rPr>
                  </w:pPr>
                  <w:r>
                    <w:rPr>
                      <w:b/>
                      <w:bCs/>
                      <w:color w:val="auto"/>
                      <w:kern w:val="0"/>
                      <w:szCs w:val="21"/>
                    </w:rPr>
                    <w:t>是否设置专项评价</w:t>
                  </w:r>
                </w:p>
              </w:tc>
            </w:tr>
            <w:tr w14:paraId="0703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vAlign w:val="center"/>
                </w:tcPr>
                <w:p w14:paraId="15562504">
                  <w:pPr>
                    <w:tabs>
                      <w:tab w:val="left" w:pos="3255"/>
                    </w:tabs>
                    <w:ind w:firstLine="0" w:firstLineChars="0"/>
                    <w:jc w:val="center"/>
                    <w:rPr>
                      <w:color w:val="auto"/>
                      <w:szCs w:val="21"/>
                    </w:rPr>
                  </w:pPr>
                  <w:r>
                    <w:rPr>
                      <w:color w:val="auto"/>
                      <w:szCs w:val="21"/>
                    </w:rPr>
                    <w:t>大气</w:t>
                  </w:r>
                </w:p>
              </w:tc>
              <w:tc>
                <w:tcPr>
                  <w:tcW w:w="1629" w:type="pct"/>
                  <w:vAlign w:val="center"/>
                </w:tcPr>
                <w:p w14:paraId="6B49DD02">
                  <w:pPr>
                    <w:autoSpaceDE w:val="0"/>
                    <w:autoSpaceDN w:val="0"/>
                    <w:adjustRightInd w:val="0"/>
                    <w:snapToGrid w:val="0"/>
                    <w:ind w:firstLine="0" w:firstLineChars="0"/>
                    <w:jc w:val="center"/>
                    <w:rPr>
                      <w:color w:val="auto"/>
                      <w:szCs w:val="21"/>
                    </w:rPr>
                  </w:pPr>
                  <w:r>
                    <w:rPr>
                      <w:color w:val="auto"/>
                      <w:kern w:val="0"/>
                      <w:szCs w:val="21"/>
                    </w:rPr>
                    <w:t>排放废气含有毒有害污染物、二噁英、苯并[a]芘、氰化物、氯气且厂界500m范围内有环境空气保护目标的建设项目。</w:t>
                  </w:r>
                </w:p>
              </w:tc>
              <w:tc>
                <w:tcPr>
                  <w:tcW w:w="2044" w:type="pct"/>
                  <w:vAlign w:val="center"/>
                </w:tcPr>
                <w:p w14:paraId="463415DD">
                  <w:pPr>
                    <w:autoSpaceDE w:val="0"/>
                    <w:autoSpaceDN w:val="0"/>
                    <w:adjustRightInd w:val="0"/>
                    <w:snapToGrid w:val="0"/>
                    <w:ind w:firstLine="0" w:firstLineChars="0"/>
                    <w:jc w:val="center"/>
                    <w:rPr>
                      <w:color w:val="auto"/>
                      <w:kern w:val="0"/>
                      <w:szCs w:val="21"/>
                    </w:rPr>
                  </w:pPr>
                  <w:r>
                    <w:rPr>
                      <w:color w:val="auto"/>
                      <w:kern w:val="0"/>
                      <w:szCs w:val="21"/>
                    </w:rPr>
                    <w:t>本项目主要排放废气污染物为颗粒物，不排放含有毒有害污染物、二噁英、苯并[a]芘、氰化物、氯气等废气。</w:t>
                  </w:r>
                </w:p>
              </w:tc>
              <w:tc>
                <w:tcPr>
                  <w:tcW w:w="842" w:type="pct"/>
                  <w:vAlign w:val="center"/>
                </w:tcPr>
                <w:p w14:paraId="4FE8DF4F">
                  <w:pPr>
                    <w:autoSpaceDE w:val="0"/>
                    <w:autoSpaceDN w:val="0"/>
                    <w:adjustRightInd w:val="0"/>
                    <w:snapToGrid w:val="0"/>
                    <w:ind w:firstLine="0" w:firstLineChars="0"/>
                    <w:jc w:val="center"/>
                    <w:rPr>
                      <w:color w:val="auto"/>
                      <w:kern w:val="0"/>
                      <w:szCs w:val="21"/>
                    </w:rPr>
                  </w:pPr>
                  <w:r>
                    <w:rPr>
                      <w:color w:val="auto"/>
                      <w:kern w:val="0"/>
                      <w:szCs w:val="21"/>
                    </w:rPr>
                    <w:t>否</w:t>
                  </w:r>
                </w:p>
              </w:tc>
            </w:tr>
            <w:tr w14:paraId="6D43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vAlign w:val="center"/>
                </w:tcPr>
                <w:p w14:paraId="6102B5BC">
                  <w:pPr>
                    <w:autoSpaceDE w:val="0"/>
                    <w:autoSpaceDN w:val="0"/>
                    <w:adjustRightInd w:val="0"/>
                    <w:snapToGrid w:val="0"/>
                    <w:ind w:firstLine="0" w:firstLineChars="0"/>
                    <w:jc w:val="center"/>
                    <w:rPr>
                      <w:color w:val="auto"/>
                      <w:kern w:val="0"/>
                      <w:szCs w:val="21"/>
                    </w:rPr>
                  </w:pPr>
                  <w:r>
                    <w:rPr>
                      <w:color w:val="auto"/>
                      <w:kern w:val="0"/>
                      <w:szCs w:val="21"/>
                    </w:rPr>
                    <w:t>地表水</w:t>
                  </w:r>
                </w:p>
              </w:tc>
              <w:tc>
                <w:tcPr>
                  <w:tcW w:w="1629" w:type="pct"/>
                  <w:vAlign w:val="center"/>
                </w:tcPr>
                <w:p w14:paraId="1BC89818">
                  <w:pPr>
                    <w:autoSpaceDE w:val="0"/>
                    <w:autoSpaceDN w:val="0"/>
                    <w:adjustRightInd w:val="0"/>
                    <w:snapToGrid w:val="0"/>
                    <w:ind w:firstLine="0" w:firstLineChars="0"/>
                    <w:jc w:val="center"/>
                    <w:rPr>
                      <w:color w:val="auto"/>
                      <w:kern w:val="0"/>
                      <w:szCs w:val="21"/>
                    </w:rPr>
                  </w:pPr>
                  <w:r>
                    <w:rPr>
                      <w:color w:val="auto"/>
                      <w:kern w:val="0"/>
                      <w:szCs w:val="21"/>
                    </w:rPr>
                    <w:t>新增工业废水直排建设项目（槽罐车外送污水处理厂的除外）；新增废水直排的污水集中处理厂。</w:t>
                  </w:r>
                </w:p>
              </w:tc>
              <w:tc>
                <w:tcPr>
                  <w:tcW w:w="2044" w:type="pct"/>
                  <w:vAlign w:val="center"/>
                </w:tcPr>
                <w:p w14:paraId="410246CB">
                  <w:pPr>
                    <w:pStyle w:val="23"/>
                    <w:ind w:firstLine="0" w:firstLineChars="0"/>
                    <w:jc w:val="center"/>
                    <w:rPr>
                      <w:rFonts w:ascii="Times New Roman" w:hAnsi="Times New Roman"/>
                      <w:b w:val="0"/>
                      <w:color w:val="auto"/>
                      <w:szCs w:val="21"/>
                    </w:rPr>
                  </w:pPr>
                  <w:r>
                    <w:rPr>
                      <w:rFonts w:ascii="Times New Roman" w:hAnsi="Times New Roman"/>
                      <w:b w:val="0"/>
                      <w:color w:val="auto"/>
                      <w:szCs w:val="21"/>
                    </w:rPr>
                    <w:t>本项目建成后食堂废水经三级隔油池处理后与其他生活污水直接排入沉淀池，沉淀池内生产用水回用于生产搅拌。</w:t>
                  </w:r>
                </w:p>
              </w:tc>
              <w:tc>
                <w:tcPr>
                  <w:tcW w:w="842" w:type="pct"/>
                  <w:vAlign w:val="center"/>
                </w:tcPr>
                <w:p w14:paraId="054A4D2C">
                  <w:pPr>
                    <w:autoSpaceDE w:val="0"/>
                    <w:autoSpaceDN w:val="0"/>
                    <w:adjustRightInd w:val="0"/>
                    <w:snapToGrid w:val="0"/>
                    <w:ind w:firstLine="0" w:firstLineChars="0"/>
                    <w:jc w:val="center"/>
                    <w:rPr>
                      <w:color w:val="auto"/>
                      <w:kern w:val="0"/>
                      <w:szCs w:val="21"/>
                    </w:rPr>
                  </w:pPr>
                  <w:r>
                    <w:rPr>
                      <w:color w:val="auto"/>
                      <w:kern w:val="0"/>
                      <w:szCs w:val="21"/>
                    </w:rPr>
                    <w:t>否</w:t>
                  </w:r>
                </w:p>
              </w:tc>
            </w:tr>
            <w:tr w14:paraId="05A0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vAlign w:val="center"/>
                </w:tcPr>
                <w:p w14:paraId="642966A4">
                  <w:pPr>
                    <w:autoSpaceDE w:val="0"/>
                    <w:autoSpaceDN w:val="0"/>
                    <w:adjustRightInd w:val="0"/>
                    <w:snapToGrid w:val="0"/>
                    <w:ind w:firstLine="0" w:firstLineChars="0"/>
                    <w:jc w:val="center"/>
                    <w:rPr>
                      <w:color w:val="auto"/>
                      <w:kern w:val="0"/>
                      <w:szCs w:val="21"/>
                    </w:rPr>
                  </w:pPr>
                  <w:r>
                    <w:rPr>
                      <w:color w:val="auto"/>
                      <w:kern w:val="0"/>
                      <w:szCs w:val="21"/>
                    </w:rPr>
                    <w:t>环境风险</w:t>
                  </w:r>
                </w:p>
              </w:tc>
              <w:tc>
                <w:tcPr>
                  <w:tcW w:w="1629" w:type="pct"/>
                  <w:vAlign w:val="center"/>
                </w:tcPr>
                <w:p w14:paraId="78E70A10">
                  <w:pPr>
                    <w:autoSpaceDE w:val="0"/>
                    <w:autoSpaceDN w:val="0"/>
                    <w:adjustRightInd w:val="0"/>
                    <w:snapToGrid w:val="0"/>
                    <w:ind w:firstLine="0" w:firstLineChars="0"/>
                    <w:jc w:val="center"/>
                    <w:rPr>
                      <w:color w:val="auto"/>
                      <w:kern w:val="0"/>
                      <w:szCs w:val="21"/>
                    </w:rPr>
                  </w:pPr>
                  <w:r>
                    <w:rPr>
                      <w:color w:val="auto"/>
                      <w:kern w:val="0"/>
                      <w:szCs w:val="21"/>
                    </w:rPr>
                    <w:t>有毒有害和易燃易爆危险物质存储量超过临界量</w:t>
                  </w:r>
                  <w:r>
                    <w:rPr>
                      <w:color w:val="auto"/>
                      <w:kern w:val="0"/>
                      <w:szCs w:val="21"/>
                      <w:vertAlign w:val="superscript"/>
                    </w:rPr>
                    <w:t>3</w:t>
                  </w:r>
                  <w:r>
                    <w:rPr>
                      <w:color w:val="auto"/>
                      <w:kern w:val="0"/>
                      <w:szCs w:val="21"/>
                    </w:rPr>
                    <w:t>的建设项目。</w:t>
                  </w:r>
                </w:p>
              </w:tc>
              <w:tc>
                <w:tcPr>
                  <w:tcW w:w="2044" w:type="pct"/>
                  <w:vAlign w:val="center"/>
                </w:tcPr>
                <w:p w14:paraId="6FC7645E">
                  <w:pPr>
                    <w:autoSpaceDE w:val="0"/>
                    <w:autoSpaceDN w:val="0"/>
                    <w:adjustRightInd w:val="0"/>
                    <w:snapToGrid w:val="0"/>
                    <w:ind w:firstLine="0" w:firstLineChars="0"/>
                    <w:jc w:val="center"/>
                    <w:rPr>
                      <w:color w:val="auto"/>
                      <w:kern w:val="0"/>
                      <w:szCs w:val="21"/>
                    </w:rPr>
                  </w:pPr>
                  <w:r>
                    <w:rPr>
                      <w:color w:val="auto"/>
                      <w:kern w:val="0"/>
                      <w:szCs w:val="21"/>
                    </w:rPr>
                    <w:t>项目涉及有毒有害和易燃易爆危险物质最大暂存量未超过临界量。</w:t>
                  </w:r>
                </w:p>
              </w:tc>
              <w:tc>
                <w:tcPr>
                  <w:tcW w:w="842" w:type="pct"/>
                  <w:vAlign w:val="center"/>
                </w:tcPr>
                <w:p w14:paraId="0B571411">
                  <w:pPr>
                    <w:autoSpaceDE w:val="0"/>
                    <w:autoSpaceDN w:val="0"/>
                    <w:adjustRightInd w:val="0"/>
                    <w:snapToGrid w:val="0"/>
                    <w:ind w:firstLine="0" w:firstLineChars="0"/>
                    <w:jc w:val="center"/>
                    <w:rPr>
                      <w:color w:val="auto"/>
                      <w:kern w:val="0"/>
                      <w:szCs w:val="21"/>
                    </w:rPr>
                  </w:pPr>
                  <w:r>
                    <w:rPr>
                      <w:color w:val="auto"/>
                      <w:kern w:val="0"/>
                      <w:szCs w:val="21"/>
                    </w:rPr>
                    <w:t>否</w:t>
                  </w:r>
                </w:p>
              </w:tc>
            </w:tr>
            <w:tr w14:paraId="7DD7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vAlign w:val="center"/>
                </w:tcPr>
                <w:p w14:paraId="1E3C84D4">
                  <w:pPr>
                    <w:autoSpaceDE w:val="0"/>
                    <w:autoSpaceDN w:val="0"/>
                    <w:adjustRightInd w:val="0"/>
                    <w:snapToGrid w:val="0"/>
                    <w:ind w:firstLine="0" w:firstLineChars="0"/>
                    <w:jc w:val="center"/>
                    <w:rPr>
                      <w:color w:val="auto"/>
                      <w:kern w:val="0"/>
                      <w:szCs w:val="21"/>
                    </w:rPr>
                  </w:pPr>
                  <w:r>
                    <w:rPr>
                      <w:color w:val="auto"/>
                      <w:kern w:val="0"/>
                      <w:szCs w:val="21"/>
                    </w:rPr>
                    <w:t>生态</w:t>
                  </w:r>
                </w:p>
              </w:tc>
              <w:tc>
                <w:tcPr>
                  <w:tcW w:w="1629" w:type="pct"/>
                  <w:vAlign w:val="center"/>
                </w:tcPr>
                <w:p w14:paraId="6EA71269">
                  <w:pPr>
                    <w:autoSpaceDE w:val="0"/>
                    <w:autoSpaceDN w:val="0"/>
                    <w:adjustRightInd w:val="0"/>
                    <w:snapToGrid w:val="0"/>
                    <w:ind w:firstLine="0" w:firstLineChars="0"/>
                    <w:jc w:val="center"/>
                    <w:rPr>
                      <w:color w:val="auto"/>
                      <w:kern w:val="0"/>
                      <w:szCs w:val="21"/>
                    </w:rPr>
                  </w:pPr>
                  <w:r>
                    <w:rPr>
                      <w:color w:val="auto"/>
                      <w:kern w:val="0"/>
                      <w:szCs w:val="21"/>
                    </w:rPr>
                    <w:t>取水口下游500米范围内有重要水生生物的自然产卵场、索饵场、越冬场和洄游通道的新增河道取水的污染类建设项目。</w:t>
                  </w:r>
                </w:p>
              </w:tc>
              <w:tc>
                <w:tcPr>
                  <w:tcW w:w="2044" w:type="pct"/>
                  <w:vAlign w:val="center"/>
                </w:tcPr>
                <w:p w14:paraId="64F49312">
                  <w:pPr>
                    <w:autoSpaceDE w:val="0"/>
                    <w:autoSpaceDN w:val="0"/>
                    <w:adjustRightInd w:val="0"/>
                    <w:snapToGrid w:val="0"/>
                    <w:ind w:firstLine="0" w:firstLineChars="0"/>
                    <w:jc w:val="center"/>
                    <w:rPr>
                      <w:color w:val="auto"/>
                      <w:kern w:val="0"/>
                      <w:szCs w:val="21"/>
                    </w:rPr>
                  </w:pPr>
                  <w:r>
                    <w:rPr>
                      <w:color w:val="auto"/>
                      <w:kern w:val="0"/>
                      <w:szCs w:val="21"/>
                    </w:rPr>
                    <w:t>本项目不涉及此项情况。</w:t>
                  </w:r>
                </w:p>
              </w:tc>
              <w:tc>
                <w:tcPr>
                  <w:tcW w:w="842" w:type="pct"/>
                  <w:vAlign w:val="center"/>
                </w:tcPr>
                <w:p w14:paraId="44F79503">
                  <w:pPr>
                    <w:autoSpaceDE w:val="0"/>
                    <w:autoSpaceDN w:val="0"/>
                    <w:adjustRightInd w:val="0"/>
                    <w:snapToGrid w:val="0"/>
                    <w:ind w:firstLine="0" w:firstLineChars="0"/>
                    <w:jc w:val="center"/>
                    <w:rPr>
                      <w:color w:val="auto"/>
                      <w:kern w:val="0"/>
                      <w:szCs w:val="21"/>
                    </w:rPr>
                  </w:pPr>
                  <w:r>
                    <w:rPr>
                      <w:color w:val="auto"/>
                      <w:kern w:val="0"/>
                      <w:szCs w:val="21"/>
                    </w:rPr>
                    <w:t>否</w:t>
                  </w:r>
                </w:p>
              </w:tc>
            </w:tr>
            <w:tr w14:paraId="5286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vAlign w:val="center"/>
                </w:tcPr>
                <w:p w14:paraId="0FC9C23E">
                  <w:pPr>
                    <w:autoSpaceDE w:val="0"/>
                    <w:autoSpaceDN w:val="0"/>
                    <w:adjustRightInd w:val="0"/>
                    <w:snapToGrid w:val="0"/>
                    <w:ind w:firstLine="0" w:firstLineChars="0"/>
                    <w:jc w:val="center"/>
                    <w:rPr>
                      <w:color w:val="auto"/>
                      <w:kern w:val="0"/>
                      <w:szCs w:val="21"/>
                    </w:rPr>
                  </w:pPr>
                  <w:r>
                    <w:rPr>
                      <w:color w:val="auto"/>
                      <w:kern w:val="0"/>
                      <w:szCs w:val="21"/>
                    </w:rPr>
                    <w:t>海洋</w:t>
                  </w:r>
                </w:p>
              </w:tc>
              <w:tc>
                <w:tcPr>
                  <w:tcW w:w="1629" w:type="pct"/>
                  <w:vAlign w:val="center"/>
                </w:tcPr>
                <w:p w14:paraId="6E80B757">
                  <w:pPr>
                    <w:autoSpaceDE w:val="0"/>
                    <w:autoSpaceDN w:val="0"/>
                    <w:adjustRightInd w:val="0"/>
                    <w:snapToGrid w:val="0"/>
                    <w:ind w:firstLine="0" w:firstLineChars="0"/>
                    <w:jc w:val="center"/>
                    <w:rPr>
                      <w:color w:val="auto"/>
                      <w:kern w:val="0"/>
                      <w:szCs w:val="21"/>
                    </w:rPr>
                  </w:pPr>
                  <w:r>
                    <w:rPr>
                      <w:color w:val="auto"/>
                      <w:kern w:val="0"/>
                      <w:szCs w:val="21"/>
                    </w:rPr>
                    <w:t>直接向海排放污染物的海洋工程建设项目。</w:t>
                  </w:r>
                </w:p>
              </w:tc>
              <w:tc>
                <w:tcPr>
                  <w:tcW w:w="2044" w:type="pct"/>
                  <w:vAlign w:val="center"/>
                </w:tcPr>
                <w:p w14:paraId="162F6945">
                  <w:pPr>
                    <w:autoSpaceDE w:val="0"/>
                    <w:autoSpaceDN w:val="0"/>
                    <w:adjustRightInd w:val="0"/>
                    <w:snapToGrid w:val="0"/>
                    <w:ind w:firstLine="0" w:firstLineChars="0"/>
                    <w:jc w:val="center"/>
                    <w:rPr>
                      <w:color w:val="auto"/>
                      <w:kern w:val="0"/>
                      <w:szCs w:val="21"/>
                    </w:rPr>
                  </w:pPr>
                  <w:r>
                    <w:rPr>
                      <w:color w:val="auto"/>
                      <w:kern w:val="0"/>
                      <w:szCs w:val="21"/>
                    </w:rPr>
                    <w:t>项目不属于海洋工程建设项目，不向海洋排放污染物。</w:t>
                  </w:r>
                </w:p>
              </w:tc>
              <w:tc>
                <w:tcPr>
                  <w:tcW w:w="842" w:type="pct"/>
                  <w:vAlign w:val="center"/>
                </w:tcPr>
                <w:p w14:paraId="1E061740">
                  <w:pPr>
                    <w:autoSpaceDE w:val="0"/>
                    <w:autoSpaceDN w:val="0"/>
                    <w:adjustRightInd w:val="0"/>
                    <w:snapToGrid w:val="0"/>
                    <w:ind w:firstLine="0" w:firstLineChars="0"/>
                    <w:jc w:val="center"/>
                    <w:rPr>
                      <w:color w:val="auto"/>
                      <w:kern w:val="0"/>
                      <w:szCs w:val="21"/>
                    </w:rPr>
                  </w:pPr>
                  <w:r>
                    <w:rPr>
                      <w:color w:val="auto"/>
                      <w:kern w:val="0"/>
                      <w:szCs w:val="21"/>
                    </w:rPr>
                    <w:t>否</w:t>
                  </w:r>
                </w:p>
              </w:tc>
            </w:tr>
            <w:tr w14:paraId="3FBE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vAlign w:val="center"/>
                </w:tcPr>
                <w:p w14:paraId="4C261915">
                  <w:pPr>
                    <w:autoSpaceDE w:val="0"/>
                    <w:autoSpaceDN w:val="0"/>
                    <w:adjustRightInd w:val="0"/>
                    <w:snapToGrid w:val="0"/>
                    <w:ind w:firstLine="0" w:firstLineChars="0"/>
                    <w:rPr>
                      <w:color w:val="auto"/>
                      <w:kern w:val="0"/>
                      <w:szCs w:val="21"/>
                    </w:rPr>
                  </w:pPr>
                  <w:r>
                    <w:rPr>
                      <w:color w:val="auto"/>
                      <w:kern w:val="0"/>
                      <w:szCs w:val="21"/>
                    </w:rPr>
                    <w:t>注：1.废气中有毒有害污染物指纳入《有毒有害大气污染物名录》的污染物（不包括无排放标准的污染物）。</w:t>
                  </w:r>
                </w:p>
                <w:p w14:paraId="4CD01765">
                  <w:pPr>
                    <w:autoSpaceDE w:val="0"/>
                    <w:autoSpaceDN w:val="0"/>
                    <w:adjustRightInd w:val="0"/>
                    <w:snapToGrid w:val="0"/>
                    <w:ind w:firstLine="0" w:firstLineChars="0"/>
                    <w:rPr>
                      <w:color w:val="auto"/>
                      <w:kern w:val="0"/>
                      <w:szCs w:val="21"/>
                    </w:rPr>
                  </w:pPr>
                  <w:r>
                    <w:rPr>
                      <w:color w:val="auto"/>
                      <w:kern w:val="0"/>
                      <w:szCs w:val="21"/>
                    </w:rPr>
                    <w:t>2.环境空气保护目标指自然保护区、风景名胜区、居住区、文化区和农村地区中人群较集中的区域。</w:t>
                  </w:r>
                </w:p>
                <w:p w14:paraId="19878AF4">
                  <w:pPr>
                    <w:autoSpaceDE w:val="0"/>
                    <w:autoSpaceDN w:val="0"/>
                    <w:adjustRightInd w:val="0"/>
                    <w:snapToGrid w:val="0"/>
                    <w:ind w:firstLine="0" w:firstLineChars="0"/>
                    <w:rPr>
                      <w:color w:val="auto"/>
                      <w:kern w:val="0"/>
                      <w:szCs w:val="21"/>
                    </w:rPr>
                  </w:pPr>
                  <w:r>
                    <w:rPr>
                      <w:color w:val="auto"/>
                      <w:kern w:val="0"/>
                      <w:szCs w:val="21"/>
                    </w:rPr>
                    <w:t>3.临界量及其计算方法可参考《建设项目环境风险评价技术导则》（HJ 169）附录B、附录C。</w:t>
                  </w:r>
                </w:p>
              </w:tc>
            </w:tr>
          </w:tbl>
          <w:p w14:paraId="3F6D6299">
            <w:pPr>
              <w:adjustRightInd w:val="0"/>
              <w:snapToGrid w:val="0"/>
              <w:spacing w:line="356" w:lineRule="auto"/>
              <w:ind w:firstLine="480"/>
              <w:rPr>
                <w:color w:val="auto"/>
                <w:kern w:val="0"/>
                <w:sz w:val="24"/>
              </w:rPr>
            </w:pPr>
            <w:r>
              <w:rPr>
                <w:color w:val="auto"/>
                <w:kern w:val="0"/>
                <w:sz w:val="24"/>
              </w:rPr>
              <w:t>由上表可知，本项目不设置专项评价。</w:t>
            </w:r>
          </w:p>
        </w:tc>
      </w:tr>
      <w:tr w14:paraId="4D4E2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352" w:type="dxa"/>
            <w:gridSpan w:val="2"/>
            <w:vAlign w:val="center"/>
          </w:tcPr>
          <w:p w14:paraId="2E5C1CF2">
            <w:pPr>
              <w:autoSpaceDE w:val="0"/>
              <w:autoSpaceDN w:val="0"/>
              <w:adjustRightInd w:val="0"/>
              <w:snapToGrid w:val="0"/>
              <w:ind w:firstLine="0" w:firstLineChars="0"/>
              <w:jc w:val="center"/>
              <w:rPr>
                <w:color w:val="auto"/>
                <w:kern w:val="0"/>
                <w:sz w:val="24"/>
              </w:rPr>
            </w:pPr>
            <w:r>
              <w:rPr>
                <w:color w:val="auto"/>
                <w:sz w:val="24"/>
              </w:rPr>
              <w:t>规划情况</w:t>
            </w:r>
          </w:p>
        </w:tc>
        <w:tc>
          <w:tcPr>
            <w:tcW w:w="7719" w:type="dxa"/>
            <w:gridSpan w:val="4"/>
            <w:vAlign w:val="center"/>
          </w:tcPr>
          <w:p w14:paraId="1740C726">
            <w:pPr>
              <w:autoSpaceDE w:val="0"/>
              <w:autoSpaceDN w:val="0"/>
              <w:adjustRightInd w:val="0"/>
              <w:snapToGrid w:val="0"/>
              <w:spacing w:line="360" w:lineRule="auto"/>
              <w:ind w:firstLine="0" w:firstLineChars="0"/>
              <w:jc w:val="center"/>
              <w:rPr>
                <w:color w:val="auto"/>
              </w:rPr>
            </w:pPr>
            <w:r>
              <w:rPr>
                <w:rStyle w:val="82"/>
                <w:color w:val="auto"/>
                <w:sz w:val="24"/>
              </w:rPr>
              <w:t>无</w:t>
            </w:r>
          </w:p>
        </w:tc>
      </w:tr>
      <w:tr w14:paraId="6D0B3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352" w:type="dxa"/>
            <w:gridSpan w:val="2"/>
            <w:vAlign w:val="center"/>
          </w:tcPr>
          <w:p w14:paraId="535196C7">
            <w:pPr>
              <w:adjustRightInd w:val="0"/>
              <w:snapToGrid w:val="0"/>
              <w:ind w:firstLine="0" w:firstLineChars="0"/>
              <w:jc w:val="center"/>
              <w:rPr>
                <w:color w:val="auto"/>
                <w:kern w:val="0"/>
                <w:sz w:val="24"/>
              </w:rPr>
            </w:pPr>
            <w:r>
              <w:rPr>
                <w:color w:val="auto"/>
                <w:sz w:val="24"/>
              </w:rPr>
              <w:t>规划环境影响评价情况</w:t>
            </w:r>
          </w:p>
        </w:tc>
        <w:tc>
          <w:tcPr>
            <w:tcW w:w="7719" w:type="dxa"/>
            <w:gridSpan w:val="4"/>
            <w:vAlign w:val="center"/>
          </w:tcPr>
          <w:p w14:paraId="0B6703BF">
            <w:pPr>
              <w:autoSpaceDE w:val="0"/>
              <w:autoSpaceDN w:val="0"/>
              <w:adjustRightInd w:val="0"/>
              <w:snapToGrid w:val="0"/>
              <w:spacing w:line="360" w:lineRule="auto"/>
              <w:ind w:firstLine="0" w:firstLineChars="0"/>
              <w:jc w:val="center"/>
              <w:rPr>
                <w:bCs/>
                <w:color w:val="auto"/>
                <w:sz w:val="24"/>
              </w:rPr>
            </w:pPr>
            <w:r>
              <w:rPr>
                <w:rStyle w:val="82"/>
                <w:color w:val="auto"/>
                <w:sz w:val="24"/>
              </w:rPr>
              <w:t>无</w:t>
            </w:r>
          </w:p>
        </w:tc>
      </w:tr>
      <w:tr w14:paraId="2E734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2" w:type="dxa"/>
            <w:gridSpan w:val="2"/>
            <w:vAlign w:val="center"/>
          </w:tcPr>
          <w:p w14:paraId="59C7F187">
            <w:pPr>
              <w:autoSpaceDE w:val="0"/>
              <w:autoSpaceDN w:val="0"/>
              <w:adjustRightInd w:val="0"/>
              <w:snapToGrid w:val="0"/>
              <w:ind w:firstLine="0" w:firstLineChars="0"/>
              <w:jc w:val="center"/>
              <w:rPr>
                <w:color w:val="auto"/>
                <w:kern w:val="0"/>
                <w:sz w:val="24"/>
              </w:rPr>
            </w:pPr>
            <w:r>
              <w:rPr>
                <w:color w:val="auto"/>
                <w:kern w:val="0"/>
                <w:sz w:val="24"/>
              </w:rPr>
              <w:t>规划及规划环境影响评价符合性分析</w:t>
            </w:r>
          </w:p>
        </w:tc>
        <w:tc>
          <w:tcPr>
            <w:tcW w:w="7719" w:type="dxa"/>
            <w:gridSpan w:val="4"/>
            <w:vAlign w:val="center"/>
          </w:tcPr>
          <w:p w14:paraId="7FD99386">
            <w:pPr>
              <w:widowControl/>
              <w:ind w:firstLine="0" w:firstLineChars="0"/>
              <w:jc w:val="center"/>
              <w:rPr>
                <w:color w:val="auto"/>
                <w:kern w:val="0"/>
                <w:sz w:val="24"/>
              </w:rPr>
            </w:pPr>
            <w:r>
              <w:rPr>
                <w:color w:val="auto"/>
                <w:kern w:val="0"/>
                <w:sz w:val="24"/>
                <w:lang w:bidi="ar"/>
              </w:rPr>
              <w:t>无</w:t>
            </w:r>
          </w:p>
        </w:tc>
      </w:tr>
      <w:tr w14:paraId="520B0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89" w:type="dxa"/>
            <w:vAlign w:val="center"/>
          </w:tcPr>
          <w:p w14:paraId="021A99BC">
            <w:pPr>
              <w:autoSpaceDE w:val="0"/>
              <w:autoSpaceDN w:val="0"/>
              <w:adjustRightInd w:val="0"/>
              <w:snapToGrid w:val="0"/>
              <w:ind w:firstLine="0" w:firstLineChars="0"/>
              <w:jc w:val="center"/>
              <w:rPr>
                <w:color w:val="auto"/>
                <w:kern w:val="0"/>
                <w:sz w:val="24"/>
              </w:rPr>
            </w:pPr>
            <w:r>
              <w:rPr>
                <w:color w:val="auto"/>
                <w:kern w:val="0"/>
                <w:sz w:val="24"/>
              </w:rPr>
              <w:t>其他符合性分析</w:t>
            </w:r>
          </w:p>
        </w:tc>
        <w:tc>
          <w:tcPr>
            <w:tcW w:w="8382" w:type="dxa"/>
            <w:gridSpan w:val="5"/>
            <w:vAlign w:val="center"/>
          </w:tcPr>
          <w:p w14:paraId="1B13EB75">
            <w:pPr>
              <w:tabs>
                <w:tab w:val="left" w:pos="511"/>
              </w:tabs>
              <w:spacing w:line="360" w:lineRule="auto"/>
              <w:ind w:firstLine="482"/>
              <w:outlineLvl w:val="1"/>
              <w:rPr>
                <w:b/>
                <w:color w:val="auto"/>
                <w:sz w:val="24"/>
              </w:rPr>
            </w:pPr>
            <w:r>
              <w:rPr>
                <w:b/>
                <w:color w:val="auto"/>
                <w:sz w:val="24"/>
              </w:rPr>
              <w:t>1、产业政策符合性分析</w:t>
            </w:r>
          </w:p>
          <w:p w14:paraId="1BB4A19D">
            <w:pPr>
              <w:spacing w:line="360" w:lineRule="auto"/>
              <w:ind w:firstLine="468"/>
              <w:rPr>
                <w:color w:val="auto"/>
                <w:spacing w:val="-3"/>
                <w:sz w:val="24"/>
              </w:rPr>
            </w:pPr>
            <w:r>
              <w:rPr>
                <w:color w:val="auto"/>
                <w:spacing w:val="-3"/>
                <w:sz w:val="24"/>
              </w:rPr>
              <w:t>本项目属于水泥制品制造项目，根据《产业结构调整指导目录（2024年本）》，该项目不属于以上目录的限制类和淘汰类，属于允许类，并且</w:t>
            </w:r>
            <w:r>
              <w:rPr>
                <w:color w:val="auto"/>
                <w:spacing w:val="-2"/>
                <w:sz w:val="24"/>
              </w:rPr>
              <w:t>项目已于2</w:t>
            </w:r>
            <w:r>
              <w:rPr>
                <w:rFonts w:eastAsia="Times New Roman"/>
                <w:color w:val="auto"/>
                <w:spacing w:val="-2"/>
                <w:sz w:val="24"/>
              </w:rPr>
              <w:t>02</w:t>
            </w:r>
            <w:r>
              <w:rPr>
                <w:color w:val="auto"/>
                <w:spacing w:val="-2"/>
                <w:sz w:val="24"/>
              </w:rPr>
              <w:t>4年1月26日获得寻甸市发展和改革局签发的投资项目备案证，备案号：</w:t>
            </w:r>
            <w:r>
              <w:rPr>
                <w:rFonts w:eastAsia="Times New Roman"/>
                <w:color w:val="auto"/>
                <w:spacing w:val="-2"/>
                <w:sz w:val="24"/>
              </w:rPr>
              <w:t>2303-530181-04-01</w:t>
            </w:r>
            <w:r>
              <w:rPr>
                <w:rFonts w:eastAsia="Times New Roman"/>
                <w:color w:val="auto"/>
                <w:spacing w:val="-3"/>
                <w:sz w:val="24"/>
              </w:rPr>
              <w:t>-307692</w:t>
            </w:r>
            <w:r>
              <w:rPr>
                <w:color w:val="auto"/>
                <w:spacing w:val="-3"/>
                <w:sz w:val="24"/>
              </w:rPr>
              <w:t>（详见附件4）。</w:t>
            </w:r>
          </w:p>
          <w:p w14:paraId="3AB8CBB4">
            <w:pPr>
              <w:spacing w:line="360" w:lineRule="auto"/>
              <w:ind w:firstLine="468"/>
              <w:rPr>
                <w:color w:val="auto"/>
                <w:sz w:val="24"/>
              </w:rPr>
            </w:pPr>
            <w:r>
              <w:rPr>
                <w:color w:val="auto"/>
                <w:spacing w:val="-3"/>
                <w:sz w:val="24"/>
              </w:rPr>
              <w:t>因此，本项目符</w:t>
            </w:r>
            <w:r>
              <w:rPr>
                <w:color w:val="auto"/>
                <w:spacing w:val="-2"/>
                <w:sz w:val="24"/>
              </w:rPr>
              <w:t>合国家产业政策。</w:t>
            </w:r>
          </w:p>
          <w:p w14:paraId="7A293905">
            <w:pPr>
              <w:pStyle w:val="20"/>
              <w:ind w:firstLine="482"/>
              <w:rPr>
                <w:b/>
                <w:bCs/>
                <w:color w:val="auto"/>
                <w:kern w:val="0"/>
                <w:sz w:val="24"/>
              </w:rPr>
            </w:pPr>
            <w:r>
              <w:rPr>
                <w:b/>
                <w:bCs/>
                <w:color w:val="auto"/>
                <w:kern w:val="0"/>
                <w:sz w:val="24"/>
              </w:rPr>
              <w:t>2、与《</w:t>
            </w:r>
            <w:r>
              <w:rPr>
                <w:b/>
                <w:bCs/>
                <w:color w:val="auto"/>
                <w:sz w:val="24"/>
                <w:shd w:val="clear" w:color="auto" w:fill="FFFFFF"/>
              </w:rPr>
              <w:t>云南省生态环境分区管控动态更新方案（2023年）</w:t>
            </w:r>
            <w:r>
              <w:rPr>
                <w:b/>
                <w:bCs/>
                <w:color w:val="auto"/>
                <w:kern w:val="0"/>
                <w:sz w:val="24"/>
              </w:rPr>
              <w:t>》的符合性分析</w:t>
            </w:r>
          </w:p>
          <w:p w14:paraId="34F485F8">
            <w:pPr>
              <w:autoSpaceDE w:val="0"/>
              <w:autoSpaceDN w:val="0"/>
              <w:adjustRightInd w:val="0"/>
              <w:snapToGrid w:val="0"/>
              <w:spacing w:line="360" w:lineRule="auto"/>
              <w:ind w:firstLine="480"/>
              <w:rPr>
                <w:color w:val="auto"/>
                <w:kern w:val="0"/>
                <w:sz w:val="24"/>
              </w:rPr>
            </w:pPr>
            <w:r>
              <w:rPr>
                <w:color w:val="auto"/>
                <w:kern w:val="0"/>
                <w:sz w:val="24"/>
              </w:rPr>
              <w:t>根据《云南省生态环境分区管控动态更新方案（2023年）》（2024年11月19日），云南省生态环境分区管控成果更新调整基本情况如下。</w:t>
            </w:r>
          </w:p>
          <w:p w14:paraId="0841D190">
            <w:pPr>
              <w:pStyle w:val="110"/>
              <w:spacing w:before="120" w:after="48"/>
              <w:outlineLvl w:val="9"/>
              <w:rPr>
                <w:bCs/>
                <w:snapToGrid w:val="0"/>
                <w:color w:val="auto"/>
                <w:kern w:val="0"/>
                <w:szCs w:val="21"/>
              </w:rPr>
            </w:pPr>
            <w:r>
              <w:rPr>
                <w:bCs/>
                <w:snapToGrid w:val="0"/>
                <w:color w:val="auto"/>
                <w:kern w:val="0"/>
                <w:szCs w:val="21"/>
              </w:rPr>
              <w:t>表1-2   项目与《云南省生态环境分区管控动态更新方案（2023年）》符合性分析</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3409"/>
              <w:gridCol w:w="3515"/>
              <w:gridCol w:w="481"/>
            </w:tblGrid>
            <w:tr w14:paraId="42E5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02C03CF5">
                  <w:pPr>
                    <w:autoSpaceDE w:val="0"/>
                    <w:autoSpaceDN w:val="0"/>
                    <w:adjustRightInd w:val="0"/>
                    <w:snapToGrid w:val="0"/>
                    <w:ind w:firstLine="0" w:firstLineChars="0"/>
                    <w:jc w:val="center"/>
                    <w:rPr>
                      <w:b/>
                      <w:bCs/>
                      <w:color w:val="auto"/>
                      <w:kern w:val="0"/>
                      <w:szCs w:val="21"/>
                    </w:rPr>
                  </w:pPr>
                  <w:r>
                    <w:rPr>
                      <w:b/>
                      <w:bCs/>
                      <w:color w:val="auto"/>
                      <w:kern w:val="0"/>
                      <w:szCs w:val="21"/>
                    </w:rPr>
                    <w:t>项目</w:t>
                  </w:r>
                </w:p>
              </w:tc>
              <w:tc>
                <w:tcPr>
                  <w:tcW w:w="3409" w:type="dxa"/>
                  <w:vAlign w:val="center"/>
                </w:tcPr>
                <w:p w14:paraId="166DDF92">
                  <w:pPr>
                    <w:autoSpaceDE w:val="0"/>
                    <w:autoSpaceDN w:val="0"/>
                    <w:adjustRightInd w:val="0"/>
                    <w:snapToGrid w:val="0"/>
                    <w:ind w:firstLine="0" w:firstLineChars="0"/>
                    <w:jc w:val="center"/>
                    <w:rPr>
                      <w:b/>
                      <w:bCs/>
                      <w:color w:val="auto"/>
                      <w:kern w:val="0"/>
                      <w:szCs w:val="21"/>
                    </w:rPr>
                  </w:pPr>
                  <w:r>
                    <w:rPr>
                      <w:rFonts w:hint="eastAsia"/>
                      <w:b/>
                      <w:bCs/>
                      <w:color w:val="auto"/>
                      <w:kern w:val="0"/>
                      <w:szCs w:val="21"/>
                    </w:rPr>
                    <w:t>相关要求</w:t>
                  </w:r>
                </w:p>
              </w:tc>
              <w:tc>
                <w:tcPr>
                  <w:tcW w:w="3515" w:type="dxa"/>
                  <w:vAlign w:val="center"/>
                </w:tcPr>
                <w:p w14:paraId="328B866E">
                  <w:pPr>
                    <w:autoSpaceDE w:val="0"/>
                    <w:autoSpaceDN w:val="0"/>
                    <w:adjustRightInd w:val="0"/>
                    <w:snapToGrid w:val="0"/>
                    <w:ind w:firstLine="0" w:firstLineChars="0"/>
                    <w:jc w:val="center"/>
                    <w:rPr>
                      <w:b/>
                      <w:bCs/>
                      <w:color w:val="auto"/>
                      <w:kern w:val="0"/>
                      <w:szCs w:val="21"/>
                    </w:rPr>
                  </w:pPr>
                  <w:r>
                    <w:rPr>
                      <w:b/>
                      <w:bCs/>
                      <w:color w:val="auto"/>
                      <w:kern w:val="0"/>
                      <w:szCs w:val="21"/>
                    </w:rPr>
                    <w:t>项目情况</w:t>
                  </w:r>
                </w:p>
              </w:tc>
              <w:tc>
                <w:tcPr>
                  <w:tcW w:w="0" w:type="auto"/>
                  <w:vAlign w:val="center"/>
                </w:tcPr>
                <w:p w14:paraId="447A4566">
                  <w:pPr>
                    <w:autoSpaceDE w:val="0"/>
                    <w:autoSpaceDN w:val="0"/>
                    <w:adjustRightInd w:val="0"/>
                    <w:snapToGrid w:val="0"/>
                    <w:ind w:firstLine="0" w:firstLineChars="0"/>
                    <w:jc w:val="center"/>
                    <w:rPr>
                      <w:b/>
                      <w:bCs/>
                      <w:color w:val="auto"/>
                      <w:kern w:val="0"/>
                      <w:szCs w:val="21"/>
                    </w:rPr>
                  </w:pPr>
                  <w:r>
                    <w:rPr>
                      <w:b/>
                      <w:bCs/>
                      <w:color w:val="auto"/>
                      <w:kern w:val="0"/>
                      <w:szCs w:val="21"/>
                    </w:rPr>
                    <w:t>符合性</w:t>
                  </w:r>
                </w:p>
              </w:tc>
            </w:tr>
            <w:tr w14:paraId="58D6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7D83F17">
                  <w:pPr>
                    <w:autoSpaceDE w:val="0"/>
                    <w:autoSpaceDN w:val="0"/>
                    <w:adjustRightInd w:val="0"/>
                    <w:snapToGrid w:val="0"/>
                    <w:ind w:firstLine="0" w:firstLineChars="0"/>
                    <w:jc w:val="center"/>
                    <w:rPr>
                      <w:color w:val="auto"/>
                      <w:kern w:val="0"/>
                      <w:szCs w:val="21"/>
                    </w:rPr>
                  </w:pPr>
                  <w:r>
                    <w:rPr>
                      <w:color w:val="auto"/>
                      <w:kern w:val="0"/>
                      <w:szCs w:val="21"/>
                    </w:rPr>
                    <w:t>生态保护红线</w:t>
                  </w:r>
                  <w:r>
                    <w:rPr>
                      <w:rFonts w:hint="eastAsia"/>
                      <w:color w:val="auto"/>
                      <w:kern w:val="0"/>
                      <w:szCs w:val="21"/>
                    </w:rPr>
                    <w:t>和一般生态空间</w:t>
                  </w:r>
                </w:p>
              </w:tc>
              <w:tc>
                <w:tcPr>
                  <w:tcW w:w="3409" w:type="dxa"/>
                  <w:vAlign w:val="center"/>
                </w:tcPr>
                <w:p w14:paraId="72D36B5C">
                  <w:pPr>
                    <w:autoSpaceDE w:val="0"/>
                    <w:autoSpaceDN w:val="0"/>
                    <w:adjustRightInd w:val="0"/>
                    <w:snapToGrid w:val="0"/>
                    <w:ind w:firstLine="0" w:firstLineChars="0"/>
                    <w:jc w:val="left"/>
                    <w:rPr>
                      <w:color w:val="auto"/>
                      <w:kern w:val="0"/>
                      <w:szCs w:val="21"/>
                    </w:rPr>
                  </w:pPr>
                  <w:r>
                    <w:rPr>
                      <w:color w:val="auto"/>
                      <w:kern w:val="0"/>
                      <w:szCs w:val="21"/>
                    </w:rPr>
                    <w:t>衔接云南省“三区三线”划定成果，联动更新生态保护红线，全省共划定生态保护红线面积113456.71平方公里，占全省国土面积的29.61%。全省共划定一般生态空间面积72510.93平方公里，占全省国土面积的18.92%。</w:t>
                  </w:r>
                </w:p>
              </w:tc>
              <w:tc>
                <w:tcPr>
                  <w:tcW w:w="3515" w:type="dxa"/>
                  <w:vAlign w:val="center"/>
                </w:tcPr>
                <w:p w14:paraId="5BA1B2EC">
                  <w:pPr>
                    <w:autoSpaceDE w:val="0"/>
                    <w:autoSpaceDN w:val="0"/>
                    <w:adjustRightInd w:val="0"/>
                    <w:snapToGrid w:val="0"/>
                    <w:ind w:firstLine="0" w:firstLineChars="0"/>
                    <w:jc w:val="left"/>
                    <w:rPr>
                      <w:color w:val="auto"/>
                      <w:kern w:val="0"/>
                      <w:szCs w:val="21"/>
                    </w:rPr>
                  </w:pPr>
                  <w:r>
                    <w:rPr>
                      <w:color w:val="auto"/>
                      <w:kern w:val="0"/>
                      <w:szCs w:val="21"/>
                    </w:rPr>
                    <w:t>本项目位于云南省昆明市寻甸县金所乡哨上大村，</w:t>
                  </w:r>
                  <w:r>
                    <w:rPr>
                      <w:rFonts w:hint="eastAsia"/>
                      <w:color w:val="auto"/>
                      <w:kern w:val="0"/>
                      <w:szCs w:val="21"/>
                    </w:rPr>
                    <w:t>根据寻甸回族彝族自治县自然资源局《关于年产10万吨商品混凝土生产线扩建项目用地范围是否涉及生态保护红线及城镇开发边界的情况说明》及《寻甸回族彝族自治县自然资源局关于年产10万吨商品混凝土生产线扩建项目范围是否涉及永久基本农田的说明》</w:t>
                  </w:r>
                  <w:r>
                    <w:rPr>
                      <w:color w:val="auto"/>
                      <w:kern w:val="0"/>
                      <w:szCs w:val="21"/>
                    </w:rPr>
                    <w:t>本次项目建设不</w:t>
                  </w:r>
                  <w:r>
                    <w:rPr>
                      <w:rFonts w:hint="eastAsia"/>
                      <w:color w:val="auto"/>
                      <w:kern w:val="0"/>
                      <w:szCs w:val="21"/>
                    </w:rPr>
                    <w:t>涉及生态保护红线、城镇开发边界及永久基本农田</w:t>
                  </w:r>
                  <w:r>
                    <w:rPr>
                      <w:color w:val="auto"/>
                      <w:kern w:val="0"/>
                      <w:szCs w:val="21"/>
                    </w:rPr>
                    <w:t>，符合生态红线保护要求。</w:t>
                  </w:r>
                </w:p>
              </w:tc>
              <w:tc>
                <w:tcPr>
                  <w:tcW w:w="0" w:type="auto"/>
                  <w:vAlign w:val="center"/>
                </w:tcPr>
                <w:p w14:paraId="74691722">
                  <w:pPr>
                    <w:autoSpaceDE w:val="0"/>
                    <w:autoSpaceDN w:val="0"/>
                    <w:adjustRightInd w:val="0"/>
                    <w:snapToGrid w:val="0"/>
                    <w:ind w:firstLine="0" w:firstLineChars="0"/>
                    <w:jc w:val="center"/>
                    <w:rPr>
                      <w:color w:val="auto"/>
                      <w:kern w:val="0"/>
                      <w:szCs w:val="21"/>
                    </w:rPr>
                  </w:pPr>
                  <w:r>
                    <w:rPr>
                      <w:color w:val="auto"/>
                      <w:kern w:val="0"/>
                      <w:szCs w:val="21"/>
                    </w:rPr>
                    <w:t>符合</w:t>
                  </w:r>
                </w:p>
              </w:tc>
            </w:tr>
            <w:tr w14:paraId="5188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25A0EF4">
                  <w:pPr>
                    <w:autoSpaceDE w:val="0"/>
                    <w:autoSpaceDN w:val="0"/>
                    <w:adjustRightInd w:val="0"/>
                    <w:snapToGrid w:val="0"/>
                    <w:ind w:firstLine="0" w:firstLineChars="0"/>
                    <w:jc w:val="center"/>
                    <w:rPr>
                      <w:color w:val="auto"/>
                      <w:kern w:val="0"/>
                      <w:szCs w:val="21"/>
                    </w:rPr>
                  </w:pPr>
                  <w:r>
                    <w:rPr>
                      <w:color w:val="auto"/>
                      <w:kern w:val="0"/>
                      <w:szCs w:val="21"/>
                    </w:rPr>
                    <w:t>环境质量底线</w:t>
                  </w:r>
                </w:p>
              </w:tc>
              <w:tc>
                <w:tcPr>
                  <w:tcW w:w="3409" w:type="dxa"/>
                  <w:vAlign w:val="center"/>
                </w:tcPr>
                <w:p w14:paraId="1E918A4E">
                  <w:pPr>
                    <w:autoSpaceDE w:val="0"/>
                    <w:autoSpaceDN w:val="0"/>
                    <w:adjustRightInd w:val="0"/>
                    <w:snapToGrid w:val="0"/>
                    <w:ind w:firstLine="0" w:firstLineChars="0"/>
                    <w:jc w:val="left"/>
                    <w:rPr>
                      <w:color w:val="auto"/>
                      <w:kern w:val="0"/>
                      <w:szCs w:val="21"/>
                    </w:rPr>
                  </w:pPr>
                  <w:r>
                    <w:rPr>
                      <w:color w:val="auto"/>
                      <w:kern w:val="0"/>
                      <w:szCs w:val="21"/>
                    </w:rPr>
                    <w:t>（1）水环境质量底线。到2025年，水生态环境质量得到全面提升，重点高原湖泊水质稳中向好，饮用水水源得到有效保护，优良水体断面比例明显上升，地表水国控断面水质达到或优于Ⅲ类比例达到92.1%，基本消除劣Ⅴ类水体和县级城市建成区黑臭水体。农村生活污水治理率力争达到40%。</w:t>
                  </w:r>
                </w:p>
                <w:p w14:paraId="28B43B9E">
                  <w:pPr>
                    <w:autoSpaceDE w:val="0"/>
                    <w:autoSpaceDN w:val="0"/>
                    <w:adjustRightInd w:val="0"/>
                    <w:snapToGrid w:val="0"/>
                    <w:ind w:firstLine="0" w:firstLineChars="0"/>
                    <w:jc w:val="left"/>
                    <w:rPr>
                      <w:color w:val="auto"/>
                      <w:kern w:val="0"/>
                      <w:szCs w:val="21"/>
                    </w:rPr>
                  </w:pPr>
                  <w:r>
                    <w:rPr>
                      <w:color w:val="auto"/>
                      <w:kern w:val="0"/>
                      <w:szCs w:val="21"/>
                    </w:rPr>
                    <w:t>（2）大气环境质量底线。到2025年，云南省环境空气质量稳居全国前列，城市环境空气质量稳定达标，细颗粒物（PM</w:t>
                  </w:r>
                  <w:r>
                    <w:rPr>
                      <w:color w:val="auto"/>
                      <w:kern w:val="0"/>
                      <w:szCs w:val="21"/>
                      <w:vertAlign w:val="subscript"/>
                    </w:rPr>
                    <w:t>2.5</w:t>
                  </w:r>
                  <w:r>
                    <w:rPr>
                      <w:color w:val="auto"/>
                      <w:kern w:val="0"/>
                      <w:szCs w:val="21"/>
                    </w:rPr>
                    <w:t>）和可吸入颗粒物（PM</w:t>
                  </w:r>
                  <w:r>
                    <w:rPr>
                      <w:color w:val="auto"/>
                      <w:kern w:val="0"/>
                      <w:szCs w:val="21"/>
                      <w:vertAlign w:val="subscript"/>
                    </w:rPr>
                    <w:t>10</w:t>
                  </w:r>
                  <w:r>
                    <w:rPr>
                      <w:color w:val="auto"/>
                      <w:kern w:val="0"/>
                      <w:szCs w:val="21"/>
                    </w:rPr>
                    <w:t>）等主要污染物指标得到有效控制，地级及以上城市细颗粒物（PM</w:t>
                  </w:r>
                  <w:r>
                    <w:rPr>
                      <w:color w:val="auto"/>
                      <w:kern w:val="0"/>
                      <w:szCs w:val="21"/>
                      <w:vertAlign w:val="subscript"/>
                    </w:rPr>
                    <w:t>2.5</w:t>
                  </w:r>
                  <w:r>
                    <w:rPr>
                      <w:color w:val="auto"/>
                      <w:kern w:val="0"/>
                      <w:szCs w:val="21"/>
                    </w:rPr>
                    <w:t>）平均浓度控制在20.5微克/立方米以内，地级及以上城市空气质量优良天数比率达到98.8%。</w:t>
                  </w:r>
                </w:p>
                <w:p w14:paraId="7765FDF0">
                  <w:pPr>
                    <w:autoSpaceDE w:val="0"/>
                    <w:autoSpaceDN w:val="0"/>
                    <w:adjustRightInd w:val="0"/>
                    <w:snapToGrid w:val="0"/>
                    <w:ind w:firstLine="0" w:firstLineChars="0"/>
                    <w:jc w:val="left"/>
                    <w:rPr>
                      <w:color w:val="auto"/>
                      <w:kern w:val="0"/>
                      <w:szCs w:val="21"/>
                    </w:rPr>
                  </w:pPr>
                  <w:r>
                    <w:rPr>
                      <w:color w:val="auto"/>
                      <w:kern w:val="0"/>
                      <w:szCs w:val="21"/>
                    </w:rPr>
                    <w:t>（3）土壤环境风险防控底线。到2025年，土壤环境质量总体保持稳定，安全利用水平巩固提升，受污染耕地安全利用率保持在93%左右，重点建设用地安全利用率得到有效保障。</w:t>
                  </w:r>
                </w:p>
              </w:tc>
              <w:tc>
                <w:tcPr>
                  <w:tcW w:w="3515" w:type="dxa"/>
                  <w:vAlign w:val="center"/>
                </w:tcPr>
                <w:p w14:paraId="173ED6E4">
                  <w:pPr>
                    <w:autoSpaceDE w:val="0"/>
                    <w:autoSpaceDN w:val="0"/>
                    <w:adjustRightInd w:val="0"/>
                    <w:snapToGrid w:val="0"/>
                    <w:ind w:firstLine="0" w:firstLineChars="0"/>
                    <w:jc w:val="left"/>
                    <w:rPr>
                      <w:color w:val="auto"/>
                      <w:kern w:val="0"/>
                      <w:szCs w:val="21"/>
                    </w:rPr>
                  </w:pPr>
                  <w:r>
                    <w:rPr>
                      <w:color w:val="auto"/>
                      <w:kern w:val="0"/>
                      <w:szCs w:val="21"/>
                    </w:rPr>
                    <w:t>项目选址区域环境空气达到《环境空气质量标准》（GB3095-2012）二级标准，在采取相应的措施后，项目运营期废气对周围环境影响较小；本项目生活污水及生产废水均不外排。项目严格采取环境保护措施后，确保污染物达标排放，项目建成后不会区域环境质量底线造成冲击。</w:t>
                  </w:r>
                </w:p>
              </w:tc>
              <w:tc>
                <w:tcPr>
                  <w:tcW w:w="0" w:type="auto"/>
                  <w:vAlign w:val="center"/>
                </w:tcPr>
                <w:p w14:paraId="294100D2">
                  <w:pPr>
                    <w:autoSpaceDE w:val="0"/>
                    <w:autoSpaceDN w:val="0"/>
                    <w:adjustRightInd w:val="0"/>
                    <w:snapToGrid w:val="0"/>
                    <w:ind w:firstLine="0" w:firstLineChars="0"/>
                    <w:jc w:val="center"/>
                    <w:rPr>
                      <w:color w:val="auto"/>
                      <w:kern w:val="0"/>
                      <w:szCs w:val="21"/>
                    </w:rPr>
                  </w:pPr>
                  <w:r>
                    <w:rPr>
                      <w:color w:val="auto"/>
                      <w:kern w:val="0"/>
                      <w:szCs w:val="21"/>
                    </w:rPr>
                    <w:t>符合</w:t>
                  </w:r>
                </w:p>
              </w:tc>
            </w:tr>
            <w:tr w14:paraId="263F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19E7C57">
                  <w:pPr>
                    <w:autoSpaceDE w:val="0"/>
                    <w:autoSpaceDN w:val="0"/>
                    <w:adjustRightInd w:val="0"/>
                    <w:snapToGrid w:val="0"/>
                    <w:ind w:firstLine="0" w:firstLineChars="0"/>
                    <w:jc w:val="center"/>
                    <w:rPr>
                      <w:color w:val="auto"/>
                      <w:kern w:val="0"/>
                      <w:szCs w:val="21"/>
                    </w:rPr>
                  </w:pPr>
                  <w:r>
                    <w:rPr>
                      <w:color w:val="auto"/>
                      <w:kern w:val="0"/>
                      <w:szCs w:val="21"/>
                    </w:rPr>
                    <w:t>资源利用上线</w:t>
                  </w:r>
                </w:p>
              </w:tc>
              <w:tc>
                <w:tcPr>
                  <w:tcW w:w="3409" w:type="dxa"/>
                  <w:vAlign w:val="center"/>
                </w:tcPr>
                <w:p w14:paraId="168B5D2D">
                  <w:pPr>
                    <w:autoSpaceDE w:val="0"/>
                    <w:autoSpaceDN w:val="0"/>
                    <w:adjustRightInd w:val="0"/>
                    <w:snapToGrid w:val="0"/>
                    <w:ind w:firstLine="0" w:firstLineChars="0"/>
                    <w:jc w:val="left"/>
                    <w:rPr>
                      <w:color w:val="auto"/>
                      <w:kern w:val="0"/>
                      <w:szCs w:val="21"/>
                    </w:rPr>
                  </w:pPr>
                  <w:r>
                    <w:rPr>
                      <w:color w:val="auto"/>
                      <w:kern w:val="0"/>
                      <w:szCs w:val="21"/>
                    </w:rPr>
                    <w:t>（1）水资源利用上线。到2025年，全省年用水总量控制在177.0亿立方米以内。</w:t>
                  </w:r>
                </w:p>
                <w:p w14:paraId="61C6ADCE">
                  <w:pPr>
                    <w:autoSpaceDE w:val="0"/>
                    <w:autoSpaceDN w:val="0"/>
                    <w:adjustRightInd w:val="0"/>
                    <w:snapToGrid w:val="0"/>
                    <w:ind w:firstLine="0" w:firstLineChars="0"/>
                    <w:jc w:val="left"/>
                    <w:rPr>
                      <w:color w:val="auto"/>
                      <w:kern w:val="0"/>
                      <w:szCs w:val="21"/>
                    </w:rPr>
                  </w:pPr>
                  <w:r>
                    <w:rPr>
                      <w:color w:val="auto"/>
                      <w:kern w:val="0"/>
                      <w:szCs w:val="21"/>
                    </w:rPr>
                    <w:t>（2）土地资源利用上线。到2025年，全省耕地保有量不低于7857万亩，永久基本农田面积不低于5709万亩。</w:t>
                  </w:r>
                </w:p>
                <w:p w14:paraId="26A265B5">
                  <w:pPr>
                    <w:autoSpaceDE w:val="0"/>
                    <w:autoSpaceDN w:val="0"/>
                    <w:adjustRightInd w:val="0"/>
                    <w:snapToGrid w:val="0"/>
                    <w:ind w:firstLine="0" w:firstLineChars="0"/>
                    <w:jc w:val="left"/>
                    <w:rPr>
                      <w:color w:val="auto"/>
                      <w:kern w:val="0"/>
                      <w:szCs w:val="21"/>
                    </w:rPr>
                  </w:pPr>
                  <w:r>
                    <w:rPr>
                      <w:color w:val="auto"/>
                      <w:kern w:val="0"/>
                      <w:szCs w:val="21"/>
                    </w:rPr>
                    <w:t>（3）能源利用上线。到2025年，全省单位地区生产总值能源消耗比2020年下降13%以上，能源消费总量得到合理控制。</w:t>
                  </w:r>
                </w:p>
              </w:tc>
              <w:tc>
                <w:tcPr>
                  <w:tcW w:w="3515" w:type="dxa"/>
                  <w:vAlign w:val="center"/>
                </w:tcPr>
                <w:p w14:paraId="2690EB8C">
                  <w:pPr>
                    <w:autoSpaceDE w:val="0"/>
                    <w:autoSpaceDN w:val="0"/>
                    <w:adjustRightInd w:val="0"/>
                    <w:snapToGrid w:val="0"/>
                    <w:ind w:firstLine="0" w:firstLineChars="0"/>
                    <w:jc w:val="center"/>
                    <w:rPr>
                      <w:color w:val="auto"/>
                      <w:kern w:val="0"/>
                      <w:szCs w:val="21"/>
                    </w:rPr>
                  </w:pPr>
                  <w:r>
                    <w:rPr>
                      <w:color w:val="auto"/>
                      <w:kern w:val="0"/>
                      <w:szCs w:val="21"/>
                    </w:rPr>
                    <w:t>本项目运营过程中会消耗一定量电能、水资源，水、电消耗量较区域总量来说，占比很小；项目不占用基本农田、林地等，不会突破省下达的总量和强度控制指标。</w:t>
                  </w:r>
                </w:p>
              </w:tc>
              <w:tc>
                <w:tcPr>
                  <w:tcW w:w="0" w:type="auto"/>
                  <w:vAlign w:val="center"/>
                </w:tcPr>
                <w:p w14:paraId="48C5F271">
                  <w:pPr>
                    <w:autoSpaceDE w:val="0"/>
                    <w:autoSpaceDN w:val="0"/>
                    <w:adjustRightInd w:val="0"/>
                    <w:snapToGrid w:val="0"/>
                    <w:ind w:firstLine="0" w:firstLineChars="0"/>
                    <w:jc w:val="center"/>
                    <w:rPr>
                      <w:color w:val="auto"/>
                      <w:kern w:val="0"/>
                      <w:szCs w:val="21"/>
                    </w:rPr>
                  </w:pPr>
                  <w:r>
                    <w:rPr>
                      <w:color w:val="auto"/>
                      <w:kern w:val="0"/>
                      <w:szCs w:val="21"/>
                    </w:rPr>
                    <w:t>符合</w:t>
                  </w:r>
                </w:p>
              </w:tc>
            </w:tr>
            <w:tr w14:paraId="7612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2532D5B">
                  <w:pPr>
                    <w:autoSpaceDE w:val="0"/>
                    <w:autoSpaceDN w:val="0"/>
                    <w:adjustRightInd w:val="0"/>
                    <w:snapToGrid w:val="0"/>
                    <w:ind w:firstLine="0" w:firstLineChars="0"/>
                    <w:jc w:val="center"/>
                    <w:rPr>
                      <w:color w:val="auto"/>
                      <w:kern w:val="0"/>
                      <w:szCs w:val="21"/>
                    </w:rPr>
                  </w:pPr>
                  <w:r>
                    <w:rPr>
                      <w:rFonts w:hint="eastAsia"/>
                      <w:color w:val="auto"/>
                      <w:kern w:val="0"/>
                      <w:szCs w:val="21"/>
                    </w:rPr>
                    <w:t>生态环境准入</w:t>
                  </w:r>
                  <w:r>
                    <w:rPr>
                      <w:color w:val="auto"/>
                      <w:kern w:val="0"/>
                      <w:szCs w:val="21"/>
                    </w:rPr>
                    <w:t>负面清单</w:t>
                  </w:r>
                </w:p>
              </w:tc>
              <w:tc>
                <w:tcPr>
                  <w:tcW w:w="3409" w:type="dxa"/>
                  <w:vAlign w:val="center"/>
                </w:tcPr>
                <w:p w14:paraId="07935105">
                  <w:pPr>
                    <w:autoSpaceDE w:val="0"/>
                    <w:autoSpaceDN w:val="0"/>
                    <w:adjustRightInd w:val="0"/>
                    <w:snapToGrid w:val="0"/>
                    <w:ind w:firstLine="0" w:firstLineChars="0"/>
                    <w:jc w:val="left"/>
                    <w:rPr>
                      <w:color w:val="auto"/>
                      <w:kern w:val="0"/>
                      <w:szCs w:val="21"/>
                    </w:rPr>
                  </w:pPr>
                  <w:r>
                    <w:rPr>
                      <w:color w:val="auto"/>
                      <w:kern w:val="0"/>
                      <w:szCs w:val="21"/>
                    </w:rPr>
                    <w:t>生态环境准入清单应保持一定的延续性，保持“省级总体管控要求—州（市）总体管控要求—单元管控要求”3个层级，以生态环境质量改善为核心，结合生态环境准入清单实施中发现的问题，以及区域生态环境主要特征、突出问题和环境质量目标，坚持目标和问题导向，更新总体管控要求和各管控单元生态环境准入清单。</w:t>
                  </w:r>
                </w:p>
                <w:p w14:paraId="70F24240">
                  <w:pPr>
                    <w:autoSpaceDE w:val="0"/>
                    <w:autoSpaceDN w:val="0"/>
                    <w:adjustRightInd w:val="0"/>
                    <w:snapToGrid w:val="0"/>
                    <w:ind w:firstLine="0" w:firstLineChars="0"/>
                    <w:jc w:val="left"/>
                    <w:rPr>
                      <w:color w:val="auto"/>
                      <w:kern w:val="0"/>
                      <w:szCs w:val="21"/>
                    </w:rPr>
                  </w:pPr>
                  <w:r>
                    <w:rPr>
                      <w:color w:val="auto"/>
                      <w:kern w:val="0"/>
                      <w:szCs w:val="21"/>
                    </w:rPr>
                    <w:t>省级总体管控要求遵照《云南省人民政府关于实施“三线一单”生态环境分区管控的意见》（云政发〔2020〕29号）执行。同时，省级层面制定了滇中城市群、重点高原湖泊流域、金沙江流域、滇西北生物多样性保护区及沿边开放经济带等重点区域流域总体管控要求。州（市）总体管控要求和单元管控要求由州（市）人民政府组织制定并发布。</w:t>
                  </w:r>
                </w:p>
                <w:p w14:paraId="0AF6F375">
                  <w:pPr>
                    <w:autoSpaceDE w:val="0"/>
                    <w:autoSpaceDN w:val="0"/>
                    <w:adjustRightInd w:val="0"/>
                    <w:snapToGrid w:val="0"/>
                    <w:ind w:firstLine="0" w:firstLineChars="0"/>
                    <w:jc w:val="left"/>
                    <w:rPr>
                      <w:color w:val="auto"/>
                      <w:kern w:val="0"/>
                      <w:szCs w:val="21"/>
                    </w:rPr>
                  </w:pPr>
                  <w:r>
                    <w:rPr>
                      <w:color w:val="auto"/>
                      <w:kern w:val="0"/>
                      <w:szCs w:val="21"/>
                    </w:rPr>
                    <w:t>各州（市）人民政府、省级有关部门要严格按照《云南省人民政府关于实施“三线一单”生态环境分区管控的意见》和本次生态环境分区管控调整结果，深入实施生态环境分区管控制度，加强成果应用，发挥生态环境分区管控的底线约束和决策支持作用，保障全省经济社会绿色低碳高质量发展。</w:t>
                  </w:r>
                </w:p>
              </w:tc>
              <w:tc>
                <w:tcPr>
                  <w:tcW w:w="3515" w:type="dxa"/>
                  <w:vAlign w:val="center"/>
                </w:tcPr>
                <w:p w14:paraId="1BB49149">
                  <w:pPr>
                    <w:autoSpaceDE w:val="0"/>
                    <w:autoSpaceDN w:val="0"/>
                    <w:adjustRightInd w:val="0"/>
                    <w:snapToGrid w:val="0"/>
                    <w:ind w:firstLine="0" w:firstLineChars="0"/>
                    <w:jc w:val="center"/>
                    <w:rPr>
                      <w:color w:val="auto"/>
                      <w:kern w:val="0"/>
                      <w:szCs w:val="21"/>
                    </w:rPr>
                  </w:pPr>
                  <w:r>
                    <w:rPr>
                      <w:color w:val="auto"/>
                      <w:kern w:val="0"/>
                      <w:szCs w:val="21"/>
                    </w:rPr>
                    <w:t>本项目属于《产业结构调整指导目录（2024年</w:t>
                  </w:r>
                  <w:r>
                    <w:rPr>
                      <w:rFonts w:hint="eastAsia"/>
                      <w:color w:val="auto"/>
                      <w:kern w:val="0"/>
                      <w:szCs w:val="21"/>
                    </w:rPr>
                    <w:t>本</w:t>
                  </w:r>
                  <w:r>
                    <w:rPr>
                      <w:color w:val="auto"/>
                      <w:kern w:val="0"/>
                      <w:szCs w:val="21"/>
                    </w:rPr>
                    <w:t>）》中允许类；生产设备和生产工艺不属于限制类和淘汰类，项目建设符合产业政策要求。根据《市场准入负面清单（2022年版）》，本项目不在其禁止准入类和限制准入类中，故本项目符合《市场准入负面清单（2022年版）》相关要求。</w:t>
                  </w:r>
                </w:p>
              </w:tc>
              <w:tc>
                <w:tcPr>
                  <w:tcW w:w="0" w:type="auto"/>
                  <w:vAlign w:val="center"/>
                </w:tcPr>
                <w:p w14:paraId="17C4C7FC">
                  <w:pPr>
                    <w:autoSpaceDE w:val="0"/>
                    <w:autoSpaceDN w:val="0"/>
                    <w:adjustRightInd w:val="0"/>
                    <w:snapToGrid w:val="0"/>
                    <w:ind w:firstLine="0" w:firstLineChars="0"/>
                    <w:jc w:val="center"/>
                    <w:rPr>
                      <w:color w:val="auto"/>
                      <w:kern w:val="0"/>
                      <w:szCs w:val="21"/>
                    </w:rPr>
                  </w:pPr>
                  <w:r>
                    <w:rPr>
                      <w:color w:val="auto"/>
                      <w:kern w:val="0"/>
                      <w:szCs w:val="21"/>
                    </w:rPr>
                    <w:t>符合</w:t>
                  </w:r>
                </w:p>
              </w:tc>
            </w:tr>
          </w:tbl>
          <w:p w14:paraId="208A3663">
            <w:pPr>
              <w:pStyle w:val="26"/>
              <w:adjustRightInd w:val="0"/>
              <w:snapToGrid w:val="0"/>
              <w:spacing w:line="360" w:lineRule="auto"/>
              <w:ind w:firstLine="482"/>
              <w:rPr>
                <w:rFonts w:ascii="Times New Roman" w:hAnsi="Times New Roman"/>
                <w:color w:val="auto"/>
              </w:rPr>
            </w:pPr>
            <w:r>
              <w:rPr>
                <w:rFonts w:ascii="Times New Roman" w:hAnsi="Times New Roman"/>
                <w:b/>
                <w:color w:val="auto"/>
                <w:sz w:val="24"/>
              </w:rPr>
              <w:t>3、</w:t>
            </w:r>
            <w:bookmarkStart w:id="6" w:name="_Toc11005"/>
            <w:bookmarkStart w:id="7" w:name="_Toc1839"/>
            <w:bookmarkStart w:id="8" w:name="_Toc14631_WPSOffice_Level2"/>
            <w:r>
              <w:rPr>
                <w:rFonts w:ascii="Times New Roman" w:hAnsi="Times New Roman"/>
                <w:b/>
                <w:color w:val="auto"/>
                <w:sz w:val="24"/>
              </w:rPr>
              <w:t>项目与《昆明市生态环境分区管控动态更新方案（2023年）》的符合性分析</w:t>
            </w:r>
          </w:p>
          <w:p w14:paraId="2F09A299">
            <w:pPr>
              <w:spacing w:line="360" w:lineRule="auto"/>
              <w:ind w:firstLine="476"/>
              <w:rPr>
                <w:color w:val="auto"/>
                <w:spacing w:val="-1"/>
                <w:sz w:val="24"/>
              </w:rPr>
            </w:pPr>
            <w:r>
              <w:rPr>
                <w:color w:val="auto"/>
                <w:spacing w:val="-1"/>
                <w:sz w:val="24"/>
              </w:rPr>
              <w:t>为做好生态环境分区管控与国土空间规划分区和用途管制、能源资源管理、生态环境要素管理、碳排放控制等工作的协调联动，提升成果时效性和针对性，并为战略环评与规划环评落地以及项目环评管理提供依据和支撑，2024年11月，昆明市生态环境局印发实施了《昆明市生态环境分区管控动态更新方案(2023年)》(以下简称《动态更新方案》)。</w:t>
            </w:r>
          </w:p>
          <w:p w14:paraId="0CE51560">
            <w:pPr>
              <w:spacing w:line="360" w:lineRule="auto"/>
              <w:ind w:firstLine="478"/>
              <w:rPr>
                <w:b/>
                <w:bCs/>
                <w:color w:val="auto"/>
                <w:spacing w:val="-1"/>
                <w:sz w:val="24"/>
              </w:rPr>
            </w:pPr>
            <w:r>
              <w:rPr>
                <w:b/>
                <w:bCs/>
                <w:color w:val="auto"/>
                <w:spacing w:val="-1"/>
                <w:sz w:val="24"/>
              </w:rPr>
              <w:t>一、总体目标</w:t>
            </w:r>
          </w:p>
          <w:p w14:paraId="7EA69069">
            <w:pPr>
              <w:spacing w:line="360" w:lineRule="auto"/>
              <w:ind w:firstLine="476"/>
              <w:rPr>
                <w:color w:val="auto"/>
                <w:spacing w:val="-1"/>
                <w:sz w:val="24"/>
              </w:rPr>
            </w:pPr>
            <w:r>
              <w:rPr>
                <w:color w:val="auto"/>
                <w:spacing w:val="-1"/>
                <w:sz w:val="24"/>
              </w:rPr>
              <w:t>在市委、市政府的统一领导下，围绕建设社会主义现代化区域性国际中心城市的总体目标，立足良好的区位优势、生态优势、资源优势和深厚的产业基础，通过分析生态安全、人居环境安全、资源环境承载等面临的制约和挑战，评估经济社会发展带来的资源环境压力，基于新的生态保护红线划定成果、环境质量和资源利用要求，优化调整原生态环境分区管控成果。到2025年，全市生态环境质量持续改善，全市国土空间开发保护格局得到优化，绿色低碳发展加快推进，生产生活方式绿色转型成效显著，环境安全得到有效保障。到2035年，全市生态环境根本好转，生态服务功能得到提升，全社会形成节能、低碳、绿色的生产、生活方式和消费模式，生态环境质量稳居全国前列，世界春城花都和生态宜居城市魅力凸显，建成美丽中国典范城市，基本实现生态文明现代化。</w:t>
            </w:r>
          </w:p>
          <w:p w14:paraId="147992DB">
            <w:pPr>
              <w:spacing w:line="360" w:lineRule="auto"/>
              <w:ind w:firstLine="478"/>
              <w:rPr>
                <w:b/>
                <w:bCs/>
                <w:color w:val="auto"/>
                <w:spacing w:val="-1"/>
                <w:sz w:val="24"/>
              </w:rPr>
            </w:pPr>
            <w:r>
              <w:rPr>
                <w:b/>
                <w:bCs/>
                <w:color w:val="auto"/>
                <w:spacing w:val="-1"/>
                <w:sz w:val="24"/>
              </w:rPr>
              <w:t>二、更新结果</w:t>
            </w:r>
          </w:p>
          <w:p w14:paraId="1F440195">
            <w:pPr>
              <w:spacing w:line="360" w:lineRule="auto"/>
              <w:ind w:firstLine="478"/>
              <w:rPr>
                <w:b/>
                <w:bCs/>
                <w:color w:val="auto"/>
                <w:spacing w:val="-1"/>
                <w:sz w:val="24"/>
              </w:rPr>
            </w:pPr>
            <w:r>
              <w:rPr>
                <w:b/>
                <w:bCs/>
                <w:color w:val="auto"/>
                <w:spacing w:val="-1"/>
                <w:sz w:val="24"/>
              </w:rPr>
              <w:t>（一）环境管控单元更新结果</w:t>
            </w:r>
          </w:p>
          <w:p w14:paraId="0E6D6EA4">
            <w:pPr>
              <w:spacing w:line="360" w:lineRule="auto"/>
              <w:ind w:firstLine="480"/>
              <w:rPr>
                <w:color w:val="auto"/>
                <w:sz w:val="24"/>
              </w:rPr>
            </w:pPr>
            <w:r>
              <w:rPr>
                <w:color w:val="auto"/>
                <w:sz w:val="24"/>
              </w:rPr>
              <w:t>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14:paraId="6B71A4DD">
            <w:pPr>
              <w:spacing w:line="360" w:lineRule="auto"/>
              <w:ind w:firstLine="478"/>
              <w:rPr>
                <w:b/>
                <w:bCs/>
                <w:color w:val="auto"/>
                <w:spacing w:val="-1"/>
                <w:sz w:val="24"/>
              </w:rPr>
            </w:pPr>
            <w:r>
              <w:rPr>
                <w:b/>
                <w:bCs/>
                <w:color w:val="auto"/>
                <w:spacing w:val="-1"/>
                <w:sz w:val="24"/>
              </w:rPr>
              <w:t>（二）生态保护红线及一般生态空间更新结果</w:t>
            </w:r>
          </w:p>
          <w:p w14:paraId="62ADB3AB">
            <w:pPr>
              <w:spacing w:line="360" w:lineRule="auto"/>
              <w:ind w:firstLine="476"/>
              <w:rPr>
                <w:color w:val="auto"/>
                <w:spacing w:val="-1"/>
                <w:sz w:val="24"/>
              </w:rPr>
            </w:pPr>
            <w:r>
              <w:rPr>
                <w:color w:val="auto"/>
                <w:spacing w:val="-1"/>
                <w:sz w:val="24"/>
              </w:rPr>
              <w:t>更新后，生态保护红线全面与《昆明市国土空间总体规划（2021-2035年）》衔接，全市生态保护红线面积4274.70平方公里，占全市国土面积的20.34%，较原有面积占比减少1.85%。全市一般生态空间面积5151.56km</w:t>
            </w:r>
            <w:r>
              <w:rPr>
                <w:color w:val="auto"/>
                <w:spacing w:val="-1"/>
                <w:sz w:val="24"/>
                <w:vertAlign w:val="superscript"/>
              </w:rPr>
              <w:t>2</w:t>
            </w:r>
            <w:r>
              <w:rPr>
                <w:color w:val="auto"/>
                <w:spacing w:val="-1"/>
                <w:sz w:val="24"/>
              </w:rPr>
              <w:t>，占国土空间面积的24.37%，较原有面积占比增加2.45%。</w:t>
            </w:r>
          </w:p>
          <w:p w14:paraId="61C3EB0A">
            <w:pPr>
              <w:spacing w:line="360" w:lineRule="auto"/>
              <w:ind w:firstLine="476"/>
              <w:rPr>
                <w:color w:val="auto"/>
                <w:spacing w:val="-1"/>
                <w:sz w:val="24"/>
              </w:rPr>
            </w:pPr>
            <w:r>
              <w:rPr>
                <w:color w:val="auto"/>
                <w:spacing w:val="-1"/>
                <w:sz w:val="24"/>
              </w:rPr>
              <w:t>本</w:t>
            </w:r>
            <w:r>
              <w:rPr>
                <w:color w:val="auto"/>
                <w:spacing w:val="-2"/>
                <w:sz w:val="24"/>
              </w:rPr>
              <w:t>项目位于寻甸回族彝族自治县县城重点管控单元（见图</w:t>
            </w:r>
            <w:r>
              <w:rPr>
                <w:rFonts w:eastAsia="Times New Roman"/>
                <w:color w:val="auto"/>
                <w:spacing w:val="-2"/>
                <w:sz w:val="24"/>
              </w:rPr>
              <w:t>1-1</w:t>
            </w:r>
            <w:r>
              <w:rPr>
                <w:color w:val="auto"/>
                <w:spacing w:val="10"/>
                <w:sz w:val="24"/>
              </w:rPr>
              <w:t>），</w:t>
            </w:r>
            <w:r>
              <w:rPr>
                <w:color w:val="auto"/>
                <w:spacing w:val="-2"/>
                <w:sz w:val="24"/>
              </w:rPr>
              <w:t>项目建设内容</w:t>
            </w:r>
            <w:r>
              <w:rPr>
                <w:color w:val="auto"/>
                <w:spacing w:val="-4"/>
                <w:sz w:val="24"/>
              </w:rPr>
              <w:t>为水泥制品制造，不属于“高污染、高环境风险”项目，不包含空间布局</w:t>
            </w:r>
            <w:r>
              <w:rPr>
                <w:color w:val="auto"/>
                <w:sz w:val="24"/>
              </w:rPr>
              <w:t>约束、污染物排放管控及环境风险防控中涉及的内容。</w:t>
            </w:r>
          </w:p>
          <w:p w14:paraId="52F9FF96">
            <w:pPr>
              <w:spacing w:line="360" w:lineRule="auto"/>
              <w:ind w:firstLine="478"/>
              <w:rPr>
                <w:b/>
                <w:bCs/>
                <w:color w:val="auto"/>
                <w:spacing w:val="-1"/>
                <w:sz w:val="24"/>
              </w:rPr>
            </w:pPr>
            <w:r>
              <w:rPr>
                <w:b/>
                <w:bCs/>
                <w:color w:val="auto"/>
                <w:spacing w:val="-1"/>
                <w:sz w:val="24"/>
              </w:rPr>
              <w:t>（三）环境质量底线及资源利用上</w:t>
            </w:r>
            <w:bookmarkStart w:id="32" w:name="_GoBack"/>
            <w:bookmarkEnd w:id="32"/>
            <w:r>
              <w:rPr>
                <w:b/>
                <w:bCs/>
                <w:color w:val="auto"/>
                <w:spacing w:val="-1"/>
                <w:sz w:val="24"/>
              </w:rPr>
              <w:t>线更新结果</w:t>
            </w:r>
          </w:p>
          <w:p w14:paraId="3DECB4F6">
            <w:pPr>
              <w:spacing w:line="360" w:lineRule="auto"/>
              <w:ind w:firstLine="476"/>
              <w:rPr>
                <w:color w:val="auto"/>
                <w:spacing w:val="-1"/>
                <w:sz w:val="24"/>
              </w:rPr>
            </w:pPr>
            <w:r>
              <w:rPr>
                <w:color w:val="auto"/>
                <w:spacing w:val="-1"/>
                <w:sz w:val="24"/>
              </w:rPr>
              <w:t>到2025年，地表水国考断面达到或优于Ⅲ类的比例81.5%，45个省控地表水断面水质优良（达到或优于Ⅲ类）比例达到80%，劣V类水体全面消除，县级以上22个集中式饮用水水源达到或优于Ⅲ类比例为100%；空气质量优良天数比率达99.1%，细颗粒物（PM2.5）浓度不高于24微克/立方米，重污染天数为0；全市土壤环境质量总体保持稳定，局部稳中向好，受污染耕地安全利用率不低于90%，重点建设用地安全利用得到有效保障。</w:t>
            </w:r>
          </w:p>
          <w:p w14:paraId="1F7B8B29">
            <w:pPr>
              <w:spacing w:line="360" w:lineRule="auto"/>
              <w:ind w:firstLine="476"/>
              <w:rPr>
                <w:color w:val="auto"/>
                <w:spacing w:val="-1"/>
                <w:sz w:val="24"/>
              </w:rPr>
            </w:pPr>
            <w:r>
              <w:rPr>
                <w:color w:val="auto"/>
                <w:spacing w:val="-1"/>
                <w:sz w:val="24"/>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14:paraId="734221C2">
            <w:pPr>
              <w:spacing w:line="360" w:lineRule="auto"/>
              <w:ind w:firstLine="476"/>
              <w:rPr>
                <w:color w:val="auto"/>
                <w:spacing w:val="-1"/>
                <w:sz w:val="24"/>
              </w:rPr>
            </w:pPr>
            <w:r>
              <w:rPr>
                <w:color w:val="auto"/>
                <w:spacing w:val="-1"/>
                <w:sz w:val="24"/>
              </w:rPr>
              <w:t>项目选址区域环境空气达到《环境空气质量标准》（GB3095-2012）二级标准，在采取相应的措施后，项目运营期废气对周围环境影响较小；本项目生活污水及生产废水均不外排。项目严格采取环境保护措施后，确保污染物达标排放，项目建成后不</w:t>
            </w:r>
            <w:r>
              <w:rPr>
                <w:rFonts w:hint="eastAsia"/>
                <w:color w:val="auto"/>
                <w:spacing w:val="-1"/>
                <w:sz w:val="24"/>
              </w:rPr>
              <w:t>会对</w:t>
            </w:r>
            <w:r>
              <w:rPr>
                <w:color w:val="auto"/>
                <w:spacing w:val="-1"/>
                <w:sz w:val="24"/>
              </w:rPr>
              <w:t>区域环境质量底线造成冲击。</w:t>
            </w:r>
          </w:p>
          <w:p w14:paraId="546BA131">
            <w:pPr>
              <w:spacing w:line="360" w:lineRule="auto"/>
              <w:ind w:firstLine="476"/>
              <w:rPr>
                <w:color w:val="auto"/>
                <w:spacing w:val="-1"/>
                <w:sz w:val="24"/>
              </w:rPr>
            </w:pPr>
            <w:r>
              <w:rPr>
                <w:color w:val="auto"/>
                <w:spacing w:val="0"/>
                <w:sz w:val="24"/>
              </w:rPr>
              <w:t>本项目运营过程中会消耗一定量电能、水资源，水、电消耗量较区域总量来说，占比很小；项目不占用基本农田、林地等，不会突破省下达的总量和强度控制指标。</w:t>
            </w:r>
            <w:r>
              <w:rPr>
                <w:rFonts w:hint="eastAsia"/>
                <w:color w:val="auto"/>
                <w:spacing w:val="-1"/>
                <w:sz w:val="24"/>
              </w:rPr>
              <w:t xml:space="preserve"> </w:t>
            </w:r>
          </w:p>
          <w:p w14:paraId="5F7A89DD">
            <w:pPr>
              <w:spacing w:line="360" w:lineRule="auto"/>
              <w:ind w:firstLine="478"/>
              <w:rPr>
                <w:b/>
                <w:bCs/>
                <w:color w:val="auto"/>
                <w:spacing w:val="-1"/>
                <w:sz w:val="24"/>
              </w:rPr>
            </w:pPr>
            <w:r>
              <w:rPr>
                <w:b/>
                <w:bCs/>
                <w:color w:val="auto"/>
                <w:spacing w:val="-1"/>
                <w:sz w:val="24"/>
              </w:rPr>
              <w:t>（四）生态环境准入清单调整结果</w:t>
            </w:r>
          </w:p>
          <w:p w14:paraId="5EF54B05">
            <w:pPr>
              <w:spacing w:line="360" w:lineRule="auto"/>
              <w:ind w:firstLine="476"/>
              <w:rPr>
                <w:color w:val="auto"/>
                <w:spacing w:val="-1"/>
                <w:sz w:val="24"/>
              </w:rPr>
            </w:pPr>
            <w:r>
              <w:rPr>
                <w:color w:val="auto"/>
                <w:spacing w:val="-1"/>
                <w:sz w:val="24"/>
              </w:rPr>
              <w:t>项目位于寻甸回族彝族自治县县城重点管控单元，项目与昆明市生态环境管控总体准入清单符合性分析见下表。</w:t>
            </w:r>
          </w:p>
          <w:p w14:paraId="2F868F32">
            <w:pPr>
              <w:pStyle w:val="110"/>
              <w:spacing w:before="120" w:after="48"/>
              <w:outlineLvl w:val="9"/>
              <w:rPr>
                <w:bCs/>
                <w:snapToGrid w:val="0"/>
                <w:color w:val="auto"/>
                <w:kern w:val="0"/>
                <w:szCs w:val="21"/>
              </w:rPr>
            </w:pPr>
            <w:bookmarkStart w:id="9" w:name="_Toc2480"/>
            <w:r>
              <w:rPr>
                <w:bCs/>
                <w:snapToGrid w:val="0"/>
                <w:color w:val="auto"/>
                <w:kern w:val="0"/>
                <w:szCs w:val="21"/>
              </w:rPr>
              <w:t>表1-3   项目与昆明市“三线一单”文件相符性分析</w:t>
            </w:r>
            <w:bookmarkEnd w:id="9"/>
          </w:p>
          <w:tbl>
            <w:tblPr>
              <w:tblStyle w:val="37"/>
              <w:tblW w:w="499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08"/>
              <w:gridCol w:w="427"/>
              <w:gridCol w:w="3104"/>
              <w:gridCol w:w="2732"/>
              <w:gridCol w:w="757"/>
            </w:tblGrid>
            <w:tr w14:paraId="7E1E704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428" w:hRule="atLeast"/>
                <w:jc w:val="center"/>
              </w:trPr>
              <w:tc>
                <w:tcPr>
                  <w:tcW w:w="695" w:type="pct"/>
                  <w:gridSpan w:val="2"/>
                  <w:tcBorders>
                    <w:tl2br w:val="nil"/>
                    <w:tr2bl w:val="nil"/>
                  </w:tcBorders>
                  <w:vAlign w:val="center"/>
                </w:tcPr>
                <w:p w14:paraId="49C7BAD5">
                  <w:pPr>
                    <w:ind w:firstLine="0" w:firstLineChars="0"/>
                    <w:jc w:val="center"/>
                    <w:rPr>
                      <w:b/>
                      <w:bCs/>
                      <w:color w:val="auto"/>
                      <w:szCs w:val="21"/>
                    </w:rPr>
                  </w:pPr>
                  <w:r>
                    <w:rPr>
                      <w:b/>
                      <w:bCs/>
                      <w:color w:val="auto"/>
                      <w:szCs w:val="21"/>
                    </w:rPr>
                    <w:t>类别</w:t>
                  </w:r>
                </w:p>
              </w:tc>
              <w:tc>
                <w:tcPr>
                  <w:tcW w:w="2165" w:type="pct"/>
                  <w:gridSpan w:val="2"/>
                  <w:tcBorders>
                    <w:tl2br w:val="nil"/>
                    <w:tr2bl w:val="nil"/>
                  </w:tcBorders>
                  <w:vAlign w:val="center"/>
                </w:tcPr>
                <w:p w14:paraId="371FC176">
                  <w:pPr>
                    <w:ind w:firstLine="0" w:firstLineChars="0"/>
                    <w:jc w:val="center"/>
                    <w:rPr>
                      <w:b/>
                      <w:bCs/>
                      <w:color w:val="auto"/>
                      <w:szCs w:val="21"/>
                    </w:rPr>
                  </w:pPr>
                  <w:r>
                    <w:rPr>
                      <w:b/>
                      <w:bCs/>
                      <w:color w:val="auto"/>
                      <w:szCs w:val="21"/>
                    </w:rPr>
                    <w:t>文件要求</w:t>
                  </w:r>
                </w:p>
              </w:tc>
              <w:tc>
                <w:tcPr>
                  <w:tcW w:w="1675" w:type="pct"/>
                  <w:tcBorders>
                    <w:tl2br w:val="nil"/>
                    <w:tr2bl w:val="nil"/>
                  </w:tcBorders>
                  <w:vAlign w:val="center"/>
                </w:tcPr>
                <w:p w14:paraId="29F06E8E">
                  <w:pPr>
                    <w:ind w:firstLine="0" w:firstLineChars="0"/>
                    <w:jc w:val="center"/>
                    <w:rPr>
                      <w:b/>
                      <w:bCs/>
                      <w:color w:val="auto"/>
                      <w:szCs w:val="21"/>
                    </w:rPr>
                  </w:pPr>
                  <w:r>
                    <w:rPr>
                      <w:b/>
                      <w:bCs/>
                      <w:color w:val="auto"/>
                      <w:szCs w:val="21"/>
                    </w:rPr>
                    <w:t>相符性分析</w:t>
                  </w:r>
                </w:p>
              </w:tc>
              <w:tc>
                <w:tcPr>
                  <w:tcW w:w="464" w:type="pct"/>
                  <w:tcBorders>
                    <w:tl2br w:val="nil"/>
                    <w:tr2bl w:val="nil"/>
                  </w:tcBorders>
                  <w:vAlign w:val="center"/>
                </w:tcPr>
                <w:p w14:paraId="7DC8A9FB">
                  <w:pPr>
                    <w:ind w:firstLine="0" w:firstLineChars="0"/>
                    <w:jc w:val="center"/>
                    <w:rPr>
                      <w:b/>
                      <w:bCs/>
                      <w:color w:val="auto"/>
                      <w:szCs w:val="21"/>
                    </w:rPr>
                  </w:pPr>
                  <w:r>
                    <w:rPr>
                      <w:b/>
                      <w:bCs/>
                      <w:color w:val="auto"/>
                      <w:szCs w:val="21"/>
                    </w:rPr>
                    <w:t>符合性</w:t>
                  </w:r>
                </w:p>
              </w:tc>
            </w:tr>
            <w:tr w14:paraId="795A591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restart"/>
                  <w:tcBorders>
                    <w:tl2br w:val="nil"/>
                    <w:tr2bl w:val="nil"/>
                  </w:tcBorders>
                  <w:vAlign w:val="center"/>
                </w:tcPr>
                <w:p w14:paraId="41981DA4">
                  <w:pPr>
                    <w:ind w:firstLine="0" w:firstLineChars="0"/>
                    <w:jc w:val="center"/>
                    <w:rPr>
                      <w:color w:val="auto"/>
                      <w:szCs w:val="21"/>
                    </w:rPr>
                  </w:pPr>
                  <w:r>
                    <w:rPr>
                      <w:color w:val="auto"/>
                      <w:szCs w:val="21"/>
                    </w:rPr>
                    <w:t>生态环境准入清单</w:t>
                  </w:r>
                </w:p>
              </w:tc>
              <w:tc>
                <w:tcPr>
                  <w:tcW w:w="434" w:type="pct"/>
                  <w:vMerge w:val="restart"/>
                  <w:tcBorders>
                    <w:tl2br w:val="nil"/>
                    <w:tr2bl w:val="nil"/>
                  </w:tcBorders>
                  <w:vAlign w:val="center"/>
                </w:tcPr>
                <w:p w14:paraId="7472ED08">
                  <w:pPr>
                    <w:ind w:firstLine="0" w:firstLineChars="0"/>
                    <w:jc w:val="center"/>
                    <w:rPr>
                      <w:color w:val="auto"/>
                      <w:szCs w:val="21"/>
                    </w:rPr>
                  </w:pPr>
                  <w:r>
                    <w:rPr>
                      <w:color w:val="auto"/>
                      <w:szCs w:val="21"/>
                    </w:rPr>
                    <w:t>寻甸回族彝族自治县县城重点管控单元</w:t>
                  </w:r>
                </w:p>
              </w:tc>
              <w:tc>
                <w:tcPr>
                  <w:tcW w:w="262" w:type="pct"/>
                  <w:tcBorders>
                    <w:tl2br w:val="nil"/>
                    <w:tr2bl w:val="nil"/>
                  </w:tcBorders>
                  <w:vAlign w:val="center"/>
                </w:tcPr>
                <w:p w14:paraId="22FCA006">
                  <w:pPr>
                    <w:ind w:firstLine="0" w:firstLineChars="0"/>
                    <w:jc w:val="center"/>
                    <w:rPr>
                      <w:rStyle w:val="111"/>
                      <w:color w:val="auto"/>
                      <w:kern w:val="0"/>
                      <w:szCs w:val="21"/>
                    </w:rPr>
                  </w:pPr>
                  <w:r>
                    <w:rPr>
                      <w:rStyle w:val="111"/>
                      <w:color w:val="auto"/>
                      <w:kern w:val="0"/>
                      <w:szCs w:val="21"/>
                    </w:rPr>
                    <w:t>空间布局</w:t>
                  </w:r>
                </w:p>
                <w:p w14:paraId="6A8A1512">
                  <w:pPr>
                    <w:ind w:firstLine="0" w:firstLineChars="0"/>
                    <w:jc w:val="center"/>
                    <w:rPr>
                      <w:rStyle w:val="111"/>
                      <w:color w:val="auto"/>
                      <w:kern w:val="0"/>
                      <w:szCs w:val="21"/>
                    </w:rPr>
                  </w:pPr>
                  <w:r>
                    <w:rPr>
                      <w:rStyle w:val="111"/>
                      <w:color w:val="auto"/>
                      <w:kern w:val="0"/>
                      <w:szCs w:val="21"/>
                    </w:rPr>
                    <w:t>约束</w:t>
                  </w:r>
                </w:p>
              </w:tc>
              <w:tc>
                <w:tcPr>
                  <w:tcW w:w="1902" w:type="pct"/>
                  <w:tcBorders>
                    <w:tl2br w:val="nil"/>
                    <w:tr2bl w:val="nil"/>
                  </w:tcBorders>
                  <w:vAlign w:val="center"/>
                </w:tcPr>
                <w:p w14:paraId="11216E93">
                  <w:pPr>
                    <w:ind w:firstLine="0" w:firstLineChars="0"/>
                    <w:jc w:val="left"/>
                    <w:rPr>
                      <w:rStyle w:val="111"/>
                      <w:color w:val="auto"/>
                      <w:kern w:val="0"/>
                      <w:szCs w:val="21"/>
                    </w:rPr>
                  </w:pPr>
                  <w:r>
                    <w:rPr>
                      <w:rStyle w:val="111"/>
                      <w:color w:val="auto"/>
                      <w:kern w:val="0"/>
                      <w:szCs w:val="21"/>
                    </w:rPr>
                    <w:t>1.禁止一切破坏水环境生态平衡的活动及破坏水源林、护岸林、与水源保护相关植被的活动。</w:t>
                  </w:r>
                </w:p>
                <w:p w14:paraId="241B2EB7">
                  <w:pPr>
                    <w:ind w:firstLine="0" w:firstLineChars="0"/>
                    <w:jc w:val="left"/>
                    <w:rPr>
                      <w:rStyle w:val="111"/>
                      <w:color w:val="auto"/>
                      <w:kern w:val="0"/>
                      <w:szCs w:val="21"/>
                    </w:rPr>
                  </w:pPr>
                  <w:r>
                    <w:rPr>
                      <w:rStyle w:val="111"/>
                      <w:color w:val="auto"/>
                      <w:kern w:val="0"/>
                      <w:szCs w:val="21"/>
                    </w:rPr>
                    <w:t>2.禁止向水域倾倒工业废渣、城市垃圾、粪便及其他废弃物。</w:t>
                  </w:r>
                </w:p>
                <w:p w14:paraId="701F09BE">
                  <w:pPr>
                    <w:ind w:firstLine="0" w:firstLineChars="0"/>
                    <w:jc w:val="left"/>
                    <w:rPr>
                      <w:rStyle w:val="111"/>
                      <w:color w:val="auto"/>
                      <w:kern w:val="0"/>
                      <w:szCs w:val="21"/>
                    </w:rPr>
                  </w:pPr>
                  <w:r>
                    <w:rPr>
                      <w:rStyle w:val="111"/>
                      <w:color w:val="auto"/>
                      <w:kern w:val="0"/>
                      <w:szCs w:val="21"/>
                    </w:rPr>
                    <w:t>3.禁止使用剧毒和高残留农药，不得滥用化肥，不得使用炸药、毒品捕杀鱼类。</w:t>
                  </w:r>
                </w:p>
                <w:p w14:paraId="07695EA1">
                  <w:pPr>
                    <w:ind w:firstLine="0" w:firstLineChars="0"/>
                    <w:jc w:val="left"/>
                    <w:rPr>
                      <w:rStyle w:val="111"/>
                      <w:color w:val="auto"/>
                      <w:kern w:val="0"/>
                      <w:szCs w:val="21"/>
                    </w:rPr>
                  </w:pPr>
                  <w:r>
                    <w:rPr>
                      <w:rStyle w:val="111"/>
                      <w:color w:val="auto"/>
                      <w:kern w:val="0"/>
                      <w:szCs w:val="21"/>
                    </w:rPr>
                    <w:t>4.禁止设立装卸垃圾、粪便、油类和有毒物品的码头。</w:t>
                  </w:r>
                </w:p>
                <w:p w14:paraId="021FDCF5">
                  <w:pPr>
                    <w:ind w:firstLine="0" w:firstLineChars="0"/>
                    <w:jc w:val="left"/>
                    <w:rPr>
                      <w:rStyle w:val="111"/>
                      <w:color w:val="auto"/>
                      <w:kern w:val="0"/>
                      <w:szCs w:val="21"/>
                    </w:rPr>
                  </w:pPr>
                  <w:r>
                    <w:rPr>
                      <w:rStyle w:val="111"/>
                      <w:color w:val="auto"/>
                      <w:kern w:val="0"/>
                      <w:szCs w:val="21"/>
                    </w:rPr>
                    <w:t>5.禁止新建、扩建对水体污染严重的建设项目；改建建设项目，不得增加排污量。</w:t>
                  </w:r>
                </w:p>
              </w:tc>
              <w:tc>
                <w:tcPr>
                  <w:tcW w:w="1675" w:type="pct"/>
                  <w:tcBorders>
                    <w:tl2br w:val="nil"/>
                    <w:tr2bl w:val="nil"/>
                  </w:tcBorders>
                  <w:vAlign w:val="center"/>
                </w:tcPr>
                <w:p w14:paraId="74794D00">
                  <w:pPr>
                    <w:ind w:firstLine="0" w:firstLineChars="0"/>
                    <w:jc w:val="left"/>
                    <w:rPr>
                      <w:rStyle w:val="111"/>
                      <w:color w:val="auto"/>
                      <w:kern w:val="0"/>
                      <w:szCs w:val="21"/>
                    </w:rPr>
                  </w:pPr>
                  <w:r>
                    <w:rPr>
                      <w:rStyle w:val="111"/>
                      <w:color w:val="auto"/>
                      <w:kern w:val="0"/>
                      <w:szCs w:val="21"/>
                    </w:rPr>
                    <w:t>1.项目</w:t>
                  </w:r>
                  <w:r>
                    <w:rPr>
                      <w:rStyle w:val="111"/>
                      <w:rFonts w:hint="eastAsia"/>
                      <w:color w:val="auto"/>
                      <w:kern w:val="0"/>
                      <w:szCs w:val="21"/>
                    </w:rPr>
                    <w:t>不涉及水源保护区，</w:t>
                  </w:r>
                  <w:r>
                    <w:rPr>
                      <w:rStyle w:val="111"/>
                      <w:color w:val="auto"/>
                      <w:kern w:val="0"/>
                      <w:szCs w:val="21"/>
                    </w:rPr>
                    <w:t>项目废水回用，不外排。</w:t>
                  </w:r>
                </w:p>
                <w:p w14:paraId="7959303C">
                  <w:pPr>
                    <w:widowControl/>
                    <w:ind w:firstLine="0" w:firstLineChars="0"/>
                    <w:jc w:val="left"/>
                    <w:rPr>
                      <w:color w:val="auto"/>
                      <w:szCs w:val="21"/>
                    </w:rPr>
                  </w:pPr>
                  <w:r>
                    <w:rPr>
                      <w:rStyle w:val="111"/>
                      <w:rFonts w:hint="eastAsia"/>
                      <w:color w:val="auto"/>
                      <w:kern w:val="0"/>
                      <w:szCs w:val="21"/>
                    </w:rPr>
                    <w:t>2.</w:t>
                  </w:r>
                  <w:r>
                    <w:rPr>
                      <w:color w:val="auto"/>
                      <w:szCs w:val="21"/>
                    </w:rPr>
                    <w:t>项目产生的生活垃圾、油污、餐厨垃圾、收集后委托环卫部门定期清运处置；</w:t>
                  </w:r>
                </w:p>
                <w:p w14:paraId="2013B341">
                  <w:pPr>
                    <w:ind w:firstLine="0" w:firstLineChars="0"/>
                    <w:jc w:val="left"/>
                    <w:rPr>
                      <w:color w:val="auto"/>
                      <w:szCs w:val="21"/>
                    </w:rPr>
                  </w:pPr>
                  <w:r>
                    <w:rPr>
                      <w:color w:val="auto"/>
                      <w:szCs w:val="21"/>
                    </w:rPr>
                    <w:t>产生的底泥定期清理后暂存于原料堆场，用作原料回用于搅拌生产；化粪池污泥委托当地农户定期清运用于周边农田施肥；生产废料用于路面的铺垫料，或者路面的平整料；危险废物统一收集暂存于危废暂存间后，委托有资质单位处置。</w:t>
                  </w:r>
                </w:p>
                <w:p w14:paraId="71FB18A6">
                  <w:pPr>
                    <w:numPr>
                      <w:ilvl w:val="0"/>
                      <w:numId w:val="3"/>
                    </w:numPr>
                    <w:ind w:firstLine="0" w:firstLineChars="0"/>
                    <w:jc w:val="left"/>
                    <w:rPr>
                      <w:color w:val="auto"/>
                      <w:szCs w:val="21"/>
                    </w:rPr>
                  </w:pPr>
                  <w:r>
                    <w:rPr>
                      <w:rFonts w:hint="eastAsia"/>
                      <w:color w:val="auto"/>
                      <w:szCs w:val="21"/>
                    </w:rPr>
                    <w:t>项目不使用农药、化肥、炸药等。</w:t>
                  </w:r>
                </w:p>
                <w:p w14:paraId="6483A593">
                  <w:pPr>
                    <w:numPr>
                      <w:ilvl w:val="0"/>
                      <w:numId w:val="3"/>
                    </w:numPr>
                    <w:ind w:firstLine="0" w:firstLineChars="0"/>
                    <w:jc w:val="left"/>
                    <w:rPr>
                      <w:color w:val="auto"/>
                      <w:szCs w:val="21"/>
                    </w:rPr>
                  </w:pPr>
                  <w:r>
                    <w:rPr>
                      <w:rFonts w:hint="eastAsia"/>
                      <w:color w:val="auto"/>
                      <w:szCs w:val="21"/>
                    </w:rPr>
                    <w:t>项目不设码头。</w:t>
                  </w:r>
                </w:p>
                <w:p w14:paraId="3889AEEB">
                  <w:pPr>
                    <w:numPr>
                      <w:ilvl w:val="0"/>
                      <w:numId w:val="3"/>
                    </w:numPr>
                    <w:ind w:firstLine="0" w:firstLineChars="0"/>
                    <w:jc w:val="left"/>
                    <w:rPr>
                      <w:color w:val="auto"/>
                      <w:szCs w:val="21"/>
                    </w:rPr>
                  </w:pPr>
                  <w:r>
                    <w:rPr>
                      <w:rFonts w:hint="eastAsia"/>
                      <w:color w:val="auto"/>
                      <w:szCs w:val="21"/>
                    </w:rPr>
                    <w:t>项目属于扩建项目，</w:t>
                  </w:r>
                  <w:r>
                    <w:rPr>
                      <w:rStyle w:val="111"/>
                      <w:color w:val="auto"/>
                      <w:kern w:val="0"/>
                      <w:szCs w:val="21"/>
                    </w:rPr>
                    <w:t>项目废水回用，不外排。</w:t>
                  </w:r>
                </w:p>
              </w:tc>
              <w:tc>
                <w:tcPr>
                  <w:tcW w:w="464" w:type="pct"/>
                  <w:tcBorders>
                    <w:tl2br w:val="nil"/>
                    <w:tr2bl w:val="nil"/>
                  </w:tcBorders>
                  <w:vAlign w:val="center"/>
                </w:tcPr>
                <w:p w14:paraId="1D98979B">
                  <w:pPr>
                    <w:ind w:firstLine="0" w:firstLineChars="0"/>
                    <w:jc w:val="center"/>
                    <w:rPr>
                      <w:color w:val="auto"/>
                      <w:szCs w:val="21"/>
                    </w:rPr>
                  </w:pPr>
                  <w:r>
                    <w:rPr>
                      <w:color w:val="auto"/>
                      <w:szCs w:val="21"/>
                    </w:rPr>
                    <w:t>符合</w:t>
                  </w:r>
                </w:p>
              </w:tc>
            </w:tr>
            <w:tr w14:paraId="6EA439E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continue"/>
                  <w:tcBorders>
                    <w:tl2br w:val="nil"/>
                    <w:tr2bl w:val="nil"/>
                  </w:tcBorders>
                  <w:vAlign w:val="center"/>
                </w:tcPr>
                <w:p w14:paraId="51A35460">
                  <w:pPr>
                    <w:ind w:firstLine="0" w:firstLineChars="0"/>
                    <w:jc w:val="center"/>
                    <w:rPr>
                      <w:color w:val="auto"/>
                      <w:szCs w:val="21"/>
                    </w:rPr>
                  </w:pPr>
                </w:p>
              </w:tc>
              <w:tc>
                <w:tcPr>
                  <w:tcW w:w="434" w:type="pct"/>
                  <w:vMerge w:val="continue"/>
                  <w:tcBorders>
                    <w:tl2br w:val="nil"/>
                    <w:tr2bl w:val="nil"/>
                  </w:tcBorders>
                  <w:vAlign w:val="center"/>
                </w:tcPr>
                <w:p w14:paraId="3A33CFCA">
                  <w:pPr>
                    <w:ind w:firstLine="0" w:firstLineChars="0"/>
                    <w:jc w:val="center"/>
                    <w:rPr>
                      <w:color w:val="auto"/>
                      <w:szCs w:val="21"/>
                    </w:rPr>
                  </w:pPr>
                </w:p>
              </w:tc>
              <w:tc>
                <w:tcPr>
                  <w:tcW w:w="262" w:type="pct"/>
                  <w:tcBorders>
                    <w:tl2br w:val="nil"/>
                    <w:tr2bl w:val="nil"/>
                  </w:tcBorders>
                  <w:vAlign w:val="center"/>
                </w:tcPr>
                <w:p w14:paraId="200F9779">
                  <w:pPr>
                    <w:ind w:firstLine="0" w:firstLineChars="0"/>
                    <w:jc w:val="center"/>
                    <w:rPr>
                      <w:rStyle w:val="111"/>
                      <w:color w:val="auto"/>
                      <w:kern w:val="0"/>
                      <w:szCs w:val="21"/>
                    </w:rPr>
                  </w:pPr>
                  <w:r>
                    <w:rPr>
                      <w:rStyle w:val="111"/>
                      <w:color w:val="auto"/>
                      <w:kern w:val="0"/>
                      <w:szCs w:val="21"/>
                    </w:rPr>
                    <w:t>环境风险</w:t>
                  </w:r>
                </w:p>
                <w:p w14:paraId="4ECA6DC5">
                  <w:pPr>
                    <w:ind w:firstLine="0" w:firstLineChars="0"/>
                    <w:jc w:val="center"/>
                    <w:rPr>
                      <w:rStyle w:val="111"/>
                      <w:color w:val="auto"/>
                      <w:kern w:val="0"/>
                      <w:szCs w:val="21"/>
                    </w:rPr>
                  </w:pPr>
                  <w:r>
                    <w:rPr>
                      <w:rStyle w:val="111"/>
                      <w:color w:val="auto"/>
                      <w:kern w:val="0"/>
                      <w:szCs w:val="21"/>
                    </w:rPr>
                    <w:t>防控</w:t>
                  </w:r>
                </w:p>
              </w:tc>
              <w:tc>
                <w:tcPr>
                  <w:tcW w:w="1902" w:type="pct"/>
                  <w:tcBorders>
                    <w:tl2br w:val="nil"/>
                    <w:tr2bl w:val="nil"/>
                  </w:tcBorders>
                  <w:vAlign w:val="center"/>
                </w:tcPr>
                <w:p w14:paraId="4218FFD1">
                  <w:pPr>
                    <w:ind w:firstLine="0" w:firstLineChars="0"/>
                    <w:jc w:val="left"/>
                    <w:rPr>
                      <w:rStyle w:val="111"/>
                      <w:color w:val="auto"/>
                      <w:kern w:val="0"/>
                      <w:szCs w:val="21"/>
                    </w:rPr>
                  </w:pPr>
                  <w:r>
                    <w:rPr>
                      <w:rStyle w:val="111"/>
                      <w:color w:val="auto"/>
                      <w:kern w:val="0"/>
                      <w:szCs w:val="21"/>
                    </w:rPr>
                    <w:t>1.防范农业面源污染，实现畜禽粪污资源化利用。</w:t>
                  </w:r>
                </w:p>
                <w:p w14:paraId="53F37263">
                  <w:pPr>
                    <w:ind w:firstLine="0" w:firstLineChars="0"/>
                    <w:jc w:val="left"/>
                    <w:rPr>
                      <w:rStyle w:val="111"/>
                      <w:color w:val="auto"/>
                      <w:kern w:val="0"/>
                      <w:szCs w:val="21"/>
                    </w:rPr>
                  </w:pPr>
                  <w:r>
                    <w:rPr>
                      <w:rStyle w:val="111"/>
                      <w:color w:val="auto"/>
                      <w:kern w:val="0"/>
                      <w:szCs w:val="21"/>
                    </w:rPr>
                    <w:t>2.禁止高毒高风险农药使用。</w:t>
                  </w:r>
                </w:p>
                <w:p w14:paraId="15DD5F77">
                  <w:pPr>
                    <w:ind w:firstLine="0" w:firstLineChars="0"/>
                    <w:jc w:val="left"/>
                    <w:rPr>
                      <w:rStyle w:val="111"/>
                      <w:color w:val="auto"/>
                      <w:kern w:val="0"/>
                      <w:szCs w:val="21"/>
                    </w:rPr>
                  </w:pPr>
                  <w:r>
                    <w:rPr>
                      <w:rStyle w:val="111"/>
                      <w:color w:val="auto"/>
                      <w:kern w:val="0"/>
                      <w:szCs w:val="21"/>
                    </w:rPr>
                    <w:t>3.建立环境风险预测预警体系，完善突发环境事件应急预案，提高预警能力。</w:t>
                  </w:r>
                </w:p>
              </w:tc>
              <w:tc>
                <w:tcPr>
                  <w:tcW w:w="1675" w:type="pct"/>
                  <w:tcBorders>
                    <w:tl2br w:val="nil"/>
                    <w:tr2bl w:val="nil"/>
                  </w:tcBorders>
                  <w:vAlign w:val="center"/>
                </w:tcPr>
                <w:p w14:paraId="563E9D2C">
                  <w:pPr>
                    <w:ind w:firstLine="0" w:firstLineChars="0"/>
                    <w:jc w:val="left"/>
                    <w:rPr>
                      <w:rStyle w:val="111"/>
                      <w:color w:val="auto"/>
                      <w:kern w:val="0"/>
                      <w:szCs w:val="21"/>
                    </w:rPr>
                  </w:pPr>
                  <w:r>
                    <w:rPr>
                      <w:rStyle w:val="111"/>
                      <w:rFonts w:hint="eastAsia"/>
                      <w:color w:val="auto"/>
                      <w:kern w:val="0"/>
                      <w:szCs w:val="21"/>
                    </w:rPr>
                    <w:t>本项目不使用</w:t>
                  </w:r>
                  <w:r>
                    <w:rPr>
                      <w:rStyle w:val="111"/>
                      <w:color w:val="auto"/>
                      <w:kern w:val="0"/>
                      <w:szCs w:val="21"/>
                    </w:rPr>
                    <w:t>农药</w:t>
                  </w:r>
                  <w:r>
                    <w:rPr>
                      <w:rStyle w:val="111"/>
                      <w:rFonts w:hint="eastAsia"/>
                      <w:color w:val="auto"/>
                      <w:kern w:val="0"/>
                      <w:szCs w:val="21"/>
                    </w:rPr>
                    <w:t>，已尽快开展</w:t>
                  </w:r>
                  <w:r>
                    <w:rPr>
                      <w:rStyle w:val="111"/>
                      <w:color w:val="auto"/>
                      <w:kern w:val="0"/>
                      <w:szCs w:val="21"/>
                    </w:rPr>
                    <w:t>突发环境事件应急预案</w:t>
                  </w:r>
                  <w:r>
                    <w:rPr>
                      <w:rStyle w:val="111"/>
                      <w:rFonts w:hint="eastAsia"/>
                      <w:color w:val="auto"/>
                      <w:kern w:val="0"/>
                      <w:szCs w:val="21"/>
                    </w:rPr>
                    <w:t>编制工作。</w:t>
                  </w:r>
                </w:p>
              </w:tc>
              <w:tc>
                <w:tcPr>
                  <w:tcW w:w="464" w:type="pct"/>
                  <w:tcBorders>
                    <w:tl2br w:val="nil"/>
                    <w:tr2bl w:val="nil"/>
                  </w:tcBorders>
                  <w:vAlign w:val="center"/>
                </w:tcPr>
                <w:p w14:paraId="6809FE61">
                  <w:pPr>
                    <w:ind w:firstLine="0" w:firstLineChars="0"/>
                    <w:jc w:val="center"/>
                    <w:rPr>
                      <w:color w:val="auto"/>
                      <w:szCs w:val="21"/>
                    </w:rPr>
                  </w:pPr>
                  <w:r>
                    <w:rPr>
                      <w:color w:val="auto"/>
                      <w:szCs w:val="21"/>
                    </w:rPr>
                    <w:t>符合</w:t>
                  </w:r>
                </w:p>
              </w:tc>
            </w:tr>
            <w:bookmarkEnd w:id="6"/>
            <w:bookmarkEnd w:id="7"/>
            <w:bookmarkEnd w:id="8"/>
          </w:tbl>
          <w:p w14:paraId="02BA0C65">
            <w:pPr>
              <w:pStyle w:val="18"/>
              <w:keepNext w:val="0"/>
              <w:keepLines w:val="0"/>
              <w:pageBreakBefore w:val="0"/>
              <w:widowControl w:val="0"/>
              <w:kinsoku/>
              <w:wordWrap/>
              <w:overflowPunct/>
              <w:topLinePunct w:val="0"/>
              <w:autoSpaceDE/>
              <w:autoSpaceDN/>
              <w:bidi w:val="0"/>
              <w:adjustRightInd/>
              <w:snapToGrid/>
              <w:spacing w:line="360" w:lineRule="auto"/>
              <w:ind w:firstLine="476"/>
              <w:textAlignment w:val="auto"/>
              <w:rPr>
                <w:color w:val="auto"/>
                <w:sz w:val="24"/>
              </w:rPr>
            </w:pPr>
            <w:r>
              <w:rPr>
                <w:color w:val="auto"/>
                <w:kern w:val="0"/>
                <w:sz w:val="24"/>
              </w:rPr>
              <w:t>综上所述，本项目的建设符合</w:t>
            </w:r>
            <w:r>
              <w:rPr>
                <w:color w:val="auto"/>
                <w:spacing w:val="-1"/>
                <w:sz w:val="24"/>
              </w:rPr>
              <w:t>《昆明市生态环境分区管控动态更新方案(2023年)》</w:t>
            </w:r>
            <w:r>
              <w:rPr>
                <w:color w:val="auto"/>
                <w:kern w:val="0"/>
                <w:sz w:val="24"/>
              </w:rPr>
              <w:t>的相关要求。</w:t>
            </w:r>
          </w:p>
          <w:p w14:paraId="4B4F4072">
            <w:pPr>
              <w:spacing w:line="360" w:lineRule="auto"/>
              <w:ind w:firstLine="482"/>
              <w:rPr>
                <w:b/>
                <w:color w:val="auto"/>
                <w:sz w:val="24"/>
              </w:rPr>
            </w:pPr>
            <w:r>
              <w:rPr>
                <w:b/>
                <w:color w:val="auto"/>
                <w:sz w:val="24"/>
              </w:rPr>
              <w:t>4、与《云南省牛栏江保护条例》符合性分析</w:t>
            </w:r>
          </w:p>
          <w:p w14:paraId="6ECA9D43">
            <w:pPr>
              <w:pStyle w:val="83"/>
              <w:rPr>
                <w:rStyle w:val="82"/>
                <w:color w:val="auto"/>
                <w:sz w:val="24"/>
              </w:rPr>
            </w:pPr>
            <w:r>
              <w:rPr>
                <w:rStyle w:val="82"/>
                <w:color w:val="auto"/>
                <w:sz w:val="24"/>
              </w:rPr>
              <w:t>根据《云南省牛栏江保护条例》牛栏江流域上游保护区划分为水源保护核心区、重点污染控制区和重点水源涵养区。</w:t>
            </w:r>
          </w:p>
          <w:p w14:paraId="39A022B8">
            <w:pPr>
              <w:pStyle w:val="83"/>
              <w:rPr>
                <w:rStyle w:val="82"/>
                <w:color w:val="auto"/>
                <w:sz w:val="24"/>
              </w:rPr>
            </w:pPr>
            <w:r>
              <w:rPr>
                <w:rStyle w:val="82"/>
                <w:color w:val="auto"/>
                <w:sz w:val="24"/>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4707CB71">
            <w:pPr>
              <w:pStyle w:val="83"/>
              <w:rPr>
                <w:rStyle w:val="82"/>
                <w:color w:val="auto"/>
                <w:sz w:val="24"/>
              </w:rPr>
            </w:pPr>
            <w:r>
              <w:rPr>
                <w:rStyle w:val="82"/>
                <w:color w:val="auto"/>
                <w:sz w:val="24"/>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6D82EF16">
            <w:pPr>
              <w:pStyle w:val="83"/>
              <w:rPr>
                <w:rStyle w:val="82"/>
                <w:color w:val="auto"/>
                <w:sz w:val="24"/>
              </w:rPr>
            </w:pPr>
            <w:r>
              <w:rPr>
                <w:rStyle w:val="82"/>
                <w:color w:val="auto"/>
                <w:sz w:val="24"/>
              </w:rPr>
              <w:t>（三）重点水源涵养区为流域范围内除水源保护核心区、重点污染控制区以外的集水区域。</w:t>
            </w:r>
          </w:p>
          <w:p w14:paraId="4BC87CE5">
            <w:pPr>
              <w:pStyle w:val="83"/>
              <w:rPr>
                <w:rStyle w:val="82"/>
                <w:color w:val="auto"/>
                <w:sz w:val="24"/>
              </w:rPr>
            </w:pPr>
            <w:r>
              <w:rPr>
                <w:rStyle w:val="82"/>
                <w:color w:val="auto"/>
                <w:sz w:val="24"/>
              </w:rPr>
              <w:t>本项目位于云南省昆明市寻甸县金所乡上哨大村内，根据牛栏江水系功能规划图可知，项目区属于重点污染控制区。根据《云南省牛栏江保护条例》中第三十二、三十三条中规定的禁止行为分析项目选址符合性。</w:t>
            </w:r>
          </w:p>
          <w:p w14:paraId="6F7DB812">
            <w:pPr>
              <w:ind w:firstLine="0" w:firstLineChars="0"/>
              <w:jc w:val="center"/>
              <w:rPr>
                <w:b/>
                <w:bCs/>
                <w:color w:val="auto"/>
                <w:szCs w:val="21"/>
              </w:rPr>
            </w:pPr>
            <w:r>
              <w:rPr>
                <w:b/>
                <w:bCs/>
                <w:color w:val="auto"/>
                <w:szCs w:val="21"/>
              </w:rPr>
              <w:t>表1-4</w:t>
            </w:r>
            <w:r>
              <w:rPr>
                <w:b/>
                <w:bCs/>
                <w:color w:val="auto"/>
                <w:spacing w:val="-2"/>
                <w:szCs w:val="21"/>
              </w:rPr>
              <w:t xml:space="preserve">   </w:t>
            </w:r>
            <w:r>
              <w:rPr>
                <w:b/>
                <w:bCs/>
                <w:color w:val="auto"/>
                <w:szCs w:val="21"/>
              </w:rPr>
              <w:t>建设内容与《云南省牛栏江保护条例》符合性分析</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3264"/>
              <w:gridCol w:w="3158"/>
              <w:gridCol w:w="883"/>
            </w:tblGrid>
            <w:tr w14:paraId="47BB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Align w:val="center"/>
                </w:tcPr>
                <w:p w14:paraId="3414F3CE">
                  <w:pPr>
                    <w:pStyle w:val="20"/>
                    <w:spacing w:after="0"/>
                    <w:ind w:firstLine="0" w:firstLineChars="0"/>
                    <w:jc w:val="center"/>
                    <w:rPr>
                      <w:rStyle w:val="82"/>
                      <w:b/>
                      <w:bCs/>
                      <w:color w:val="auto"/>
                      <w:sz w:val="21"/>
                      <w:szCs w:val="21"/>
                    </w:rPr>
                  </w:pPr>
                  <w:r>
                    <w:rPr>
                      <w:rStyle w:val="82"/>
                      <w:b/>
                      <w:bCs/>
                      <w:color w:val="auto"/>
                      <w:sz w:val="21"/>
                      <w:szCs w:val="21"/>
                    </w:rPr>
                    <w:t>保护区划分</w:t>
                  </w:r>
                </w:p>
              </w:tc>
              <w:tc>
                <w:tcPr>
                  <w:tcW w:w="2001" w:type="pct"/>
                  <w:vAlign w:val="center"/>
                </w:tcPr>
                <w:p w14:paraId="0FAB7684">
                  <w:pPr>
                    <w:pStyle w:val="20"/>
                    <w:spacing w:after="0"/>
                    <w:ind w:firstLine="0" w:firstLineChars="0"/>
                    <w:jc w:val="center"/>
                    <w:rPr>
                      <w:rStyle w:val="82"/>
                      <w:b/>
                      <w:bCs/>
                      <w:color w:val="auto"/>
                      <w:sz w:val="21"/>
                      <w:szCs w:val="21"/>
                    </w:rPr>
                  </w:pPr>
                  <w:r>
                    <w:rPr>
                      <w:rStyle w:val="82"/>
                      <w:b/>
                      <w:bCs/>
                      <w:color w:val="auto"/>
                      <w:sz w:val="21"/>
                      <w:szCs w:val="21"/>
                    </w:rPr>
                    <w:t>禁止行为</w:t>
                  </w:r>
                </w:p>
              </w:tc>
              <w:tc>
                <w:tcPr>
                  <w:tcW w:w="1936" w:type="pct"/>
                  <w:vAlign w:val="center"/>
                </w:tcPr>
                <w:p w14:paraId="2A5FA705">
                  <w:pPr>
                    <w:pStyle w:val="20"/>
                    <w:spacing w:after="0"/>
                    <w:ind w:firstLine="0" w:firstLineChars="0"/>
                    <w:jc w:val="center"/>
                    <w:rPr>
                      <w:rStyle w:val="82"/>
                      <w:b/>
                      <w:bCs/>
                      <w:color w:val="auto"/>
                      <w:sz w:val="21"/>
                      <w:szCs w:val="21"/>
                    </w:rPr>
                  </w:pPr>
                  <w:r>
                    <w:rPr>
                      <w:rStyle w:val="82"/>
                      <w:b/>
                      <w:bCs/>
                      <w:color w:val="auto"/>
                      <w:sz w:val="21"/>
                      <w:szCs w:val="21"/>
                    </w:rPr>
                    <w:t>建设内容</w:t>
                  </w:r>
                </w:p>
              </w:tc>
              <w:tc>
                <w:tcPr>
                  <w:tcW w:w="541" w:type="pct"/>
                  <w:vAlign w:val="center"/>
                </w:tcPr>
                <w:p w14:paraId="05561FBE">
                  <w:pPr>
                    <w:pStyle w:val="20"/>
                    <w:spacing w:after="0"/>
                    <w:ind w:firstLine="0" w:firstLineChars="0"/>
                    <w:jc w:val="center"/>
                    <w:rPr>
                      <w:rStyle w:val="82"/>
                      <w:b/>
                      <w:bCs/>
                      <w:color w:val="auto"/>
                      <w:sz w:val="21"/>
                      <w:szCs w:val="21"/>
                    </w:rPr>
                  </w:pPr>
                  <w:r>
                    <w:rPr>
                      <w:rStyle w:val="82"/>
                      <w:b/>
                      <w:bCs/>
                      <w:color w:val="auto"/>
                      <w:sz w:val="21"/>
                      <w:szCs w:val="21"/>
                    </w:rPr>
                    <w:t>符合性</w:t>
                  </w:r>
                </w:p>
              </w:tc>
            </w:tr>
            <w:tr w14:paraId="28B8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20" w:type="pct"/>
                  <w:vMerge w:val="restart"/>
                  <w:vAlign w:val="center"/>
                </w:tcPr>
                <w:p w14:paraId="6CF599CB">
                  <w:pPr>
                    <w:pStyle w:val="20"/>
                    <w:spacing w:after="0"/>
                    <w:ind w:firstLine="0" w:firstLineChars="0"/>
                    <w:jc w:val="center"/>
                    <w:rPr>
                      <w:rStyle w:val="82"/>
                      <w:color w:val="auto"/>
                      <w:sz w:val="21"/>
                      <w:szCs w:val="21"/>
                    </w:rPr>
                  </w:pPr>
                  <w:r>
                    <w:rPr>
                      <w:rStyle w:val="82"/>
                      <w:color w:val="auto"/>
                      <w:sz w:val="21"/>
                      <w:szCs w:val="21"/>
                    </w:rPr>
                    <w:t>重点污染控制区</w:t>
                  </w:r>
                </w:p>
              </w:tc>
              <w:tc>
                <w:tcPr>
                  <w:tcW w:w="2001" w:type="pct"/>
                  <w:vAlign w:val="center"/>
                </w:tcPr>
                <w:p w14:paraId="2E9EC224">
                  <w:pPr>
                    <w:pStyle w:val="20"/>
                    <w:spacing w:after="0"/>
                    <w:ind w:firstLine="0" w:firstLineChars="0"/>
                    <w:jc w:val="center"/>
                    <w:rPr>
                      <w:rStyle w:val="82"/>
                      <w:color w:val="auto"/>
                      <w:sz w:val="21"/>
                      <w:szCs w:val="21"/>
                    </w:rPr>
                  </w:pPr>
                  <w:r>
                    <w:rPr>
                      <w:rStyle w:val="82"/>
                      <w:color w:val="auto"/>
                      <w:sz w:val="21"/>
                      <w:szCs w:val="21"/>
                    </w:rPr>
                    <w:t>（一）盗伐、滥伐林木和破坏草地；</w:t>
                  </w:r>
                </w:p>
              </w:tc>
              <w:tc>
                <w:tcPr>
                  <w:tcW w:w="1936" w:type="pct"/>
                  <w:vAlign w:val="center"/>
                </w:tcPr>
                <w:p w14:paraId="6B3317EA">
                  <w:pPr>
                    <w:pStyle w:val="20"/>
                    <w:spacing w:after="0"/>
                    <w:ind w:firstLine="0" w:firstLineChars="0"/>
                    <w:jc w:val="center"/>
                    <w:rPr>
                      <w:rStyle w:val="82"/>
                      <w:color w:val="auto"/>
                      <w:sz w:val="21"/>
                      <w:szCs w:val="21"/>
                    </w:rPr>
                  </w:pPr>
                  <w:r>
                    <w:rPr>
                      <w:rStyle w:val="82"/>
                      <w:color w:val="auto"/>
                      <w:sz w:val="21"/>
                      <w:szCs w:val="21"/>
                    </w:rPr>
                    <w:t>项目位于金所乡上哨大村内，为扩建项目，</w:t>
                  </w:r>
                  <w:r>
                    <w:rPr>
                      <w:color w:val="auto"/>
                      <w:szCs w:val="18"/>
                    </w:rPr>
                    <w:t>项目用地属于居民居住用地，不存在盗伐、滥伐林木和破坏草地行为</w:t>
                  </w:r>
                  <w:r>
                    <w:rPr>
                      <w:rStyle w:val="82"/>
                      <w:color w:val="auto"/>
                      <w:sz w:val="21"/>
                      <w:szCs w:val="21"/>
                    </w:rPr>
                    <w:t>。</w:t>
                  </w:r>
                </w:p>
              </w:tc>
              <w:tc>
                <w:tcPr>
                  <w:tcW w:w="541" w:type="pct"/>
                  <w:vAlign w:val="center"/>
                </w:tcPr>
                <w:p w14:paraId="471B7B00">
                  <w:pPr>
                    <w:pStyle w:val="20"/>
                    <w:spacing w:after="0"/>
                    <w:ind w:firstLine="0" w:firstLineChars="0"/>
                    <w:jc w:val="center"/>
                    <w:rPr>
                      <w:rStyle w:val="82"/>
                      <w:color w:val="auto"/>
                      <w:sz w:val="21"/>
                      <w:szCs w:val="21"/>
                    </w:rPr>
                  </w:pPr>
                  <w:r>
                    <w:rPr>
                      <w:rStyle w:val="82"/>
                      <w:color w:val="auto"/>
                      <w:sz w:val="21"/>
                      <w:szCs w:val="21"/>
                    </w:rPr>
                    <w:t>符合</w:t>
                  </w:r>
                </w:p>
              </w:tc>
            </w:tr>
            <w:tr w14:paraId="1829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14:paraId="351FFCA0">
                  <w:pPr>
                    <w:pStyle w:val="20"/>
                    <w:spacing w:after="0"/>
                    <w:ind w:firstLine="0" w:firstLineChars="0"/>
                    <w:jc w:val="center"/>
                    <w:rPr>
                      <w:rStyle w:val="82"/>
                      <w:color w:val="auto"/>
                      <w:sz w:val="21"/>
                      <w:szCs w:val="21"/>
                    </w:rPr>
                  </w:pPr>
                </w:p>
              </w:tc>
              <w:tc>
                <w:tcPr>
                  <w:tcW w:w="2001" w:type="pct"/>
                  <w:vAlign w:val="center"/>
                </w:tcPr>
                <w:p w14:paraId="527E08FC">
                  <w:pPr>
                    <w:pStyle w:val="20"/>
                    <w:spacing w:after="0"/>
                    <w:ind w:firstLine="0" w:firstLineChars="0"/>
                    <w:jc w:val="center"/>
                    <w:rPr>
                      <w:rStyle w:val="82"/>
                      <w:color w:val="auto"/>
                      <w:sz w:val="21"/>
                      <w:szCs w:val="21"/>
                    </w:rPr>
                  </w:pPr>
                  <w:r>
                    <w:rPr>
                      <w:rStyle w:val="82"/>
                      <w:color w:val="auto"/>
                      <w:sz w:val="21"/>
                      <w:szCs w:val="21"/>
                    </w:rPr>
                    <w:t>（二）使用高毒、高残留农药；</w:t>
                  </w:r>
                </w:p>
              </w:tc>
              <w:tc>
                <w:tcPr>
                  <w:tcW w:w="1936" w:type="pct"/>
                  <w:vAlign w:val="center"/>
                </w:tcPr>
                <w:p w14:paraId="2269D35A">
                  <w:pPr>
                    <w:pStyle w:val="20"/>
                    <w:spacing w:after="0"/>
                    <w:ind w:firstLine="0" w:firstLineChars="0"/>
                    <w:jc w:val="center"/>
                    <w:rPr>
                      <w:rStyle w:val="82"/>
                      <w:color w:val="auto"/>
                      <w:sz w:val="21"/>
                      <w:szCs w:val="21"/>
                    </w:rPr>
                  </w:pPr>
                  <w:r>
                    <w:rPr>
                      <w:rStyle w:val="82"/>
                      <w:color w:val="auto"/>
                      <w:sz w:val="21"/>
                      <w:szCs w:val="21"/>
                    </w:rPr>
                    <w:t>不涉及。</w:t>
                  </w:r>
                </w:p>
              </w:tc>
              <w:tc>
                <w:tcPr>
                  <w:tcW w:w="541" w:type="pct"/>
                  <w:vAlign w:val="center"/>
                </w:tcPr>
                <w:p w14:paraId="448BEA32">
                  <w:pPr>
                    <w:pStyle w:val="20"/>
                    <w:spacing w:after="0"/>
                    <w:ind w:firstLine="0" w:firstLineChars="0"/>
                    <w:jc w:val="center"/>
                    <w:rPr>
                      <w:rStyle w:val="82"/>
                      <w:color w:val="auto"/>
                      <w:sz w:val="21"/>
                      <w:szCs w:val="21"/>
                    </w:rPr>
                  </w:pPr>
                  <w:r>
                    <w:rPr>
                      <w:rStyle w:val="82"/>
                      <w:color w:val="auto"/>
                      <w:sz w:val="21"/>
                      <w:szCs w:val="21"/>
                    </w:rPr>
                    <w:t>符合</w:t>
                  </w:r>
                </w:p>
              </w:tc>
            </w:tr>
            <w:tr w14:paraId="6598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14:paraId="3E204392">
                  <w:pPr>
                    <w:pStyle w:val="20"/>
                    <w:spacing w:after="0"/>
                    <w:ind w:firstLine="0" w:firstLineChars="0"/>
                    <w:jc w:val="center"/>
                    <w:rPr>
                      <w:rStyle w:val="82"/>
                      <w:color w:val="auto"/>
                      <w:sz w:val="21"/>
                      <w:szCs w:val="21"/>
                    </w:rPr>
                  </w:pPr>
                </w:p>
              </w:tc>
              <w:tc>
                <w:tcPr>
                  <w:tcW w:w="2001" w:type="pct"/>
                  <w:vAlign w:val="center"/>
                </w:tcPr>
                <w:p w14:paraId="5191ABED">
                  <w:pPr>
                    <w:pStyle w:val="20"/>
                    <w:spacing w:after="0"/>
                    <w:ind w:firstLine="0" w:firstLineChars="0"/>
                    <w:jc w:val="center"/>
                    <w:rPr>
                      <w:rStyle w:val="82"/>
                      <w:color w:val="auto"/>
                      <w:sz w:val="21"/>
                      <w:szCs w:val="21"/>
                    </w:rPr>
                  </w:pPr>
                  <w:r>
                    <w:rPr>
                      <w:rStyle w:val="82"/>
                      <w:color w:val="auto"/>
                      <w:sz w:val="21"/>
                      <w:szCs w:val="21"/>
                    </w:rPr>
                    <w:t>（三）利用溶洞、渗井、渗坑、裂隙排放、倾倒含有毒有害物质的废水、废渣；</w:t>
                  </w:r>
                </w:p>
              </w:tc>
              <w:tc>
                <w:tcPr>
                  <w:tcW w:w="1936" w:type="pct"/>
                  <w:vMerge w:val="restart"/>
                  <w:vAlign w:val="center"/>
                </w:tcPr>
                <w:p w14:paraId="27718C0F">
                  <w:pPr>
                    <w:pStyle w:val="20"/>
                    <w:spacing w:after="0"/>
                    <w:ind w:firstLine="0" w:firstLineChars="0"/>
                    <w:jc w:val="center"/>
                    <w:rPr>
                      <w:rStyle w:val="82"/>
                      <w:color w:val="auto"/>
                      <w:sz w:val="21"/>
                      <w:szCs w:val="21"/>
                    </w:rPr>
                  </w:pPr>
                  <w:r>
                    <w:rPr>
                      <w:rStyle w:val="82"/>
                      <w:color w:val="auto"/>
                      <w:sz w:val="21"/>
                      <w:szCs w:val="21"/>
                    </w:rPr>
                    <w:t>1.项目无废水外排。</w:t>
                  </w:r>
                </w:p>
                <w:p w14:paraId="6E7A1AAC">
                  <w:pPr>
                    <w:pStyle w:val="20"/>
                    <w:spacing w:after="0"/>
                    <w:ind w:firstLine="0" w:firstLineChars="0"/>
                    <w:jc w:val="center"/>
                    <w:rPr>
                      <w:rStyle w:val="82"/>
                      <w:color w:val="auto"/>
                      <w:sz w:val="21"/>
                      <w:szCs w:val="21"/>
                    </w:rPr>
                  </w:pPr>
                  <w:r>
                    <w:rPr>
                      <w:rStyle w:val="82"/>
                      <w:color w:val="auto"/>
                      <w:sz w:val="21"/>
                      <w:szCs w:val="21"/>
                    </w:rPr>
                    <w:t>2.项目所有固体废弃物均得到合理有效的利用和处置，处置率为100%。</w:t>
                  </w:r>
                </w:p>
              </w:tc>
              <w:tc>
                <w:tcPr>
                  <w:tcW w:w="541" w:type="pct"/>
                  <w:vAlign w:val="center"/>
                </w:tcPr>
                <w:p w14:paraId="112AA4D7">
                  <w:pPr>
                    <w:pStyle w:val="20"/>
                    <w:spacing w:after="0"/>
                    <w:ind w:firstLine="0" w:firstLineChars="0"/>
                    <w:jc w:val="center"/>
                    <w:rPr>
                      <w:rStyle w:val="82"/>
                      <w:color w:val="auto"/>
                      <w:sz w:val="21"/>
                      <w:szCs w:val="21"/>
                    </w:rPr>
                  </w:pPr>
                  <w:r>
                    <w:rPr>
                      <w:rStyle w:val="82"/>
                      <w:color w:val="auto"/>
                      <w:sz w:val="21"/>
                      <w:szCs w:val="21"/>
                    </w:rPr>
                    <w:t>符合</w:t>
                  </w:r>
                </w:p>
              </w:tc>
            </w:tr>
            <w:tr w14:paraId="7132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14:paraId="154D0DE7">
                  <w:pPr>
                    <w:pStyle w:val="20"/>
                    <w:spacing w:after="0"/>
                    <w:ind w:firstLine="0" w:firstLineChars="0"/>
                    <w:jc w:val="center"/>
                    <w:rPr>
                      <w:rStyle w:val="82"/>
                      <w:color w:val="auto"/>
                      <w:sz w:val="21"/>
                      <w:szCs w:val="21"/>
                    </w:rPr>
                  </w:pPr>
                </w:p>
              </w:tc>
              <w:tc>
                <w:tcPr>
                  <w:tcW w:w="2001" w:type="pct"/>
                  <w:vAlign w:val="center"/>
                </w:tcPr>
                <w:p w14:paraId="2ED1D177">
                  <w:pPr>
                    <w:pStyle w:val="20"/>
                    <w:spacing w:after="0"/>
                    <w:ind w:firstLine="0" w:firstLineChars="0"/>
                    <w:jc w:val="center"/>
                    <w:rPr>
                      <w:rStyle w:val="82"/>
                      <w:color w:val="auto"/>
                      <w:sz w:val="21"/>
                      <w:szCs w:val="21"/>
                    </w:rPr>
                  </w:pPr>
                  <w:r>
                    <w:rPr>
                      <w:rStyle w:val="82"/>
                      <w:color w:val="auto"/>
                      <w:sz w:val="21"/>
                      <w:szCs w:val="21"/>
                    </w:rPr>
                    <w:t>（四）向水体排放废水、倾倒工业废渣、城镇垃圾或者其他废弃物；</w:t>
                  </w:r>
                </w:p>
              </w:tc>
              <w:tc>
                <w:tcPr>
                  <w:tcW w:w="1936" w:type="pct"/>
                  <w:vMerge w:val="continue"/>
                  <w:vAlign w:val="center"/>
                </w:tcPr>
                <w:p w14:paraId="503636C0">
                  <w:pPr>
                    <w:pStyle w:val="20"/>
                    <w:spacing w:after="0"/>
                    <w:ind w:firstLine="0" w:firstLineChars="0"/>
                    <w:jc w:val="center"/>
                    <w:rPr>
                      <w:rStyle w:val="82"/>
                      <w:color w:val="auto"/>
                      <w:sz w:val="21"/>
                      <w:szCs w:val="21"/>
                    </w:rPr>
                  </w:pPr>
                </w:p>
              </w:tc>
              <w:tc>
                <w:tcPr>
                  <w:tcW w:w="541" w:type="pct"/>
                  <w:vAlign w:val="center"/>
                </w:tcPr>
                <w:p w14:paraId="70BBBBEA">
                  <w:pPr>
                    <w:pStyle w:val="20"/>
                    <w:spacing w:after="0"/>
                    <w:ind w:firstLine="0" w:firstLineChars="0"/>
                    <w:jc w:val="center"/>
                    <w:rPr>
                      <w:rStyle w:val="82"/>
                      <w:color w:val="auto"/>
                      <w:sz w:val="21"/>
                      <w:szCs w:val="21"/>
                    </w:rPr>
                  </w:pPr>
                  <w:r>
                    <w:rPr>
                      <w:rStyle w:val="82"/>
                      <w:color w:val="auto"/>
                      <w:sz w:val="21"/>
                      <w:szCs w:val="21"/>
                    </w:rPr>
                    <w:t>符合</w:t>
                  </w:r>
                </w:p>
              </w:tc>
            </w:tr>
            <w:tr w14:paraId="798A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14:paraId="2677DD19">
                  <w:pPr>
                    <w:pStyle w:val="20"/>
                    <w:spacing w:after="0"/>
                    <w:ind w:firstLine="0" w:firstLineChars="0"/>
                    <w:jc w:val="center"/>
                    <w:rPr>
                      <w:rStyle w:val="82"/>
                      <w:color w:val="auto"/>
                      <w:sz w:val="21"/>
                      <w:szCs w:val="21"/>
                    </w:rPr>
                  </w:pPr>
                </w:p>
              </w:tc>
              <w:tc>
                <w:tcPr>
                  <w:tcW w:w="2001" w:type="pct"/>
                  <w:vAlign w:val="center"/>
                </w:tcPr>
                <w:p w14:paraId="464FCDFE">
                  <w:pPr>
                    <w:pStyle w:val="20"/>
                    <w:spacing w:after="0"/>
                    <w:ind w:firstLine="0" w:firstLineChars="0"/>
                    <w:jc w:val="center"/>
                    <w:rPr>
                      <w:rStyle w:val="82"/>
                      <w:color w:val="auto"/>
                      <w:sz w:val="21"/>
                      <w:szCs w:val="21"/>
                    </w:rPr>
                  </w:pPr>
                  <w:r>
                    <w:rPr>
                      <w:rStyle w:val="82"/>
                      <w:color w:val="auto"/>
                      <w:sz w:val="21"/>
                      <w:szCs w:val="21"/>
                    </w:rPr>
                    <w:t>（五）在江河、渠道、水库最高水位线以下的滩地、岸坡堆放、存贮固体废弃物或者其他污染物；</w:t>
                  </w:r>
                </w:p>
              </w:tc>
              <w:tc>
                <w:tcPr>
                  <w:tcW w:w="1936" w:type="pct"/>
                  <w:vAlign w:val="center"/>
                </w:tcPr>
                <w:p w14:paraId="6E125175">
                  <w:pPr>
                    <w:pStyle w:val="20"/>
                    <w:spacing w:after="0"/>
                    <w:ind w:firstLine="0" w:firstLineChars="0"/>
                    <w:jc w:val="center"/>
                    <w:rPr>
                      <w:rStyle w:val="82"/>
                      <w:color w:val="auto"/>
                      <w:sz w:val="21"/>
                      <w:szCs w:val="21"/>
                    </w:rPr>
                  </w:pPr>
                  <w:r>
                    <w:rPr>
                      <w:rStyle w:val="82"/>
                      <w:color w:val="auto"/>
                      <w:sz w:val="21"/>
                      <w:szCs w:val="21"/>
                    </w:rPr>
                    <w:t>项目设置危险废物暂存间暂存危险废物，并委托资质单位进行处置，危险废物贮存设施的选址与设计、运行与管理、安全防护、环境监测及应急措施以及关闭等遵循《危险废物贮存污染控制标准》（GB18597-2023）中的规定。</w:t>
                  </w:r>
                </w:p>
              </w:tc>
              <w:tc>
                <w:tcPr>
                  <w:tcW w:w="541" w:type="pct"/>
                  <w:vAlign w:val="center"/>
                </w:tcPr>
                <w:p w14:paraId="19454E26">
                  <w:pPr>
                    <w:pStyle w:val="20"/>
                    <w:spacing w:after="0"/>
                    <w:ind w:firstLine="0" w:firstLineChars="0"/>
                    <w:jc w:val="center"/>
                    <w:rPr>
                      <w:rStyle w:val="82"/>
                      <w:color w:val="auto"/>
                      <w:sz w:val="21"/>
                      <w:szCs w:val="21"/>
                    </w:rPr>
                  </w:pPr>
                  <w:r>
                    <w:rPr>
                      <w:rStyle w:val="82"/>
                      <w:color w:val="auto"/>
                      <w:sz w:val="21"/>
                      <w:szCs w:val="21"/>
                    </w:rPr>
                    <w:t>符合</w:t>
                  </w:r>
                </w:p>
              </w:tc>
            </w:tr>
            <w:tr w14:paraId="2F5C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14:paraId="307251D9">
                  <w:pPr>
                    <w:pStyle w:val="20"/>
                    <w:spacing w:after="0"/>
                    <w:ind w:firstLine="0" w:firstLineChars="0"/>
                    <w:jc w:val="center"/>
                    <w:rPr>
                      <w:rStyle w:val="82"/>
                      <w:color w:val="auto"/>
                      <w:sz w:val="21"/>
                      <w:szCs w:val="21"/>
                    </w:rPr>
                  </w:pPr>
                </w:p>
              </w:tc>
              <w:tc>
                <w:tcPr>
                  <w:tcW w:w="2001" w:type="pct"/>
                  <w:vAlign w:val="center"/>
                </w:tcPr>
                <w:p w14:paraId="070B1EA1">
                  <w:pPr>
                    <w:pStyle w:val="20"/>
                    <w:spacing w:after="0"/>
                    <w:ind w:firstLine="0" w:firstLineChars="0"/>
                    <w:jc w:val="center"/>
                    <w:rPr>
                      <w:rStyle w:val="82"/>
                      <w:color w:val="auto"/>
                      <w:sz w:val="21"/>
                      <w:szCs w:val="21"/>
                    </w:rPr>
                  </w:pPr>
                  <w:r>
                    <w:rPr>
                      <w:rStyle w:val="82"/>
                      <w:color w:val="auto"/>
                      <w:sz w:val="21"/>
                      <w:szCs w:val="21"/>
                    </w:rPr>
                    <w:t>（六）利用无防渗漏措施的沟渠、坑塘等输送或者存贮含有毒污染物的废水、含病原体的污水或者其他废弃物。</w:t>
                  </w:r>
                </w:p>
              </w:tc>
              <w:tc>
                <w:tcPr>
                  <w:tcW w:w="1936" w:type="pct"/>
                  <w:vAlign w:val="center"/>
                </w:tcPr>
                <w:p w14:paraId="73142BA5">
                  <w:pPr>
                    <w:pStyle w:val="20"/>
                    <w:spacing w:after="0"/>
                    <w:ind w:firstLine="0" w:firstLineChars="0"/>
                    <w:jc w:val="center"/>
                    <w:rPr>
                      <w:rStyle w:val="82"/>
                      <w:color w:val="auto"/>
                      <w:sz w:val="21"/>
                      <w:szCs w:val="21"/>
                    </w:rPr>
                  </w:pPr>
                  <w:r>
                    <w:rPr>
                      <w:rStyle w:val="82"/>
                      <w:color w:val="auto"/>
                      <w:sz w:val="21"/>
                      <w:szCs w:val="21"/>
                    </w:rPr>
                    <w:t>项目不产生含有毒、病原体的污水且生产过程中均为物理反应不涉及化学反应，项目各污染物均得到妥善处置，无此行为</w:t>
                  </w:r>
                </w:p>
              </w:tc>
              <w:tc>
                <w:tcPr>
                  <w:tcW w:w="541" w:type="pct"/>
                  <w:vAlign w:val="center"/>
                </w:tcPr>
                <w:p w14:paraId="3F422DB6">
                  <w:pPr>
                    <w:pStyle w:val="20"/>
                    <w:spacing w:after="0"/>
                    <w:ind w:firstLine="0" w:firstLineChars="0"/>
                    <w:jc w:val="center"/>
                    <w:rPr>
                      <w:rStyle w:val="82"/>
                      <w:color w:val="auto"/>
                      <w:sz w:val="21"/>
                      <w:szCs w:val="21"/>
                    </w:rPr>
                  </w:pPr>
                  <w:r>
                    <w:rPr>
                      <w:rStyle w:val="82"/>
                      <w:color w:val="auto"/>
                      <w:sz w:val="21"/>
                      <w:szCs w:val="21"/>
                    </w:rPr>
                    <w:t>符合</w:t>
                  </w:r>
                </w:p>
              </w:tc>
            </w:tr>
            <w:tr w14:paraId="419A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14:paraId="1C5FCBD5">
                  <w:pPr>
                    <w:pStyle w:val="20"/>
                    <w:spacing w:after="0"/>
                    <w:ind w:firstLine="0" w:firstLineChars="0"/>
                    <w:jc w:val="center"/>
                    <w:rPr>
                      <w:rStyle w:val="82"/>
                      <w:color w:val="auto"/>
                      <w:sz w:val="21"/>
                      <w:szCs w:val="21"/>
                    </w:rPr>
                  </w:pPr>
                </w:p>
              </w:tc>
              <w:tc>
                <w:tcPr>
                  <w:tcW w:w="2001" w:type="pct"/>
                  <w:vAlign w:val="center"/>
                </w:tcPr>
                <w:p w14:paraId="46F19028">
                  <w:pPr>
                    <w:pStyle w:val="20"/>
                    <w:spacing w:after="0"/>
                    <w:ind w:firstLine="0" w:firstLineChars="0"/>
                    <w:jc w:val="center"/>
                    <w:rPr>
                      <w:rStyle w:val="82"/>
                      <w:color w:val="auto"/>
                      <w:sz w:val="21"/>
                      <w:szCs w:val="21"/>
                    </w:rPr>
                  </w:pPr>
                  <w:r>
                    <w:rPr>
                      <w:rStyle w:val="82"/>
                      <w:color w:val="auto"/>
                      <w:sz w:val="21"/>
                      <w:szCs w:val="21"/>
                    </w:rPr>
                    <w:t>（七）新建、扩建工业园区；</w:t>
                  </w:r>
                </w:p>
              </w:tc>
              <w:tc>
                <w:tcPr>
                  <w:tcW w:w="1936" w:type="pct"/>
                  <w:vAlign w:val="center"/>
                </w:tcPr>
                <w:p w14:paraId="769A29BA">
                  <w:pPr>
                    <w:pStyle w:val="20"/>
                    <w:spacing w:after="0"/>
                    <w:ind w:firstLine="0" w:firstLineChars="0"/>
                    <w:jc w:val="center"/>
                    <w:rPr>
                      <w:rStyle w:val="82"/>
                      <w:color w:val="auto"/>
                      <w:sz w:val="21"/>
                      <w:szCs w:val="21"/>
                    </w:rPr>
                  </w:pPr>
                  <w:r>
                    <w:rPr>
                      <w:rStyle w:val="82"/>
                      <w:color w:val="auto"/>
                      <w:sz w:val="21"/>
                      <w:szCs w:val="21"/>
                    </w:rPr>
                    <w:t>无此行为。</w:t>
                  </w:r>
                </w:p>
              </w:tc>
              <w:tc>
                <w:tcPr>
                  <w:tcW w:w="541" w:type="pct"/>
                  <w:vAlign w:val="center"/>
                </w:tcPr>
                <w:p w14:paraId="7A48FECC">
                  <w:pPr>
                    <w:pStyle w:val="20"/>
                    <w:spacing w:after="0"/>
                    <w:ind w:firstLine="0" w:firstLineChars="0"/>
                    <w:jc w:val="center"/>
                    <w:rPr>
                      <w:rStyle w:val="82"/>
                      <w:color w:val="auto"/>
                      <w:sz w:val="21"/>
                      <w:szCs w:val="21"/>
                    </w:rPr>
                  </w:pPr>
                  <w:r>
                    <w:rPr>
                      <w:rStyle w:val="82"/>
                      <w:color w:val="auto"/>
                      <w:sz w:val="21"/>
                      <w:szCs w:val="21"/>
                    </w:rPr>
                    <w:t>符合</w:t>
                  </w:r>
                </w:p>
              </w:tc>
            </w:tr>
            <w:tr w14:paraId="2EF6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14:paraId="1C5923E8">
                  <w:pPr>
                    <w:pStyle w:val="20"/>
                    <w:spacing w:after="0"/>
                    <w:ind w:firstLine="0" w:firstLineChars="0"/>
                    <w:jc w:val="center"/>
                    <w:rPr>
                      <w:rStyle w:val="82"/>
                      <w:color w:val="auto"/>
                      <w:sz w:val="21"/>
                      <w:szCs w:val="21"/>
                    </w:rPr>
                  </w:pPr>
                </w:p>
              </w:tc>
              <w:tc>
                <w:tcPr>
                  <w:tcW w:w="2001" w:type="pct"/>
                  <w:vAlign w:val="center"/>
                </w:tcPr>
                <w:p w14:paraId="155762BF">
                  <w:pPr>
                    <w:pStyle w:val="20"/>
                    <w:spacing w:after="0"/>
                    <w:ind w:firstLine="0" w:firstLineChars="0"/>
                    <w:jc w:val="center"/>
                    <w:rPr>
                      <w:rStyle w:val="82"/>
                      <w:color w:val="auto"/>
                      <w:sz w:val="21"/>
                      <w:szCs w:val="21"/>
                    </w:rPr>
                  </w:pPr>
                  <w:r>
                    <w:rPr>
                      <w:rStyle w:val="82"/>
                      <w:color w:val="auto"/>
                      <w:sz w:val="21"/>
                      <w:szCs w:val="21"/>
                    </w:rPr>
                    <w:t>（八）新建、扩建重点水污染物排放的工业项目；</w:t>
                  </w:r>
                </w:p>
              </w:tc>
              <w:tc>
                <w:tcPr>
                  <w:tcW w:w="1936" w:type="pct"/>
                  <w:vAlign w:val="center"/>
                </w:tcPr>
                <w:p w14:paraId="4AD0DDA5">
                  <w:pPr>
                    <w:pStyle w:val="20"/>
                    <w:spacing w:after="0"/>
                    <w:ind w:firstLine="0" w:firstLineChars="0"/>
                    <w:jc w:val="center"/>
                    <w:rPr>
                      <w:rStyle w:val="82"/>
                      <w:color w:val="auto"/>
                      <w:sz w:val="21"/>
                      <w:szCs w:val="21"/>
                    </w:rPr>
                  </w:pPr>
                  <w:r>
                    <w:rPr>
                      <w:rStyle w:val="82"/>
                      <w:color w:val="auto"/>
                      <w:sz w:val="21"/>
                      <w:szCs w:val="21"/>
                    </w:rPr>
                    <w:t>项目不是重点水污染物排放的工业项目。</w:t>
                  </w:r>
                </w:p>
              </w:tc>
              <w:tc>
                <w:tcPr>
                  <w:tcW w:w="541" w:type="pct"/>
                  <w:vAlign w:val="center"/>
                </w:tcPr>
                <w:p w14:paraId="5F83AB16">
                  <w:pPr>
                    <w:pStyle w:val="20"/>
                    <w:spacing w:after="0"/>
                    <w:ind w:firstLine="0" w:firstLineChars="0"/>
                    <w:jc w:val="center"/>
                    <w:rPr>
                      <w:rStyle w:val="82"/>
                      <w:color w:val="auto"/>
                      <w:sz w:val="21"/>
                      <w:szCs w:val="21"/>
                    </w:rPr>
                  </w:pPr>
                  <w:r>
                    <w:rPr>
                      <w:rStyle w:val="82"/>
                      <w:color w:val="auto"/>
                      <w:sz w:val="21"/>
                      <w:szCs w:val="21"/>
                    </w:rPr>
                    <w:t>符合</w:t>
                  </w:r>
                </w:p>
              </w:tc>
            </w:tr>
            <w:tr w14:paraId="1F91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14:paraId="7D491C98">
                  <w:pPr>
                    <w:pStyle w:val="20"/>
                    <w:spacing w:after="0"/>
                    <w:ind w:firstLine="0" w:firstLineChars="0"/>
                    <w:jc w:val="center"/>
                    <w:rPr>
                      <w:rStyle w:val="82"/>
                      <w:color w:val="auto"/>
                      <w:sz w:val="21"/>
                      <w:szCs w:val="21"/>
                    </w:rPr>
                  </w:pPr>
                </w:p>
              </w:tc>
              <w:tc>
                <w:tcPr>
                  <w:tcW w:w="2001" w:type="pct"/>
                  <w:vAlign w:val="center"/>
                </w:tcPr>
                <w:p w14:paraId="3955912C">
                  <w:pPr>
                    <w:pStyle w:val="20"/>
                    <w:spacing w:after="0"/>
                    <w:ind w:firstLine="0" w:firstLineChars="0"/>
                    <w:jc w:val="center"/>
                    <w:rPr>
                      <w:rStyle w:val="82"/>
                      <w:color w:val="auto"/>
                      <w:sz w:val="21"/>
                      <w:szCs w:val="21"/>
                    </w:rPr>
                  </w:pPr>
                  <w:r>
                    <w:rPr>
                      <w:rStyle w:val="82"/>
                      <w:color w:val="auto"/>
                      <w:sz w:val="21"/>
                      <w:szCs w:val="21"/>
                    </w:rPr>
                    <w:t>（九）新建、改建、扩建经营性陵园、公墓。</w:t>
                  </w:r>
                </w:p>
              </w:tc>
              <w:tc>
                <w:tcPr>
                  <w:tcW w:w="1936" w:type="pct"/>
                  <w:vAlign w:val="center"/>
                </w:tcPr>
                <w:p w14:paraId="5A258D92">
                  <w:pPr>
                    <w:pStyle w:val="20"/>
                    <w:spacing w:after="0"/>
                    <w:ind w:firstLine="0" w:firstLineChars="0"/>
                    <w:jc w:val="center"/>
                    <w:rPr>
                      <w:rStyle w:val="82"/>
                      <w:color w:val="auto"/>
                      <w:sz w:val="21"/>
                      <w:szCs w:val="21"/>
                    </w:rPr>
                  </w:pPr>
                  <w:r>
                    <w:rPr>
                      <w:rStyle w:val="82"/>
                      <w:color w:val="auto"/>
                      <w:sz w:val="21"/>
                      <w:szCs w:val="21"/>
                    </w:rPr>
                    <w:t>与项目无关。</w:t>
                  </w:r>
                </w:p>
              </w:tc>
              <w:tc>
                <w:tcPr>
                  <w:tcW w:w="541" w:type="pct"/>
                  <w:vAlign w:val="center"/>
                </w:tcPr>
                <w:p w14:paraId="60A12EDD">
                  <w:pPr>
                    <w:pStyle w:val="20"/>
                    <w:spacing w:after="0"/>
                    <w:ind w:firstLine="0" w:firstLineChars="0"/>
                    <w:jc w:val="center"/>
                    <w:rPr>
                      <w:rStyle w:val="82"/>
                      <w:color w:val="auto"/>
                      <w:sz w:val="21"/>
                      <w:szCs w:val="21"/>
                    </w:rPr>
                  </w:pPr>
                  <w:r>
                    <w:rPr>
                      <w:rStyle w:val="82"/>
                      <w:color w:val="auto"/>
                      <w:sz w:val="21"/>
                      <w:szCs w:val="21"/>
                    </w:rPr>
                    <w:t>符合</w:t>
                  </w:r>
                </w:p>
              </w:tc>
            </w:tr>
          </w:tbl>
          <w:p w14:paraId="08940938">
            <w:pPr>
              <w:pStyle w:val="26"/>
              <w:adjustRightInd w:val="0"/>
              <w:snapToGrid w:val="0"/>
              <w:spacing w:line="360" w:lineRule="auto"/>
              <w:ind w:firstLine="480"/>
              <w:rPr>
                <w:rFonts w:ascii="Times New Roman" w:hAnsi="Times New Roman"/>
                <w:b/>
                <w:color w:val="auto"/>
                <w:sz w:val="24"/>
              </w:rPr>
            </w:pPr>
            <w:r>
              <w:rPr>
                <w:rStyle w:val="82"/>
                <w:rFonts w:ascii="Times New Roman" w:hAnsi="Times New Roman"/>
                <w:color w:val="auto"/>
                <w:sz w:val="24"/>
              </w:rPr>
              <w:t>综上所述，本项目生产中不涉及高毒、高残留农药，项目废水不外排；固废均能得到有效处置，处置率达100%。项目建设和运营期不存在牛栏江污染控制区禁止的行为，故项目与《云南省牛栏江保护条例》相符。</w:t>
            </w:r>
          </w:p>
          <w:p w14:paraId="33B8E988">
            <w:pPr>
              <w:pStyle w:val="26"/>
              <w:adjustRightInd w:val="0"/>
              <w:snapToGrid w:val="0"/>
              <w:spacing w:line="360" w:lineRule="auto"/>
              <w:ind w:firstLine="482"/>
              <w:rPr>
                <w:rFonts w:ascii="Times New Roman" w:hAnsi="Times New Roman"/>
                <w:b/>
                <w:color w:val="auto"/>
                <w:sz w:val="24"/>
              </w:rPr>
            </w:pPr>
            <w:r>
              <w:rPr>
                <w:rFonts w:ascii="Times New Roman" w:hAnsi="Times New Roman"/>
                <w:b/>
                <w:color w:val="auto"/>
                <w:sz w:val="24"/>
              </w:rPr>
              <w:t>5、与《牛栏江流域（云南部分）水环境保护规划（2009~2030）》的相符性分析</w:t>
            </w:r>
          </w:p>
          <w:p w14:paraId="08DF1FFE">
            <w:pPr>
              <w:adjustRightInd w:val="0"/>
              <w:snapToGrid w:val="0"/>
              <w:spacing w:line="360" w:lineRule="auto"/>
              <w:ind w:firstLine="480"/>
              <w:rPr>
                <w:color w:val="auto"/>
                <w:kern w:val="0"/>
                <w:sz w:val="24"/>
              </w:rPr>
            </w:pPr>
            <w:r>
              <w:rPr>
                <w:color w:val="auto"/>
                <w:kern w:val="0"/>
                <w:sz w:val="24"/>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14:paraId="6C953E6E">
            <w:pPr>
              <w:adjustRightInd w:val="0"/>
              <w:snapToGrid w:val="0"/>
              <w:spacing w:line="360" w:lineRule="auto"/>
              <w:ind w:firstLine="480"/>
              <w:rPr>
                <w:color w:val="auto"/>
                <w:kern w:val="0"/>
                <w:sz w:val="24"/>
              </w:rPr>
            </w:pPr>
            <w:r>
              <w:rPr>
                <w:color w:val="auto"/>
                <w:kern w:val="0"/>
                <w:sz w:val="24"/>
              </w:rPr>
              <w:t>本项目位于云南省昆明市寻甸金所乡上哨大村内，根据牛栏江水系功能规划图，项目属于重点污染控制区</w:t>
            </w:r>
            <w:r>
              <w:rPr>
                <w:rFonts w:hint="eastAsia"/>
                <w:color w:val="auto"/>
                <w:kern w:val="0"/>
                <w:sz w:val="24"/>
              </w:rPr>
              <w:t>（见附图8）</w:t>
            </w:r>
            <w:r>
              <w:rPr>
                <w:color w:val="auto"/>
                <w:kern w:val="0"/>
                <w:sz w:val="24"/>
              </w:rPr>
              <w:t>。本项目生产废水经沉淀池处理后回用于生产，不外排。</w:t>
            </w:r>
            <w:r>
              <w:rPr>
                <w:color w:val="auto"/>
                <w:sz w:val="24"/>
                <w:lang w:val="zh-CN"/>
              </w:rPr>
              <w:t>生活污水</w:t>
            </w:r>
            <w:r>
              <w:rPr>
                <w:color w:val="auto"/>
                <w:sz w:val="24"/>
              </w:rPr>
              <w:t>经处理后，用于项目搅拌生产，不外排。</w:t>
            </w:r>
            <w:r>
              <w:rPr>
                <w:color w:val="auto"/>
                <w:kern w:val="0"/>
                <w:sz w:val="24"/>
              </w:rPr>
              <w:t>项目内设有垃圾和危废收集设施，可保证固废合理收集处置，一般生活固废由环卫部门进行处置，危废收集后委托有资质单位处理。项目选址符合《云南省牛栏江保护条例》中的选址要求。</w:t>
            </w:r>
          </w:p>
          <w:p w14:paraId="704B2E30">
            <w:pPr>
              <w:adjustRightInd w:val="0"/>
              <w:snapToGrid w:val="0"/>
              <w:spacing w:line="360" w:lineRule="auto"/>
              <w:ind w:firstLine="480"/>
              <w:rPr>
                <w:color w:val="auto"/>
                <w:kern w:val="0"/>
                <w:sz w:val="24"/>
              </w:rPr>
            </w:pPr>
            <w:r>
              <w:rPr>
                <w:color w:val="auto"/>
                <w:kern w:val="0"/>
                <w:sz w:val="24"/>
              </w:rPr>
              <w:t>综上所述，项目选址符合《牛栏江流域（云南部分）水环境保护规划（2009~2030）》对重点污染控制区的水环境保护要求。</w:t>
            </w:r>
          </w:p>
          <w:p w14:paraId="2092ABCB">
            <w:pPr>
              <w:pStyle w:val="26"/>
              <w:adjustRightInd w:val="0"/>
              <w:snapToGrid w:val="0"/>
              <w:spacing w:line="360" w:lineRule="auto"/>
              <w:ind w:firstLine="482"/>
              <w:rPr>
                <w:rFonts w:ascii="Times New Roman" w:hAnsi="Times New Roman"/>
                <w:b/>
                <w:color w:val="auto"/>
                <w:sz w:val="24"/>
              </w:rPr>
            </w:pPr>
            <w:r>
              <w:rPr>
                <w:rFonts w:ascii="Times New Roman" w:hAnsi="Times New Roman"/>
                <w:b/>
                <w:color w:val="auto"/>
                <w:sz w:val="24"/>
              </w:rPr>
              <w:t>6、与《牛栏江流域（寻甸段）水环境保护规划（2011~2030）》的相符性分析</w:t>
            </w:r>
          </w:p>
          <w:p w14:paraId="3B0C4A78">
            <w:pPr>
              <w:adjustRightInd w:val="0"/>
              <w:snapToGrid w:val="0"/>
              <w:spacing w:line="360" w:lineRule="auto"/>
              <w:ind w:firstLine="480"/>
              <w:rPr>
                <w:color w:val="auto"/>
                <w:kern w:val="0"/>
                <w:sz w:val="24"/>
              </w:rPr>
            </w:pPr>
            <w:r>
              <w:rPr>
                <w:color w:val="auto"/>
                <w:kern w:val="0"/>
                <w:sz w:val="24"/>
              </w:rPr>
              <w:t>根据《牛栏江流域（寻甸段）水环境保护规划（2011~2030）》可知，牛栏江流域（寻甸段）水环境分区范围涉及规划区干流及主要支流（前进河、羊街河、马龙河等）河流径流区，规划分为三个保护区：水源保护核心区、重点污染控制区、重点水源涵养区；本项目位于寻甸金所乡上哨大村</w:t>
            </w:r>
            <w:r>
              <w:rPr>
                <w:rFonts w:hint="eastAsia"/>
                <w:color w:val="auto"/>
                <w:kern w:val="0"/>
                <w:sz w:val="24"/>
              </w:rPr>
              <w:t>附近</w:t>
            </w:r>
            <w:r>
              <w:rPr>
                <w:color w:val="auto"/>
                <w:kern w:val="0"/>
                <w:sz w:val="24"/>
              </w:rPr>
              <w:t>，属于重点污染控制区。对照《牛栏江（寻甸段）水环境保护规划（2011~2030）》对重点污染控制区的水环境保护策略，项目符合性见下表。</w:t>
            </w:r>
          </w:p>
          <w:p w14:paraId="73B81135">
            <w:pPr>
              <w:widowControl/>
              <w:adjustRightInd w:val="0"/>
              <w:snapToGrid w:val="0"/>
              <w:spacing w:line="312" w:lineRule="auto"/>
              <w:ind w:firstLine="0" w:firstLineChars="0"/>
              <w:jc w:val="center"/>
              <w:rPr>
                <w:b/>
                <w:bCs/>
                <w:color w:val="auto"/>
                <w:spacing w:val="-2"/>
                <w:szCs w:val="21"/>
              </w:rPr>
            </w:pPr>
            <w:r>
              <w:rPr>
                <w:b/>
                <w:bCs/>
                <w:color w:val="auto"/>
                <w:spacing w:val="-2"/>
                <w:szCs w:val="21"/>
              </w:rPr>
              <w:t>表1-5  《牛栏江（寻甸段）水环境保护规划（2011~2030）》符合表</w:t>
            </w:r>
          </w:p>
          <w:tbl>
            <w:tblPr>
              <w:tblStyle w:val="37"/>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4063"/>
              <w:gridCol w:w="2268"/>
              <w:gridCol w:w="943"/>
            </w:tblGrid>
            <w:tr w14:paraId="77DD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0" w:type="dxa"/>
                  <w:vAlign w:val="center"/>
                </w:tcPr>
                <w:p w14:paraId="065E0F79">
                  <w:pPr>
                    <w:adjustRightInd w:val="0"/>
                    <w:snapToGrid w:val="0"/>
                    <w:ind w:firstLine="0" w:firstLineChars="0"/>
                    <w:jc w:val="center"/>
                    <w:rPr>
                      <w:b/>
                      <w:color w:val="auto"/>
                      <w:szCs w:val="21"/>
                    </w:rPr>
                  </w:pPr>
                  <w:r>
                    <w:rPr>
                      <w:b/>
                      <w:color w:val="auto"/>
                      <w:szCs w:val="21"/>
                    </w:rPr>
                    <w:t>序号</w:t>
                  </w:r>
                </w:p>
              </w:tc>
              <w:tc>
                <w:tcPr>
                  <w:tcW w:w="4063" w:type="dxa"/>
                  <w:vAlign w:val="center"/>
                </w:tcPr>
                <w:p w14:paraId="5DF09C71">
                  <w:pPr>
                    <w:adjustRightInd w:val="0"/>
                    <w:snapToGrid w:val="0"/>
                    <w:spacing w:line="288" w:lineRule="auto"/>
                    <w:ind w:firstLine="0" w:firstLineChars="0"/>
                    <w:jc w:val="center"/>
                    <w:rPr>
                      <w:b/>
                      <w:color w:val="auto"/>
                      <w:szCs w:val="21"/>
                    </w:rPr>
                  </w:pPr>
                  <w:r>
                    <w:rPr>
                      <w:b/>
                      <w:color w:val="auto"/>
                      <w:szCs w:val="21"/>
                    </w:rPr>
                    <w:t>《牛栏江流域（寻甸段）水环境保护规划》重点污染控制区水环境保护策略</w:t>
                  </w:r>
                </w:p>
              </w:tc>
              <w:tc>
                <w:tcPr>
                  <w:tcW w:w="2268" w:type="dxa"/>
                  <w:vAlign w:val="center"/>
                </w:tcPr>
                <w:p w14:paraId="6020BF69">
                  <w:pPr>
                    <w:adjustRightInd w:val="0"/>
                    <w:snapToGrid w:val="0"/>
                    <w:spacing w:line="288" w:lineRule="auto"/>
                    <w:ind w:firstLine="0" w:firstLineChars="0"/>
                    <w:jc w:val="center"/>
                    <w:rPr>
                      <w:b/>
                      <w:color w:val="auto"/>
                      <w:szCs w:val="21"/>
                    </w:rPr>
                  </w:pPr>
                  <w:r>
                    <w:rPr>
                      <w:b/>
                      <w:color w:val="auto"/>
                      <w:szCs w:val="21"/>
                    </w:rPr>
                    <w:t>该项目情况</w:t>
                  </w:r>
                </w:p>
              </w:tc>
              <w:tc>
                <w:tcPr>
                  <w:tcW w:w="943" w:type="dxa"/>
                  <w:vAlign w:val="center"/>
                </w:tcPr>
                <w:p w14:paraId="4AC3ED9F">
                  <w:pPr>
                    <w:adjustRightInd w:val="0"/>
                    <w:snapToGrid w:val="0"/>
                    <w:ind w:firstLine="0" w:firstLineChars="0"/>
                    <w:jc w:val="center"/>
                    <w:rPr>
                      <w:b/>
                      <w:color w:val="auto"/>
                      <w:szCs w:val="21"/>
                    </w:rPr>
                  </w:pPr>
                  <w:r>
                    <w:rPr>
                      <w:b/>
                      <w:color w:val="auto"/>
                      <w:szCs w:val="21"/>
                    </w:rPr>
                    <w:t>相符性</w:t>
                  </w:r>
                </w:p>
              </w:tc>
            </w:tr>
            <w:tr w14:paraId="329E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0" w:type="dxa"/>
                  <w:vAlign w:val="center"/>
                </w:tcPr>
                <w:p w14:paraId="609F7210">
                  <w:pPr>
                    <w:adjustRightInd w:val="0"/>
                    <w:snapToGrid w:val="0"/>
                    <w:ind w:firstLine="0" w:firstLineChars="0"/>
                    <w:jc w:val="center"/>
                    <w:rPr>
                      <w:bCs/>
                      <w:color w:val="auto"/>
                      <w:szCs w:val="21"/>
                    </w:rPr>
                  </w:pPr>
                  <w:r>
                    <w:rPr>
                      <w:bCs/>
                      <w:color w:val="auto"/>
                      <w:szCs w:val="21"/>
                    </w:rPr>
                    <w:t>1</w:t>
                  </w:r>
                </w:p>
              </w:tc>
              <w:tc>
                <w:tcPr>
                  <w:tcW w:w="4063" w:type="dxa"/>
                  <w:vAlign w:val="center"/>
                </w:tcPr>
                <w:p w14:paraId="6D77A93B">
                  <w:pPr>
                    <w:adjustRightInd w:val="0"/>
                    <w:snapToGrid w:val="0"/>
                    <w:ind w:firstLine="0" w:firstLineChars="0"/>
                    <w:jc w:val="center"/>
                    <w:rPr>
                      <w:bCs/>
                      <w:color w:val="auto"/>
                      <w:szCs w:val="21"/>
                    </w:rPr>
                  </w:pPr>
                  <w:r>
                    <w:rPr>
                      <w:bCs/>
                      <w:color w:val="auto"/>
                      <w:szCs w:val="21"/>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268" w:type="dxa"/>
                  <w:vAlign w:val="center"/>
                </w:tcPr>
                <w:p w14:paraId="606125AD">
                  <w:pPr>
                    <w:adjustRightInd w:val="0"/>
                    <w:snapToGrid w:val="0"/>
                    <w:ind w:firstLine="0" w:firstLineChars="0"/>
                    <w:jc w:val="center"/>
                    <w:rPr>
                      <w:bCs/>
                      <w:color w:val="auto"/>
                      <w:szCs w:val="21"/>
                    </w:rPr>
                  </w:pPr>
                  <w:r>
                    <w:rPr>
                      <w:color w:val="auto"/>
                      <w:szCs w:val="21"/>
                    </w:rPr>
                    <w:t>本项目生产废水经沉淀池处理后回用于生产，不外排；</w:t>
                  </w:r>
                  <w:r>
                    <w:rPr>
                      <w:color w:val="auto"/>
                      <w:szCs w:val="21"/>
                      <w:lang w:val="zh-CN"/>
                    </w:rPr>
                    <w:t>生活污水</w:t>
                  </w:r>
                  <w:r>
                    <w:rPr>
                      <w:color w:val="auto"/>
                      <w:szCs w:val="21"/>
                    </w:rPr>
                    <w:t>经处理后，用于项目搅拌生产，不外排。</w:t>
                  </w:r>
                  <w:r>
                    <w:rPr>
                      <w:bCs/>
                      <w:color w:val="auto"/>
                      <w:szCs w:val="21"/>
                    </w:rPr>
                    <w:t>本项目废水能够实现“零排放”；固废处置率100%。</w:t>
                  </w:r>
                </w:p>
              </w:tc>
              <w:tc>
                <w:tcPr>
                  <w:tcW w:w="943" w:type="dxa"/>
                  <w:vAlign w:val="center"/>
                </w:tcPr>
                <w:p w14:paraId="49C1FDDE">
                  <w:pPr>
                    <w:adjustRightInd w:val="0"/>
                    <w:snapToGrid w:val="0"/>
                    <w:ind w:firstLine="0" w:firstLineChars="0"/>
                    <w:jc w:val="center"/>
                    <w:rPr>
                      <w:bCs/>
                      <w:color w:val="auto"/>
                      <w:szCs w:val="21"/>
                    </w:rPr>
                  </w:pPr>
                  <w:r>
                    <w:rPr>
                      <w:bCs/>
                      <w:color w:val="auto"/>
                      <w:szCs w:val="21"/>
                    </w:rPr>
                    <w:t>符合</w:t>
                  </w:r>
                </w:p>
              </w:tc>
            </w:tr>
            <w:tr w14:paraId="703A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0" w:type="dxa"/>
                  <w:vAlign w:val="center"/>
                </w:tcPr>
                <w:p w14:paraId="5E033D96">
                  <w:pPr>
                    <w:adjustRightInd w:val="0"/>
                    <w:snapToGrid w:val="0"/>
                    <w:ind w:firstLine="0" w:firstLineChars="0"/>
                    <w:jc w:val="center"/>
                    <w:rPr>
                      <w:bCs/>
                      <w:color w:val="auto"/>
                      <w:szCs w:val="21"/>
                    </w:rPr>
                  </w:pPr>
                  <w:r>
                    <w:rPr>
                      <w:bCs/>
                      <w:color w:val="auto"/>
                      <w:szCs w:val="21"/>
                    </w:rPr>
                    <w:t>2</w:t>
                  </w:r>
                </w:p>
              </w:tc>
              <w:tc>
                <w:tcPr>
                  <w:tcW w:w="4063" w:type="dxa"/>
                  <w:vAlign w:val="center"/>
                </w:tcPr>
                <w:p w14:paraId="362AF024">
                  <w:pPr>
                    <w:adjustRightInd w:val="0"/>
                    <w:snapToGrid w:val="0"/>
                    <w:ind w:firstLine="0" w:firstLineChars="0"/>
                    <w:jc w:val="center"/>
                    <w:rPr>
                      <w:bCs/>
                      <w:color w:val="auto"/>
                      <w:szCs w:val="21"/>
                    </w:rPr>
                  </w:pPr>
                  <w:r>
                    <w:rPr>
                      <w:bCs/>
                      <w:color w:val="auto"/>
                      <w:szCs w:val="21"/>
                    </w:rPr>
                    <w:t>建设再生水回用系统，污染控制区内不得建设不符合国家产业政策的工业项目及高污染工业项目；新增工业项目废水不得排放有毒有害物质，改扩建项目不得新增COD、TN、TP排放量；新增、改建、扩建工业项目应采用先进的生产工艺和污染防治技术，其清洁生产水平达到国家清洁生产标准中的国内先进水平。</w:t>
                  </w:r>
                </w:p>
              </w:tc>
              <w:tc>
                <w:tcPr>
                  <w:tcW w:w="2268" w:type="dxa"/>
                  <w:vAlign w:val="center"/>
                </w:tcPr>
                <w:p w14:paraId="21E2DD16">
                  <w:pPr>
                    <w:adjustRightInd w:val="0"/>
                    <w:snapToGrid w:val="0"/>
                    <w:ind w:firstLine="0" w:firstLineChars="0"/>
                    <w:jc w:val="center"/>
                    <w:rPr>
                      <w:bCs/>
                      <w:color w:val="auto"/>
                      <w:szCs w:val="21"/>
                    </w:rPr>
                  </w:pPr>
                  <w:r>
                    <w:rPr>
                      <w:bCs/>
                      <w:color w:val="auto"/>
                      <w:szCs w:val="21"/>
                    </w:rPr>
                    <w:t>本项目不属于不符合国家产业政策的工业项目及高污染工业项目；</w:t>
                  </w:r>
                  <w:r>
                    <w:rPr>
                      <w:color w:val="auto"/>
                      <w:szCs w:val="21"/>
                    </w:rPr>
                    <w:t>项目生产废水经沉淀池处理后回用于生产，不外排；</w:t>
                  </w:r>
                  <w:r>
                    <w:rPr>
                      <w:color w:val="auto"/>
                      <w:szCs w:val="21"/>
                      <w:lang w:val="zh-CN"/>
                    </w:rPr>
                    <w:t>生活污水</w:t>
                  </w:r>
                  <w:r>
                    <w:rPr>
                      <w:color w:val="auto"/>
                      <w:szCs w:val="21"/>
                    </w:rPr>
                    <w:t>经处理后，用于项目搅拌生产，不外排。</w:t>
                  </w:r>
                </w:p>
              </w:tc>
              <w:tc>
                <w:tcPr>
                  <w:tcW w:w="943" w:type="dxa"/>
                  <w:vAlign w:val="center"/>
                </w:tcPr>
                <w:p w14:paraId="68545AFF">
                  <w:pPr>
                    <w:adjustRightInd w:val="0"/>
                    <w:snapToGrid w:val="0"/>
                    <w:ind w:firstLine="0" w:firstLineChars="0"/>
                    <w:jc w:val="center"/>
                    <w:rPr>
                      <w:bCs/>
                      <w:color w:val="auto"/>
                      <w:szCs w:val="21"/>
                    </w:rPr>
                  </w:pPr>
                  <w:r>
                    <w:rPr>
                      <w:bCs/>
                      <w:color w:val="auto"/>
                      <w:szCs w:val="21"/>
                    </w:rPr>
                    <w:t>符合</w:t>
                  </w:r>
                </w:p>
              </w:tc>
            </w:tr>
          </w:tbl>
          <w:p w14:paraId="48802CC2">
            <w:pPr>
              <w:pStyle w:val="26"/>
              <w:adjustRightInd w:val="0"/>
              <w:snapToGrid w:val="0"/>
              <w:spacing w:line="360" w:lineRule="auto"/>
              <w:ind w:firstLine="480"/>
              <w:rPr>
                <w:rFonts w:ascii="Times New Roman" w:hAnsi="Times New Roman"/>
                <w:b/>
                <w:color w:val="auto"/>
                <w:sz w:val="24"/>
              </w:rPr>
            </w:pPr>
            <w:r>
              <w:rPr>
                <w:rFonts w:ascii="Times New Roman" w:hAnsi="Times New Roman"/>
                <w:color w:val="auto"/>
                <w:kern w:val="0"/>
                <w:sz w:val="24"/>
              </w:rPr>
              <w:t>由上表可知，项目符合《牛栏江流域（寻甸段）水环境保护规划》对重点污染控制区的相关要求。</w:t>
            </w:r>
          </w:p>
          <w:p w14:paraId="16B005BD">
            <w:pPr>
              <w:pStyle w:val="122"/>
              <w:spacing w:line="360" w:lineRule="auto"/>
              <w:ind w:firstLine="482"/>
              <w:rPr>
                <w:color w:val="auto"/>
                <w:sz w:val="24"/>
                <w:szCs w:val="24"/>
                <w:lang w:eastAsia="zh-CN"/>
              </w:rPr>
            </w:pPr>
            <w:r>
              <w:rPr>
                <w:rFonts w:hint="eastAsia" w:ascii="Times New Roman" w:hAnsi="Times New Roman" w:cs="Times New Roman"/>
                <w:b/>
                <w:color w:val="auto"/>
                <w:sz w:val="24"/>
                <w:szCs w:val="24"/>
                <w:lang w:eastAsia="zh-CN"/>
              </w:rPr>
              <w:t>7、</w:t>
            </w:r>
            <w:r>
              <w:rPr>
                <w:b/>
                <w:bCs/>
                <w:color w:val="auto"/>
                <w:sz w:val="24"/>
                <w:szCs w:val="24"/>
                <w:lang w:eastAsia="zh-CN"/>
              </w:rPr>
              <w:t>与《云南省生态环境厅云南省交通运输厅关于加强高等级公路建设项目施工扬尘污染防治的通知》（云环发〔</w:t>
            </w:r>
            <w:r>
              <w:rPr>
                <w:rFonts w:ascii="Times New Roman" w:hAnsi="Times New Roman" w:eastAsia="Times New Roman" w:cs="Times New Roman"/>
                <w:b/>
                <w:bCs/>
                <w:color w:val="auto"/>
                <w:sz w:val="24"/>
                <w:szCs w:val="24"/>
                <w:lang w:eastAsia="zh-CN"/>
              </w:rPr>
              <w:t>2021</w:t>
            </w:r>
            <w:r>
              <w:rPr>
                <w:b/>
                <w:bCs/>
                <w:color w:val="auto"/>
                <w:sz w:val="24"/>
                <w:szCs w:val="24"/>
                <w:lang w:eastAsia="zh-CN"/>
              </w:rPr>
              <w:t>〕</w:t>
            </w:r>
            <w:r>
              <w:rPr>
                <w:rFonts w:ascii="Times New Roman" w:hAnsi="Times New Roman" w:eastAsia="Times New Roman" w:cs="Times New Roman"/>
                <w:b/>
                <w:bCs/>
                <w:color w:val="auto"/>
                <w:sz w:val="24"/>
                <w:szCs w:val="24"/>
                <w:lang w:eastAsia="zh-CN"/>
              </w:rPr>
              <w:t>6</w:t>
            </w:r>
            <w:r>
              <w:rPr>
                <w:b/>
                <w:bCs/>
                <w:color w:val="auto"/>
                <w:sz w:val="24"/>
                <w:szCs w:val="24"/>
                <w:lang w:eastAsia="zh-CN"/>
              </w:rPr>
              <w:t>号）</w:t>
            </w:r>
            <w:r>
              <w:rPr>
                <w:b/>
                <w:bCs/>
                <w:color w:val="auto"/>
                <w:spacing w:val="-4"/>
                <w:sz w:val="24"/>
                <w:szCs w:val="24"/>
                <w:lang w:eastAsia="zh-CN"/>
              </w:rPr>
              <w:t>符合性分析</w:t>
            </w:r>
          </w:p>
          <w:p w14:paraId="35BDD20E">
            <w:pPr>
              <w:pStyle w:val="122"/>
              <w:spacing w:line="360" w:lineRule="auto"/>
              <w:ind w:firstLine="424"/>
              <w:rPr>
                <w:color w:val="auto"/>
                <w:lang w:eastAsia="zh-CN"/>
              </w:rPr>
            </w:pPr>
            <w:r>
              <w:rPr>
                <w:color w:val="auto"/>
                <w:spacing w:val="1"/>
                <w:lang w:eastAsia="zh-CN"/>
              </w:rPr>
              <w:t>本项目与《云南省生态环境厅云南省交通运输厅关于加强高等</w:t>
            </w:r>
            <w:r>
              <w:rPr>
                <w:color w:val="auto"/>
                <w:spacing w:val="-2"/>
                <w:lang w:eastAsia="zh-CN"/>
              </w:rPr>
              <w:t>级公路建设项目施工扬尘污染防治的通知》（云环发〔</w:t>
            </w:r>
            <w:r>
              <w:rPr>
                <w:rFonts w:ascii="Times New Roman" w:hAnsi="Times New Roman" w:eastAsia="Times New Roman" w:cs="Times New Roman"/>
                <w:color w:val="auto"/>
                <w:spacing w:val="-2"/>
                <w:lang w:eastAsia="zh-CN"/>
              </w:rPr>
              <w:t>2021</w:t>
            </w:r>
            <w:r>
              <w:rPr>
                <w:color w:val="auto"/>
                <w:spacing w:val="-2"/>
                <w:lang w:eastAsia="zh-CN"/>
              </w:rPr>
              <w:t>〕</w:t>
            </w:r>
            <w:r>
              <w:rPr>
                <w:rFonts w:ascii="Times New Roman" w:hAnsi="Times New Roman" w:eastAsia="Times New Roman" w:cs="Times New Roman"/>
                <w:color w:val="auto"/>
                <w:spacing w:val="-2"/>
                <w:lang w:eastAsia="zh-CN"/>
              </w:rPr>
              <w:t>6</w:t>
            </w:r>
            <w:r>
              <w:rPr>
                <w:color w:val="auto"/>
                <w:spacing w:val="-2"/>
                <w:lang w:eastAsia="zh-CN"/>
              </w:rPr>
              <w:t>号）</w:t>
            </w:r>
            <w:r>
              <w:rPr>
                <w:color w:val="auto"/>
                <w:spacing w:val="-1"/>
                <w:lang w:eastAsia="zh-CN"/>
              </w:rPr>
              <w:t>相关条例符合性分析详见下表。</w:t>
            </w:r>
          </w:p>
          <w:p w14:paraId="468EF11E">
            <w:pPr>
              <w:pStyle w:val="122"/>
              <w:spacing w:line="360" w:lineRule="auto"/>
              <w:ind w:firstLine="446"/>
              <w:jc w:val="center"/>
              <w:rPr>
                <w:rFonts w:ascii="Times New Roman" w:hAnsi="Times New Roman" w:cs="Times New Roman"/>
                <w:color w:val="auto"/>
                <w:lang w:eastAsia="zh-CN"/>
              </w:rPr>
            </w:pPr>
            <w:r>
              <w:rPr>
                <w:rFonts w:ascii="Times New Roman" w:hAnsi="Times New Roman" w:cs="Times New Roman"/>
                <w:b/>
                <w:bCs/>
                <w:color w:val="auto"/>
                <w:spacing w:val="6"/>
                <w:lang w:eastAsia="zh-CN"/>
              </w:rPr>
              <w:t>表</w:t>
            </w:r>
            <w:r>
              <w:rPr>
                <w:rFonts w:ascii="Times New Roman" w:hAnsi="Times New Roman" w:eastAsia="Times New Roman" w:cs="Times New Roman"/>
                <w:b/>
                <w:bCs/>
                <w:color w:val="auto"/>
                <w:spacing w:val="6"/>
                <w:lang w:eastAsia="zh-CN"/>
              </w:rPr>
              <w:t>1-</w:t>
            </w:r>
            <w:r>
              <w:rPr>
                <w:rFonts w:hint="eastAsia" w:ascii="Times New Roman" w:hAnsi="Times New Roman" w:eastAsia="宋体" w:cs="Times New Roman"/>
                <w:b/>
                <w:bCs/>
                <w:color w:val="auto"/>
                <w:spacing w:val="6"/>
                <w:lang w:eastAsia="zh-CN"/>
              </w:rPr>
              <w:t>6</w:t>
            </w:r>
            <w:r>
              <w:rPr>
                <w:rFonts w:ascii="Times New Roman" w:hAnsi="Times New Roman" w:cs="Times New Roman"/>
                <w:b/>
                <w:bCs/>
                <w:color w:val="auto"/>
                <w:spacing w:val="6"/>
                <w:lang w:eastAsia="zh-CN"/>
              </w:rPr>
              <w:t>项目与（云环发〔</w:t>
            </w:r>
            <w:r>
              <w:rPr>
                <w:rFonts w:ascii="Times New Roman" w:hAnsi="Times New Roman" w:eastAsia="Times New Roman" w:cs="Times New Roman"/>
                <w:b/>
                <w:bCs/>
                <w:color w:val="auto"/>
                <w:spacing w:val="6"/>
                <w:lang w:eastAsia="zh-CN"/>
              </w:rPr>
              <w:t>2021</w:t>
            </w:r>
            <w:r>
              <w:rPr>
                <w:rFonts w:ascii="Times New Roman" w:hAnsi="Times New Roman" w:cs="Times New Roman"/>
                <w:b/>
                <w:bCs/>
                <w:color w:val="auto"/>
                <w:spacing w:val="6"/>
                <w:lang w:eastAsia="zh-CN"/>
              </w:rPr>
              <w:t>〕</w:t>
            </w:r>
            <w:r>
              <w:rPr>
                <w:rFonts w:ascii="Times New Roman" w:hAnsi="Times New Roman" w:eastAsia="Times New Roman" w:cs="Times New Roman"/>
                <w:b/>
                <w:bCs/>
                <w:color w:val="auto"/>
                <w:spacing w:val="6"/>
                <w:lang w:eastAsia="zh-CN"/>
              </w:rPr>
              <w:t>6</w:t>
            </w:r>
            <w:r>
              <w:rPr>
                <w:rFonts w:ascii="Times New Roman" w:hAnsi="Times New Roman" w:cs="Times New Roman"/>
                <w:b/>
                <w:bCs/>
                <w:color w:val="auto"/>
                <w:spacing w:val="5"/>
                <w:lang w:eastAsia="zh-CN"/>
              </w:rPr>
              <w:t>号）符合性分析一览表</w:t>
            </w:r>
          </w:p>
          <w:tbl>
            <w:tblPr>
              <w:tblStyle w:val="12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49"/>
              <w:gridCol w:w="3990"/>
              <w:gridCol w:w="820"/>
            </w:tblGrid>
            <w:tr w14:paraId="13137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0" w:type="dxa"/>
                  <w:vAlign w:val="center"/>
                </w:tcPr>
                <w:p w14:paraId="734BF97B">
                  <w:pPr>
                    <w:pStyle w:val="122"/>
                    <w:ind w:firstLine="0" w:firstLineChars="0"/>
                    <w:jc w:val="center"/>
                    <w:rPr>
                      <w:rFonts w:ascii="Times New Roman" w:hAnsi="Times New Roman" w:eastAsia="宋体" w:cs="Times New Roman"/>
                      <w:color w:val="auto"/>
                    </w:rPr>
                  </w:pPr>
                  <w:r>
                    <w:rPr>
                      <w:rFonts w:ascii="Times New Roman" w:hAnsi="Times New Roman" w:eastAsia="宋体" w:cs="Times New Roman"/>
                      <w:b/>
                      <w:bCs/>
                      <w:color w:val="auto"/>
                    </w:rPr>
                    <w:t>相关要求</w:t>
                  </w:r>
                </w:p>
              </w:tc>
              <w:tc>
                <w:tcPr>
                  <w:tcW w:w="3991" w:type="dxa"/>
                  <w:vAlign w:val="center"/>
                </w:tcPr>
                <w:p w14:paraId="3B9F10E2">
                  <w:pPr>
                    <w:pStyle w:val="122"/>
                    <w:ind w:firstLine="0" w:firstLineChars="0"/>
                    <w:jc w:val="center"/>
                    <w:rPr>
                      <w:rFonts w:ascii="Times New Roman" w:hAnsi="Times New Roman" w:eastAsia="宋体" w:cs="Times New Roman"/>
                      <w:color w:val="auto"/>
                    </w:rPr>
                  </w:pPr>
                  <w:r>
                    <w:rPr>
                      <w:rFonts w:ascii="Times New Roman" w:hAnsi="Times New Roman" w:eastAsia="宋体" w:cs="Times New Roman"/>
                      <w:b/>
                      <w:bCs/>
                      <w:color w:val="auto"/>
                    </w:rPr>
                    <w:t>项目情况</w:t>
                  </w:r>
                </w:p>
              </w:tc>
              <w:tc>
                <w:tcPr>
                  <w:tcW w:w="820" w:type="dxa"/>
                  <w:vAlign w:val="center"/>
                </w:tcPr>
                <w:p w14:paraId="75AF6D36">
                  <w:pPr>
                    <w:pStyle w:val="122"/>
                    <w:ind w:firstLine="0" w:firstLineChars="0"/>
                    <w:jc w:val="center"/>
                    <w:rPr>
                      <w:rFonts w:ascii="Times New Roman" w:hAnsi="Times New Roman" w:eastAsia="宋体" w:cs="Times New Roman"/>
                      <w:color w:val="auto"/>
                    </w:rPr>
                  </w:pPr>
                  <w:r>
                    <w:rPr>
                      <w:rFonts w:ascii="Times New Roman" w:hAnsi="Times New Roman" w:eastAsia="宋体" w:cs="Times New Roman"/>
                      <w:b/>
                      <w:bCs/>
                      <w:color w:val="auto"/>
                    </w:rPr>
                    <w:t>符合性</w:t>
                  </w:r>
                </w:p>
              </w:tc>
            </w:tr>
            <w:tr w14:paraId="251DF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0" w:type="dxa"/>
                  <w:vAlign w:val="center"/>
                </w:tcPr>
                <w:p w14:paraId="2A9E1EA3">
                  <w:pPr>
                    <w:pStyle w:val="122"/>
                    <w:spacing w:line="288" w:lineRule="auto"/>
                    <w:ind w:firstLine="420"/>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三）加强物料堆存及运输管理。在施工工地内堆放水泥、灰土、砂石、建筑土方等易产生扬尘的粉状、粒状和块状建筑材料，应采取“粉状入仓、块状入棚”的原则，采取封闭或者遮盖等防尘措施。现场搅拌混凝土、砂浆等建筑材料，物料落料点应采取湿法除尘、收尘等措施；运输物料、渣土的车辆应采用密闭或其他措施，防止物料遗撒造成扬尘污染</w:t>
                  </w:r>
                  <w:r>
                    <w:rPr>
                      <w:rFonts w:hint="eastAsia" w:ascii="Times New Roman" w:hAnsi="Times New Roman" w:eastAsia="宋体" w:cs="Times New Roman"/>
                      <w:color w:val="auto"/>
                      <w:lang w:eastAsia="zh-CN"/>
                    </w:rPr>
                    <w:t>。</w:t>
                  </w:r>
                </w:p>
              </w:tc>
              <w:tc>
                <w:tcPr>
                  <w:tcW w:w="3991" w:type="dxa"/>
                  <w:vAlign w:val="center"/>
                </w:tcPr>
                <w:p w14:paraId="7E3D537A">
                  <w:pPr>
                    <w:pStyle w:val="122"/>
                    <w:spacing w:line="288" w:lineRule="auto"/>
                    <w:ind w:firstLine="0" w:firstLineChars="0"/>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w:t>
                  </w:r>
                  <w:r>
                    <w:rPr>
                      <w:rFonts w:hint="eastAsia" w:ascii="Times New Roman" w:hAnsi="Times New Roman" w:eastAsia="宋体" w:cs="Times New Roman"/>
                      <w:color w:val="auto"/>
                      <w:lang w:eastAsia="zh-CN"/>
                    </w:rPr>
                    <w:t>次扩建</w:t>
                  </w:r>
                  <w:r>
                    <w:rPr>
                      <w:rFonts w:ascii="Times New Roman" w:hAnsi="Times New Roman" w:eastAsia="宋体" w:cs="Times New Roman"/>
                      <w:color w:val="auto"/>
                      <w:lang w:eastAsia="zh-CN"/>
                    </w:rPr>
                    <w:t>项目</w:t>
                  </w:r>
                  <w:r>
                    <w:rPr>
                      <w:rFonts w:hint="eastAsia" w:ascii="Times New Roman" w:hAnsi="Times New Roman" w:eastAsia="宋体" w:cs="Times New Roman"/>
                      <w:color w:val="auto"/>
                      <w:lang w:eastAsia="zh-CN"/>
                    </w:rPr>
                    <w:t>共设置水泥筒仓2个、粉煤灰筒仓1个、矿粉筒仓1个；堆料仓库1个，能够实现</w:t>
                  </w:r>
                  <w:r>
                    <w:rPr>
                      <w:rFonts w:ascii="Times New Roman" w:hAnsi="Times New Roman" w:eastAsia="宋体" w:cs="Times New Roman"/>
                      <w:color w:val="auto"/>
                      <w:lang w:eastAsia="zh-CN"/>
                    </w:rPr>
                    <w:t>“粉状入仓、块状入棚”的原则</w:t>
                  </w:r>
                  <w:r>
                    <w:rPr>
                      <w:rFonts w:hint="eastAsia" w:ascii="Times New Roman" w:hAnsi="Times New Roman" w:eastAsia="宋体" w:cs="Times New Roman"/>
                      <w:color w:val="auto"/>
                      <w:lang w:eastAsia="zh-CN"/>
                    </w:rPr>
                    <w:t>；同时粉料搅拌密闭设置，湿法搅拌，并且在水泥筒仓2个、粉煤灰筒仓1个、矿粉筒仓1个顶部各设置布袋除尘器，处理后经排气筒排放；</w:t>
                  </w:r>
                  <w:r>
                    <w:rPr>
                      <w:rFonts w:ascii="Times New Roman" w:hAnsi="Times New Roman" w:eastAsia="宋体" w:cs="Times New Roman"/>
                      <w:color w:val="auto"/>
                      <w:lang w:eastAsia="zh-CN"/>
                    </w:rPr>
                    <w:t>骨料堆场及碎石场生产车间地面硬化处理，采用彩钢瓦顶棚和钢结构进行封闭遮挡扬尘（三面围挡+顶棚），保留物料进出口，并设置雾炮机对场地进行喷雾降尘；皮带输送机廊道上部加盖侧面密封；搅拌楼封闭</w:t>
                  </w:r>
                  <w:r>
                    <w:rPr>
                      <w:rFonts w:hint="eastAsia" w:ascii="Times New Roman" w:hAnsi="Times New Roman" w:eastAsia="宋体" w:cs="Times New Roman"/>
                      <w:color w:val="auto"/>
                      <w:lang w:eastAsia="zh-CN"/>
                    </w:rPr>
                    <w:t>；</w:t>
                  </w:r>
                </w:p>
              </w:tc>
              <w:tc>
                <w:tcPr>
                  <w:tcW w:w="820" w:type="dxa"/>
                  <w:vAlign w:val="center"/>
                </w:tcPr>
                <w:p w14:paraId="2A76D778">
                  <w:pPr>
                    <w:pStyle w:val="122"/>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52317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0" w:type="dxa"/>
                  <w:vAlign w:val="center"/>
                </w:tcPr>
                <w:p w14:paraId="5B9D2F0C">
                  <w:pPr>
                    <w:pStyle w:val="122"/>
                    <w:spacing w:line="288" w:lineRule="auto"/>
                    <w:ind w:firstLine="420"/>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四）合理布置沥青搅拌、混合料拌和场站。沥青搅拌场站距村庄、学校、医院及人口密集区等环境敏感目标的距离不小于300米，混合料拌和站距环境敏感目标的距离不小于200米，并应设置在当地施工季节主导风向的下风向</w:t>
                  </w:r>
                </w:p>
              </w:tc>
              <w:tc>
                <w:tcPr>
                  <w:tcW w:w="3991" w:type="dxa"/>
                  <w:vAlign w:val="center"/>
                </w:tcPr>
                <w:p w14:paraId="1697C9A3">
                  <w:pPr>
                    <w:pStyle w:val="122"/>
                    <w:spacing w:line="288" w:lineRule="auto"/>
                    <w:ind w:firstLine="0" w:firstLineChars="0"/>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本项目为水泥制品及非金属矿物制品制造项目，不涉及沥青，</w:t>
                  </w:r>
                  <w:r>
                    <w:rPr>
                      <w:rFonts w:hint="eastAsia" w:ascii="Times New Roman" w:hAnsi="Times New Roman" w:eastAsia="宋体" w:cs="Times New Roman"/>
                      <w:color w:val="auto"/>
                      <w:lang w:eastAsia="zh-CN"/>
                    </w:rPr>
                    <w:t>根据测绘单位测量该扩建项目搅拌站距离居民密集区（哨上大村）距离227m，同时搅拌站设置在哨上大村东北侧，属于季节主导风向的下风向。</w:t>
                  </w:r>
                </w:p>
                <w:p w14:paraId="7CD8CB88">
                  <w:pPr>
                    <w:pStyle w:val="122"/>
                    <w:spacing w:line="288" w:lineRule="auto"/>
                    <w:ind w:firstLine="0" w:firstLineChars="0"/>
                    <w:jc w:val="left"/>
                    <w:rPr>
                      <w:rFonts w:ascii="Times New Roman" w:hAnsi="Times New Roman" w:eastAsia="宋体" w:cs="Times New Roman"/>
                      <w:color w:val="auto"/>
                      <w:lang w:eastAsia="zh-CN"/>
                    </w:rPr>
                  </w:pPr>
                </w:p>
              </w:tc>
              <w:tc>
                <w:tcPr>
                  <w:tcW w:w="820" w:type="dxa"/>
                  <w:vAlign w:val="center"/>
                </w:tcPr>
                <w:p w14:paraId="00EA7F09">
                  <w:pPr>
                    <w:pStyle w:val="122"/>
                    <w:ind w:firstLine="0" w:firstLineChars="0"/>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14:paraId="198012E0">
            <w:pPr>
              <w:pStyle w:val="122"/>
              <w:spacing w:before="39" w:line="350" w:lineRule="auto"/>
              <w:ind w:left="109" w:right="102" w:firstLine="484"/>
              <w:rPr>
                <w:color w:val="auto"/>
                <w:sz w:val="24"/>
                <w:szCs w:val="24"/>
                <w:lang w:eastAsia="zh-CN"/>
              </w:rPr>
            </w:pPr>
            <w:r>
              <w:rPr>
                <w:color w:val="auto"/>
                <w:spacing w:val="1"/>
                <w:sz w:val="24"/>
                <w:szCs w:val="24"/>
                <w:lang w:eastAsia="zh-CN"/>
              </w:rPr>
              <w:t>根据上表，本项目的建设符合《云南省生态环境厅云南省交通</w:t>
            </w:r>
            <w:r>
              <w:rPr>
                <w:color w:val="auto"/>
                <w:spacing w:val="-7"/>
                <w:sz w:val="24"/>
                <w:szCs w:val="24"/>
                <w:lang w:eastAsia="zh-CN"/>
              </w:rPr>
              <w:t>运输厅关于加强高等级公路建设项目施工扬尘污染防治的通知》（云</w:t>
            </w:r>
            <w:r>
              <w:rPr>
                <w:color w:val="auto"/>
                <w:spacing w:val="-2"/>
                <w:sz w:val="24"/>
                <w:szCs w:val="24"/>
                <w:lang w:eastAsia="zh-CN"/>
              </w:rPr>
              <w:t>环发〔</w:t>
            </w:r>
            <w:r>
              <w:rPr>
                <w:rFonts w:ascii="Times New Roman" w:hAnsi="Times New Roman" w:eastAsia="Times New Roman" w:cs="Times New Roman"/>
                <w:color w:val="auto"/>
                <w:spacing w:val="-2"/>
                <w:sz w:val="24"/>
                <w:szCs w:val="24"/>
                <w:lang w:eastAsia="zh-CN"/>
              </w:rPr>
              <w:t>2021</w:t>
            </w:r>
            <w:r>
              <w:rPr>
                <w:color w:val="auto"/>
                <w:spacing w:val="-2"/>
                <w:sz w:val="24"/>
                <w:szCs w:val="24"/>
                <w:lang w:eastAsia="zh-CN"/>
              </w:rPr>
              <w:t>〕</w:t>
            </w:r>
            <w:r>
              <w:rPr>
                <w:rFonts w:ascii="Times New Roman" w:hAnsi="Times New Roman" w:eastAsia="Times New Roman" w:cs="Times New Roman"/>
                <w:color w:val="auto"/>
                <w:spacing w:val="-2"/>
                <w:sz w:val="24"/>
                <w:szCs w:val="24"/>
                <w:lang w:eastAsia="zh-CN"/>
              </w:rPr>
              <w:t>6</w:t>
            </w:r>
            <w:r>
              <w:rPr>
                <w:color w:val="auto"/>
                <w:spacing w:val="-2"/>
                <w:sz w:val="24"/>
                <w:szCs w:val="24"/>
                <w:lang w:eastAsia="zh-CN"/>
              </w:rPr>
              <w:t>号）相关要求。</w:t>
            </w:r>
          </w:p>
          <w:p w14:paraId="68899238">
            <w:pPr>
              <w:pStyle w:val="26"/>
              <w:adjustRightInd w:val="0"/>
              <w:snapToGrid w:val="0"/>
              <w:spacing w:line="360" w:lineRule="auto"/>
              <w:ind w:firstLine="482"/>
              <w:rPr>
                <w:rFonts w:ascii="Times New Roman" w:hAnsi="Times New Roman"/>
                <w:b/>
                <w:color w:val="auto"/>
                <w:sz w:val="24"/>
              </w:rPr>
            </w:pPr>
            <w:r>
              <w:rPr>
                <w:rFonts w:hint="eastAsia" w:ascii="Times New Roman" w:hAnsi="Times New Roman"/>
                <w:b/>
                <w:color w:val="auto"/>
                <w:sz w:val="24"/>
              </w:rPr>
              <w:t>8</w:t>
            </w:r>
            <w:r>
              <w:rPr>
                <w:rFonts w:ascii="Times New Roman" w:hAnsi="Times New Roman"/>
                <w:b/>
                <w:color w:val="auto"/>
                <w:sz w:val="24"/>
              </w:rPr>
              <w:t>、《长江经济带发展负面清单指南》（试行，2022年版）的通知》的符合性分析</w:t>
            </w:r>
          </w:p>
          <w:p w14:paraId="1743BA8C">
            <w:pPr>
              <w:spacing w:line="360" w:lineRule="auto"/>
              <w:ind w:firstLine="480"/>
              <w:rPr>
                <w:b/>
                <w:color w:val="auto"/>
                <w:szCs w:val="21"/>
              </w:rPr>
            </w:pPr>
            <w:r>
              <w:rPr>
                <w:color w:val="auto"/>
                <w:sz w:val="24"/>
              </w:rPr>
              <w:t>项目与《《长江经济带发展负面清单指南》（试行，2022年版）的通知》对比分析情况见下表1-</w:t>
            </w:r>
            <w:r>
              <w:rPr>
                <w:rFonts w:hint="eastAsia"/>
                <w:color w:val="auto"/>
                <w:sz w:val="24"/>
              </w:rPr>
              <w:t>7</w:t>
            </w:r>
            <w:r>
              <w:rPr>
                <w:color w:val="auto"/>
                <w:sz w:val="24"/>
              </w:rPr>
              <w:t>。</w:t>
            </w:r>
          </w:p>
          <w:p w14:paraId="08569440">
            <w:pPr>
              <w:spacing w:line="312" w:lineRule="auto"/>
              <w:ind w:firstLine="0" w:firstLineChars="0"/>
              <w:rPr>
                <w:b/>
                <w:color w:val="auto"/>
                <w:szCs w:val="21"/>
              </w:rPr>
            </w:pPr>
            <w:r>
              <w:rPr>
                <w:b/>
                <w:color w:val="auto"/>
                <w:szCs w:val="21"/>
              </w:rPr>
              <w:t>表1-</w:t>
            </w:r>
            <w:r>
              <w:rPr>
                <w:rFonts w:hint="eastAsia"/>
                <w:b/>
                <w:color w:val="auto"/>
                <w:szCs w:val="21"/>
              </w:rPr>
              <w:t>7</w:t>
            </w:r>
            <w:r>
              <w:rPr>
                <w:b/>
                <w:color w:val="auto"/>
                <w:szCs w:val="21"/>
              </w:rPr>
              <w:t xml:space="preserve">  与《长江经济带发展负面清单指南》（试行，2022年版）的通知》相符性分析</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4"/>
              <w:gridCol w:w="2581"/>
              <w:gridCol w:w="918"/>
            </w:tblGrid>
            <w:tr w14:paraId="0D41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853" w:type="pct"/>
                  <w:vAlign w:val="center"/>
                </w:tcPr>
                <w:p w14:paraId="147D88BF">
                  <w:pPr>
                    <w:ind w:firstLine="0" w:firstLineChars="0"/>
                    <w:jc w:val="center"/>
                    <w:rPr>
                      <w:color w:val="auto"/>
                      <w:szCs w:val="21"/>
                    </w:rPr>
                  </w:pPr>
                  <w:r>
                    <w:rPr>
                      <w:color w:val="auto"/>
                      <w:szCs w:val="21"/>
                    </w:rPr>
                    <w:t>《指南》要求</w:t>
                  </w:r>
                </w:p>
              </w:tc>
              <w:tc>
                <w:tcPr>
                  <w:tcW w:w="1582" w:type="pct"/>
                  <w:vAlign w:val="center"/>
                </w:tcPr>
                <w:p w14:paraId="39365D32">
                  <w:pPr>
                    <w:ind w:firstLine="0" w:firstLineChars="0"/>
                    <w:jc w:val="center"/>
                    <w:rPr>
                      <w:color w:val="auto"/>
                      <w:szCs w:val="21"/>
                    </w:rPr>
                  </w:pPr>
                  <w:r>
                    <w:rPr>
                      <w:color w:val="auto"/>
                      <w:szCs w:val="21"/>
                    </w:rPr>
                    <w:t>本项目</w:t>
                  </w:r>
                </w:p>
              </w:tc>
              <w:tc>
                <w:tcPr>
                  <w:tcW w:w="563" w:type="pct"/>
                  <w:vAlign w:val="center"/>
                </w:tcPr>
                <w:p w14:paraId="7F2AB639">
                  <w:pPr>
                    <w:ind w:firstLine="0" w:firstLineChars="0"/>
                    <w:jc w:val="center"/>
                    <w:rPr>
                      <w:color w:val="auto"/>
                      <w:szCs w:val="21"/>
                    </w:rPr>
                  </w:pPr>
                  <w:r>
                    <w:rPr>
                      <w:color w:val="auto"/>
                      <w:szCs w:val="21"/>
                    </w:rPr>
                    <w:t>相符性</w:t>
                  </w:r>
                </w:p>
              </w:tc>
            </w:tr>
            <w:tr w14:paraId="3CAB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2853" w:type="pct"/>
                  <w:vAlign w:val="center"/>
                </w:tcPr>
                <w:p w14:paraId="180F764D">
                  <w:pPr>
                    <w:ind w:firstLine="0" w:firstLineChars="0"/>
                    <w:jc w:val="center"/>
                    <w:rPr>
                      <w:color w:val="auto"/>
                      <w:szCs w:val="21"/>
                    </w:rPr>
                  </w:pPr>
                  <w:r>
                    <w:rPr>
                      <w:color w:val="auto"/>
                      <w:szCs w:val="21"/>
                    </w:rPr>
                    <w:t>（一）</w:t>
                  </w:r>
                  <w:r>
                    <w:rPr>
                      <w:color w:val="auto"/>
                      <w:szCs w:val="21"/>
                      <w:lang w:val="zh-CN"/>
                    </w:rPr>
                    <w:t>禁止建设不符合全国和省级港口布局规划以及港口总体规划的码头项目，禁止建设不符合《长江干线过江通道布局规划》的过长江通道项目。</w:t>
                  </w:r>
                </w:p>
              </w:tc>
              <w:tc>
                <w:tcPr>
                  <w:tcW w:w="1582" w:type="pct"/>
                  <w:vAlign w:val="center"/>
                </w:tcPr>
                <w:p w14:paraId="7DE19950">
                  <w:pPr>
                    <w:ind w:firstLine="0" w:firstLineChars="0"/>
                    <w:jc w:val="left"/>
                    <w:rPr>
                      <w:color w:val="auto"/>
                      <w:szCs w:val="21"/>
                    </w:rPr>
                  </w:pPr>
                  <w:r>
                    <w:rPr>
                      <w:color w:val="auto"/>
                      <w:szCs w:val="21"/>
                    </w:rPr>
                    <w:t>项目位于</w:t>
                  </w:r>
                  <w:r>
                    <w:rPr>
                      <w:color w:val="auto"/>
                      <w:kern w:val="0"/>
                      <w:szCs w:val="21"/>
                    </w:rPr>
                    <w:t>寻甸金所乡上哨大村内</w:t>
                  </w:r>
                  <w:r>
                    <w:rPr>
                      <w:color w:val="auto"/>
                      <w:szCs w:val="21"/>
                    </w:rPr>
                    <w:t>，不属于码头或过长江通道项目。</w:t>
                  </w:r>
                </w:p>
              </w:tc>
              <w:tc>
                <w:tcPr>
                  <w:tcW w:w="563" w:type="pct"/>
                  <w:vAlign w:val="center"/>
                </w:tcPr>
                <w:p w14:paraId="2276D2A7">
                  <w:pPr>
                    <w:ind w:firstLine="0" w:firstLineChars="0"/>
                    <w:jc w:val="center"/>
                    <w:rPr>
                      <w:color w:val="auto"/>
                      <w:szCs w:val="21"/>
                    </w:rPr>
                  </w:pPr>
                  <w:r>
                    <w:rPr>
                      <w:color w:val="auto"/>
                      <w:szCs w:val="21"/>
                    </w:rPr>
                    <w:t>相符</w:t>
                  </w:r>
                </w:p>
              </w:tc>
            </w:tr>
            <w:tr w14:paraId="6682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3" w:type="pct"/>
                  <w:vAlign w:val="center"/>
                </w:tcPr>
                <w:p w14:paraId="10BD4BC2">
                  <w:pPr>
                    <w:ind w:firstLine="0" w:firstLineChars="0"/>
                    <w:jc w:val="center"/>
                    <w:rPr>
                      <w:color w:val="auto"/>
                      <w:szCs w:val="21"/>
                    </w:rPr>
                  </w:pPr>
                  <w:r>
                    <w:rPr>
                      <w:color w:val="auto"/>
                      <w:szCs w:val="21"/>
                    </w:rPr>
                    <w:t>（二）</w:t>
                  </w:r>
                  <w:r>
                    <w:rPr>
                      <w:color w:val="auto"/>
                      <w:szCs w:val="21"/>
                      <w:lang w:val="zh-CN"/>
                    </w:rPr>
                    <w:t>禁止在自然保护区核心区、缓冲区的岸线和河段范围内投资建设旅游和生产经营项目。禁止在风景名胜区核心景区的岸线和河段范围内投资建设与风景名胜资源保护无关的项目。</w:t>
                  </w:r>
                </w:p>
              </w:tc>
              <w:tc>
                <w:tcPr>
                  <w:tcW w:w="1582" w:type="pct"/>
                  <w:vAlign w:val="center"/>
                </w:tcPr>
                <w:p w14:paraId="727042B5">
                  <w:pPr>
                    <w:ind w:firstLine="0" w:firstLineChars="0"/>
                    <w:jc w:val="left"/>
                    <w:rPr>
                      <w:color w:val="auto"/>
                      <w:szCs w:val="21"/>
                    </w:rPr>
                  </w:pPr>
                  <w:r>
                    <w:rPr>
                      <w:color w:val="auto"/>
                      <w:szCs w:val="21"/>
                    </w:rPr>
                    <w:t>项目位于</w:t>
                  </w:r>
                  <w:r>
                    <w:rPr>
                      <w:color w:val="auto"/>
                      <w:kern w:val="0"/>
                      <w:szCs w:val="21"/>
                    </w:rPr>
                    <w:t>寻甸金所乡上哨大村内</w:t>
                  </w:r>
                  <w:r>
                    <w:rPr>
                      <w:color w:val="auto"/>
                    </w:rPr>
                    <w:t>，项目选址区域不涉及自然保护区、风景名胜区等，不涉及条款禁止行为</w:t>
                  </w:r>
                  <w:r>
                    <w:rPr>
                      <w:color w:val="auto"/>
                      <w:szCs w:val="21"/>
                    </w:rPr>
                    <w:t>。</w:t>
                  </w:r>
                </w:p>
              </w:tc>
              <w:tc>
                <w:tcPr>
                  <w:tcW w:w="563" w:type="pct"/>
                  <w:vAlign w:val="center"/>
                </w:tcPr>
                <w:p w14:paraId="29F0A59D">
                  <w:pPr>
                    <w:ind w:firstLine="0" w:firstLineChars="0"/>
                    <w:jc w:val="center"/>
                    <w:rPr>
                      <w:color w:val="auto"/>
                      <w:szCs w:val="21"/>
                    </w:rPr>
                  </w:pPr>
                  <w:r>
                    <w:rPr>
                      <w:color w:val="auto"/>
                      <w:szCs w:val="21"/>
                    </w:rPr>
                    <w:t>相符</w:t>
                  </w:r>
                </w:p>
              </w:tc>
            </w:tr>
            <w:tr w14:paraId="0AC6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853" w:type="pct"/>
                  <w:vAlign w:val="center"/>
                </w:tcPr>
                <w:p w14:paraId="729953BD">
                  <w:pPr>
                    <w:ind w:firstLine="0" w:firstLineChars="0"/>
                    <w:jc w:val="center"/>
                    <w:rPr>
                      <w:color w:val="auto"/>
                      <w:szCs w:val="21"/>
                    </w:rPr>
                  </w:pPr>
                  <w:r>
                    <w:rPr>
                      <w:color w:val="auto"/>
                      <w:szCs w:val="21"/>
                    </w:rPr>
                    <w:t>（三）</w:t>
                  </w:r>
                  <w:r>
                    <w:rPr>
                      <w:color w:val="auto"/>
                      <w:szCs w:val="21"/>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82" w:type="pct"/>
                  <w:vAlign w:val="center"/>
                </w:tcPr>
                <w:p w14:paraId="13E2AAA7">
                  <w:pPr>
                    <w:ind w:firstLine="0" w:firstLineChars="0"/>
                    <w:jc w:val="left"/>
                    <w:rPr>
                      <w:color w:val="auto"/>
                      <w:szCs w:val="21"/>
                    </w:rPr>
                  </w:pPr>
                  <w:r>
                    <w:rPr>
                      <w:color w:val="auto"/>
                      <w:szCs w:val="21"/>
                    </w:rPr>
                    <w:t>项目位于</w:t>
                  </w:r>
                  <w:r>
                    <w:rPr>
                      <w:color w:val="auto"/>
                      <w:kern w:val="0"/>
                      <w:szCs w:val="21"/>
                    </w:rPr>
                    <w:t>寻甸金所乡上哨大村内</w:t>
                  </w:r>
                  <w:r>
                    <w:rPr>
                      <w:color w:val="auto"/>
                    </w:rPr>
                    <w:t>，项目选址区域不涉及</w:t>
                  </w:r>
                  <w:r>
                    <w:rPr>
                      <w:color w:val="auto"/>
                      <w:szCs w:val="21"/>
                      <w:lang w:val="zh-CN"/>
                    </w:rPr>
                    <w:t>饮用水水源一、二级保护区，</w:t>
                  </w:r>
                  <w:r>
                    <w:rPr>
                      <w:color w:val="auto"/>
                    </w:rPr>
                    <w:t>不涉及条款禁止行为</w:t>
                  </w:r>
                  <w:r>
                    <w:rPr>
                      <w:color w:val="auto"/>
                      <w:szCs w:val="21"/>
                    </w:rPr>
                    <w:t>。</w:t>
                  </w:r>
                </w:p>
              </w:tc>
              <w:tc>
                <w:tcPr>
                  <w:tcW w:w="563" w:type="pct"/>
                  <w:vAlign w:val="center"/>
                </w:tcPr>
                <w:p w14:paraId="4274206D">
                  <w:pPr>
                    <w:ind w:firstLine="0" w:firstLineChars="0"/>
                    <w:jc w:val="center"/>
                    <w:rPr>
                      <w:color w:val="auto"/>
                      <w:szCs w:val="21"/>
                    </w:rPr>
                  </w:pPr>
                  <w:r>
                    <w:rPr>
                      <w:color w:val="auto"/>
                      <w:szCs w:val="21"/>
                    </w:rPr>
                    <w:t>相符</w:t>
                  </w:r>
                </w:p>
              </w:tc>
            </w:tr>
            <w:tr w14:paraId="47F1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853" w:type="pct"/>
                  <w:vAlign w:val="center"/>
                </w:tcPr>
                <w:p w14:paraId="702A9E74">
                  <w:pPr>
                    <w:ind w:firstLine="0" w:firstLineChars="0"/>
                    <w:jc w:val="center"/>
                    <w:rPr>
                      <w:color w:val="auto"/>
                    </w:rPr>
                  </w:pPr>
                  <w:r>
                    <w:rPr>
                      <w:color w:val="auto"/>
                    </w:rPr>
                    <w:t>（四）</w:t>
                  </w:r>
                  <w:r>
                    <w:rPr>
                      <w:color w:val="auto"/>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82" w:type="pct"/>
                  <w:vAlign w:val="center"/>
                </w:tcPr>
                <w:p w14:paraId="14746D85">
                  <w:pPr>
                    <w:ind w:firstLine="0" w:firstLineChars="0"/>
                    <w:jc w:val="left"/>
                    <w:rPr>
                      <w:color w:val="auto"/>
                    </w:rPr>
                  </w:pPr>
                  <w:r>
                    <w:rPr>
                      <w:color w:val="auto"/>
                      <w:lang w:val="zh-CN"/>
                    </w:rPr>
                    <w:t>项目不属于在水产种质资源保护区的岸线和河段范围内新建围湖造田、围海造地或围填海等投资建设项目，项目符合主体功能定位的投资建设项目</w:t>
                  </w:r>
                  <w:r>
                    <w:rPr>
                      <w:rFonts w:hint="eastAsia"/>
                      <w:color w:val="auto"/>
                      <w:lang w:val="zh-CN"/>
                    </w:rPr>
                    <w:t>；</w:t>
                  </w:r>
                </w:p>
              </w:tc>
              <w:tc>
                <w:tcPr>
                  <w:tcW w:w="563" w:type="pct"/>
                  <w:vAlign w:val="center"/>
                </w:tcPr>
                <w:p w14:paraId="64E7BBF8">
                  <w:pPr>
                    <w:ind w:firstLine="0" w:firstLineChars="0"/>
                    <w:jc w:val="center"/>
                    <w:rPr>
                      <w:color w:val="auto"/>
                      <w:szCs w:val="21"/>
                    </w:rPr>
                  </w:pPr>
                  <w:r>
                    <w:rPr>
                      <w:color w:val="auto"/>
                      <w:szCs w:val="21"/>
                    </w:rPr>
                    <w:t>相符</w:t>
                  </w:r>
                </w:p>
              </w:tc>
            </w:tr>
            <w:tr w14:paraId="41D0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2853" w:type="pct"/>
                  <w:vAlign w:val="center"/>
                </w:tcPr>
                <w:p w14:paraId="2E134F05">
                  <w:pPr>
                    <w:ind w:firstLine="0" w:firstLineChars="0"/>
                    <w:jc w:val="center"/>
                    <w:rPr>
                      <w:color w:val="auto"/>
                      <w:szCs w:val="21"/>
                    </w:rPr>
                  </w:pPr>
                  <w:r>
                    <w:rPr>
                      <w:color w:val="auto"/>
                      <w:szCs w:val="21"/>
                    </w:rPr>
                    <w:t>（五）</w:t>
                  </w:r>
                  <w:r>
                    <w:rPr>
                      <w:color w:val="auto"/>
                      <w:szCs w:val="21"/>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82" w:type="pct"/>
                  <w:vAlign w:val="center"/>
                </w:tcPr>
                <w:p w14:paraId="46ACC802">
                  <w:pPr>
                    <w:ind w:firstLine="0" w:firstLineChars="0"/>
                    <w:jc w:val="left"/>
                    <w:rPr>
                      <w:color w:val="auto"/>
                      <w:szCs w:val="21"/>
                    </w:rPr>
                  </w:pPr>
                  <w:r>
                    <w:rPr>
                      <w:color w:val="auto"/>
                      <w:szCs w:val="21"/>
                    </w:rPr>
                    <w:t>项目在金所乡上哨大村内，不属于</w:t>
                  </w:r>
                  <w:r>
                    <w:rPr>
                      <w:color w:val="auto"/>
                      <w:szCs w:val="21"/>
                      <w:lang w:val="zh-CN"/>
                    </w:rPr>
                    <w:t>违法利用、占用长江流域河湖岸线和投资建设不利于水资源及自然生态保护的项目</w:t>
                  </w:r>
                  <w:r>
                    <w:rPr>
                      <w:color w:val="auto"/>
                      <w:szCs w:val="21"/>
                    </w:rPr>
                    <w:t>。</w:t>
                  </w:r>
                </w:p>
              </w:tc>
              <w:tc>
                <w:tcPr>
                  <w:tcW w:w="563" w:type="pct"/>
                  <w:vAlign w:val="center"/>
                </w:tcPr>
                <w:p w14:paraId="35D48D08">
                  <w:pPr>
                    <w:ind w:firstLine="0" w:firstLineChars="0"/>
                    <w:jc w:val="center"/>
                    <w:rPr>
                      <w:color w:val="auto"/>
                      <w:szCs w:val="21"/>
                    </w:rPr>
                  </w:pPr>
                  <w:r>
                    <w:rPr>
                      <w:color w:val="auto"/>
                      <w:szCs w:val="21"/>
                    </w:rPr>
                    <w:t>相符</w:t>
                  </w:r>
                </w:p>
              </w:tc>
            </w:tr>
            <w:tr w14:paraId="3BF0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3" w:type="pct"/>
                  <w:vAlign w:val="center"/>
                </w:tcPr>
                <w:p w14:paraId="28FCB499">
                  <w:pPr>
                    <w:ind w:firstLine="0" w:firstLineChars="0"/>
                    <w:jc w:val="center"/>
                    <w:rPr>
                      <w:color w:val="auto"/>
                      <w:szCs w:val="21"/>
                    </w:rPr>
                  </w:pPr>
                  <w:r>
                    <w:rPr>
                      <w:color w:val="auto"/>
                      <w:szCs w:val="21"/>
                    </w:rPr>
                    <w:t>（六）</w:t>
                  </w:r>
                  <w:r>
                    <w:rPr>
                      <w:color w:val="auto"/>
                      <w:szCs w:val="21"/>
                      <w:lang w:val="zh-CN"/>
                    </w:rPr>
                    <w:t>禁止未经许可在长江干支流及湖泊新设、改设或扩大排污口。</w:t>
                  </w:r>
                </w:p>
              </w:tc>
              <w:tc>
                <w:tcPr>
                  <w:tcW w:w="1582" w:type="pct"/>
                  <w:vAlign w:val="center"/>
                </w:tcPr>
                <w:p w14:paraId="5F83687F">
                  <w:pPr>
                    <w:ind w:firstLine="0" w:firstLineChars="0"/>
                    <w:jc w:val="left"/>
                    <w:rPr>
                      <w:color w:val="auto"/>
                      <w:szCs w:val="21"/>
                    </w:rPr>
                  </w:pPr>
                  <w:r>
                    <w:rPr>
                      <w:color w:val="auto"/>
                      <w:szCs w:val="21"/>
                    </w:rPr>
                    <w:t>项目废水不外排。</w:t>
                  </w:r>
                </w:p>
              </w:tc>
              <w:tc>
                <w:tcPr>
                  <w:tcW w:w="563" w:type="pct"/>
                  <w:vAlign w:val="center"/>
                </w:tcPr>
                <w:p w14:paraId="550C4C5C">
                  <w:pPr>
                    <w:ind w:firstLine="0" w:firstLineChars="0"/>
                    <w:jc w:val="center"/>
                    <w:rPr>
                      <w:color w:val="auto"/>
                      <w:szCs w:val="21"/>
                    </w:rPr>
                  </w:pPr>
                  <w:r>
                    <w:rPr>
                      <w:color w:val="auto"/>
                      <w:szCs w:val="21"/>
                    </w:rPr>
                    <w:t>相符</w:t>
                  </w:r>
                </w:p>
              </w:tc>
            </w:tr>
            <w:tr w14:paraId="5185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3" w:type="pct"/>
                  <w:vAlign w:val="center"/>
                </w:tcPr>
                <w:p w14:paraId="77092B3B">
                  <w:pPr>
                    <w:ind w:firstLine="0" w:firstLineChars="0"/>
                    <w:jc w:val="center"/>
                    <w:rPr>
                      <w:color w:val="auto"/>
                      <w:szCs w:val="21"/>
                    </w:rPr>
                  </w:pPr>
                  <w:r>
                    <w:rPr>
                      <w:color w:val="auto"/>
                      <w:szCs w:val="21"/>
                    </w:rPr>
                    <w:t>（七）</w:t>
                  </w:r>
                  <w:r>
                    <w:rPr>
                      <w:color w:val="auto"/>
                      <w:szCs w:val="21"/>
                      <w:lang w:val="zh-CN"/>
                    </w:rPr>
                    <w:t>禁止在“一江一口两湖七河”和332个水生生物保护区开展生产性捕捞。</w:t>
                  </w:r>
                </w:p>
              </w:tc>
              <w:tc>
                <w:tcPr>
                  <w:tcW w:w="1582" w:type="pct"/>
                  <w:vAlign w:val="center"/>
                </w:tcPr>
                <w:p w14:paraId="4B1BEEBA">
                  <w:pPr>
                    <w:ind w:firstLine="0" w:firstLineChars="0"/>
                    <w:jc w:val="left"/>
                    <w:rPr>
                      <w:color w:val="auto"/>
                      <w:szCs w:val="21"/>
                    </w:rPr>
                  </w:pPr>
                  <w:r>
                    <w:rPr>
                      <w:color w:val="auto"/>
                      <w:szCs w:val="21"/>
                    </w:rPr>
                    <w:t>项目不涉及捕捞。</w:t>
                  </w:r>
                </w:p>
              </w:tc>
              <w:tc>
                <w:tcPr>
                  <w:tcW w:w="563" w:type="pct"/>
                  <w:vAlign w:val="center"/>
                </w:tcPr>
                <w:p w14:paraId="502717A7">
                  <w:pPr>
                    <w:ind w:firstLine="0" w:firstLineChars="0"/>
                    <w:jc w:val="center"/>
                    <w:rPr>
                      <w:color w:val="auto"/>
                      <w:szCs w:val="21"/>
                    </w:rPr>
                  </w:pPr>
                  <w:r>
                    <w:rPr>
                      <w:color w:val="auto"/>
                      <w:szCs w:val="21"/>
                    </w:rPr>
                    <w:t>相符</w:t>
                  </w:r>
                </w:p>
              </w:tc>
            </w:tr>
            <w:tr w14:paraId="399F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53" w:type="pct"/>
                  <w:vAlign w:val="center"/>
                </w:tcPr>
                <w:p w14:paraId="0CE1C0A3">
                  <w:pPr>
                    <w:ind w:firstLine="0" w:firstLineChars="0"/>
                    <w:jc w:val="center"/>
                    <w:rPr>
                      <w:color w:val="auto"/>
                      <w:szCs w:val="21"/>
                    </w:rPr>
                  </w:pPr>
                  <w:r>
                    <w:rPr>
                      <w:color w:val="auto"/>
                      <w:szCs w:val="21"/>
                    </w:rPr>
                    <w:t>（八）</w:t>
                  </w:r>
                  <w:r>
                    <w:rPr>
                      <w:color w:val="auto"/>
                      <w:szCs w:val="21"/>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582" w:type="pct"/>
                  <w:vAlign w:val="center"/>
                </w:tcPr>
                <w:p w14:paraId="6CBEC611">
                  <w:pPr>
                    <w:ind w:firstLine="0" w:firstLineChars="0"/>
                    <w:jc w:val="left"/>
                    <w:rPr>
                      <w:color w:val="auto"/>
                      <w:szCs w:val="21"/>
                    </w:rPr>
                  </w:pPr>
                  <w:r>
                    <w:rPr>
                      <w:color w:val="auto"/>
                      <w:szCs w:val="21"/>
                    </w:rPr>
                    <w:t>项目</w:t>
                  </w:r>
                  <w:r>
                    <w:rPr>
                      <w:color w:val="auto"/>
                    </w:rPr>
                    <w:t>位于</w:t>
                  </w:r>
                  <w:r>
                    <w:rPr>
                      <w:color w:val="auto"/>
                      <w:kern w:val="0"/>
                      <w:szCs w:val="21"/>
                    </w:rPr>
                    <w:t>寻甸金所乡上哨大村内</w:t>
                  </w:r>
                  <w:r>
                    <w:rPr>
                      <w:color w:val="auto"/>
                    </w:rPr>
                    <w:t>，项目不属于</w:t>
                  </w:r>
                  <w:r>
                    <w:rPr>
                      <w:color w:val="auto"/>
                      <w:szCs w:val="21"/>
                      <w:lang w:val="zh-CN"/>
                    </w:rPr>
                    <w:t>尾矿库、冶炼渣库和磷石膏库的项目</w:t>
                  </w:r>
                  <w:r>
                    <w:rPr>
                      <w:color w:val="auto"/>
                    </w:rPr>
                    <w:t>。</w:t>
                  </w:r>
                </w:p>
              </w:tc>
              <w:tc>
                <w:tcPr>
                  <w:tcW w:w="563" w:type="pct"/>
                  <w:vAlign w:val="center"/>
                </w:tcPr>
                <w:p w14:paraId="42F2E608">
                  <w:pPr>
                    <w:ind w:firstLine="0" w:firstLineChars="0"/>
                    <w:jc w:val="center"/>
                    <w:rPr>
                      <w:color w:val="auto"/>
                      <w:szCs w:val="21"/>
                    </w:rPr>
                  </w:pPr>
                  <w:r>
                    <w:rPr>
                      <w:color w:val="auto"/>
                      <w:szCs w:val="21"/>
                    </w:rPr>
                    <w:t>相符</w:t>
                  </w:r>
                </w:p>
              </w:tc>
            </w:tr>
            <w:tr w14:paraId="57FA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53" w:type="pct"/>
                  <w:vAlign w:val="center"/>
                </w:tcPr>
                <w:p w14:paraId="38A8A350">
                  <w:pPr>
                    <w:ind w:firstLine="0" w:firstLineChars="0"/>
                    <w:jc w:val="center"/>
                    <w:rPr>
                      <w:color w:val="auto"/>
                      <w:szCs w:val="21"/>
                    </w:rPr>
                  </w:pPr>
                  <w:r>
                    <w:rPr>
                      <w:color w:val="auto"/>
                      <w:szCs w:val="21"/>
                    </w:rPr>
                    <w:t>（九）</w:t>
                  </w:r>
                  <w:r>
                    <w:rPr>
                      <w:color w:val="auto"/>
                      <w:szCs w:val="21"/>
                      <w:lang w:val="zh-CN"/>
                    </w:rPr>
                    <w:t>禁止在合规园区外新建、扩建钢铁、石化、化工、焦化、建材、有色、制浆造纸等高污染项目。</w:t>
                  </w:r>
                </w:p>
              </w:tc>
              <w:tc>
                <w:tcPr>
                  <w:tcW w:w="1582" w:type="pct"/>
                  <w:vAlign w:val="center"/>
                </w:tcPr>
                <w:p w14:paraId="1F935903">
                  <w:pPr>
                    <w:ind w:firstLine="0" w:firstLineChars="0"/>
                    <w:jc w:val="center"/>
                    <w:rPr>
                      <w:color w:val="auto"/>
                      <w:szCs w:val="21"/>
                    </w:rPr>
                  </w:pPr>
                  <w:r>
                    <w:rPr>
                      <w:color w:val="auto"/>
                      <w:szCs w:val="21"/>
                    </w:rPr>
                    <w:t>项目不属于</w:t>
                  </w:r>
                  <w:r>
                    <w:rPr>
                      <w:color w:val="auto"/>
                      <w:szCs w:val="21"/>
                      <w:lang w:val="zh-CN"/>
                    </w:rPr>
                    <w:t>高污染项目</w:t>
                  </w:r>
                  <w:r>
                    <w:rPr>
                      <w:color w:val="auto"/>
                      <w:szCs w:val="21"/>
                    </w:rPr>
                    <w:t>。</w:t>
                  </w:r>
                </w:p>
              </w:tc>
              <w:tc>
                <w:tcPr>
                  <w:tcW w:w="563" w:type="pct"/>
                  <w:vAlign w:val="center"/>
                </w:tcPr>
                <w:p w14:paraId="67310662">
                  <w:pPr>
                    <w:ind w:firstLine="0" w:firstLineChars="0"/>
                    <w:jc w:val="center"/>
                    <w:rPr>
                      <w:color w:val="auto"/>
                      <w:szCs w:val="21"/>
                    </w:rPr>
                  </w:pPr>
                  <w:r>
                    <w:rPr>
                      <w:color w:val="auto"/>
                      <w:szCs w:val="21"/>
                    </w:rPr>
                    <w:t>相符</w:t>
                  </w:r>
                </w:p>
              </w:tc>
            </w:tr>
            <w:tr w14:paraId="785E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2853" w:type="pct"/>
                  <w:vAlign w:val="center"/>
                </w:tcPr>
                <w:p w14:paraId="42780C74">
                  <w:pPr>
                    <w:ind w:firstLine="0" w:firstLineChars="0"/>
                    <w:rPr>
                      <w:color w:val="auto"/>
                      <w:szCs w:val="21"/>
                    </w:rPr>
                  </w:pPr>
                  <w:r>
                    <w:rPr>
                      <w:color w:val="auto"/>
                      <w:szCs w:val="21"/>
                    </w:rPr>
                    <w:t>（十）禁止新建、扩建不符合国家石化、现代煤工艺等产业布局的规划项目。</w:t>
                  </w:r>
                </w:p>
              </w:tc>
              <w:tc>
                <w:tcPr>
                  <w:tcW w:w="1582" w:type="pct"/>
                  <w:vAlign w:val="center"/>
                </w:tcPr>
                <w:p w14:paraId="2C710C83">
                  <w:pPr>
                    <w:ind w:firstLine="0" w:firstLineChars="0"/>
                    <w:jc w:val="center"/>
                    <w:rPr>
                      <w:color w:val="auto"/>
                      <w:szCs w:val="21"/>
                    </w:rPr>
                  </w:pPr>
                  <w:r>
                    <w:rPr>
                      <w:color w:val="auto"/>
                      <w:szCs w:val="21"/>
                    </w:rPr>
                    <w:t>项目不涉及国家石化、现代煤工艺等产业布局的规划项目。</w:t>
                  </w:r>
                </w:p>
              </w:tc>
              <w:tc>
                <w:tcPr>
                  <w:tcW w:w="563" w:type="pct"/>
                  <w:vAlign w:val="center"/>
                </w:tcPr>
                <w:p w14:paraId="7A9250D7">
                  <w:pPr>
                    <w:ind w:firstLine="0" w:firstLineChars="0"/>
                    <w:jc w:val="center"/>
                    <w:rPr>
                      <w:color w:val="auto"/>
                      <w:szCs w:val="21"/>
                    </w:rPr>
                  </w:pPr>
                  <w:r>
                    <w:rPr>
                      <w:color w:val="auto"/>
                      <w:szCs w:val="21"/>
                    </w:rPr>
                    <w:t>相符</w:t>
                  </w:r>
                </w:p>
              </w:tc>
            </w:tr>
            <w:tr w14:paraId="58A2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jc w:val="center"/>
              </w:trPr>
              <w:tc>
                <w:tcPr>
                  <w:tcW w:w="2853" w:type="pct"/>
                  <w:vAlign w:val="center"/>
                </w:tcPr>
                <w:p w14:paraId="1D032D92">
                  <w:pPr>
                    <w:ind w:firstLine="0" w:firstLineChars="0"/>
                    <w:jc w:val="center"/>
                    <w:rPr>
                      <w:color w:val="auto"/>
                      <w:szCs w:val="21"/>
                    </w:rPr>
                  </w:pPr>
                  <w:r>
                    <w:rPr>
                      <w:color w:val="auto"/>
                      <w:szCs w:val="21"/>
                    </w:rPr>
                    <w:t>（十一）</w:t>
                  </w:r>
                  <w:r>
                    <w:rPr>
                      <w:color w:val="auto"/>
                      <w:szCs w:val="21"/>
                      <w:lang w:val="zh-CN"/>
                    </w:rPr>
                    <w:t>禁止新建、扩建法律法规和相关政策明令禁止的落后产能项目。禁止新建、扩建不符合国家产能置换要求的严重过剩产能行业的项目。禁止新建、扩建不符合要求的高耗能高排放项目。</w:t>
                  </w:r>
                </w:p>
              </w:tc>
              <w:tc>
                <w:tcPr>
                  <w:tcW w:w="1582" w:type="pct"/>
                  <w:vAlign w:val="center"/>
                </w:tcPr>
                <w:p w14:paraId="5D8167E8">
                  <w:pPr>
                    <w:ind w:firstLine="0" w:firstLineChars="0"/>
                    <w:jc w:val="center"/>
                    <w:rPr>
                      <w:color w:val="auto"/>
                      <w:szCs w:val="21"/>
                    </w:rPr>
                  </w:pPr>
                  <w:r>
                    <w:rPr>
                      <w:color w:val="auto"/>
                      <w:szCs w:val="21"/>
                    </w:rPr>
                    <w:t>项目不属于</w:t>
                  </w:r>
                  <w:r>
                    <w:rPr>
                      <w:color w:val="auto"/>
                      <w:szCs w:val="21"/>
                      <w:lang w:val="zh-CN"/>
                    </w:rPr>
                    <w:t>新建、扩建法律法规和相关政策明令禁止的落后产能项目，不属于禁止新建、扩建不符合国家产能置换要求的严重过剩产能行业的项目，不属于禁止新建、扩建不符合要求的高耗能高排放项目</w:t>
                  </w:r>
                  <w:r>
                    <w:rPr>
                      <w:color w:val="auto"/>
                      <w:szCs w:val="21"/>
                    </w:rPr>
                    <w:t>。</w:t>
                  </w:r>
                </w:p>
              </w:tc>
              <w:tc>
                <w:tcPr>
                  <w:tcW w:w="563" w:type="pct"/>
                  <w:vAlign w:val="center"/>
                </w:tcPr>
                <w:p w14:paraId="2EF7EA81">
                  <w:pPr>
                    <w:ind w:firstLine="0" w:firstLineChars="0"/>
                    <w:jc w:val="center"/>
                    <w:rPr>
                      <w:color w:val="auto"/>
                      <w:szCs w:val="21"/>
                    </w:rPr>
                  </w:pPr>
                  <w:r>
                    <w:rPr>
                      <w:color w:val="auto"/>
                      <w:szCs w:val="21"/>
                    </w:rPr>
                    <w:t>相符</w:t>
                  </w:r>
                </w:p>
              </w:tc>
            </w:tr>
          </w:tbl>
          <w:p w14:paraId="72A091B0">
            <w:pPr>
              <w:ind w:firstLine="0" w:firstLineChars="0"/>
              <w:rPr>
                <w:b/>
                <w:color w:val="auto"/>
                <w:szCs w:val="21"/>
              </w:rPr>
            </w:pPr>
          </w:p>
          <w:p w14:paraId="4A4C2023">
            <w:pPr>
              <w:snapToGrid w:val="0"/>
              <w:spacing w:line="360" w:lineRule="auto"/>
              <w:ind w:firstLine="482"/>
              <w:outlineLvl w:val="2"/>
              <w:rPr>
                <w:b/>
                <w:bCs/>
                <w:color w:val="auto"/>
                <w:kern w:val="0"/>
                <w:sz w:val="24"/>
              </w:rPr>
            </w:pPr>
            <w:bookmarkStart w:id="10" w:name="_Toc15006"/>
            <w:r>
              <w:rPr>
                <w:rFonts w:hint="eastAsia"/>
                <w:b/>
                <w:bCs/>
                <w:color w:val="auto"/>
                <w:kern w:val="0"/>
                <w:sz w:val="24"/>
              </w:rPr>
              <w:t>9</w:t>
            </w:r>
            <w:r>
              <w:rPr>
                <w:b/>
                <w:bCs/>
                <w:color w:val="auto"/>
                <w:kern w:val="0"/>
                <w:sz w:val="24"/>
              </w:rPr>
              <w:t>、与《云南省长江经济带发展负面清单指南实施细则（试行，2022年版）》的符合性分析</w:t>
            </w:r>
            <w:bookmarkEnd w:id="10"/>
          </w:p>
          <w:p w14:paraId="17D0693C">
            <w:pPr>
              <w:ind w:firstLine="0" w:firstLineChars="0"/>
              <w:jc w:val="center"/>
              <w:rPr>
                <w:b/>
                <w:color w:val="auto"/>
                <w:szCs w:val="21"/>
              </w:rPr>
            </w:pPr>
            <w:r>
              <w:rPr>
                <w:b/>
                <w:color w:val="auto"/>
                <w:szCs w:val="21"/>
              </w:rPr>
              <w:t>表1-</w:t>
            </w:r>
            <w:r>
              <w:rPr>
                <w:rFonts w:hint="eastAsia"/>
                <w:b/>
                <w:color w:val="auto"/>
                <w:szCs w:val="21"/>
              </w:rPr>
              <w:t>8</w:t>
            </w:r>
            <w:r>
              <w:rPr>
                <w:b/>
                <w:color w:val="auto"/>
                <w:szCs w:val="21"/>
              </w:rPr>
              <w:t xml:space="preserve"> 《云南省长江经济带发展负面清单指南实施细则（试行，2022年版）》符合性分析</w:t>
            </w:r>
          </w:p>
          <w:tbl>
            <w:tblPr>
              <w:tblStyle w:val="3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68"/>
              <w:gridCol w:w="2709"/>
              <w:gridCol w:w="576"/>
            </w:tblGrid>
            <w:tr w14:paraId="77C27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1CB54B56">
                  <w:pPr>
                    <w:ind w:firstLine="0" w:firstLineChars="0"/>
                    <w:jc w:val="center"/>
                    <w:rPr>
                      <w:b/>
                      <w:bCs/>
                      <w:color w:val="auto"/>
                      <w:kern w:val="0"/>
                      <w:szCs w:val="21"/>
                    </w:rPr>
                  </w:pPr>
                  <w:r>
                    <w:rPr>
                      <w:b/>
                      <w:bCs/>
                      <w:color w:val="auto"/>
                      <w:szCs w:val="21"/>
                      <w:shd w:val="clear" w:color="auto" w:fill="FFFFFF"/>
                    </w:rPr>
                    <w:t>规范要求</w:t>
                  </w:r>
                </w:p>
              </w:tc>
              <w:tc>
                <w:tcPr>
                  <w:tcW w:w="1661" w:type="pct"/>
                  <w:vAlign w:val="center"/>
                </w:tcPr>
                <w:p w14:paraId="4007967D">
                  <w:pPr>
                    <w:ind w:firstLine="0" w:firstLineChars="0"/>
                    <w:jc w:val="center"/>
                    <w:rPr>
                      <w:b/>
                      <w:bCs/>
                      <w:color w:val="auto"/>
                      <w:kern w:val="0"/>
                      <w:szCs w:val="21"/>
                    </w:rPr>
                  </w:pPr>
                  <w:r>
                    <w:rPr>
                      <w:b/>
                      <w:bCs/>
                      <w:color w:val="auto"/>
                      <w:szCs w:val="21"/>
                    </w:rPr>
                    <w:t>项目实际情况</w:t>
                  </w:r>
                </w:p>
              </w:tc>
              <w:tc>
                <w:tcPr>
                  <w:tcW w:w="353" w:type="pct"/>
                  <w:vAlign w:val="center"/>
                </w:tcPr>
                <w:p w14:paraId="35688696">
                  <w:pPr>
                    <w:ind w:firstLine="0" w:firstLineChars="0"/>
                    <w:jc w:val="center"/>
                    <w:rPr>
                      <w:b/>
                      <w:bCs/>
                      <w:color w:val="auto"/>
                      <w:kern w:val="0"/>
                      <w:szCs w:val="21"/>
                    </w:rPr>
                  </w:pPr>
                  <w:r>
                    <w:rPr>
                      <w:b/>
                      <w:bCs/>
                      <w:color w:val="auto"/>
                      <w:szCs w:val="21"/>
                    </w:rPr>
                    <w:t>相符性</w:t>
                  </w:r>
                </w:p>
              </w:tc>
            </w:tr>
            <w:tr w14:paraId="003A2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5FB7B6EC">
                  <w:pPr>
                    <w:ind w:firstLine="0" w:firstLineChars="0"/>
                    <w:jc w:val="center"/>
                    <w:rPr>
                      <w:color w:val="auto"/>
                      <w:szCs w:val="21"/>
                    </w:rPr>
                  </w:pPr>
                  <w:r>
                    <w:rPr>
                      <w:color w:val="auto"/>
                      <w:spacing w:val="9"/>
                      <w:szCs w:val="21"/>
                    </w:rPr>
                    <w:t>禁止建设不符合全国和省级港口布局规划以</w:t>
                  </w:r>
                  <w:r>
                    <w:rPr>
                      <w:color w:val="auto"/>
                      <w:spacing w:val="8"/>
                      <w:szCs w:val="21"/>
                    </w:rPr>
                    <w:t>及港口总体规划的码头项目。</w:t>
                  </w:r>
                </w:p>
              </w:tc>
              <w:tc>
                <w:tcPr>
                  <w:tcW w:w="1661" w:type="pct"/>
                  <w:vAlign w:val="center"/>
                </w:tcPr>
                <w:p w14:paraId="387E2853">
                  <w:pPr>
                    <w:ind w:firstLine="0" w:firstLineChars="0"/>
                    <w:jc w:val="center"/>
                    <w:rPr>
                      <w:color w:val="auto"/>
                      <w:szCs w:val="21"/>
                    </w:rPr>
                  </w:pPr>
                  <w:r>
                    <w:rPr>
                      <w:color w:val="auto"/>
                      <w:spacing w:val="8"/>
                      <w:szCs w:val="21"/>
                    </w:rPr>
                    <w:t>项目不属于码头项目。</w:t>
                  </w:r>
                </w:p>
              </w:tc>
              <w:tc>
                <w:tcPr>
                  <w:tcW w:w="353" w:type="pct"/>
                  <w:vAlign w:val="center"/>
                </w:tcPr>
                <w:p w14:paraId="331A92F3">
                  <w:pPr>
                    <w:ind w:firstLine="0" w:firstLineChars="0"/>
                    <w:jc w:val="center"/>
                    <w:rPr>
                      <w:color w:val="auto"/>
                      <w:szCs w:val="21"/>
                    </w:rPr>
                  </w:pPr>
                  <w:r>
                    <w:rPr>
                      <w:color w:val="auto"/>
                      <w:szCs w:val="21"/>
                    </w:rPr>
                    <w:t>相符</w:t>
                  </w:r>
                </w:p>
              </w:tc>
            </w:tr>
            <w:tr w14:paraId="4001E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0CECF005">
                  <w:pPr>
                    <w:ind w:firstLine="0" w:firstLineChars="0"/>
                    <w:jc w:val="center"/>
                    <w:rPr>
                      <w:color w:val="auto"/>
                      <w:szCs w:val="21"/>
                      <w:shd w:val="clear" w:color="auto" w:fill="FFFFFF"/>
                    </w:rPr>
                  </w:pPr>
                  <w:r>
                    <w:rPr>
                      <w:color w:val="auto"/>
                      <w:spacing w:val="10"/>
                      <w:szCs w:val="21"/>
                    </w:rPr>
                    <w:t>禁止在生态保护红线范围内投资建设项目，</w:t>
                  </w:r>
                  <w:r>
                    <w:rPr>
                      <w:color w:val="auto"/>
                      <w:spacing w:val="8"/>
                      <w:szCs w:val="21"/>
                    </w:rPr>
                    <w:t>生态保护红线内、</w:t>
                  </w:r>
                  <w:r>
                    <w:rPr>
                      <w:color w:val="auto"/>
                      <w:spacing w:val="-38"/>
                      <w:szCs w:val="21"/>
                    </w:rPr>
                    <w:t xml:space="preserve"> </w:t>
                  </w:r>
                  <w:r>
                    <w:rPr>
                      <w:color w:val="auto"/>
                      <w:spacing w:val="8"/>
                      <w:szCs w:val="21"/>
                    </w:rPr>
                    <w:t>自然保护地核心保护区原</w:t>
                  </w:r>
                  <w:r>
                    <w:rPr>
                      <w:color w:val="auto"/>
                      <w:spacing w:val="11"/>
                      <w:szCs w:val="21"/>
                    </w:rPr>
                    <w:t>则上禁止人为活动；其他区域严格禁止开发性、生产性建设活动。除国家重大战略资源</w:t>
                  </w:r>
                  <w:r>
                    <w:rPr>
                      <w:color w:val="auto"/>
                      <w:spacing w:val="12"/>
                      <w:szCs w:val="21"/>
                    </w:rPr>
                    <w:t>勘查项目、生态保护修复和环境治理项目、</w:t>
                  </w:r>
                  <w:r>
                    <w:rPr>
                      <w:color w:val="auto"/>
                      <w:spacing w:val="7"/>
                      <w:szCs w:val="21"/>
                    </w:rPr>
                    <w:t>重大基础设施项目、军事国防项目以及农牧</w:t>
                  </w:r>
                  <w:r>
                    <w:rPr>
                      <w:color w:val="auto"/>
                      <w:spacing w:val="11"/>
                      <w:szCs w:val="21"/>
                    </w:rPr>
                    <w:t>民基本生产生活等必要的民生项目以外的项目。生态保护红线原则上按禁止开发区域的要求进行管理外，仅允许对生态功能不造成</w:t>
                  </w:r>
                  <w:r>
                    <w:rPr>
                      <w:color w:val="auto"/>
                      <w:spacing w:val="8"/>
                      <w:szCs w:val="21"/>
                    </w:rPr>
                    <w:t>破坏的有限人为活动。</w:t>
                  </w:r>
                </w:p>
              </w:tc>
              <w:tc>
                <w:tcPr>
                  <w:tcW w:w="1661" w:type="pct"/>
                  <w:vAlign w:val="center"/>
                </w:tcPr>
                <w:p w14:paraId="3BFC63B5">
                  <w:pPr>
                    <w:ind w:firstLine="0" w:firstLineChars="0"/>
                    <w:jc w:val="center"/>
                    <w:rPr>
                      <w:color w:val="auto"/>
                      <w:szCs w:val="21"/>
                    </w:rPr>
                  </w:pPr>
                  <w:r>
                    <w:rPr>
                      <w:color w:val="auto"/>
                      <w:spacing w:val="8"/>
                      <w:szCs w:val="21"/>
                    </w:rPr>
                    <w:t>项目不在云南省生态红</w:t>
                  </w:r>
                  <w:r>
                    <w:rPr>
                      <w:color w:val="auto"/>
                      <w:spacing w:val="7"/>
                      <w:szCs w:val="21"/>
                    </w:rPr>
                    <w:t>线范围内。</w:t>
                  </w:r>
                </w:p>
              </w:tc>
              <w:tc>
                <w:tcPr>
                  <w:tcW w:w="353" w:type="pct"/>
                  <w:vAlign w:val="center"/>
                </w:tcPr>
                <w:p w14:paraId="61EC24C2">
                  <w:pPr>
                    <w:ind w:firstLine="0" w:firstLineChars="0"/>
                    <w:jc w:val="center"/>
                    <w:rPr>
                      <w:color w:val="auto"/>
                      <w:szCs w:val="21"/>
                    </w:rPr>
                  </w:pPr>
                  <w:r>
                    <w:rPr>
                      <w:color w:val="auto"/>
                      <w:szCs w:val="21"/>
                    </w:rPr>
                    <w:t>相符</w:t>
                  </w:r>
                </w:p>
              </w:tc>
            </w:tr>
            <w:tr w14:paraId="3ADAA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5009C22B">
                  <w:pPr>
                    <w:ind w:firstLine="0" w:firstLineChars="0"/>
                    <w:jc w:val="center"/>
                    <w:rPr>
                      <w:color w:val="auto"/>
                      <w:szCs w:val="21"/>
                      <w:shd w:val="clear" w:color="auto" w:fill="FFFFFF"/>
                    </w:rPr>
                  </w:pPr>
                  <w:r>
                    <w:rPr>
                      <w:color w:val="auto"/>
                      <w:spacing w:val="6"/>
                      <w:szCs w:val="21"/>
                    </w:rPr>
                    <w:t>禁止在自然保护区内进行砍伐、放牧、狩猎、</w:t>
                  </w:r>
                  <w:r>
                    <w:rPr>
                      <w:color w:val="auto"/>
                      <w:spacing w:val="9"/>
                      <w:szCs w:val="21"/>
                    </w:rPr>
                    <w:t>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w:t>
                  </w:r>
                  <w:r>
                    <w:rPr>
                      <w:color w:val="auto"/>
                      <w:spacing w:val="6"/>
                      <w:szCs w:val="21"/>
                    </w:rPr>
                    <w:t>资源或者景观的生产设施；自然保护区核心</w:t>
                  </w:r>
                  <w:r>
                    <w:rPr>
                      <w:color w:val="auto"/>
                      <w:spacing w:val="9"/>
                      <w:szCs w:val="21"/>
                    </w:rPr>
                    <w:t>区，严禁任何生产经营活动；新建公路、铁路和其他基础设施不得穿越自然保护区核心区，尽量避免穿越缓冲区；禁止在自然保护区的核心区和缓冲区内建设畜禽养殖场、养</w:t>
                  </w:r>
                  <w:r>
                    <w:rPr>
                      <w:color w:val="auto"/>
                      <w:spacing w:val="4"/>
                      <w:szCs w:val="21"/>
                    </w:rPr>
                    <w:t>殖小区。</w:t>
                  </w:r>
                </w:p>
              </w:tc>
              <w:tc>
                <w:tcPr>
                  <w:tcW w:w="1661" w:type="pct"/>
                  <w:vAlign w:val="center"/>
                </w:tcPr>
                <w:p w14:paraId="3E376591">
                  <w:pPr>
                    <w:ind w:firstLine="0" w:firstLineChars="0"/>
                    <w:jc w:val="center"/>
                    <w:rPr>
                      <w:color w:val="auto"/>
                      <w:szCs w:val="21"/>
                    </w:rPr>
                  </w:pPr>
                  <w:r>
                    <w:rPr>
                      <w:color w:val="auto"/>
                      <w:spacing w:val="8"/>
                      <w:szCs w:val="21"/>
                    </w:rPr>
                    <w:t>项目不涉及自然保护区。</w:t>
                  </w:r>
                </w:p>
              </w:tc>
              <w:tc>
                <w:tcPr>
                  <w:tcW w:w="353" w:type="pct"/>
                  <w:vAlign w:val="center"/>
                </w:tcPr>
                <w:p w14:paraId="711175FA">
                  <w:pPr>
                    <w:ind w:firstLine="0" w:firstLineChars="0"/>
                    <w:jc w:val="center"/>
                    <w:rPr>
                      <w:color w:val="auto"/>
                      <w:szCs w:val="21"/>
                    </w:rPr>
                  </w:pPr>
                  <w:r>
                    <w:rPr>
                      <w:color w:val="auto"/>
                      <w:szCs w:val="21"/>
                    </w:rPr>
                    <w:t>相符</w:t>
                  </w:r>
                </w:p>
              </w:tc>
            </w:tr>
            <w:tr w14:paraId="75F83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631475CE">
                  <w:pPr>
                    <w:ind w:firstLine="0" w:firstLineChars="0"/>
                    <w:jc w:val="center"/>
                    <w:rPr>
                      <w:color w:val="auto"/>
                      <w:szCs w:val="21"/>
                    </w:rPr>
                  </w:pPr>
                  <w:r>
                    <w:rPr>
                      <w:color w:val="auto"/>
                      <w:spacing w:val="7"/>
                      <w:szCs w:val="21"/>
                    </w:rPr>
                    <w:t>禁止在风景名胜区内进行开山、采石、开矿、</w:t>
                  </w:r>
                  <w:r>
                    <w:rPr>
                      <w:color w:val="auto"/>
                      <w:spacing w:val="9"/>
                      <w:szCs w:val="21"/>
                    </w:rPr>
                    <w:t>开荒、修坟立碑等破坏景观、植被和地形地貌的活动以及修建储存爆炸性、易燃性、放射性、毒害性、腐蚀性物品的设施；禁止违反风景名胜区规划，在风景名胜区内设立各</w:t>
                  </w:r>
                  <w:r>
                    <w:rPr>
                      <w:color w:val="auto"/>
                      <w:spacing w:val="7"/>
                      <w:szCs w:val="21"/>
                    </w:rPr>
                    <w:t>类开发区和在核心景区内建设宾馆、招待所、</w:t>
                  </w:r>
                  <w:r>
                    <w:rPr>
                      <w:color w:val="auto"/>
                      <w:spacing w:val="9"/>
                      <w:szCs w:val="21"/>
                    </w:rPr>
                    <w:t>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w:t>
                  </w:r>
                  <w:r>
                    <w:rPr>
                      <w:color w:val="auto"/>
                      <w:spacing w:val="6"/>
                      <w:szCs w:val="21"/>
                    </w:rPr>
                    <w:t>畜禽养殖场、养殖小区。</w:t>
                  </w:r>
                </w:p>
              </w:tc>
              <w:tc>
                <w:tcPr>
                  <w:tcW w:w="1661" w:type="pct"/>
                  <w:vAlign w:val="center"/>
                </w:tcPr>
                <w:p w14:paraId="631E2865">
                  <w:pPr>
                    <w:ind w:firstLine="0" w:firstLineChars="0"/>
                    <w:jc w:val="center"/>
                    <w:rPr>
                      <w:color w:val="auto"/>
                      <w:szCs w:val="21"/>
                    </w:rPr>
                  </w:pPr>
                  <w:r>
                    <w:rPr>
                      <w:color w:val="auto"/>
                      <w:spacing w:val="8"/>
                      <w:szCs w:val="21"/>
                    </w:rPr>
                    <w:t>项目不涉及风景名胜区</w:t>
                  </w:r>
                </w:p>
              </w:tc>
              <w:tc>
                <w:tcPr>
                  <w:tcW w:w="353" w:type="pct"/>
                  <w:vAlign w:val="center"/>
                </w:tcPr>
                <w:p w14:paraId="294BE0B8">
                  <w:pPr>
                    <w:ind w:firstLine="0" w:firstLineChars="0"/>
                    <w:jc w:val="center"/>
                    <w:rPr>
                      <w:color w:val="auto"/>
                      <w:szCs w:val="21"/>
                    </w:rPr>
                  </w:pPr>
                  <w:r>
                    <w:rPr>
                      <w:color w:val="auto"/>
                      <w:szCs w:val="21"/>
                    </w:rPr>
                    <w:t>相符</w:t>
                  </w:r>
                </w:p>
              </w:tc>
            </w:tr>
            <w:tr w14:paraId="5826E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1064DD7A">
                  <w:pPr>
                    <w:ind w:firstLine="0" w:firstLineChars="0"/>
                    <w:jc w:val="center"/>
                    <w:rPr>
                      <w:color w:val="auto"/>
                      <w:szCs w:val="21"/>
                    </w:rPr>
                  </w:pPr>
                  <w:r>
                    <w:rPr>
                      <w:color w:val="auto"/>
                      <w:spacing w:val="6"/>
                      <w:szCs w:val="21"/>
                    </w:rPr>
                    <w:t>禁止擅自征收、占用国家湿地公园的土地。</w:t>
                  </w:r>
                  <w:r>
                    <w:rPr>
                      <w:color w:val="auto"/>
                      <w:spacing w:val="9"/>
                      <w:szCs w:val="21"/>
                    </w:rPr>
                    <w:t>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w:t>
                  </w:r>
                  <w:r>
                    <w:rPr>
                      <w:color w:val="auto"/>
                      <w:spacing w:val="8"/>
                      <w:szCs w:val="21"/>
                    </w:rPr>
                    <w:t>生动物栖息地和迁徙通道、鱼类洄游通道；</w:t>
                  </w:r>
                  <w:r>
                    <w:rPr>
                      <w:color w:val="auto"/>
                      <w:spacing w:val="9"/>
                      <w:szCs w:val="21"/>
                    </w:rPr>
                    <w:t>滥采滥捕野生动植物，引入外来物种；擅自放牧、捕捞、取土、取水、排污、放生等破坏湿地及其生态功能的活动。国家湿地公园保育区除开展保护、监测、科学研究等必需</w:t>
                  </w:r>
                  <w:r>
                    <w:rPr>
                      <w:color w:val="auto"/>
                      <w:spacing w:val="8"/>
                      <w:szCs w:val="21"/>
                    </w:rPr>
                    <w:t>的保护管理活动外，不得进行任何与湿地生态系统保护和管理无关的其他活动。</w:t>
                  </w:r>
                </w:p>
              </w:tc>
              <w:tc>
                <w:tcPr>
                  <w:tcW w:w="1661" w:type="pct"/>
                  <w:vAlign w:val="center"/>
                </w:tcPr>
                <w:p w14:paraId="4B1165FC">
                  <w:pPr>
                    <w:ind w:firstLine="0" w:firstLineChars="0"/>
                    <w:jc w:val="center"/>
                    <w:rPr>
                      <w:color w:val="auto"/>
                      <w:szCs w:val="21"/>
                    </w:rPr>
                  </w:pPr>
                  <w:r>
                    <w:rPr>
                      <w:color w:val="auto"/>
                      <w:spacing w:val="7"/>
                      <w:szCs w:val="21"/>
                    </w:rPr>
                    <w:t>项目不涉及擅自征收、</w:t>
                  </w:r>
                  <w:r>
                    <w:rPr>
                      <w:color w:val="auto"/>
                      <w:spacing w:val="5"/>
                      <w:szCs w:val="21"/>
                    </w:rPr>
                    <w:t>占用国家湿地公园的土</w:t>
                  </w:r>
                  <w:r>
                    <w:rPr>
                      <w:color w:val="auto"/>
                      <w:szCs w:val="21"/>
                    </w:rPr>
                    <w:t>地。</w:t>
                  </w:r>
                </w:p>
              </w:tc>
              <w:tc>
                <w:tcPr>
                  <w:tcW w:w="353" w:type="pct"/>
                  <w:vAlign w:val="center"/>
                </w:tcPr>
                <w:p w14:paraId="0C4164EE">
                  <w:pPr>
                    <w:ind w:firstLine="0" w:firstLineChars="0"/>
                    <w:jc w:val="center"/>
                    <w:rPr>
                      <w:color w:val="auto"/>
                      <w:szCs w:val="21"/>
                    </w:rPr>
                  </w:pPr>
                  <w:r>
                    <w:rPr>
                      <w:color w:val="auto"/>
                      <w:szCs w:val="21"/>
                    </w:rPr>
                    <w:t>相符</w:t>
                  </w:r>
                </w:p>
              </w:tc>
            </w:tr>
            <w:tr w14:paraId="2392F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06097C72">
                  <w:pPr>
                    <w:ind w:firstLine="0" w:firstLineChars="0"/>
                    <w:jc w:val="center"/>
                    <w:rPr>
                      <w:color w:val="auto"/>
                      <w:szCs w:val="21"/>
                    </w:rPr>
                  </w:pPr>
                  <w:r>
                    <w:rPr>
                      <w:color w:val="auto"/>
                      <w:spacing w:val="6"/>
                      <w:szCs w:val="21"/>
                    </w:rPr>
                    <w:t>禁止在饮用水水源一级保护区内新建、改建、</w:t>
                  </w:r>
                  <w:r>
                    <w:rPr>
                      <w:color w:val="auto"/>
                      <w:spacing w:val="9"/>
                      <w:szCs w:val="21"/>
                    </w:rPr>
                    <w:t>扩建与供水设施和保护水源无关的</w:t>
                  </w:r>
                  <w:r>
                    <w:rPr>
                      <w:rFonts w:hint="eastAsia"/>
                      <w:color w:val="auto"/>
                      <w:spacing w:val="9"/>
                      <w:szCs w:val="21"/>
                    </w:rPr>
                    <w:t>建筑</w:t>
                  </w:r>
                </w:p>
              </w:tc>
              <w:tc>
                <w:tcPr>
                  <w:tcW w:w="1661" w:type="pct"/>
                  <w:vAlign w:val="center"/>
                </w:tcPr>
                <w:p w14:paraId="17836C33">
                  <w:pPr>
                    <w:ind w:firstLine="0" w:firstLineChars="0"/>
                    <w:jc w:val="center"/>
                    <w:rPr>
                      <w:color w:val="auto"/>
                      <w:szCs w:val="21"/>
                    </w:rPr>
                  </w:pPr>
                  <w:r>
                    <w:rPr>
                      <w:color w:val="auto"/>
                      <w:spacing w:val="8"/>
                      <w:szCs w:val="21"/>
                    </w:rPr>
                    <w:t>项目不涉及饮用水水源</w:t>
                  </w:r>
                  <w:r>
                    <w:rPr>
                      <w:color w:val="auto"/>
                      <w:spacing w:val="4"/>
                      <w:szCs w:val="21"/>
                    </w:rPr>
                    <w:t>保护区。</w:t>
                  </w:r>
                </w:p>
              </w:tc>
              <w:tc>
                <w:tcPr>
                  <w:tcW w:w="353" w:type="pct"/>
                  <w:vAlign w:val="center"/>
                </w:tcPr>
                <w:p w14:paraId="2D181F6B">
                  <w:pPr>
                    <w:ind w:firstLine="0" w:firstLineChars="0"/>
                    <w:jc w:val="center"/>
                    <w:rPr>
                      <w:color w:val="auto"/>
                      <w:szCs w:val="21"/>
                    </w:rPr>
                  </w:pPr>
                  <w:r>
                    <w:rPr>
                      <w:color w:val="auto"/>
                      <w:szCs w:val="21"/>
                    </w:rPr>
                    <w:t>相符</w:t>
                  </w:r>
                </w:p>
              </w:tc>
            </w:tr>
            <w:tr w14:paraId="616E2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47B60F82">
                  <w:pPr>
                    <w:ind w:firstLine="0" w:firstLineChars="0"/>
                    <w:jc w:val="center"/>
                    <w:rPr>
                      <w:color w:val="auto"/>
                      <w:szCs w:val="21"/>
                    </w:rPr>
                  </w:pPr>
                  <w:r>
                    <w:rPr>
                      <w:color w:val="auto"/>
                      <w:spacing w:val="6"/>
                      <w:szCs w:val="21"/>
                    </w:rPr>
                    <w:t>禁止违法利用、</w:t>
                  </w:r>
                  <w:r>
                    <w:rPr>
                      <w:color w:val="auto"/>
                      <w:spacing w:val="-35"/>
                      <w:szCs w:val="21"/>
                    </w:rPr>
                    <w:t xml:space="preserve"> </w:t>
                  </w:r>
                  <w:r>
                    <w:rPr>
                      <w:color w:val="auto"/>
                      <w:spacing w:val="6"/>
                      <w:szCs w:val="21"/>
                    </w:rPr>
                    <w:t>占用长江流域河湖岸线。禁</w:t>
                  </w:r>
                  <w:r>
                    <w:rPr>
                      <w:color w:val="auto"/>
                      <w:spacing w:val="10"/>
                      <w:szCs w:val="21"/>
                    </w:rPr>
                    <w:t>止在《长江岸线保护和开发利用总体规划》</w:t>
                  </w:r>
                  <w:r>
                    <w:rPr>
                      <w:color w:val="auto"/>
                      <w:spacing w:val="11"/>
                      <w:szCs w:val="21"/>
                    </w:rPr>
                    <w:t>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禁止在永久基本农田范围内投资建设项目。重大建设项目选址确实难以避让永久基本农田的，需在可行性研究阶段，对占用的必要性、合理性和补划方案的可行性</w:t>
                  </w:r>
                  <w:r>
                    <w:rPr>
                      <w:color w:val="auto"/>
                      <w:spacing w:val="8"/>
                      <w:szCs w:val="21"/>
                    </w:rPr>
                    <w:t>进行严格论证，按照“数量不减、质量不降、</w:t>
                  </w:r>
                  <w:r>
                    <w:rPr>
                      <w:color w:val="auto"/>
                      <w:spacing w:val="6"/>
                      <w:szCs w:val="21"/>
                    </w:rPr>
                    <w:t>布局稳定”</w:t>
                  </w:r>
                  <w:r>
                    <w:rPr>
                      <w:color w:val="auto"/>
                      <w:spacing w:val="-6"/>
                      <w:szCs w:val="21"/>
                    </w:rPr>
                    <w:t xml:space="preserve"> </w:t>
                  </w:r>
                  <w:r>
                    <w:rPr>
                      <w:color w:val="auto"/>
                      <w:spacing w:val="6"/>
                      <w:szCs w:val="21"/>
                    </w:rPr>
                    <w:t>的要求进行补划，报自然资源部用</w:t>
                  </w:r>
                  <w:r>
                    <w:rPr>
                      <w:color w:val="auto"/>
                      <w:spacing w:val="11"/>
                      <w:szCs w:val="21"/>
                    </w:rPr>
                    <w:t>地预审，依法依规办理农用地转用和土地征收，和法定程序修改相应的国土空间规划用</w:t>
                  </w:r>
                  <w:r>
                    <w:rPr>
                      <w:color w:val="auto"/>
                      <w:szCs w:val="21"/>
                    </w:rPr>
                    <w:t>途。</w:t>
                  </w:r>
                </w:p>
              </w:tc>
              <w:tc>
                <w:tcPr>
                  <w:tcW w:w="1661" w:type="pct"/>
                  <w:vAlign w:val="center"/>
                </w:tcPr>
                <w:p w14:paraId="75D1D52A">
                  <w:pPr>
                    <w:ind w:firstLine="0" w:firstLineChars="0"/>
                    <w:jc w:val="center"/>
                    <w:rPr>
                      <w:color w:val="auto"/>
                      <w:szCs w:val="21"/>
                    </w:rPr>
                  </w:pPr>
                  <w:r>
                    <w:rPr>
                      <w:color w:val="auto"/>
                      <w:spacing w:val="8"/>
                      <w:szCs w:val="21"/>
                    </w:rPr>
                    <w:t>项目不在《长江岸线保护和开发利用总体规</w:t>
                  </w:r>
                  <w:r>
                    <w:rPr>
                      <w:color w:val="auto"/>
                      <w:spacing w:val="9"/>
                      <w:szCs w:val="21"/>
                    </w:rPr>
                    <w:t>划》划定的岸线保护区</w:t>
                  </w:r>
                  <w:r>
                    <w:rPr>
                      <w:color w:val="auto"/>
                      <w:spacing w:val="-13"/>
                      <w:szCs w:val="21"/>
                    </w:rPr>
                    <w:t>内。</w:t>
                  </w:r>
                </w:p>
              </w:tc>
              <w:tc>
                <w:tcPr>
                  <w:tcW w:w="353" w:type="pct"/>
                  <w:vAlign w:val="center"/>
                </w:tcPr>
                <w:p w14:paraId="7523D815">
                  <w:pPr>
                    <w:ind w:firstLine="0" w:firstLineChars="0"/>
                    <w:jc w:val="center"/>
                    <w:rPr>
                      <w:color w:val="auto"/>
                      <w:szCs w:val="21"/>
                    </w:rPr>
                  </w:pPr>
                  <w:r>
                    <w:rPr>
                      <w:color w:val="auto"/>
                      <w:szCs w:val="21"/>
                    </w:rPr>
                    <w:t>相符</w:t>
                  </w:r>
                </w:p>
              </w:tc>
            </w:tr>
            <w:tr w14:paraId="1EABB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45DEC060">
                  <w:pPr>
                    <w:ind w:firstLine="0" w:firstLineChars="0"/>
                    <w:jc w:val="center"/>
                    <w:rPr>
                      <w:color w:val="auto"/>
                      <w:szCs w:val="21"/>
                    </w:rPr>
                  </w:pPr>
                  <w:r>
                    <w:rPr>
                      <w:color w:val="auto"/>
                      <w:spacing w:val="9"/>
                      <w:szCs w:val="21"/>
                    </w:rPr>
                    <w:t>禁止在《全国重要江河湖泊水功能区划》划</w:t>
                  </w:r>
                  <w:r>
                    <w:rPr>
                      <w:color w:val="auto"/>
                      <w:spacing w:val="11"/>
                      <w:szCs w:val="21"/>
                    </w:rPr>
                    <w:t>定的河段及湖泊保护区、保留区内投资建设不利于水资源及自然生态保护的项目。禁止在金沙江、长江一级支流建设除党中央、国务院、国家投资主管部门、省级有关部门批复同意以外的过江基础设施项目；禁止未经</w:t>
                  </w:r>
                  <w:r>
                    <w:rPr>
                      <w:color w:val="auto"/>
                      <w:spacing w:val="12"/>
                      <w:szCs w:val="21"/>
                    </w:rPr>
                    <w:t>许可在长江流域、九大高原湖泊流域新设、</w:t>
                  </w:r>
                  <w:r>
                    <w:rPr>
                      <w:color w:val="auto"/>
                      <w:spacing w:val="5"/>
                      <w:szCs w:val="21"/>
                    </w:rPr>
                    <w:t>改设或扩大排污口，除入河(海)排污口命名与</w:t>
                  </w:r>
                  <w:r>
                    <w:rPr>
                      <w:color w:val="auto"/>
                      <w:spacing w:val="10"/>
                      <w:szCs w:val="21"/>
                    </w:rPr>
                    <w:t>编码规则(</w:t>
                  </w:r>
                  <w:r>
                    <w:rPr>
                      <w:color w:val="auto"/>
                      <w:szCs w:val="21"/>
                    </w:rPr>
                    <w:t>HJ</w:t>
                  </w:r>
                  <w:r>
                    <w:rPr>
                      <w:color w:val="auto"/>
                      <w:spacing w:val="10"/>
                      <w:szCs w:val="21"/>
                    </w:rPr>
                    <w:t>1235-2021)规定的第四类“其他</w:t>
                  </w:r>
                  <w:r>
                    <w:rPr>
                      <w:color w:val="auto"/>
                      <w:spacing w:val="7"/>
                      <w:szCs w:val="21"/>
                    </w:rPr>
                    <w:t>排口”夕卜。禁止在水产种质资源保护区内新</w:t>
                  </w:r>
                  <w:r>
                    <w:rPr>
                      <w:color w:val="auto"/>
                      <w:spacing w:val="11"/>
                      <w:szCs w:val="21"/>
                    </w:rPr>
                    <w:t>建排污口，以及从事围湖造田、围湖造地或</w:t>
                  </w:r>
                  <w:r>
                    <w:rPr>
                      <w:color w:val="auto"/>
                      <w:spacing w:val="3"/>
                      <w:szCs w:val="21"/>
                    </w:rPr>
                    <w:t>围填海工程。</w:t>
                  </w:r>
                </w:p>
              </w:tc>
              <w:tc>
                <w:tcPr>
                  <w:tcW w:w="1661" w:type="pct"/>
                  <w:vAlign w:val="center"/>
                </w:tcPr>
                <w:p w14:paraId="488F0C98">
                  <w:pPr>
                    <w:ind w:firstLine="0" w:firstLineChars="0"/>
                    <w:jc w:val="center"/>
                    <w:rPr>
                      <w:color w:val="auto"/>
                      <w:szCs w:val="21"/>
                    </w:rPr>
                  </w:pPr>
                  <w:r>
                    <w:rPr>
                      <w:color w:val="auto"/>
                      <w:spacing w:val="8"/>
                      <w:szCs w:val="21"/>
                    </w:rPr>
                    <w:t>不涉及在《全国重要江</w:t>
                  </w:r>
                  <w:r>
                    <w:rPr>
                      <w:color w:val="auto"/>
                      <w:spacing w:val="9"/>
                      <w:szCs w:val="21"/>
                    </w:rPr>
                    <w:t>河湖泊水功能区划》划</w:t>
                  </w:r>
                  <w:r>
                    <w:rPr>
                      <w:color w:val="auto"/>
                      <w:spacing w:val="8"/>
                      <w:szCs w:val="21"/>
                    </w:rPr>
                    <w:t>定的河段及湖泊保护</w:t>
                  </w:r>
                  <w:r>
                    <w:rPr>
                      <w:color w:val="auto"/>
                      <w:spacing w:val="7"/>
                      <w:szCs w:val="21"/>
                    </w:rPr>
                    <w:t>区、保留区内投资建设</w:t>
                  </w:r>
                  <w:r>
                    <w:rPr>
                      <w:color w:val="auto"/>
                      <w:spacing w:val="8"/>
                      <w:szCs w:val="21"/>
                    </w:rPr>
                    <w:t>不利于水资源及自然生态保护的项目；不属于</w:t>
                  </w:r>
                  <w:r>
                    <w:rPr>
                      <w:color w:val="auto"/>
                      <w:spacing w:val="9"/>
                      <w:szCs w:val="21"/>
                    </w:rPr>
                    <w:t>过江基础设施项目；不</w:t>
                  </w:r>
                  <w:r>
                    <w:rPr>
                      <w:color w:val="auto"/>
                      <w:spacing w:val="8"/>
                      <w:szCs w:val="21"/>
                    </w:rPr>
                    <w:t>涉及设置排污口；不属于从事围湖造田、围湖</w:t>
                  </w:r>
                  <w:r>
                    <w:rPr>
                      <w:color w:val="auto"/>
                      <w:spacing w:val="19"/>
                      <w:szCs w:val="21"/>
                    </w:rPr>
                    <w:t>造地或围填海工程。</w:t>
                  </w:r>
                </w:p>
              </w:tc>
              <w:tc>
                <w:tcPr>
                  <w:tcW w:w="353" w:type="pct"/>
                  <w:vAlign w:val="center"/>
                </w:tcPr>
                <w:p w14:paraId="2409EF2B">
                  <w:pPr>
                    <w:ind w:firstLine="0" w:firstLineChars="0"/>
                    <w:jc w:val="center"/>
                    <w:rPr>
                      <w:color w:val="auto"/>
                      <w:szCs w:val="21"/>
                    </w:rPr>
                  </w:pPr>
                  <w:r>
                    <w:rPr>
                      <w:color w:val="auto"/>
                      <w:szCs w:val="21"/>
                    </w:rPr>
                    <w:t>相符</w:t>
                  </w:r>
                </w:p>
              </w:tc>
            </w:tr>
            <w:tr w14:paraId="3186B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4813BD2A">
                  <w:pPr>
                    <w:ind w:firstLine="0" w:firstLineChars="0"/>
                    <w:jc w:val="left"/>
                    <w:rPr>
                      <w:color w:val="auto"/>
                      <w:szCs w:val="21"/>
                    </w:rPr>
                  </w:pPr>
                  <w:r>
                    <w:rPr>
                      <w:color w:val="auto"/>
                      <w:szCs w:val="21"/>
                    </w:rPr>
                    <w:t>禁止在金沙江、赤水河、乌江和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1661" w:type="pct"/>
                  <w:vAlign w:val="center"/>
                </w:tcPr>
                <w:p w14:paraId="26393F57">
                  <w:pPr>
                    <w:ind w:firstLine="0" w:firstLineChars="0"/>
                    <w:jc w:val="center"/>
                    <w:rPr>
                      <w:color w:val="auto"/>
                      <w:szCs w:val="21"/>
                    </w:rPr>
                  </w:pPr>
                  <w:r>
                    <w:rPr>
                      <w:color w:val="auto"/>
                      <w:spacing w:val="8"/>
                      <w:szCs w:val="21"/>
                    </w:rPr>
                    <w:t>不涉及在金沙江、赤水</w:t>
                  </w:r>
                  <w:r>
                    <w:rPr>
                      <w:color w:val="auto"/>
                      <w:spacing w:val="9"/>
                      <w:szCs w:val="21"/>
                    </w:rPr>
                    <w:t>河、乌江和等水生动植物自然保护区、水产种质资源保护区长江流域禁捕水域开展天然渔业资源生产性捕捞。不涉及开（围）垦、填埋或者排干湿地；不涉及截断湿地水源、挖沙、采矿、引入外来物种；不涉及擅自放牧、捕捞、取土、取水、排污、放生；不涉及其他破坏湿</w:t>
                  </w:r>
                  <w:r>
                    <w:rPr>
                      <w:color w:val="auto"/>
                      <w:spacing w:val="8"/>
                      <w:szCs w:val="21"/>
                    </w:rPr>
                    <w:t>地及其生态功能的活</w:t>
                  </w:r>
                  <w:r>
                    <w:rPr>
                      <w:color w:val="auto"/>
                      <w:szCs w:val="21"/>
                    </w:rPr>
                    <w:t>动。</w:t>
                  </w:r>
                </w:p>
              </w:tc>
              <w:tc>
                <w:tcPr>
                  <w:tcW w:w="353" w:type="pct"/>
                  <w:vAlign w:val="center"/>
                </w:tcPr>
                <w:p w14:paraId="0AADA810">
                  <w:pPr>
                    <w:ind w:firstLine="0" w:firstLineChars="0"/>
                    <w:jc w:val="center"/>
                    <w:rPr>
                      <w:color w:val="auto"/>
                      <w:szCs w:val="21"/>
                    </w:rPr>
                  </w:pPr>
                  <w:r>
                    <w:rPr>
                      <w:color w:val="auto"/>
                      <w:szCs w:val="21"/>
                    </w:rPr>
                    <w:t>相符</w:t>
                  </w:r>
                </w:p>
              </w:tc>
            </w:tr>
            <w:tr w14:paraId="03BF3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7993F718">
                  <w:pPr>
                    <w:ind w:firstLine="0" w:firstLineChars="0"/>
                    <w:jc w:val="center"/>
                    <w:rPr>
                      <w:color w:val="auto"/>
                      <w:szCs w:val="21"/>
                      <w:shd w:val="clear" w:color="auto" w:fill="FFFFFF"/>
                    </w:rPr>
                  </w:pPr>
                  <w:r>
                    <w:rPr>
                      <w:color w:val="auto"/>
                      <w:szCs w:val="21"/>
                      <w:shd w:val="clear" w:color="auto" w:fill="FFFFFF"/>
                    </w:rPr>
                    <w:t>禁止在金沙江、长江一级支流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661" w:type="pct"/>
                  <w:vAlign w:val="center"/>
                </w:tcPr>
                <w:p w14:paraId="609A0893">
                  <w:pPr>
                    <w:ind w:firstLine="0" w:firstLineChars="0"/>
                    <w:jc w:val="center"/>
                    <w:rPr>
                      <w:color w:val="auto"/>
                      <w:szCs w:val="21"/>
                      <w:shd w:val="clear" w:color="auto" w:fill="FFFFFF"/>
                    </w:rPr>
                  </w:pPr>
                  <w:r>
                    <w:rPr>
                      <w:color w:val="auto"/>
                      <w:szCs w:val="21"/>
                      <w:shd w:val="clear" w:color="auto" w:fill="FFFFFF"/>
                    </w:rPr>
                    <w:t>不涉及在金沙江、长江一级支流岸线边界一公里范围内新建、扩建化工园区和化工项目。</w:t>
                  </w:r>
                </w:p>
              </w:tc>
              <w:tc>
                <w:tcPr>
                  <w:tcW w:w="353" w:type="pct"/>
                  <w:vAlign w:val="center"/>
                </w:tcPr>
                <w:p w14:paraId="05DA7458">
                  <w:pPr>
                    <w:ind w:firstLine="0" w:firstLineChars="0"/>
                    <w:jc w:val="center"/>
                    <w:rPr>
                      <w:color w:val="auto"/>
                      <w:szCs w:val="21"/>
                    </w:rPr>
                  </w:pPr>
                  <w:r>
                    <w:rPr>
                      <w:color w:val="auto"/>
                      <w:szCs w:val="21"/>
                    </w:rPr>
                    <w:t>相符</w:t>
                  </w:r>
                </w:p>
              </w:tc>
            </w:tr>
            <w:tr w14:paraId="379CF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52AE4643">
                  <w:pPr>
                    <w:ind w:firstLine="0" w:firstLineChars="0"/>
                    <w:jc w:val="center"/>
                    <w:rPr>
                      <w:color w:val="auto"/>
                      <w:szCs w:val="21"/>
                    </w:rPr>
                  </w:pPr>
                  <w:r>
                    <w:rPr>
                      <w:color w:val="auto"/>
                      <w:spacing w:val="7"/>
                      <w:szCs w:val="21"/>
                    </w:rPr>
                    <w:t>禁止在金沙江干流岸线3公里、长江（金沙</w:t>
                  </w:r>
                  <w:r>
                    <w:rPr>
                      <w:color w:val="auto"/>
                      <w:spacing w:val="3"/>
                      <w:szCs w:val="21"/>
                    </w:rPr>
                    <w:t>江）一级支流岸线1公里范围内新建、改建、</w:t>
                  </w:r>
                  <w:r>
                    <w:rPr>
                      <w:color w:val="auto"/>
                      <w:spacing w:val="9"/>
                      <w:szCs w:val="21"/>
                    </w:rPr>
                    <w:t>扩建尾矿库、冶炼渣库和磷石膏库，以提升</w:t>
                  </w:r>
                  <w:r>
                    <w:rPr>
                      <w:color w:val="auto"/>
                      <w:spacing w:val="6"/>
                      <w:szCs w:val="21"/>
                    </w:rPr>
                    <w:t>安全、生态环境保护水平为目的的改建除外。</w:t>
                  </w:r>
                </w:p>
              </w:tc>
              <w:tc>
                <w:tcPr>
                  <w:tcW w:w="1661" w:type="pct"/>
                  <w:vAlign w:val="center"/>
                </w:tcPr>
                <w:p w14:paraId="25B14779">
                  <w:pPr>
                    <w:ind w:firstLine="0" w:firstLineChars="0"/>
                    <w:jc w:val="center"/>
                    <w:rPr>
                      <w:color w:val="auto"/>
                      <w:szCs w:val="21"/>
                    </w:rPr>
                  </w:pPr>
                  <w:r>
                    <w:rPr>
                      <w:color w:val="auto"/>
                      <w:spacing w:val="8"/>
                      <w:szCs w:val="21"/>
                    </w:rPr>
                    <w:t>不涉及在金沙江干流岸</w:t>
                  </w:r>
                  <w:r>
                    <w:rPr>
                      <w:color w:val="auto"/>
                      <w:spacing w:val="4"/>
                      <w:szCs w:val="21"/>
                    </w:rPr>
                    <w:t>线3公里、长江</w:t>
                  </w:r>
                  <w:r>
                    <w:rPr>
                      <w:color w:val="auto"/>
                      <w:spacing w:val="7"/>
                      <w:szCs w:val="21"/>
                    </w:rPr>
                    <w:t>（金沙江）一级支流岸</w:t>
                  </w:r>
                  <w:r>
                    <w:rPr>
                      <w:color w:val="auto"/>
                      <w:spacing w:val="3"/>
                      <w:szCs w:val="21"/>
                    </w:rPr>
                    <w:t>线1公里范围内新建、</w:t>
                  </w:r>
                  <w:r>
                    <w:rPr>
                      <w:color w:val="auto"/>
                      <w:spacing w:val="8"/>
                      <w:szCs w:val="21"/>
                    </w:rPr>
                    <w:t>改建、扩建尾矿库、冶</w:t>
                  </w:r>
                  <w:r>
                    <w:rPr>
                      <w:color w:val="auto"/>
                      <w:spacing w:val="7"/>
                      <w:szCs w:val="21"/>
                    </w:rPr>
                    <w:t>炼渣库和磷石膏库。</w:t>
                  </w:r>
                </w:p>
              </w:tc>
              <w:tc>
                <w:tcPr>
                  <w:tcW w:w="353" w:type="pct"/>
                  <w:vAlign w:val="center"/>
                </w:tcPr>
                <w:p w14:paraId="520BDC57">
                  <w:pPr>
                    <w:ind w:firstLine="0" w:firstLineChars="0"/>
                    <w:jc w:val="center"/>
                    <w:rPr>
                      <w:color w:val="auto"/>
                      <w:szCs w:val="21"/>
                    </w:rPr>
                  </w:pPr>
                  <w:r>
                    <w:rPr>
                      <w:color w:val="auto"/>
                      <w:szCs w:val="21"/>
                    </w:rPr>
                    <w:t>相符</w:t>
                  </w:r>
                </w:p>
              </w:tc>
            </w:tr>
            <w:tr w14:paraId="30B0A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5871B7A9">
                  <w:pPr>
                    <w:ind w:firstLine="0" w:firstLineChars="0"/>
                    <w:jc w:val="center"/>
                    <w:rPr>
                      <w:color w:val="auto"/>
                      <w:szCs w:val="21"/>
                    </w:rPr>
                  </w:pPr>
                  <w:r>
                    <w:rPr>
                      <w:color w:val="auto"/>
                      <w:szCs w:val="21"/>
                    </w:rPr>
                    <w:t>禁止在合规园区外新建、扩建钢铁、石化、化工、焦化、建材、有色、制浆造纸等高污染项目。禁止新增钢铁、水泥、平板玻璃等行业建设产能，确有必要建设的，应按规定实施产能等量或减量置换。</w:t>
                  </w:r>
                </w:p>
              </w:tc>
              <w:tc>
                <w:tcPr>
                  <w:tcW w:w="1661" w:type="pct"/>
                  <w:vAlign w:val="center"/>
                </w:tcPr>
                <w:p w14:paraId="62BAFD64">
                  <w:pPr>
                    <w:ind w:firstLine="0" w:firstLineChars="0"/>
                    <w:jc w:val="center"/>
                    <w:rPr>
                      <w:color w:val="auto"/>
                      <w:szCs w:val="21"/>
                    </w:rPr>
                  </w:pPr>
                  <w:r>
                    <w:rPr>
                      <w:color w:val="auto"/>
                      <w:szCs w:val="21"/>
                    </w:rPr>
                    <w:t>不涉及在合规园区外新建、扩建钢铁、石化、化工、焦化、建材、有色、制浆造纸等高污染项目；不涉及新增钢铁、水泥、平板玻璃等行业建设产能。</w:t>
                  </w:r>
                </w:p>
              </w:tc>
              <w:tc>
                <w:tcPr>
                  <w:tcW w:w="353" w:type="pct"/>
                  <w:vAlign w:val="center"/>
                </w:tcPr>
                <w:p w14:paraId="260B2229">
                  <w:pPr>
                    <w:ind w:firstLine="0" w:firstLineChars="0"/>
                    <w:jc w:val="center"/>
                    <w:rPr>
                      <w:color w:val="auto"/>
                      <w:szCs w:val="21"/>
                    </w:rPr>
                  </w:pPr>
                  <w:r>
                    <w:rPr>
                      <w:color w:val="auto"/>
                      <w:szCs w:val="21"/>
                    </w:rPr>
                    <w:t>相符</w:t>
                  </w:r>
                </w:p>
              </w:tc>
            </w:tr>
            <w:tr w14:paraId="52248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419A3A5E">
                  <w:pPr>
                    <w:ind w:firstLine="0" w:firstLineChars="0"/>
                    <w:jc w:val="center"/>
                    <w:rPr>
                      <w:color w:val="auto"/>
                      <w:szCs w:val="21"/>
                    </w:rPr>
                  </w:pPr>
                  <w:r>
                    <w:rPr>
                      <w:color w:val="auto"/>
                      <w:szCs w:val="21"/>
                      <w:shd w:val="clear" w:color="auto" w:fill="FFFFFF"/>
                    </w:rPr>
                    <w:t>禁止新建、扩建不符合国家石化、现代煤化工等产业布局规划的项目。禁止列入《云南 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661" w:type="pct"/>
                  <w:vAlign w:val="center"/>
                </w:tcPr>
                <w:p w14:paraId="5ED054EF">
                  <w:pPr>
                    <w:ind w:firstLine="0" w:firstLineChars="0"/>
                    <w:jc w:val="center"/>
                    <w:rPr>
                      <w:color w:val="auto"/>
                      <w:szCs w:val="21"/>
                    </w:rPr>
                  </w:pPr>
                  <w:r>
                    <w:rPr>
                      <w:color w:val="auto"/>
                      <w:szCs w:val="21"/>
                    </w:rPr>
                    <w:t>不涉及新建、扩建不符合国家石化、现代煤化工等产业布局规划的项目；不涉及列入《云南省城镇人口密集区危险化学品生产企业搬迁改造名单》的搬迁改造企业在原址新建、扩建危险化学品生产项目。</w:t>
                  </w:r>
                </w:p>
              </w:tc>
              <w:tc>
                <w:tcPr>
                  <w:tcW w:w="353" w:type="pct"/>
                  <w:vAlign w:val="center"/>
                </w:tcPr>
                <w:p w14:paraId="7D0A1825">
                  <w:pPr>
                    <w:ind w:firstLine="0" w:firstLineChars="0"/>
                    <w:jc w:val="center"/>
                    <w:rPr>
                      <w:color w:val="auto"/>
                      <w:szCs w:val="21"/>
                    </w:rPr>
                  </w:pPr>
                  <w:r>
                    <w:rPr>
                      <w:color w:val="auto"/>
                      <w:szCs w:val="21"/>
                    </w:rPr>
                    <w:t>相符</w:t>
                  </w:r>
                </w:p>
              </w:tc>
            </w:tr>
            <w:tr w14:paraId="3D143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84" w:type="pct"/>
                  <w:vAlign w:val="center"/>
                </w:tcPr>
                <w:p w14:paraId="403219EE">
                  <w:pPr>
                    <w:ind w:firstLine="0" w:firstLineChars="0"/>
                    <w:jc w:val="center"/>
                    <w:rPr>
                      <w:color w:val="auto"/>
                      <w:szCs w:val="21"/>
                    </w:rPr>
                  </w:pPr>
                  <w:r>
                    <w:rPr>
                      <w:color w:val="auto"/>
                      <w:szCs w:val="21"/>
                      <w:shd w:val="clear" w:color="auto" w:fill="FFFFFF"/>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铭化合物生产装置和有机一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1661" w:type="pct"/>
                  <w:vAlign w:val="center"/>
                </w:tcPr>
                <w:p w14:paraId="44B6A94F">
                  <w:pPr>
                    <w:ind w:firstLine="0" w:firstLineChars="0"/>
                    <w:jc w:val="center"/>
                    <w:rPr>
                      <w:color w:val="auto"/>
                      <w:szCs w:val="21"/>
                    </w:rPr>
                  </w:pPr>
                  <w:r>
                    <w:rPr>
                      <w:color w:val="auto"/>
                      <w:szCs w:val="21"/>
                      <w:shd w:val="clear" w:color="auto" w:fill="FFFFFF"/>
                    </w:rPr>
                    <w:t>不涉及新建、扩建法律法规和相关政策明令禁止的落后产能项目；不涉及电石炉及开放式电石炉、无化产回收的单一炼焦生产设施和不符合要求的硫铁矿制酸、硫磺制酸、黄磷生产、有钙焙烧铭化合物生产装置和有机一无机复混肥料、过磷酸钙和钙镁磷肥生产线；不涉及新建、扩建不符合国家产能置换要求的严重过剩产能行业的项目；不涉及新建、扩建不符合要求的高耗能高排放目；不涉及建设高毒高残留以及对环境影响大的农药原药生产装置。</w:t>
                  </w:r>
                </w:p>
              </w:tc>
              <w:tc>
                <w:tcPr>
                  <w:tcW w:w="353" w:type="pct"/>
                  <w:vAlign w:val="center"/>
                </w:tcPr>
                <w:p w14:paraId="357A2F5F">
                  <w:pPr>
                    <w:ind w:firstLine="0" w:firstLineChars="0"/>
                    <w:jc w:val="center"/>
                    <w:rPr>
                      <w:color w:val="auto"/>
                      <w:szCs w:val="21"/>
                    </w:rPr>
                  </w:pPr>
                  <w:r>
                    <w:rPr>
                      <w:color w:val="auto"/>
                      <w:szCs w:val="21"/>
                    </w:rPr>
                    <w:t>相符</w:t>
                  </w:r>
                </w:p>
              </w:tc>
            </w:tr>
          </w:tbl>
          <w:p w14:paraId="058CCC99">
            <w:pPr>
              <w:pStyle w:val="26"/>
              <w:adjustRightInd w:val="0"/>
              <w:snapToGrid w:val="0"/>
              <w:spacing w:line="360" w:lineRule="auto"/>
              <w:ind w:firstLine="480"/>
              <w:rPr>
                <w:rFonts w:ascii="Times New Roman" w:hAnsi="Times New Roman"/>
                <w:b/>
                <w:color w:val="auto"/>
                <w:sz w:val="24"/>
              </w:rPr>
            </w:pPr>
            <w:r>
              <w:rPr>
                <w:rFonts w:ascii="Times New Roman" w:hAnsi="Times New Roman"/>
                <w:color w:val="auto"/>
                <w:sz w:val="24"/>
              </w:rPr>
              <w:t>综上，本项目与《云南省长江经济带发展负面清单指南实施细则（试行，2022年版）》规定的内容相符合。</w:t>
            </w:r>
          </w:p>
          <w:p w14:paraId="36643BAC">
            <w:pPr>
              <w:pStyle w:val="26"/>
              <w:adjustRightInd w:val="0"/>
              <w:snapToGrid w:val="0"/>
              <w:spacing w:line="360" w:lineRule="auto"/>
              <w:ind w:firstLine="482"/>
              <w:rPr>
                <w:rFonts w:ascii="Times New Roman" w:hAnsi="Times New Roman"/>
                <w:b/>
                <w:bCs/>
                <w:color w:val="auto"/>
                <w:kern w:val="0"/>
                <w:sz w:val="24"/>
              </w:rPr>
            </w:pPr>
            <w:bookmarkStart w:id="11" w:name="_Toc26297"/>
            <w:r>
              <w:rPr>
                <w:rFonts w:hint="eastAsia" w:ascii="Times New Roman" w:hAnsi="Times New Roman"/>
                <w:b/>
                <w:bCs/>
                <w:color w:val="auto"/>
                <w:kern w:val="0"/>
                <w:sz w:val="24"/>
              </w:rPr>
              <w:t>10</w:t>
            </w:r>
            <w:r>
              <w:rPr>
                <w:rFonts w:ascii="Times New Roman" w:hAnsi="Times New Roman"/>
                <w:b/>
                <w:bCs/>
                <w:color w:val="auto"/>
                <w:kern w:val="0"/>
                <w:sz w:val="24"/>
              </w:rPr>
              <w:t>、</w:t>
            </w:r>
            <w:bookmarkEnd w:id="11"/>
            <w:r>
              <w:rPr>
                <w:rFonts w:ascii="Times New Roman" w:hAnsi="Times New Roman"/>
                <w:b/>
                <w:bCs/>
                <w:color w:val="auto"/>
                <w:kern w:val="0"/>
                <w:sz w:val="24"/>
              </w:rPr>
              <w:t>与《昆明市大气污染防治条例》的符合性分析</w:t>
            </w:r>
          </w:p>
          <w:p w14:paraId="5A61C3D2">
            <w:pPr>
              <w:spacing w:line="360" w:lineRule="auto"/>
              <w:ind w:firstLine="480"/>
              <w:rPr>
                <w:b/>
                <w:color w:val="auto"/>
                <w:kern w:val="24"/>
                <w:szCs w:val="21"/>
                <w:lang w:bidi="ar"/>
              </w:rPr>
            </w:pPr>
            <w:r>
              <w:rPr>
                <w:color w:val="auto"/>
                <w:sz w:val="24"/>
              </w:rPr>
              <w:t>《昆明市大气污染防治条例》于2020年10月30日昆明市第十四届人民代表大会常务委员会第三十二次会议通过，2020年11月25日云南省第十三届人民代表大会常务委员会第二十一次会议批准。项目与《昆明市大气污染防治条例》符合性分析见下表所示。</w:t>
            </w:r>
          </w:p>
          <w:p w14:paraId="3A3A2824">
            <w:pPr>
              <w:spacing w:line="336" w:lineRule="auto"/>
              <w:ind w:firstLine="438"/>
              <w:jc w:val="center"/>
              <w:rPr>
                <w:b/>
                <w:color w:val="auto"/>
                <w:spacing w:val="4"/>
                <w:kern w:val="24"/>
                <w:szCs w:val="21"/>
                <w:lang w:bidi="ar"/>
              </w:rPr>
            </w:pPr>
            <w:r>
              <w:rPr>
                <w:b/>
                <w:color w:val="auto"/>
                <w:spacing w:val="4"/>
                <w:kern w:val="24"/>
                <w:szCs w:val="21"/>
                <w:lang w:bidi="ar"/>
              </w:rPr>
              <w:t>表1-</w:t>
            </w:r>
            <w:r>
              <w:rPr>
                <w:rFonts w:hint="eastAsia"/>
                <w:b/>
                <w:color w:val="auto"/>
                <w:spacing w:val="4"/>
                <w:kern w:val="24"/>
                <w:szCs w:val="21"/>
                <w:lang w:bidi="ar"/>
              </w:rPr>
              <w:t>9</w:t>
            </w:r>
            <w:r>
              <w:rPr>
                <w:b/>
                <w:color w:val="auto"/>
                <w:spacing w:val="4"/>
                <w:kern w:val="24"/>
                <w:szCs w:val="21"/>
                <w:lang w:bidi="ar"/>
              </w:rPr>
              <w:t xml:space="preserve">   与《昆明市大气污染防治条例》符合性分析</w:t>
            </w:r>
          </w:p>
          <w:tbl>
            <w:tblPr>
              <w:tblStyle w:val="121"/>
              <w:tblW w:w="79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8"/>
              <w:gridCol w:w="3430"/>
              <w:gridCol w:w="3360"/>
              <w:gridCol w:w="753"/>
            </w:tblGrid>
            <w:tr w14:paraId="4EA31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8" w:type="dxa"/>
                  <w:vAlign w:val="center"/>
                </w:tcPr>
                <w:p w14:paraId="584D30CF">
                  <w:pPr>
                    <w:ind w:firstLine="0" w:firstLineChars="0"/>
                    <w:jc w:val="center"/>
                    <w:rPr>
                      <w:b/>
                      <w:bCs/>
                      <w:color w:val="auto"/>
                      <w:szCs w:val="21"/>
                    </w:rPr>
                  </w:pPr>
                  <w:r>
                    <w:rPr>
                      <w:b/>
                      <w:bCs/>
                      <w:color w:val="auto"/>
                      <w:spacing w:val="5"/>
                      <w:szCs w:val="21"/>
                    </w:rPr>
                    <w:t>序号</w:t>
                  </w:r>
                </w:p>
              </w:tc>
              <w:tc>
                <w:tcPr>
                  <w:tcW w:w="3430" w:type="dxa"/>
                  <w:vAlign w:val="center"/>
                </w:tcPr>
                <w:p w14:paraId="02720B32">
                  <w:pPr>
                    <w:ind w:firstLine="0" w:firstLineChars="0"/>
                    <w:jc w:val="center"/>
                    <w:rPr>
                      <w:b/>
                      <w:bCs/>
                      <w:color w:val="auto"/>
                      <w:szCs w:val="21"/>
                    </w:rPr>
                  </w:pPr>
                  <w:r>
                    <w:rPr>
                      <w:b/>
                      <w:bCs/>
                      <w:color w:val="auto"/>
                      <w:spacing w:val="7"/>
                      <w:szCs w:val="21"/>
                    </w:rPr>
                    <w:t>文件相关要求</w:t>
                  </w:r>
                </w:p>
              </w:tc>
              <w:tc>
                <w:tcPr>
                  <w:tcW w:w="3360" w:type="dxa"/>
                  <w:vAlign w:val="center"/>
                </w:tcPr>
                <w:p w14:paraId="512E448D">
                  <w:pPr>
                    <w:ind w:firstLine="0" w:firstLineChars="0"/>
                    <w:jc w:val="center"/>
                    <w:rPr>
                      <w:b/>
                      <w:bCs/>
                      <w:color w:val="auto"/>
                      <w:szCs w:val="21"/>
                    </w:rPr>
                  </w:pPr>
                  <w:r>
                    <w:rPr>
                      <w:b/>
                      <w:bCs/>
                      <w:color w:val="auto"/>
                      <w:spacing w:val="6"/>
                      <w:szCs w:val="21"/>
                    </w:rPr>
                    <w:t>本项目</w:t>
                  </w:r>
                </w:p>
              </w:tc>
              <w:tc>
                <w:tcPr>
                  <w:tcW w:w="753" w:type="dxa"/>
                  <w:vAlign w:val="center"/>
                </w:tcPr>
                <w:p w14:paraId="69505453">
                  <w:pPr>
                    <w:ind w:firstLine="0" w:firstLineChars="0"/>
                    <w:jc w:val="center"/>
                    <w:rPr>
                      <w:b/>
                      <w:bCs/>
                      <w:color w:val="auto"/>
                      <w:szCs w:val="21"/>
                    </w:rPr>
                  </w:pPr>
                  <w:r>
                    <w:rPr>
                      <w:b/>
                      <w:bCs/>
                      <w:color w:val="auto"/>
                      <w:spacing w:val="6"/>
                      <w:szCs w:val="21"/>
                    </w:rPr>
                    <w:t>符合性</w:t>
                  </w:r>
                </w:p>
              </w:tc>
            </w:tr>
            <w:tr w14:paraId="01426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74" w:hRule="atLeast"/>
              </w:trPr>
              <w:tc>
                <w:tcPr>
                  <w:tcW w:w="408" w:type="dxa"/>
                  <w:vAlign w:val="center"/>
                </w:tcPr>
                <w:p w14:paraId="05A5AD05">
                  <w:pPr>
                    <w:ind w:firstLine="0" w:firstLineChars="0"/>
                    <w:jc w:val="center"/>
                    <w:rPr>
                      <w:color w:val="auto"/>
                      <w:szCs w:val="21"/>
                    </w:rPr>
                  </w:pPr>
                  <w:r>
                    <w:rPr>
                      <w:color w:val="auto"/>
                      <w:szCs w:val="21"/>
                    </w:rPr>
                    <w:t>1</w:t>
                  </w:r>
                </w:p>
              </w:tc>
              <w:tc>
                <w:tcPr>
                  <w:tcW w:w="3430" w:type="dxa"/>
                  <w:vAlign w:val="center"/>
                </w:tcPr>
                <w:p w14:paraId="228CA78C">
                  <w:pPr>
                    <w:ind w:firstLine="0" w:firstLineChars="0"/>
                    <w:jc w:val="center"/>
                    <w:rPr>
                      <w:color w:val="auto"/>
                      <w:szCs w:val="21"/>
                    </w:rPr>
                  </w:pPr>
                  <w:r>
                    <w:rPr>
                      <w:color w:val="auto"/>
                      <w:spacing w:val="8"/>
                      <w:szCs w:val="21"/>
                    </w:rPr>
                    <w:t>企事业单位和其他生产经营者应当采取有效措施，防止、减少大气污</w:t>
                  </w:r>
                  <w:r>
                    <w:rPr>
                      <w:color w:val="auto"/>
                      <w:szCs w:val="21"/>
                    </w:rPr>
                    <w:t>染，对所造成的损害依法承担责任。</w:t>
                  </w:r>
                </w:p>
              </w:tc>
              <w:tc>
                <w:tcPr>
                  <w:tcW w:w="3360" w:type="dxa"/>
                  <w:vAlign w:val="center"/>
                </w:tcPr>
                <w:p w14:paraId="6214C97D">
                  <w:pPr>
                    <w:ind w:firstLine="0" w:firstLineChars="0"/>
                    <w:jc w:val="center"/>
                    <w:rPr>
                      <w:color w:val="auto"/>
                      <w:szCs w:val="21"/>
                    </w:rPr>
                  </w:pPr>
                  <w:r>
                    <w:rPr>
                      <w:color w:val="auto"/>
                      <w:spacing w:val="8"/>
                      <w:szCs w:val="21"/>
                    </w:rPr>
                    <w:t>本次环评提出废气污染</w:t>
                  </w:r>
                  <w:r>
                    <w:rPr>
                      <w:color w:val="auto"/>
                      <w:spacing w:val="7"/>
                      <w:szCs w:val="21"/>
                    </w:rPr>
                    <w:t>防治措施，项目水泥、粉煤灰、矿粉筒仓粉尘经仓顶除尘器处理后由排气口排放，搅拌机搅拌粉尘经布袋除尘器处理后由排气口排放。无组织废气采取人工洒水，及时打扫场地控制扩散影响，建设</w:t>
                  </w:r>
                  <w:r>
                    <w:rPr>
                      <w:color w:val="auto"/>
                      <w:spacing w:val="18"/>
                      <w:szCs w:val="21"/>
                    </w:rPr>
                    <w:t>单位在建设中严格按照</w:t>
                  </w:r>
                  <w:r>
                    <w:rPr>
                      <w:color w:val="auto"/>
                      <w:spacing w:val="7"/>
                      <w:szCs w:val="21"/>
                    </w:rPr>
                    <w:t>环评提出措施进行建设，</w:t>
                  </w:r>
                  <w:r>
                    <w:rPr>
                      <w:color w:val="auto"/>
                      <w:spacing w:val="18"/>
                      <w:szCs w:val="21"/>
                    </w:rPr>
                    <w:t>在运行中对项目废气排</w:t>
                  </w:r>
                  <w:r>
                    <w:rPr>
                      <w:color w:val="auto"/>
                      <w:spacing w:val="6"/>
                      <w:szCs w:val="21"/>
                    </w:rPr>
                    <w:t>放情况负责。</w:t>
                  </w:r>
                </w:p>
              </w:tc>
              <w:tc>
                <w:tcPr>
                  <w:tcW w:w="753" w:type="dxa"/>
                  <w:vAlign w:val="center"/>
                </w:tcPr>
                <w:p w14:paraId="5BDCE629">
                  <w:pPr>
                    <w:ind w:firstLine="0" w:firstLineChars="0"/>
                    <w:jc w:val="center"/>
                    <w:rPr>
                      <w:color w:val="auto"/>
                      <w:szCs w:val="21"/>
                    </w:rPr>
                  </w:pPr>
                  <w:r>
                    <w:rPr>
                      <w:color w:val="auto"/>
                      <w:spacing w:val="3"/>
                      <w:szCs w:val="21"/>
                    </w:rPr>
                    <w:t>符合</w:t>
                  </w:r>
                </w:p>
              </w:tc>
            </w:tr>
            <w:tr w14:paraId="1A6CA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408" w:type="dxa"/>
                  <w:vAlign w:val="center"/>
                </w:tcPr>
                <w:p w14:paraId="50C0D1FC">
                  <w:pPr>
                    <w:ind w:firstLine="0" w:firstLineChars="0"/>
                    <w:jc w:val="center"/>
                    <w:rPr>
                      <w:color w:val="auto"/>
                      <w:szCs w:val="21"/>
                    </w:rPr>
                  </w:pPr>
                  <w:r>
                    <w:rPr>
                      <w:color w:val="auto"/>
                      <w:szCs w:val="21"/>
                    </w:rPr>
                    <w:t>2</w:t>
                  </w:r>
                </w:p>
              </w:tc>
              <w:tc>
                <w:tcPr>
                  <w:tcW w:w="3430" w:type="dxa"/>
                  <w:vAlign w:val="center"/>
                </w:tcPr>
                <w:p w14:paraId="18A171F0">
                  <w:pPr>
                    <w:ind w:firstLine="0" w:firstLineChars="0"/>
                    <w:jc w:val="center"/>
                    <w:rPr>
                      <w:color w:val="auto"/>
                      <w:szCs w:val="21"/>
                    </w:rPr>
                  </w:pPr>
                  <w:r>
                    <w:rPr>
                      <w:color w:val="auto"/>
                      <w:spacing w:val="9"/>
                      <w:szCs w:val="21"/>
                    </w:rPr>
                    <w:t>按照国家有关规定依法实行排污许可管理的单位，应当依法取得排污许可证，并按照排污许可证的规定排放大气污染物，禁止无排污许可证或者不按照排污许可证的规定排</w:t>
                  </w:r>
                  <w:r>
                    <w:rPr>
                      <w:color w:val="auto"/>
                      <w:spacing w:val="6"/>
                      <w:szCs w:val="21"/>
                    </w:rPr>
                    <w:t>放大气污染。</w:t>
                  </w:r>
                </w:p>
              </w:tc>
              <w:tc>
                <w:tcPr>
                  <w:tcW w:w="3360" w:type="dxa"/>
                  <w:vAlign w:val="center"/>
                </w:tcPr>
                <w:p w14:paraId="38B61A24">
                  <w:pPr>
                    <w:ind w:firstLine="0" w:firstLineChars="0"/>
                    <w:jc w:val="center"/>
                    <w:rPr>
                      <w:color w:val="auto"/>
                      <w:szCs w:val="21"/>
                    </w:rPr>
                  </w:pPr>
                  <w:r>
                    <w:rPr>
                      <w:color w:val="auto"/>
                      <w:spacing w:val="7"/>
                      <w:szCs w:val="21"/>
                    </w:rPr>
                    <w:t>项目属扩建项目，但还需完善</w:t>
                  </w:r>
                  <w:r>
                    <w:rPr>
                      <w:color w:val="auto"/>
                      <w:spacing w:val="8"/>
                      <w:szCs w:val="21"/>
                    </w:rPr>
                    <w:t>排污许可相关工作，</w:t>
                  </w:r>
                  <w:r>
                    <w:rPr>
                      <w:color w:val="auto"/>
                      <w:spacing w:val="5"/>
                      <w:szCs w:val="21"/>
                    </w:rPr>
                    <w:t>持证排污。</w:t>
                  </w:r>
                </w:p>
              </w:tc>
              <w:tc>
                <w:tcPr>
                  <w:tcW w:w="753" w:type="dxa"/>
                  <w:vAlign w:val="center"/>
                </w:tcPr>
                <w:p w14:paraId="646E7739">
                  <w:pPr>
                    <w:ind w:firstLine="0" w:firstLineChars="0"/>
                    <w:jc w:val="center"/>
                    <w:rPr>
                      <w:color w:val="auto"/>
                      <w:szCs w:val="21"/>
                    </w:rPr>
                  </w:pPr>
                  <w:r>
                    <w:rPr>
                      <w:color w:val="auto"/>
                      <w:spacing w:val="3"/>
                      <w:szCs w:val="21"/>
                    </w:rPr>
                    <w:t>符合</w:t>
                  </w:r>
                </w:p>
              </w:tc>
            </w:tr>
            <w:tr w14:paraId="27D1B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7" w:hRule="atLeast"/>
              </w:trPr>
              <w:tc>
                <w:tcPr>
                  <w:tcW w:w="408" w:type="dxa"/>
                  <w:vAlign w:val="center"/>
                </w:tcPr>
                <w:p w14:paraId="06FD0E63">
                  <w:pPr>
                    <w:ind w:firstLine="0" w:firstLineChars="0"/>
                    <w:jc w:val="center"/>
                    <w:rPr>
                      <w:color w:val="auto"/>
                      <w:szCs w:val="21"/>
                    </w:rPr>
                  </w:pPr>
                  <w:r>
                    <w:rPr>
                      <w:color w:val="auto"/>
                      <w:szCs w:val="21"/>
                    </w:rPr>
                    <w:t>3</w:t>
                  </w:r>
                </w:p>
              </w:tc>
              <w:tc>
                <w:tcPr>
                  <w:tcW w:w="3430" w:type="dxa"/>
                  <w:vAlign w:val="center"/>
                </w:tcPr>
                <w:p w14:paraId="0339F825">
                  <w:pPr>
                    <w:ind w:firstLine="0" w:firstLineChars="0"/>
                    <w:jc w:val="center"/>
                    <w:rPr>
                      <w:color w:val="auto"/>
                      <w:szCs w:val="21"/>
                    </w:rPr>
                  </w:pPr>
                  <w:r>
                    <w:rPr>
                      <w:color w:val="auto"/>
                      <w:spacing w:val="9"/>
                      <w:szCs w:val="21"/>
                    </w:rPr>
                    <w:t>禁止排放超过排放标准或者超过重</w:t>
                  </w:r>
                  <w:r>
                    <w:rPr>
                      <w:color w:val="auto"/>
                      <w:spacing w:val="8"/>
                      <w:szCs w:val="21"/>
                    </w:rPr>
                    <w:t>点大气污染物排放总量控制指标的</w:t>
                  </w:r>
                  <w:r>
                    <w:rPr>
                      <w:color w:val="auto"/>
                      <w:spacing w:val="6"/>
                      <w:szCs w:val="21"/>
                    </w:rPr>
                    <w:t>大气污染物。</w:t>
                  </w:r>
                </w:p>
              </w:tc>
              <w:tc>
                <w:tcPr>
                  <w:tcW w:w="3360" w:type="dxa"/>
                  <w:vAlign w:val="center"/>
                </w:tcPr>
                <w:p w14:paraId="0D1B1C75">
                  <w:pPr>
                    <w:ind w:firstLine="0" w:firstLineChars="0"/>
                    <w:jc w:val="center"/>
                    <w:rPr>
                      <w:color w:val="auto"/>
                      <w:szCs w:val="21"/>
                    </w:rPr>
                  </w:pPr>
                  <w:r>
                    <w:rPr>
                      <w:color w:val="auto"/>
                      <w:spacing w:val="8"/>
                      <w:szCs w:val="21"/>
                    </w:rPr>
                    <w:t>项目在运营过程中禁止</w:t>
                  </w:r>
                  <w:r>
                    <w:rPr>
                      <w:color w:val="auto"/>
                      <w:spacing w:val="9"/>
                      <w:szCs w:val="21"/>
                    </w:rPr>
                    <w:t>排放超过排放标准或者超过重点大气污染物排放总量控制指标的大气</w:t>
                  </w:r>
                  <w:r>
                    <w:rPr>
                      <w:color w:val="auto"/>
                      <w:spacing w:val="4"/>
                      <w:szCs w:val="21"/>
                    </w:rPr>
                    <w:t>污染物。</w:t>
                  </w:r>
                </w:p>
              </w:tc>
              <w:tc>
                <w:tcPr>
                  <w:tcW w:w="753" w:type="dxa"/>
                  <w:vAlign w:val="center"/>
                </w:tcPr>
                <w:p w14:paraId="41D0C602">
                  <w:pPr>
                    <w:ind w:firstLine="0" w:firstLineChars="0"/>
                    <w:jc w:val="center"/>
                    <w:rPr>
                      <w:color w:val="auto"/>
                      <w:szCs w:val="21"/>
                    </w:rPr>
                  </w:pPr>
                  <w:r>
                    <w:rPr>
                      <w:color w:val="auto"/>
                      <w:spacing w:val="3"/>
                      <w:szCs w:val="21"/>
                    </w:rPr>
                    <w:t>符合</w:t>
                  </w:r>
                </w:p>
              </w:tc>
            </w:tr>
            <w:tr w14:paraId="5CF1C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408" w:type="dxa"/>
                  <w:vAlign w:val="center"/>
                </w:tcPr>
                <w:p w14:paraId="2767058D">
                  <w:pPr>
                    <w:ind w:firstLine="0" w:firstLineChars="0"/>
                    <w:jc w:val="center"/>
                    <w:rPr>
                      <w:color w:val="auto"/>
                      <w:szCs w:val="21"/>
                    </w:rPr>
                  </w:pPr>
                  <w:r>
                    <w:rPr>
                      <w:color w:val="auto"/>
                      <w:spacing w:val="1"/>
                      <w:szCs w:val="21"/>
                    </w:rPr>
                    <w:t>4</w:t>
                  </w:r>
                </w:p>
              </w:tc>
              <w:tc>
                <w:tcPr>
                  <w:tcW w:w="3430" w:type="dxa"/>
                  <w:vAlign w:val="center"/>
                </w:tcPr>
                <w:p w14:paraId="7F91B5C8">
                  <w:pPr>
                    <w:ind w:firstLine="0" w:firstLineChars="0"/>
                    <w:jc w:val="center"/>
                    <w:rPr>
                      <w:color w:val="auto"/>
                      <w:szCs w:val="21"/>
                    </w:rPr>
                  </w:pPr>
                  <w:r>
                    <w:rPr>
                      <w:color w:val="auto"/>
                      <w:spacing w:val="8"/>
                      <w:szCs w:val="21"/>
                    </w:rPr>
                    <w:t>排放大气污染物的企业事业单位和其他生产经营者应当加强精细化管</w:t>
                  </w:r>
                  <w:r>
                    <w:rPr>
                      <w:color w:val="auto"/>
                      <w:szCs w:val="21"/>
                    </w:rPr>
                    <w:t>理，严格按照有关规定，配套建设、</w:t>
                  </w:r>
                  <w:r>
                    <w:rPr>
                      <w:color w:val="auto"/>
                      <w:spacing w:val="8"/>
                      <w:szCs w:val="21"/>
                    </w:rPr>
                    <w:t>使用和维护大气污染防治装备。</w:t>
                  </w:r>
                </w:p>
              </w:tc>
              <w:tc>
                <w:tcPr>
                  <w:tcW w:w="3360" w:type="dxa"/>
                  <w:vAlign w:val="center"/>
                </w:tcPr>
                <w:p w14:paraId="6936D608">
                  <w:pPr>
                    <w:ind w:firstLine="0" w:firstLineChars="0"/>
                    <w:jc w:val="center"/>
                    <w:rPr>
                      <w:color w:val="auto"/>
                      <w:szCs w:val="21"/>
                    </w:rPr>
                  </w:pPr>
                  <w:r>
                    <w:rPr>
                      <w:color w:val="auto"/>
                      <w:spacing w:val="8"/>
                      <w:szCs w:val="21"/>
                    </w:rPr>
                    <w:t>本次评价提出了项目主</w:t>
                  </w:r>
                  <w:r>
                    <w:rPr>
                      <w:color w:val="auto"/>
                      <w:spacing w:val="7"/>
                      <w:szCs w:val="21"/>
                    </w:rPr>
                    <w:t>要污染防治措施，建设单</w:t>
                  </w:r>
                  <w:r>
                    <w:rPr>
                      <w:color w:val="auto"/>
                      <w:spacing w:val="18"/>
                      <w:szCs w:val="21"/>
                    </w:rPr>
                    <w:t>位在建设和运行中对污染防治措施及设备进行</w:t>
                  </w:r>
                  <w:r>
                    <w:rPr>
                      <w:color w:val="auto"/>
                      <w:spacing w:val="7"/>
                      <w:szCs w:val="21"/>
                    </w:rPr>
                    <w:t>精细化管理，配套建设、</w:t>
                  </w:r>
                  <w:r>
                    <w:rPr>
                      <w:color w:val="auto"/>
                      <w:spacing w:val="18"/>
                      <w:szCs w:val="21"/>
                    </w:rPr>
                    <w:t>使用和维护大气污染防</w:t>
                  </w:r>
                  <w:r>
                    <w:rPr>
                      <w:color w:val="auto"/>
                      <w:spacing w:val="3"/>
                      <w:szCs w:val="21"/>
                    </w:rPr>
                    <w:t>治设备。</w:t>
                  </w:r>
                </w:p>
              </w:tc>
              <w:tc>
                <w:tcPr>
                  <w:tcW w:w="753" w:type="dxa"/>
                  <w:vAlign w:val="center"/>
                </w:tcPr>
                <w:p w14:paraId="30D02B88">
                  <w:pPr>
                    <w:ind w:firstLine="0" w:firstLineChars="0"/>
                    <w:jc w:val="center"/>
                    <w:rPr>
                      <w:color w:val="auto"/>
                      <w:szCs w:val="21"/>
                    </w:rPr>
                  </w:pPr>
                  <w:r>
                    <w:rPr>
                      <w:color w:val="auto"/>
                      <w:spacing w:val="3"/>
                      <w:szCs w:val="21"/>
                    </w:rPr>
                    <w:t>符合</w:t>
                  </w:r>
                </w:p>
              </w:tc>
            </w:tr>
            <w:tr w14:paraId="1A3A1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70" w:hRule="atLeast"/>
              </w:trPr>
              <w:tc>
                <w:tcPr>
                  <w:tcW w:w="408" w:type="dxa"/>
                  <w:vAlign w:val="center"/>
                </w:tcPr>
                <w:p w14:paraId="73AAF24C">
                  <w:pPr>
                    <w:ind w:firstLine="0" w:firstLineChars="0"/>
                    <w:jc w:val="center"/>
                    <w:rPr>
                      <w:color w:val="auto"/>
                      <w:szCs w:val="21"/>
                    </w:rPr>
                  </w:pPr>
                  <w:r>
                    <w:rPr>
                      <w:color w:val="auto"/>
                      <w:szCs w:val="21"/>
                    </w:rPr>
                    <w:t>5</w:t>
                  </w:r>
                </w:p>
              </w:tc>
              <w:tc>
                <w:tcPr>
                  <w:tcW w:w="3430" w:type="dxa"/>
                  <w:vAlign w:val="center"/>
                </w:tcPr>
                <w:p w14:paraId="35A3AF77">
                  <w:pPr>
                    <w:ind w:firstLine="0" w:firstLineChars="0"/>
                    <w:jc w:val="center"/>
                    <w:rPr>
                      <w:color w:val="auto"/>
                      <w:szCs w:val="21"/>
                    </w:rPr>
                  </w:pPr>
                  <w:r>
                    <w:rPr>
                      <w:color w:val="auto"/>
                      <w:spacing w:val="7"/>
                      <w:szCs w:val="21"/>
                    </w:rPr>
                    <w:t>向大气排放污染物的企业事业单位</w:t>
                  </w:r>
                  <w:r>
                    <w:rPr>
                      <w:color w:val="auto"/>
                      <w:spacing w:val="9"/>
                      <w:szCs w:val="21"/>
                    </w:rPr>
                    <w:t>和其他生产经营者，应当按照有关规定设置大气污染排放口。禁止通</w:t>
                  </w:r>
                  <w:r>
                    <w:rPr>
                      <w:color w:val="auto"/>
                      <w:spacing w:val="8"/>
                      <w:szCs w:val="21"/>
                    </w:rPr>
                    <w:t>过偷排、篡改或者伪造监测数据、</w:t>
                  </w:r>
                  <w:r>
                    <w:rPr>
                      <w:color w:val="auto"/>
                      <w:spacing w:val="7"/>
                      <w:szCs w:val="21"/>
                    </w:rPr>
                    <w:t>以逃避现场检查为目的的临时停</w:t>
                  </w:r>
                  <w:r>
                    <w:rPr>
                      <w:color w:val="auto"/>
                      <w:spacing w:val="9"/>
                      <w:szCs w:val="21"/>
                    </w:rPr>
                    <w:t>产、非紧急情况下开启应急排放通道、擅自拆除或者不正常运行大气污染防治设施等逃避监管的方式排</w:t>
                  </w:r>
                  <w:r>
                    <w:rPr>
                      <w:color w:val="auto"/>
                      <w:spacing w:val="7"/>
                      <w:szCs w:val="21"/>
                    </w:rPr>
                    <w:t>放大气污染物。</w:t>
                  </w:r>
                </w:p>
              </w:tc>
              <w:tc>
                <w:tcPr>
                  <w:tcW w:w="3360" w:type="dxa"/>
                  <w:vAlign w:val="center"/>
                </w:tcPr>
                <w:p w14:paraId="1824A774">
                  <w:pPr>
                    <w:ind w:firstLine="0" w:firstLineChars="0"/>
                    <w:jc w:val="center"/>
                    <w:rPr>
                      <w:color w:val="auto"/>
                      <w:szCs w:val="21"/>
                    </w:rPr>
                  </w:pPr>
                  <w:r>
                    <w:rPr>
                      <w:color w:val="auto"/>
                      <w:spacing w:val="5"/>
                      <w:szCs w:val="21"/>
                    </w:rPr>
                    <w:t>项目设置了多根高于15m</w:t>
                  </w:r>
                  <w:r>
                    <w:rPr>
                      <w:color w:val="auto"/>
                      <w:spacing w:val="8"/>
                      <w:szCs w:val="21"/>
                    </w:rPr>
                    <w:t>高的排气筒对项目处理</w:t>
                  </w:r>
                  <w:r>
                    <w:rPr>
                      <w:color w:val="auto"/>
                      <w:spacing w:val="7"/>
                      <w:szCs w:val="21"/>
                    </w:rPr>
                    <w:t>达标的废气进行排放。建</w:t>
                  </w:r>
                  <w:r>
                    <w:rPr>
                      <w:color w:val="auto"/>
                      <w:spacing w:val="18"/>
                      <w:szCs w:val="21"/>
                    </w:rPr>
                    <w:t>设单位在运行中应保持污染防治措施与生产设</w:t>
                  </w:r>
                  <w:r>
                    <w:rPr>
                      <w:color w:val="auto"/>
                      <w:spacing w:val="7"/>
                      <w:szCs w:val="21"/>
                    </w:rPr>
                    <w:t>备同步运行，保证不进行偷排、篡改监测数据等违法行为，加强污染防治设备运行维护工作，确保大气污染物达标排放。</w:t>
                  </w:r>
                </w:p>
              </w:tc>
              <w:tc>
                <w:tcPr>
                  <w:tcW w:w="753" w:type="dxa"/>
                  <w:vAlign w:val="center"/>
                </w:tcPr>
                <w:p w14:paraId="6CB9FFE1">
                  <w:pPr>
                    <w:ind w:firstLine="0" w:firstLineChars="0"/>
                    <w:jc w:val="center"/>
                    <w:rPr>
                      <w:color w:val="auto"/>
                      <w:szCs w:val="21"/>
                    </w:rPr>
                  </w:pPr>
                  <w:r>
                    <w:rPr>
                      <w:color w:val="auto"/>
                      <w:spacing w:val="3"/>
                      <w:szCs w:val="21"/>
                    </w:rPr>
                    <w:t>符合</w:t>
                  </w:r>
                </w:p>
              </w:tc>
            </w:tr>
            <w:tr w14:paraId="6B0BA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1" w:hRule="atLeast"/>
              </w:trPr>
              <w:tc>
                <w:tcPr>
                  <w:tcW w:w="408" w:type="dxa"/>
                  <w:vAlign w:val="center"/>
                </w:tcPr>
                <w:p w14:paraId="14C56F6F">
                  <w:pPr>
                    <w:ind w:firstLine="0" w:firstLineChars="0"/>
                    <w:jc w:val="center"/>
                    <w:rPr>
                      <w:color w:val="auto"/>
                      <w:szCs w:val="21"/>
                    </w:rPr>
                  </w:pPr>
                  <w:r>
                    <w:rPr>
                      <w:color w:val="auto"/>
                      <w:szCs w:val="21"/>
                    </w:rPr>
                    <w:t>6</w:t>
                  </w:r>
                </w:p>
              </w:tc>
              <w:tc>
                <w:tcPr>
                  <w:tcW w:w="3430" w:type="dxa"/>
                  <w:vAlign w:val="center"/>
                </w:tcPr>
                <w:p w14:paraId="18EE4C8A">
                  <w:pPr>
                    <w:ind w:firstLine="0" w:firstLineChars="0"/>
                    <w:jc w:val="center"/>
                    <w:rPr>
                      <w:color w:val="auto"/>
                      <w:szCs w:val="21"/>
                    </w:rPr>
                  </w:pPr>
                  <w:r>
                    <w:rPr>
                      <w:color w:val="auto"/>
                      <w:spacing w:val="7"/>
                      <w:szCs w:val="21"/>
                    </w:rPr>
                    <w:t>下列产生含挥发性有机物废气的生</w:t>
                  </w:r>
                  <w:r>
                    <w:rPr>
                      <w:color w:val="auto"/>
                      <w:spacing w:val="8"/>
                      <w:szCs w:val="21"/>
                    </w:rPr>
                    <w:t>产和服务活动，应当在密闭空间或</w:t>
                  </w:r>
                  <w:r>
                    <w:rPr>
                      <w:color w:val="auto"/>
                      <w:spacing w:val="10"/>
                      <w:szCs w:val="21"/>
                    </w:rPr>
                    <w:t>者装置中进行，并按照规定安装、使用污染防治设施；无法密闭的，</w:t>
                  </w:r>
                  <w:r>
                    <w:rPr>
                      <w:color w:val="auto"/>
                      <w:spacing w:val="8"/>
                      <w:szCs w:val="21"/>
                    </w:rPr>
                    <w:t>应当采取高效处理措施减少废气排放：石油炼制及有机化学品、合成</w:t>
                  </w:r>
                  <w:r>
                    <w:rPr>
                      <w:color w:val="auto"/>
                      <w:spacing w:val="1"/>
                      <w:szCs w:val="21"/>
                    </w:rPr>
                    <w:t>树脂、合成纤维、合成橡胶等行业；制药、农药、涂料、油墨、胶粘剂、</w:t>
                  </w:r>
                  <w:r>
                    <w:rPr>
                      <w:color w:val="auto"/>
                      <w:spacing w:val="9"/>
                      <w:szCs w:val="21"/>
                    </w:rPr>
                    <w:t>橡胶和塑料加工等行业；汽车、家</w:t>
                  </w:r>
                  <w:r>
                    <w:rPr>
                      <w:color w:val="auto"/>
                      <w:spacing w:val="6"/>
                      <w:szCs w:val="21"/>
                    </w:rPr>
                    <w:t>具、集装箱、</w:t>
                  </w:r>
                  <w:r>
                    <w:rPr>
                      <w:color w:val="auto"/>
                      <w:spacing w:val="7"/>
                      <w:szCs w:val="21"/>
                    </w:rPr>
                    <w:t>电子产品、工程机械等行业；塑料</w:t>
                  </w:r>
                  <w:r>
                    <w:rPr>
                      <w:color w:val="auto"/>
                      <w:spacing w:val="9"/>
                      <w:szCs w:val="21"/>
                    </w:rPr>
                    <w:t>软包装印刷、印铁制罐等行业；其他产生挥发性有机物的生产和服务</w:t>
                  </w:r>
                  <w:r>
                    <w:rPr>
                      <w:color w:val="auto"/>
                      <w:spacing w:val="2"/>
                      <w:szCs w:val="21"/>
                    </w:rPr>
                    <w:t>活动。</w:t>
                  </w:r>
                </w:p>
              </w:tc>
              <w:tc>
                <w:tcPr>
                  <w:tcW w:w="3360" w:type="dxa"/>
                  <w:vAlign w:val="center"/>
                </w:tcPr>
                <w:p w14:paraId="05AB964A">
                  <w:pPr>
                    <w:ind w:firstLine="0" w:firstLineChars="0"/>
                    <w:jc w:val="center"/>
                    <w:rPr>
                      <w:color w:val="auto"/>
                      <w:szCs w:val="21"/>
                    </w:rPr>
                  </w:pPr>
                  <w:r>
                    <w:rPr>
                      <w:color w:val="auto"/>
                      <w:spacing w:val="8"/>
                      <w:szCs w:val="21"/>
                    </w:rPr>
                    <w:t>本项目主要废气污染物</w:t>
                  </w:r>
                </w:p>
                <w:p w14:paraId="14FF789E">
                  <w:pPr>
                    <w:ind w:firstLine="0" w:firstLineChars="0"/>
                    <w:jc w:val="center"/>
                    <w:rPr>
                      <w:color w:val="auto"/>
                      <w:szCs w:val="21"/>
                    </w:rPr>
                  </w:pPr>
                  <w:r>
                    <w:rPr>
                      <w:color w:val="auto"/>
                      <w:spacing w:val="5"/>
                      <w:szCs w:val="21"/>
                    </w:rPr>
                    <w:t>为颗粒物，不产生挥发性有</w:t>
                  </w:r>
                  <w:r>
                    <w:rPr>
                      <w:color w:val="auto"/>
                      <w:spacing w:val="3"/>
                      <w:szCs w:val="21"/>
                    </w:rPr>
                    <w:t>机物。</w:t>
                  </w:r>
                </w:p>
              </w:tc>
              <w:tc>
                <w:tcPr>
                  <w:tcW w:w="753" w:type="dxa"/>
                  <w:vAlign w:val="center"/>
                </w:tcPr>
                <w:p w14:paraId="68628679">
                  <w:pPr>
                    <w:ind w:firstLine="0" w:firstLineChars="0"/>
                    <w:jc w:val="center"/>
                    <w:rPr>
                      <w:color w:val="auto"/>
                      <w:szCs w:val="21"/>
                    </w:rPr>
                  </w:pPr>
                  <w:r>
                    <w:rPr>
                      <w:color w:val="auto"/>
                      <w:spacing w:val="3"/>
                      <w:szCs w:val="21"/>
                    </w:rPr>
                    <w:t>符合</w:t>
                  </w:r>
                </w:p>
              </w:tc>
            </w:tr>
            <w:tr w14:paraId="08AC4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08" w:type="dxa"/>
                  <w:vAlign w:val="center"/>
                </w:tcPr>
                <w:p w14:paraId="4C81885E">
                  <w:pPr>
                    <w:ind w:firstLine="0" w:firstLineChars="0"/>
                    <w:jc w:val="center"/>
                    <w:rPr>
                      <w:color w:val="auto"/>
                      <w:szCs w:val="21"/>
                    </w:rPr>
                  </w:pPr>
                  <w:r>
                    <w:rPr>
                      <w:color w:val="auto"/>
                      <w:szCs w:val="21"/>
                    </w:rPr>
                    <w:t>7</w:t>
                  </w:r>
                </w:p>
              </w:tc>
              <w:tc>
                <w:tcPr>
                  <w:tcW w:w="3430" w:type="dxa"/>
                  <w:vAlign w:val="center"/>
                </w:tcPr>
                <w:p w14:paraId="46B64E63">
                  <w:pPr>
                    <w:ind w:firstLine="0" w:firstLineChars="0"/>
                    <w:jc w:val="center"/>
                    <w:rPr>
                      <w:color w:val="auto"/>
                      <w:szCs w:val="21"/>
                    </w:rPr>
                  </w:pPr>
                  <w:r>
                    <w:rPr>
                      <w:color w:val="auto"/>
                      <w:spacing w:val="9"/>
                      <w:szCs w:val="21"/>
                    </w:rPr>
                    <w:t>生产、进口、销售和使用含挥发性有机物原材料和产品的，其挥发性有机物含量应当符合质量标准或者</w:t>
                  </w:r>
                  <w:r>
                    <w:rPr>
                      <w:color w:val="auto"/>
                      <w:spacing w:val="2"/>
                      <w:szCs w:val="21"/>
                    </w:rPr>
                    <w:t>要求。</w:t>
                  </w:r>
                </w:p>
              </w:tc>
              <w:tc>
                <w:tcPr>
                  <w:tcW w:w="3360" w:type="dxa"/>
                  <w:vAlign w:val="center"/>
                </w:tcPr>
                <w:p w14:paraId="6FCB068B">
                  <w:pPr>
                    <w:ind w:firstLine="0" w:firstLineChars="0"/>
                    <w:jc w:val="center"/>
                    <w:rPr>
                      <w:color w:val="auto"/>
                      <w:szCs w:val="21"/>
                    </w:rPr>
                  </w:pPr>
                  <w:r>
                    <w:rPr>
                      <w:color w:val="auto"/>
                      <w:spacing w:val="8"/>
                      <w:szCs w:val="21"/>
                    </w:rPr>
                    <w:t>本项目主要废气污染物为</w:t>
                  </w:r>
                  <w:r>
                    <w:rPr>
                      <w:color w:val="auto"/>
                      <w:spacing w:val="5"/>
                      <w:szCs w:val="21"/>
                    </w:rPr>
                    <w:t>颗粒物，不产生挥发性有</w:t>
                  </w:r>
                  <w:r>
                    <w:rPr>
                      <w:color w:val="auto"/>
                      <w:spacing w:val="3"/>
                      <w:szCs w:val="21"/>
                    </w:rPr>
                    <w:t>机物。</w:t>
                  </w:r>
                </w:p>
              </w:tc>
              <w:tc>
                <w:tcPr>
                  <w:tcW w:w="753" w:type="dxa"/>
                  <w:vAlign w:val="center"/>
                </w:tcPr>
                <w:p w14:paraId="7EBE13B6">
                  <w:pPr>
                    <w:ind w:firstLine="0" w:firstLineChars="0"/>
                    <w:jc w:val="center"/>
                    <w:rPr>
                      <w:color w:val="auto"/>
                      <w:szCs w:val="21"/>
                    </w:rPr>
                  </w:pPr>
                  <w:r>
                    <w:rPr>
                      <w:color w:val="auto"/>
                      <w:spacing w:val="3"/>
                      <w:szCs w:val="21"/>
                    </w:rPr>
                    <w:t>符合</w:t>
                  </w:r>
                </w:p>
              </w:tc>
            </w:tr>
            <w:tr w14:paraId="4DDD7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08" w:type="dxa"/>
                  <w:vAlign w:val="center"/>
                </w:tcPr>
                <w:p w14:paraId="21F6757A">
                  <w:pPr>
                    <w:ind w:firstLine="0" w:firstLineChars="0"/>
                    <w:jc w:val="center"/>
                    <w:rPr>
                      <w:color w:val="auto"/>
                      <w:szCs w:val="21"/>
                    </w:rPr>
                  </w:pPr>
                  <w:r>
                    <w:rPr>
                      <w:color w:val="auto"/>
                      <w:szCs w:val="21"/>
                    </w:rPr>
                    <w:t>8</w:t>
                  </w:r>
                </w:p>
              </w:tc>
              <w:tc>
                <w:tcPr>
                  <w:tcW w:w="3430" w:type="dxa"/>
                  <w:vAlign w:val="center"/>
                </w:tcPr>
                <w:p w14:paraId="0FD4A1BA">
                  <w:pPr>
                    <w:ind w:firstLine="0" w:firstLineChars="0"/>
                    <w:jc w:val="center"/>
                    <w:rPr>
                      <w:color w:val="auto"/>
                      <w:szCs w:val="21"/>
                    </w:rPr>
                  </w:pPr>
                  <w:r>
                    <w:rPr>
                      <w:color w:val="auto"/>
                      <w:spacing w:val="9"/>
                      <w:szCs w:val="21"/>
                    </w:rPr>
                    <w:t>建设单位应当将防治扬尘污染的费用纳入工程造价，并在施工承包合同中明确施工单位扬尘污染防治责</w:t>
                  </w:r>
                </w:p>
                <w:p w14:paraId="6D4E5373">
                  <w:pPr>
                    <w:ind w:firstLine="0" w:firstLineChars="0"/>
                    <w:jc w:val="center"/>
                    <w:rPr>
                      <w:color w:val="auto"/>
                      <w:szCs w:val="21"/>
                    </w:rPr>
                  </w:pPr>
                  <w:r>
                    <w:rPr>
                      <w:color w:val="auto"/>
                      <w:szCs w:val="21"/>
                    </w:rPr>
                    <w:t>任。</w:t>
                  </w:r>
                </w:p>
              </w:tc>
              <w:tc>
                <w:tcPr>
                  <w:tcW w:w="3360" w:type="dxa"/>
                  <w:vAlign w:val="center"/>
                </w:tcPr>
                <w:p w14:paraId="4DF21695">
                  <w:pPr>
                    <w:ind w:firstLine="0" w:firstLineChars="0"/>
                    <w:jc w:val="center"/>
                    <w:rPr>
                      <w:color w:val="auto"/>
                      <w:szCs w:val="21"/>
                    </w:rPr>
                  </w:pPr>
                  <w:r>
                    <w:rPr>
                      <w:color w:val="auto"/>
                      <w:spacing w:val="8"/>
                      <w:szCs w:val="21"/>
                    </w:rPr>
                    <w:t>项目施工扬尘主要是</w:t>
                  </w:r>
                  <w:r>
                    <w:rPr>
                      <w:color w:val="auto"/>
                      <w:spacing w:val="7"/>
                      <w:szCs w:val="21"/>
                    </w:rPr>
                    <w:t>简单的建构筑物建设及设备安装中产生，项目施工期短，施工期间</w:t>
                  </w:r>
                  <w:r>
                    <w:rPr>
                      <w:color w:val="auto"/>
                      <w:spacing w:val="8"/>
                      <w:szCs w:val="21"/>
                    </w:rPr>
                    <w:t>须采取人工洒水降尘措施减</w:t>
                  </w:r>
                  <w:r>
                    <w:rPr>
                      <w:color w:val="auto"/>
                      <w:spacing w:val="7"/>
                      <w:szCs w:val="21"/>
                    </w:rPr>
                    <w:t>少扬尘污染，项目施工扬</w:t>
                  </w:r>
                  <w:r>
                    <w:rPr>
                      <w:color w:val="auto"/>
                      <w:spacing w:val="8"/>
                      <w:szCs w:val="21"/>
                    </w:rPr>
                    <w:t>尘污染防治责任由施工</w:t>
                  </w:r>
                  <w:r>
                    <w:rPr>
                      <w:color w:val="auto"/>
                      <w:spacing w:val="5"/>
                      <w:szCs w:val="21"/>
                    </w:rPr>
                    <w:t>单位承担。</w:t>
                  </w:r>
                </w:p>
              </w:tc>
              <w:tc>
                <w:tcPr>
                  <w:tcW w:w="753" w:type="dxa"/>
                  <w:vAlign w:val="center"/>
                </w:tcPr>
                <w:p w14:paraId="7027769D">
                  <w:pPr>
                    <w:ind w:firstLine="0" w:firstLineChars="0"/>
                    <w:jc w:val="center"/>
                    <w:rPr>
                      <w:color w:val="auto"/>
                      <w:szCs w:val="21"/>
                    </w:rPr>
                  </w:pPr>
                  <w:r>
                    <w:rPr>
                      <w:color w:val="auto"/>
                      <w:spacing w:val="3"/>
                      <w:szCs w:val="21"/>
                    </w:rPr>
                    <w:t>符合</w:t>
                  </w:r>
                </w:p>
              </w:tc>
            </w:tr>
            <w:tr w14:paraId="06312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08" w:type="dxa"/>
                  <w:vAlign w:val="center"/>
                </w:tcPr>
                <w:p w14:paraId="5DE87EBB">
                  <w:pPr>
                    <w:ind w:firstLine="0" w:firstLineChars="0"/>
                    <w:jc w:val="center"/>
                    <w:rPr>
                      <w:color w:val="auto"/>
                      <w:szCs w:val="21"/>
                    </w:rPr>
                  </w:pPr>
                  <w:r>
                    <w:rPr>
                      <w:color w:val="auto"/>
                      <w:szCs w:val="21"/>
                    </w:rPr>
                    <w:t>9</w:t>
                  </w:r>
                </w:p>
              </w:tc>
              <w:tc>
                <w:tcPr>
                  <w:tcW w:w="3430" w:type="dxa"/>
                  <w:vAlign w:val="center"/>
                </w:tcPr>
                <w:p w14:paraId="09A3C812">
                  <w:pPr>
                    <w:ind w:firstLine="0" w:firstLineChars="0"/>
                    <w:jc w:val="center"/>
                    <w:rPr>
                      <w:color w:val="auto"/>
                      <w:szCs w:val="21"/>
                    </w:rPr>
                  </w:pPr>
                  <w:r>
                    <w:rPr>
                      <w:color w:val="auto"/>
                      <w:szCs w:val="21"/>
                    </w:rPr>
                    <w:t>矿产资源开采、露天物料堆场等应当采用防风抑尘工艺、技术和设备，采取有效措施防治扬尘污染。</w:t>
                  </w:r>
                </w:p>
              </w:tc>
              <w:tc>
                <w:tcPr>
                  <w:tcW w:w="3360" w:type="dxa"/>
                  <w:vAlign w:val="center"/>
                </w:tcPr>
                <w:p w14:paraId="039A3ABE">
                  <w:pPr>
                    <w:ind w:firstLine="0" w:firstLineChars="0"/>
                    <w:jc w:val="center"/>
                    <w:rPr>
                      <w:color w:val="auto"/>
                      <w:spacing w:val="8"/>
                      <w:szCs w:val="21"/>
                    </w:rPr>
                  </w:pPr>
                  <w:r>
                    <w:rPr>
                      <w:color w:val="auto"/>
                      <w:spacing w:val="8"/>
                      <w:szCs w:val="21"/>
                    </w:rPr>
                    <w:t>骨料料仓采用彩钢瓦进行整体封闭，仅将进出物料口设置为敞开式。</w:t>
                  </w:r>
                </w:p>
              </w:tc>
              <w:tc>
                <w:tcPr>
                  <w:tcW w:w="753" w:type="dxa"/>
                  <w:vAlign w:val="center"/>
                </w:tcPr>
                <w:p w14:paraId="2942162A">
                  <w:pPr>
                    <w:ind w:firstLine="0" w:firstLineChars="0"/>
                    <w:jc w:val="center"/>
                    <w:rPr>
                      <w:color w:val="auto"/>
                      <w:spacing w:val="3"/>
                      <w:szCs w:val="21"/>
                    </w:rPr>
                  </w:pPr>
                  <w:r>
                    <w:rPr>
                      <w:color w:val="auto"/>
                      <w:spacing w:val="3"/>
                      <w:szCs w:val="21"/>
                    </w:rPr>
                    <w:t>符合</w:t>
                  </w:r>
                </w:p>
              </w:tc>
            </w:tr>
          </w:tbl>
          <w:p w14:paraId="4DC17970">
            <w:pPr>
              <w:pStyle w:val="26"/>
              <w:adjustRightInd w:val="0"/>
              <w:snapToGrid w:val="0"/>
              <w:spacing w:line="360" w:lineRule="auto"/>
              <w:ind w:firstLine="476"/>
              <w:rPr>
                <w:rFonts w:ascii="Times New Roman" w:hAnsi="Times New Roman"/>
                <w:b/>
                <w:color w:val="auto"/>
                <w:sz w:val="24"/>
              </w:rPr>
            </w:pPr>
            <w:r>
              <w:rPr>
                <w:rFonts w:ascii="Times New Roman" w:hAnsi="Times New Roman"/>
                <w:color w:val="auto"/>
                <w:spacing w:val="-1"/>
                <w:sz w:val="24"/>
              </w:rPr>
              <w:t>综上，本项目建设与《昆明市大气污染防治条例》相符。</w:t>
            </w:r>
          </w:p>
          <w:p w14:paraId="102276A2">
            <w:pPr>
              <w:pStyle w:val="26"/>
              <w:adjustRightInd w:val="0"/>
              <w:snapToGrid w:val="0"/>
              <w:spacing w:line="360" w:lineRule="auto"/>
              <w:ind w:firstLine="482"/>
              <w:rPr>
                <w:rFonts w:ascii="Times New Roman" w:hAnsi="Times New Roman"/>
                <w:b/>
                <w:color w:val="auto"/>
                <w:sz w:val="24"/>
              </w:rPr>
            </w:pPr>
            <w:r>
              <w:rPr>
                <w:rFonts w:hint="eastAsia" w:ascii="Times New Roman" w:hAnsi="Times New Roman"/>
                <w:b/>
                <w:bCs/>
                <w:color w:val="auto"/>
                <w:kern w:val="0"/>
                <w:sz w:val="24"/>
              </w:rPr>
              <w:t>11</w:t>
            </w:r>
            <w:r>
              <w:rPr>
                <w:rFonts w:ascii="Times New Roman" w:hAnsi="Times New Roman"/>
                <w:b/>
                <w:bCs/>
                <w:color w:val="auto"/>
                <w:kern w:val="0"/>
                <w:sz w:val="24"/>
              </w:rPr>
              <w:t>、</w:t>
            </w:r>
            <w:r>
              <w:rPr>
                <w:rFonts w:ascii="Times New Roman" w:hAnsi="Times New Roman"/>
                <w:b/>
                <w:color w:val="auto"/>
                <w:sz w:val="24"/>
              </w:rPr>
              <w:t>选址合理性分析</w:t>
            </w:r>
          </w:p>
          <w:p w14:paraId="2958222E">
            <w:pPr>
              <w:widowControl/>
              <w:adjustRightInd w:val="0"/>
              <w:snapToGrid w:val="0"/>
              <w:spacing w:line="360" w:lineRule="auto"/>
              <w:ind w:firstLine="480"/>
              <w:rPr>
                <w:color w:val="auto"/>
                <w:kern w:val="0"/>
                <w:sz w:val="24"/>
                <w:lang w:bidi="ar"/>
              </w:rPr>
            </w:pPr>
            <w:r>
              <w:rPr>
                <w:color w:val="auto"/>
                <w:kern w:val="0"/>
                <w:sz w:val="24"/>
                <w:lang w:bidi="ar"/>
              </w:rPr>
              <w:t>本项目为商品</w:t>
            </w:r>
            <w:r>
              <w:rPr>
                <w:rFonts w:hint="eastAsia"/>
                <w:color w:val="auto"/>
                <w:kern w:val="0"/>
                <w:sz w:val="24"/>
                <w:lang w:bidi="ar"/>
              </w:rPr>
              <w:t>混凝土</w:t>
            </w:r>
            <w:r>
              <w:rPr>
                <w:color w:val="auto"/>
                <w:kern w:val="0"/>
                <w:sz w:val="24"/>
                <w:lang w:bidi="ar"/>
              </w:rPr>
              <w:t>制造项目，</w:t>
            </w:r>
            <w:r>
              <w:rPr>
                <w:rFonts w:hint="eastAsia"/>
                <w:color w:val="auto"/>
                <w:kern w:val="0"/>
                <w:sz w:val="24"/>
                <w:lang w:bidi="ar"/>
              </w:rPr>
              <w:t>属于扩建项目用地位于原项目场址内，</w:t>
            </w:r>
            <w:r>
              <w:rPr>
                <w:rFonts w:hint="eastAsia"/>
                <w:color w:val="auto"/>
                <w:sz w:val="24"/>
              </w:rPr>
              <w:t>不新增建设用地</w:t>
            </w:r>
            <w:r>
              <w:rPr>
                <w:rFonts w:hint="eastAsia"/>
                <w:color w:val="auto"/>
                <w:kern w:val="0"/>
                <w:sz w:val="24"/>
                <w:lang w:bidi="ar"/>
              </w:rPr>
              <w:t>，原</w:t>
            </w:r>
            <w:r>
              <w:rPr>
                <w:color w:val="auto"/>
                <w:spacing w:val="-5"/>
                <w:sz w:val="24"/>
              </w:rPr>
              <w:t>年产25万吨商品混凝土生产线建设项目</w:t>
            </w:r>
            <w:r>
              <w:rPr>
                <w:rFonts w:hint="eastAsia"/>
                <w:color w:val="auto"/>
                <w:spacing w:val="-5"/>
                <w:sz w:val="24"/>
              </w:rPr>
              <w:t>已于2009年取得昆明市生态环境</w:t>
            </w:r>
            <w:r>
              <w:rPr>
                <w:rFonts w:hint="eastAsia"/>
                <w:color w:val="auto"/>
                <w:sz w:val="24"/>
              </w:rPr>
              <w:t>局寻甸分局关于对《年产25万吨商品混凝土生产线建设项目环境影响报告表》的批复（寻环〔2009〕111号）；</w:t>
            </w:r>
          </w:p>
          <w:p w14:paraId="3F7C53FE">
            <w:pPr>
              <w:widowControl/>
              <w:adjustRightInd w:val="0"/>
              <w:snapToGrid w:val="0"/>
              <w:spacing w:line="360" w:lineRule="auto"/>
              <w:ind w:firstLine="480"/>
              <w:rPr>
                <w:color w:val="auto"/>
                <w:kern w:val="0"/>
                <w:sz w:val="24"/>
                <w:lang w:bidi="ar"/>
              </w:rPr>
            </w:pPr>
            <w:r>
              <w:rPr>
                <w:rFonts w:hint="eastAsia"/>
                <w:color w:val="auto"/>
                <w:kern w:val="0"/>
                <w:sz w:val="24"/>
                <w:lang w:bidi="ar"/>
              </w:rPr>
              <w:t>距离本项目最近的敏感目标为西南的227.665m处的哨上大村，位于本项目所在区域常年主导风向（西南风）的上风向，</w:t>
            </w:r>
            <w:r>
              <w:rPr>
                <w:color w:val="auto"/>
                <w:kern w:val="0"/>
                <w:sz w:val="24"/>
                <w:lang w:bidi="ar"/>
              </w:rPr>
              <w:t>所选</w:t>
            </w:r>
            <w:r>
              <w:rPr>
                <w:rFonts w:hint="eastAsia"/>
                <w:color w:val="auto"/>
                <w:kern w:val="0"/>
                <w:sz w:val="24"/>
                <w:lang w:bidi="ar"/>
              </w:rPr>
              <w:t>场地</w:t>
            </w:r>
            <w:r>
              <w:rPr>
                <w:color w:val="auto"/>
                <w:kern w:val="0"/>
                <w:sz w:val="24"/>
                <w:lang w:bidi="ar"/>
              </w:rPr>
              <w:t>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14:paraId="7567F30F">
            <w:pPr>
              <w:widowControl/>
              <w:adjustRightInd w:val="0"/>
              <w:snapToGrid w:val="0"/>
              <w:spacing w:line="360" w:lineRule="auto"/>
              <w:ind w:firstLine="480"/>
              <w:rPr>
                <w:color w:val="auto"/>
                <w:kern w:val="0"/>
                <w:sz w:val="24"/>
                <w:lang w:bidi="ar"/>
              </w:rPr>
            </w:pPr>
            <w:r>
              <w:rPr>
                <w:color w:val="auto"/>
                <w:kern w:val="0"/>
                <w:sz w:val="24"/>
                <w:lang w:bidi="ar"/>
              </w:rPr>
              <w:t>综上，项目建设场地条件、交通运输、环境保护和水、电、通信等条件好，无重大的环境制约因素，项目选址合理。</w:t>
            </w:r>
          </w:p>
          <w:p w14:paraId="77277DC9">
            <w:pPr>
              <w:pStyle w:val="26"/>
              <w:adjustRightInd w:val="0"/>
              <w:snapToGrid w:val="0"/>
              <w:spacing w:line="360" w:lineRule="auto"/>
              <w:ind w:firstLine="482"/>
              <w:rPr>
                <w:rFonts w:ascii="Times New Roman" w:hAnsi="Times New Roman"/>
                <w:b/>
                <w:color w:val="auto"/>
                <w:sz w:val="24"/>
              </w:rPr>
            </w:pPr>
            <w:r>
              <w:rPr>
                <w:rFonts w:ascii="Times New Roman" w:hAnsi="Times New Roman"/>
                <w:b/>
                <w:color w:val="auto"/>
                <w:sz w:val="24"/>
              </w:rPr>
              <w:t>1</w:t>
            </w:r>
            <w:r>
              <w:rPr>
                <w:rFonts w:hint="eastAsia" w:ascii="Times New Roman" w:hAnsi="Times New Roman"/>
                <w:b/>
                <w:color w:val="auto"/>
                <w:sz w:val="24"/>
              </w:rPr>
              <w:t>2</w:t>
            </w:r>
            <w:r>
              <w:rPr>
                <w:rFonts w:ascii="Times New Roman" w:hAnsi="Times New Roman"/>
                <w:b/>
                <w:color w:val="auto"/>
                <w:sz w:val="24"/>
              </w:rPr>
              <w:t>、项目平面布置合理性分析</w:t>
            </w:r>
          </w:p>
          <w:p w14:paraId="1771A53A">
            <w:pPr>
              <w:widowControl/>
              <w:adjustRightInd w:val="0"/>
              <w:snapToGrid w:val="0"/>
              <w:spacing w:line="360" w:lineRule="auto"/>
              <w:ind w:firstLine="480"/>
              <w:rPr>
                <w:color w:val="auto"/>
                <w:kern w:val="0"/>
                <w:sz w:val="24"/>
                <w:lang w:bidi="ar"/>
              </w:rPr>
            </w:pPr>
            <w:r>
              <w:rPr>
                <w:color w:val="auto"/>
                <w:kern w:val="0"/>
                <w:sz w:val="24"/>
                <w:lang w:bidi="ar"/>
              </w:rPr>
              <w:t>本项目位于云南省昆明市</w:t>
            </w:r>
            <w:r>
              <w:rPr>
                <w:color w:val="auto"/>
                <w:sz w:val="24"/>
              </w:rPr>
              <w:t>寻甸金所乡哨上大村</w:t>
            </w:r>
            <w:r>
              <w:rPr>
                <w:rFonts w:hint="eastAsia"/>
                <w:color w:val="auto"/>
                <w:sz w:val="24"/>
                <w:lang w:val="en-US" w:eastAsia="zh-CN"/>
              </w:rPr>
              <w:t>北侧</w:t>
            </w:r>
            <w:r>
              <w:rPr>
                <w:color w:val="auto"/>
                <w:kern w:val="0"/>
                <w:sz w:val="24"/>
                <w:lang w:bidi="ar"/>
              </w:rPr>
              <w:t>，项目周边主要为各生产加工型企业；厂区总图方案功能分区明确，总体划分为两个主要区域，即办公生活区及生产加工区。项目区场地呈南向北，根据项目区地形特点及生产生活的需求，在项目区靠近道路厂界一侧设置1个总出入口，方便物料运进和产品运出；一条年产10万吨商品混凝土生产线（搅拌线筒库4个，其中水泥仓2个、粉煤灰仓1个、矿粉1个），场地中部自西向东为原辅料堆存区、运输机、装载车、运输皮带、洗车休息用地、搅拌料仓储、制砂车间，原项目已建的办公生活区位于生产车间外东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14:paraId="5A5785B3">
            <w:pPr>
              <w:widowControl/>
              <w:adjustRightInd w:val="0"/>
              <w:snapToGrid w:val="0"/>
              <w:spacing w:line="360" w:lineRule="auto"/>
              <w:ind w:firstLine="480"/>
              <w:rPr>
                <w:color w:val="auto"/>
                <w:kern w:val="0"/>
                <w:sz w:val="24"/>
                <w:lang w:bidi="ar"/>
              </w:rPr>
            </w:pPr>
            <w:r>
              <w:rPr>
                <w:color w:val="auto"/>
                <w:kern w:val="0"/>
                <w:sz w:val="24"/>
                <w:lang w:bidi="ar"/>
              </w:rPr>
              <w:t>综上所述，从环保角度考虑，项目布局合理。</w:t>
            </w:r>
          </w:p>
          <w:p w14:paraId="23041BE0">
            <w:pPr>
              <w:ind w:firstLine="0" w:firstLineChars="0"/>
              <w:jc w:val="center"/>
              <w:rPr>
                <w:b/>
                <w:color w:val="auto"/>
                <w:szCs w:val="21"/>
              </w:rPr>
            </w:pPr>
          </w:p>
          <w:p w14:paraId="7A4BFE9B">
            <w:pPr>
              <w:ind w:firstLine="0" w:firstLineChars="0"/>
              <w:jc w:val="center"/>
              <w:rPr>
                <w:b/>
                <w:color w:val="auto"/>
                <w:szCs w:val="21"/>
              </w:rPr>
            </w:pPr>
          </w:p>
          <w:p w14:paraId="59D0F1CE">
            <w:pPr>
              <w:ind w:firstLine="0" w:firstLineChars="0"/>
              <w:jc w:val="center"/>
              <w:rPr>
                <w:b/>
                <w:color w:val="auto"/>
                <w:szCs w:val="21"/>
              </w:rPr>
            </w:pPr>
          </w:p>
          <w:p w14:paraId="11243315">
            <w:pPr>
              <w:pStyle w:val="3"/>
              <w:ind w:firstLine="0" w:firstLineChars="0"/>
              <w:rPr>
                <w:color w:val="auto"/>
              </w:rPr>
            </w:pPr>
          </w:p>
        </w:tc>
      </w:tr>
    </w:tbl>
    <w:p w14:paraId="4FBD4F4E">
      <w:pPr>
        <w:spacing w:line="360" w:lineRule="auto"/>
        <w:ind w:firstLine="600"/>
        <w:rPr>
          <w:color w:val="auto"/>
          <w:sz w:val="30"/>
        </w:rPr>
        <w:sectPr>
          <w:footerReference r:id="rId9" w:type="default"/>
          <w:pgSz w:w="11906" w:h="16838"/>
          <w:pgMar w:top="1701" w:right="1531" w:bottom="1701" w:left="1531" w:header="851" w:footer="1077" w:gutter="0"/>
          <w:pgNumType w:start="1"/>
          <w:cols w:space="720" w:num="1"/>
          <w:docGrid w:linePitch="312" w:charSpace="0"/>
        </w:sectPr>
      </w:pPr>
    </w:p>
    <w:p w14:paraId="43A299EF">
      <w:pPr>
        <w:pStyle w:val="33"/>
        <w:adjustRightInd w:val="0"/>
        <w:snapToGrid w:val="0"/>
        <w:spacing w:before="0" w:beforeAutospacing="0" w:after="0" w:afterAutospacing="0" w:line="336" w:lineRule="auto"/>
        <w:ind w:firstLine="0" w:firstLineChars="0"/>
        <w:jc w:val="center"/>
        <w:outlineLvl w:val="0"/>
        <w:rPr>
          <w:rFonts w:ascii="Times New Roman" w:hAnsi="Times New Roman"/>
          <w:snapToGrid w:val="0"/>
          <w:color w:val="auto"/>
          <w:sz w:val="30"/>
          <w:szCs w:val="30"/>
        </w:rPr>
      </w:pPr>
      <w:bookmarkStart w:id="12" w:name="_Toc22458"/>
      <w:bookmarkStart w:id="13" w:name="_Toc1587"/>
      <w:r>
        <w:rPr>
          <w:rFonts w:ascii="Times New Roman" w:hAnsi="Times New Roman"/>
          <w:b/>
          <w:bCs/>
          <w:snapToGrid w:val="0"/>
          <w:color w:val="auto"/>
          <w:sz w:val="30"/>
          <w:szCs w:val="30"/>
        </w:rPr>
        <w:t>二、建设项目工程分析</w:t>
      </w:r>
      <w:bookmarkEnd w:id="12"/>
      <w:bookmarkEnd w:id="13"/>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5"/>
        <w:gridCol w:w="8185"/>
      </w:tblGrid>
      <w:tr w14:paraId="260E1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0" w:hRule="atLeast"/>
          <w:jc w:val="center"/>
        </w:trPr>
        <w:tc>
          <w:tcPr>
            <w:tcW w:w="876" w:type="dxa"/>
            <w:vAlign w:val="center"/>
          </w:tcPr>
          <w:p w14:paraId="70403D76">
            <w:pPr>
              <w:pStyle w:val="33"/>
              <w:adjustRightInd w:val="0"/>
              <w:snapToGrid w:val="0"/>
              <w:spacing w:before="0" w:beforeAutospacing="0" w:after="0" w:afterAutospacing="0"/>
              <w:ind w:firstLine="0" w:firstLineChars="0"/>
              <w:jc w:val="center"/>
              <w:rPr>
                <w:rFonts w:ascii="Times New Roman" w:hAnsi="Times New Roman"/>
                <w:color w:val="auto"/>
                <w:sz w:val="21"/>
                <w:szCs w:val="21"/>
              </w:rPr>
            </w:pPr>
            <w:r>
              <w:rPr>
                <w:rFonts w:ascii="Times New Roman" w:hAnsi="Times New Roman"/>
                <w:color w:val="auto"/>
                <w:szCs w:val="24"/>
              </w:rPr>
              <w:t>建设内容</w:t>
            </w:r>
          </w:p>
        </w:tc>
        <w:tc>
          <w:tcPr>
            <w:tcW w:w="8201" w:type="dxa"/>
          </w:tcPr>
          <w:p w14:paraId="6DB04939">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一、项目由来</w:t>
            </w:r>
          </w:p>
          <w:p w14:paraId="65929E91">
            <w:pPr>
              <w:spacing w:line="360" w:lineRule="auto"/>
              <w:ind w:firstLine="480"/>
              <w:rPr>
                <w:color w:val="auto"/>
                <w:sz w:val="24"/>
              </w:rPr>
            </w:pPr>
            <w:r>
              <w:rPr>
                <w:color w:val="auto"/>
                <w:sz w:val="24"/>
              </w:rPr>
              <w:t>寻甸科宏建筑材料有限公司是一家从事建筑材料销售，装饰材料销售等业务的公司，成立于2009年06月11日，企业的经营范围为：预拌商品混凝土生产销售；建筑材料、装饰材料销售。现寻甸科宏建筑材料有限公司</w:t>
            </w:r>
            <w:r>
              <w:rPr>
                <w:color w:val="auto"/>
                <w:sz w:val="24"/>
                <w:lang w:val="zh-CN"/>
              </w:rPr>
              <w:t>（以下简称“建设单位”）拟投资</w:t>
            </w:r>
            <w:r>
              <w:rPr>
                <w:color w:val="auto"/>
                <w:sz w:val="24"/>
              </w:rPr>
              <w:t>500</w:t>
            </w:r>
            <w:r>
              <w:rPr>
                <w:color w:val="auto"/>
                <w:sz w:val="24"/>
                <w:lang w:val="zh-CN"/>
              </w:rPr>
              <w:t>万元在云南省昆明市寻甸</w:t>
            </w:r>
            <w:r>
              <w:rPr>
                <w:rFonts w:eastAsiaTheme="majorEastAsia"/>
                <w:color w:val="auto"/>
                <w:sz w:val="24"/>
              </w:rPr>
              <w:t>寻甸县金所乡哨上大村</w:t>
            </w:r>
            <w:r>
              <w:rPr>
                <w:color w:val="auto"/>
                <w:sz w:val="24"/>
              </w:rPr>
              <w:t>内建设“商品</w:t>
            </w:r>
            <w:r>
              <w:rPr>
                <w:rFonts w:hint="eastAsia"/>
                <w:color w:val="auto"/>
                <w:sz w:val="24"/>
              </w:rPr>
              <w:t>混凝土</w:t>
            </w:r>
            <w:r>
              <w:rPr>
                <w:color w:val="auto"/>
                <w:sz w:val="24"/>
              </w:rPr>
              <w:t>制品生产扩建项目”。</w:t>
            </w:r>
          </w:p>
          <w:p w14:paraId="3E1A2B68">
            <w:pPr>
              <w:spacing w:line="360" w:lineRule="auto"/>
              <w:ind w:firstLine="480"/>
              <w:rPr>
                <w:rFonts w:eastAsiaTheme="minorEastAsia"/>
                <w:color w:val="auto"/>
                <w:sz w:val="24"/>
              </w:rPr>
            </w:pPr>
            <w:r>
              <w:rPr>
                <w:color w:val="auto"/>
                <w:sz w:val="24"/>
              </w:rPr>
              <w:t>2009年8月寻甸科宏建筑材料有限公司委托广州市环境保护工程设计院有限公司编制了《年产25万吨商品混凝土生产线建设项目环境影响评价报告表》，</w:t>
            </w:r>
            <w:r>
              <w:rPr>
                <w:rFonts w:eastAsiaTheme="minorEastAsia"/>
                <w:color w:val="auto"/>
                <w:sz w:val="24"/>
              </w:rPr>
              <w:t>并于2009年11月11日取得了寻甸回族彝族自治县环境保护局关于对《年产25万吨商品混凝土生产线建设项目环境影响评价报告表》的批复（寻环</w:t>
            </w:r>
            <w:r>
              <w:rPr>
                <w:rFonts w:hint="eastAsia" w:eastAsiaTheme="minorEastAsia"/>
                <w:color w:val="auto"/>
                <w:sz w:val="24"/>
              </w:rPr>
              <w:t>〔2009〕111号</w:t>
            </w:r>
            <w:r>
              <w:rPr>
                <w:rFonts w:eastAsiaTheme="minorEastAsia"/>
                <w:color w:val="auto"/>
                <w:sz w:val="24"/>
              </w:rPr>
              <w:t>）</w:t>
            </w:r>
            <w:r>
              <w:rPr>
                <w:rFonts w:hint="eastAsia" w:eastAsiaTheme="minorEastAsia"/>
                <w:color w:val="auto"/>
                <w:sz w:val="24"/>
              </w:rPr>
              <w:t>。并于2020年2月完成项目竣工环境保护验收手续，验收组同意验收合格，取得了验收意见。</w:t>
            </w:r>
          </w:p>
          <w:p w14:paraId="56F0BF04">
            <w:pPr>
              <w:spacing w:line="360" w:lineRule="auto"/>
              <w:ind w:firstLine="480"/>
              <w:rPr>
                <w:rFonts w:eastAsiaTheme="minorEastAsia"/>
                <w:color w:val="auto"/>
                <w:sz w:val="24"/>
              </w:rPr>
            </w:pPr>
            <w:r>
              <w:rPr>
                <w:rFonts w:hint="eastAsia" w:eastAsiaTheme="minorEastAsia"/>
                <w:color w:val="auto"/>
                <w:sz w:val="24"/>
              </w:rPr>
              <w:t>根据竣工环境保护验收意见：《年产25万吨商品混凝土生产线建设项目》执行了环境影响评价制度和环保“三同时”制度；工程建设过程中落实了批复提出的环保对策措施及要求；环保措施，环保投资落实到位。环保设施运行正常且达标排放，环保设施验收合格，该项目具备了建设项目竣工环境保护验收的条件，满足建设项目竣工环境保护验收的要求，验收组一致同意验收，见附件7。</w:t>
            </w:r>
          </w:p>
          <w:p w14:paraId="3F7CE122">
            <w:pPr>
              <w:spacing w:line="360" w:lineRule="auto"/>
              <w:ind w:firstLine="480"/>
              <w:rPr>
                <w:color w:val="auto"/>
                <w:kern w:val="0"/>
                <w:sz w:val="24"/>
                <w:lang w:bidi="ar"/>
              </w:rPr>
            </w:pPr>
            <w:r>
              <w:rPr>
                <w:rFonts w:hint="eastAsia"/>
                <w:color w:val="auto"/>
                <w:sz w:val="24"/>
              </w:rPr>
              <w:t>因公司发展需求，</w:t>
            </w:r>
            <w:r>
              <w:rPr>
                <w:color w:val="auto"/>
                <w:sz w:val="24"/>
              </w:rPr>
              <w:t>202</w:t>
            </w:r>
            <w:r>
              <w:rPr>
                <w:rFonts w:hint="eastAsia"/>
                <w:color w:val="auto"/>
                <w:sz w:val="24"/>
              </w:rPr>
              <w:t>4</w:t>
            </w:r>
            <w:r>
              <w:rPr>
                <w:color w:val="auto"/>
                <w:sz w:val="24"/>
              </w:rPr>
              <w:t>年1月，寻甸科宏建筑材料有限公司取得了寻甸回族彝族自治县发展和改革局核发的云南省固定资产投资项目备案证，项目代码为：2401-530129-04-01-498518。本次扩建计划扩建年产10万吨商品混凝土，扩建后公司计划达到年总产35万吨商品混凝土。</w:t>
            </w:r>
          </w:p>
          <w:p w14:paraId="79A0F94B">
            <w:pPr>
              <w:spacing w:line="360" w:lineRule="auto"/>
              <w:ind w:firstLine="480"/>
              <w:rPr>
                <w:b/>
                <w:color w:val="auto"/>
                <w:sz w:val="24"/>
              </w:rPr>
            </w:pPr>
            <w:r>
              <w:rPr>
                <w:color w:val="auto"/>
                <w:kern w:val="0"/>
                <w:sz w:val="24"/>
                <w:lang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color w:val="auto"/>
                <w:sz w:val="24"/>
              </w:rPr>
              <w:t>第二十七项“非金属矿物制品业”第55条“石膏、水泥制品及类似制品制造302”中的“商品混凝土”</w:t>
            </w:r>
            <w:r>
              <w:rPr>
                <w:color w:val="auto"/>
                <w:kern w:val="0"/>
                <w:sz w:val="24"/>
                <w:lang w:bidi="ar"/>
              </w:rPr>
              <w:t>，需编制环境影响评价报告表。为此，</w:t>
            </w:r>
            <w:r>
              <w:rPr>
                <w:color w:val="auto"/>
                <w:sz w:val="24"/>
              </w:rPr>
              <w:t>寻甸科宏建筑材料有限公司</w:t>
            </w:r>
            <w:r>
              <w:rPr>
                <w:color w:val="auto"/>
                <w:kern w:val="0"/>
                <w:sz w:val="24"/>
                <w:lang w:bidi="ar"/>
              </w:rPr>
              <w:t>委托</w:t>
            </w:r>
            <w:r>
              <w:rPr>
                <w:rFonts w:hint="eastAsia"/>
                <w:color w:val="auto"/>
                <w:kern w:val="0"/>
                <w:sz w:val="24"/>
                <w:lang w:bidi="ar"/>
              </w:rPr>
              <w:t>云南清蓝源环保科技有限公司</w:t>
            </w:r>
            <w:r>
              <w:rPr>
                <w:color w:val="auto"/>
                <w:kern w:val="0"/>
                <w:sz w:val="24"/>
                <w:lang w:bidi="ar"/>
              </w:rPr>
              <w:t>承担该项目的环境影响报告表编制工作（委托书见附件1）。我单位接受委托后，根据国家建设项目环境管理</w:t>
            </w:r>
            <w:r>
              <w:rPr>
                <w:color w:val="auto"/>
                <w:sz w:val="24"/>
              </w:rPr>
              <w:t>的有关规定，对项目建设地周围环境状况进行了实地调查，收集及核实了当地有关环境资料，按照环境影响评价有关技术规范编制了《年产10万吨商品混凝土生产线扩建项目环境影响报告表》，供建设单位上报审批。</w:t>
            </w:r>
          </w:p>
          <w:p w14:paraId="285281F5">
            <w:pPr>
              <w:pStyle w:val="19"/>
              <w:tabs>
                <w:tab w:val="center" w:pos="4360"/>
              </w:tabs>
              <w:spacing w:line="360" w:lineRule="auto"/>
              <w:ind w:firstLine="482"/>
              <w:rPr>
                <w:color w:val="auto"/>
                <w:sz w:val="24"/>
              </w:rPr>
            </w:pPr>
            <w:r>
              <w:rPr>
                <w:b/>
                <w:color w:val="auto"/>
                <w:sz w:val="24"/>
              </w:rPr>
              <w:t>二、工程内容及规模</w:t>
            </w:r>
          </w:p>
          <w:p w14:paraId="20365001">
            <w:pPr>
              <w:pStyle w:val="26"/>
              <w:adjustRightInd w:val="0"/>
              <w:snapToGrid w:val="0"/>
              <w:spacing w:line="360" w:lineRule="auto"/>
              <w:ind w:firstLine="482"/>
              <w:rPr>
                <w:rFonts w:ascii="Times New Roman" w:hAnsi="Times New Roman"/>
                <w:b/>
                <w:color w:val="auto"/>
                <w:sz w:val="24"/>
              </w:rPr>
            </w:pPr>
            <w:r>
              <w:rPr>
                <w:rFonts w:ascii="Times New Roman" w:hAnsi="Times New Roman"/>
                <w:b/>
                <w:color w:val="auto"/>
                <w:sz w:val="24"/>
              </w:rPr>
              <w:t>1、</w:t>
            </w:r>
            <w:r>
              <w:rPr>
                <w:rFonts w:hint="eastAsia" w:ascii="Times New Roman" w:hAnsi="Times New Roman"/>
                <w:b/>
                <w:color w:val="auto"/>
                <w:sz w:val="24"/>
              </w:rPr>
              <w:t>改扩建</w:t>
            </w:r>
            <w:r>
              <w:rPr>
                <w:rFonts w:ascii="Times New Roman" w:hAnsi="Times New Roman"/>
                <w:b/>
                <w:color w:val="auto"/>
                <w:sz w:val="24"/>
              </w:rPr>
              <w:t>项目建设内容及规模</w:t>
            </w:r>
          </w:p>
          <w:p w14:paraId="0FD92DBB">
            <w:pPr>
              <w:spacing w:line="360" w:lineRule="auto"/>
              <w:ind w:firstLine="480"/>
              <w:rPr>
                <w:rFonts w:hint="default" w:ascii="Times New Roman" w:hAnsi="Times New Roman" w:cs="Times New Roman"/>
                <w:color w:val="auto"/>
                <w:sz w:val="24"/>
              </w:rPr>
            </w:pPr>
            <w:r>
              <w:rPr>
                <w:color w:val="auto"/>
                <w:sz w:val="24"/>
              </w:rPr>
              <w:t>本次扩建项目在原项目已建生产车间内</w:t>
            </w:r>
            <w:r>
              <w:rPr>
                <w:rFonts w:hint="default" w:ascii="Times New Roman" w:hAnsi="Times New Roman" w:cs="Times New Roman"/>
                <w:color w:val="auto"/>
                <w:sz w:val="24"/>
              </w:rPr>
              <w:t>闲置区域建设，原项目占地10005平方米，共建有</w:t>
            </w:r>
            <w:r>
              <w:rPr>
                <w:rFonts w:hint="default" w:ascii="Times New Roman" w:hAnsi="Times New Roman" w:cs="Times New Roman" w:eastAsiaTheme="majorEastAsia"/>
                <w:color w:val="auto"/>
                <w:sz w:val="24"/>
              </w:rPr>
              <w:t>搅拌线筒库数量为4个，其中水泥仓</w:t>
            </w:r>
            <w:r>
              <w:rPr>
                <w:rFonts w:hint="eastAsia" w:cs="Times New Roman" w:eastAsiaTheme="majorEastAsia"/>
                <w:color w:val="auto"/>
                <w:sz w:val="24"/>
                <w:lang w:val="en-US" w:eastAsia="zh-CN"/>
              </w:rPr>
              <w:t>2</w:t>
            </w:r>
            <w:r>
              <w:rPr>
                <w:rFonts w:hint="default" w:ascii="Times New Roman" w:hAnsi="Times New Roman" w:cs="Times New Roman" w:eastAsiaTheme="majorEastAsia"/>
                <w:color w:val="auto"/>
                <w:sz w:val="24"/>
              </w:rPr>
              <w:t>个，粉煤灰仓1个、</w:t>
            </w:r>
            <w:r>
              <w:rPr>
                <w:rFonts w:hint="eastAsia" w:cs="Times New Roman" w:eastAsiaTheme="majorEastAsia"/>
                <w:color w:val="auto"/>
                <w:sz w:val="24"/>
                <w:lang w:val="en-US" w:eastAsia="zh-CN"/>
              </w:rPr>
              <w:t>矿粉仓1个，</w:t>
            </w:r>
            <w:r>
              <w:rPr>
                <w:rFonts w:hint="default" w:ascii="Times New Roman" w:hAnsi="Times New Roman" w:cs="Times New Roman" w:eastAsiaTheme="majorEastAsia"/>
                <w:color w:val="auto"/>
                <w:sz w:val="24"/>
              </w:rPr>
              <w:t>砂石料</w:t>
            </w:r>
            <w:r>
              <w:rPr>
                <w:rFonts w:hint="eastAsia" w:cs="Times New Roman" w:eastAsiaTheme="majorEastAsia"/>
                <w:color w:val="auto"/>
                <w:sz w:val="24"/>
                <w:lang w:val="en-US" w:eastAsia="zh-CN"/>
              </w:rPr>
              <w:t>车间</w:t>
            </w:r>
            <w:r>
              <w:rPr>
                <w:rFonts w:hint="default" w:ascii="Times New Roman" w:hAnsi="Times New Roman" w:cs="Times New Roman" w:eastAsiaTheme="majorEastAsia"/>
                <w:color w:val="auto"/>
                <w:sz w:val="24"/>
              </w:rPr>
              <w:t>、洗车场、职工宿舍、食堂及办公用房</w:t>
            </w:r>
            <w:r>
              <w:rPr>
                <w:rFonts w:hint="default" w:ascii="Times New Roman" w:hAnsi="Times New Roman" w:cs="Times New Roman"/>
                <w:color w:val="auto"/>
                <w:sz w:val="24"/>
              </w:rPr>
              <w:t>，配套建设公用工程及部分环保工程（隔油池、化粪池、废水收集沟、沉淀池）。</w:t>
            </w:r>
          </w:p>
          <w:p w14:paraId="2009D686">
            <w:pPr>
              <w:widowControl/>
              <w:adjustRightInd w:val="0"/>
              <w:snapToGrid w:val="0"/>
              <w:spacing w:line="360" w:lineRule="auto"/>
              <w:ind w:firstLine="480"/>
              <w:rPr>
                <w:color w:val="auto"/>
                <w:sz w:val="24"/>
              </w:rPr>
            </w:pPr>
            <w:r>
              <w:rPr>
                <w:rFonts w:hint="default" w:ascii="Times New Roman" w:hAnsi="Times New Roman" w:cs="Times New Roman"/>
                <w:color w:val="auto"/>
                <w:sz w:val="24"/>
              </w:rPr>
              <w:t>本次扩建生产线位于现有</w:t>
            </w:r>
            <w:r>
              <w:rPr>
                <w:rFonts w:hint="eastAsia" w:cs="Times New Roman"/>
                <w:color w:val="auto"/>
                <w:sz w:val="24"/>
                <w:lang w:val="en-US" w:eastAsia="zh-CN"/>
              </w:rPr>
              <w:t>工程的东侧</w:t>
            </w:r>
            <w:r>
              <w:rPr>
                <w:rFonts w:hint="default" w:ascii="Times New Roman" w:hAnsi="Times New Roman" w:cs="Times New Roman"/>
                <w:color w:val="auto"/>
                <w:sz w:val="24"/>
              </w:rPr>
              <w:t>，项目总投资500万元，扩建面积为</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00平方米，扩建一条年产10万吨商品混凝土生产线（搅拌线筒库4个，其中水泥仓2个、粉煤灰仓1个、矿粉1个），新增</w:t>
            </w:r>
            <w:r>
              <w:rPr>
                <w:rFonts w:hint="eastAsia" w:ascii="Times New Roman" w:hAnsi="Times New Roman" w:cs="Times New Roman"/>
                <w:color w:val="auto"/>
                <w:sz w:val="24"/>
                <w:lang w:val="en-US" w:eastAsia="zh-CN"/>
              </w:rPr>
              <w:t>搅拌站100m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600</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vertAlign w:val="superscript"/>
                <w:lang w:val="en-US" w:eastAsia="zh-CN"/>
              </w:rPr>
              <w:t>2</w:t>
            </w:r>
            <w:r>
              <w:rPr>
                <w:color w:val="auto"/>
                <w:sz w:val="24"/>
              </w:rPr>
              <w:t>堆料仓、200</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vertAlign w:val="superscript"/>
                <w:lang w:val="en-US" w:eastAsia="zh-CN"/>
              </w:rPr>
              <w:t>2</w:t>
            </w:r>
            <w:r>
              <w:rPr>
                <w:color w:val="auto"/>
                <w:sz w:val="24"/>
              </w:rPr>
              <w:t>制砂车间</w:t>
            </w:r>
            <w:r>
              <w:rPr>
                <w:rFonts w:hint="eastAsia"/>
                <w:color w:val="auto"/>
                <w:sz w:val="24"/>
              </w:rPr>
              <w:t>，</w:t>
            </w:r>
            <w:r>
              <w:rPr>
                <w:color w:val="auto"/>
                <w:sz w:val="24"/>
              </w:rPr>
              <w:t>本项目主要建设内容见表2-1。</w:t>
            </w:r>
          </w:p>
          <w:p w14:paraId="5C0FCF43">
            <w:pPr>
              <w:widowControl/>
              <w:adjustRightInd w:val="0"/>
              <w:snapToGrid w:val="0"/>
              <w:spacing w:line="360" w:lineRule="auto"/>
              <w:ind w:firstLine="482"/>
              <w:rPr>
                <w:b/>
                <w:bCs/>
                <w:color w:val="auto"/>
                <w:sz w:val="24"/>
              </w:rPr>
            </w:pPr>
            <w:r>
              <w:rPr>
                <w:rFonts w:hint="eastAsia"/>
                <w:b/>
                <w:bCs/>
                <w:color w:val="auto"/>
                <w:sz w:val="24"/>
              </w:rPr>
              <w:t>截止目前为止，本扩建项目原料仓三面围挡、</w:t>
            </w:r>
            <w:r>
              <w:rPr>
                <w:b/>
                <w:bCs/>
                <w:color w:val="auto"/>
                <w:sz w:val="24"/>
              </w:rPr>
              <w:t>水泥筒仓</w:t>
            </w:r>
            <w:r>
              <w:rPr>
                <w:rFonts w:hint="eastAsia"/>
                <w:b/>
                <w:bCs/>
                <w:color w:val="auto"/>
                <w:sz w:val="24"/>
              </w:rPr>
              <w:t>、</w:t>
            </w:r>
            <w:r>
              <w:rPr>
                <w:b/>
                <w:bCs/>
                <w:color w:val="auto"/>
                <w:sz w:val="24"/>
              </w:rPr>
              <w:t>粉煤灰筒仓</w:t>
            </w:r>
            <w:r>
              <w:rPr>
                <w:rFonts w:hint="eastAsia"/>
                <w:b/>
                <w:bCs/>
                <w:color w:val="auto"/>
                <w:sz w:val="24"/>
              </w:rPr>
              <w:t>、</w:t>
            </w:r>
            <w:r>
              <w:rPr>
                <w:b/>
                <w:bCs/>
                <w:color w:val="auto"/>
                <w:sz w:val="24"/>
              </w:rPr>
              <w:t>矿粉筒仓</w:t>
            </w:r>
            <w:r>
              <w:rPr>
                <w:rFonts w:hint="eastAsia"/>
                <w:b/>
                <w:bCs/>
                <w:color w:val="auto"/>
                <w:sz w:val="24"/>
              </w:rPr>
              <w:t>及</w:t>
            </w:r>
            <w:r>
              <w:rPr>
                <w:b/>
                <w:bCs/>
                <w:color w:val="auto"/>
                <w:sz w:val="24"/>
              </w:rPr>
              <w:t>破碎制砂车间</w:t>
            </w:r>
            <w:r>
              <w:rPr>
                <w:rFonts w:hint="eastAsia"/>
                <w:b/>
                <w:bCs/>
                <w:color w:val="auto"/>
                <w:sz w:val="24"/>
              </w:rPr>
              <w:t>均已</w:t>
            </w:r>
            <w:r>
              <w:rPr>
                <w:rFonts w:hint="eastAsia"/>
                <w:b/>
                <w:bCs/>
                <w:color w:val="auto"/>
                <w:sz w:val="24"/>
                <w:lang w:val="en-US" w:eastAsia="zh-CN"/>
              </w:rPr>
              <w:t>建设</w:t>
            </w:r>
            <w:r>
              <w:rPr>
                <w:rFonts w:hint="eastAsia"/>
                <w:b/>
                <w:bCs/>
                <w:color w:val="auto"/>
                <w:sz w:val="24"/>
              </w:rPr>
              <w:t>安装完成</w:t>
            </w:r>
            <w:r>
              <w:rPr>
                <w:rFonts w:hint="eastAsia"/>
                <w:b/>
                <w:bCs/>
                <w:color w:val="auto"/>
                <w:sz w:val="24"/>
                <w:lang w:eastAsia="zh-CN"/>
              </w:rPr>
              <w:t>；</w:t>
            </w:r>
            <w:r>
              <w:rPr>
                <w:rFonts w:hint="eastAsia"/>
                <w:b/>
                <w:bCs/>
                <w:color w:val="auto"/>
                <w:sz w:val="24"/>
                <w:lang w:val="en-US" w:eastAsia="zh-CN"/>
              </w:rPr>
              <w:t>目前危废暂存间未建设，其余工程均已建设完成</w:t>
            </w:r>
            <w:r>
              <w:rPr>
                <w:rFonts w:hint="eastAsia"/>
                <w:b/>
                <w:bCs/>
                <w:color w:val="auto"/>
                <w:sz w:val="24"/>
              </w:rPr>
              <w:t>。</w:t>
            </w:r>
          </w:p>
          <w:p w14:paraId="201A255D">
            <w:pPr>
              <w:adjustRightInd w:val="0"/>
              <w:snapToGrid w:val="0"/>
              <w:ind w:firstLine="422"/>
              <w:jc w:val="center"/>
              <w:rPr>
                <w:color w:val="auto"/>
              </w:rPr>
            </w:pPr>
            <w:r>
              <w:rPr>
                <w:b/>
                <w:bCs/>
                <w:color w:val="auto"/>
                <w:szCs w:val="21"/>
              </w:rPr>
              <w:t>表2-1   本项目组成一览表</w:t>
            </w:r>
          </w:p>
          <w:tbl>
            <w:tblPr>
              <w:tblStyle w:val="3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829"/>
              <w:gridCol w:w="14"/>
              <w:gridCol w:w="900"/>
              <w:gridCol w:w="3683"/>
              <w:gridCol w:w="1461"/>
            </w:tblGrid>
            <w:tr w14:paraId="007E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4" w:type="pct"/>
                  <w:gridSpan w:val="4"/>
                  <w:vAlign w:val="center"/>
                </w:tcPr>
                <w:p w14:paraId="0F72116F">
                  <w:pPr>
                    <w:pStyle w:val="26"/>
                    <w:ind w:firstLine="0" w:firstLineChars="0"/>
                    <w:jc w:val="center"/>
                    <w:rPr>
                      <w:rFonts w:ascii="Times New Roman" w:hAnsi="Times New Roman"/>
                      <w:color w:val="auto"/>
                      <w:sz w:val="24"/>
                    </w:rPr>
                  </w:pPr>
                  <w:r>
                    <w:rPr>
                      <w:rFonts w:ascii="Times New Roman" w:hAnsi="Times New Roman"/>
                      <w:b/>
                      <w:bCs/>
                      <w:color w:val="auto"/>
                    </w:rPr>
                    <w:t>项目</w:t>
                  </w:r>
                </w:p>
              </w:tc>
              <w:tc>
                <w:tcPr>
                  <w:tcW w:w="2316" w:type="pct"/>
                  <w:vAlign w:val="center"/>
                </w:tcPr>
                <w:p w14:paraId="3B62D923">
                  <w:pPr>
                    <w:pStyle w:val="26"/>
                    <w:ind w:firstLine="0" w:firstLineChars="0"/>
                    <w:jc w:val="center"/>
                    <w:rPr>
                      <w:rFonts w:ascii="Times New Roman" w:hAnsi="Times New Roman"/>
                      <w:color w:val="auto"/>
                      <w:sz w:val="24"/>
                    </w:rPr>
                  </w:pPr>
                  <w:r>
                    <w:rPr>
                      <w:rFonts w:ascii="Times New Roman" w:hAnsi="Times New Roman"/>
                      <w:b/>
                      <w:color w:val="auto"/>
                      <w:szCs w:val="21"/>
                    </w:rPr>
                    <w:t>建设内容及规模</w:t>
                  </w:r>
                </w:p>
              </w:tc>
              <w:tc>
                <w:tcPr>
                  <w:tcW w:w="918" w:type="pct"/>
                  <w:vAlign w:val="center"/>
                </w:tcPr>
                <w:p w14:paraId="179D3B7E">
                  <w:pPr>
                    <w:pStyle w:val="26"/>
                    <w:ind w:firstLine="0" w:firstLineChars="0"/>
                    <w:jc w:val="center"/>
                    <w:rPr>
                      <w:rFonts w:ascii="Times New Roman" w:hAnsi="Times New Roman"/>
                      <w:color w:val="auto"/>
                      <w:sz w:val="24"/>
                    </w:rPr>
                  </w:pPr>
                  <w:r>
                    <w:rPr>
                      <w:rFonts w:ascii="Times New Roman" w:hAnsi="Times New Roman"/>
                      <w:b/>
                      <w:color w:val="auto"/>
                      <w:szCs w:val="21"/>
                    </w:rPr>
                    <w:t>备注</w:t>
                  </w:r>
                </w:p>
              </w:tc>
            </w:tr>
            <w:tr w14:paraId="7C62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restart"/>
                  <w:vAlign w:val="center"/>
                </w:tcPr>
                <w:p w14:paraId="76F2F33B">
                  <w:pPr>
                    <w:pStyle w:val="26"/>
                    <w:ind w:firstLine="0" w:firstLineChars="0"/>
                    <w:jc w:val="center"/>
                    <w:rPr>
                      <w:rFonts w:ascii="Times New Roman" w:hAnsi="Times New Roman"/>
                      <w:color w:val="auto"/>
                      <w:sz w:val="24"/>
                    </w:rPr>
                  </w:pPr>
                  <w:r>
                    <w:rPr>
                      <w:rFonts w:ascii="Times New Roman" w:hAnsi="Times New Roman"/>
                      <w:color w:val="auto"/>
                    </w:rPr>
                    <w:t>主体工程</w:t>
                  </w:r>
                </w:p>
              </w:tc>
              <w:tc>
                <w:tcPr>
                  <w:tcW w:w="530" w:type="pct"/>
                  <w:gridSpan w:val="2"/>
                  <w:vMerge w:val="restart"/>
                  <w:vAlign w:val="center"/>
                </w:tcPr>
                <w:p w14:paraId="7C6958D9">
                  <w:pPr>
                    <w:pStyle w:val="26"/>
                    <w:ind w:firstLine="0" w:firstLineChars="0"/>
                    <w:jc w:val="center"/>
                    <w:rPr>
                      <w:rFonts w:ascii="Times New Roman" w:hAnsi="Times New Roman" w:eastAsia="Times New Roman"/>
                      <w:color w:val="auto"/>
                      <w:szCs w:val="21"/>
                    </w:rPr>
                  </w:pPr>
                  <w:r>
                    <w:rPr>
                      <w:rFonts w:hint="eastAsia" w:ascii="Times New Roman" w:hAnsi="Times New Roman" w:eastAsia="Times New Roman"/>
                      <w:color w:val="auto"/>
                      <w:szCs w:val="21"/>
                    </w:rPr>
                    <w:t>10万t</w:t>
                  </w:r>
                  <w:r>
                    <w:rPr>
                      <w:rFonts w:ascii="Times New Roman" w:hAnsi="Times New Roman" w:eastAsia="Times New Roman"/>
                      <w:color w:val="auto"/>
                      <w:szCs w:val="21"/>
                    </w:rPr>
                    <w:t>商品混凝土生产线（搅拌筒库4个）</w:t>
                  </w:r>
                </w:p>
              </w:tc>
              <w:tc>
                <w:tcPr>
                  <w:tcW w:w="565" w:type="pct"/>
                  <w:vAlign w:val="center"/>
                </w:tcPr>
                <w:p w14:paraId="56590E4D">
                  <w:pPr>
                    <w:pStyle w:val="95"/>
                    <w:spacing w:line="240" w:lineRule="auto"/>
                    <w:ind w:firstLine="0" w:firstLineChars="0"/>
                    <w:rPr>
                      <w:rFonts w:hint="eastAsia" w:ascii="Times New Roman" w:eastAsia="宋体"/>
                      <w:color w:val="auto"/>
                      <w:kern w:val="2"/>
                      <w:sz w:val="21"/>
                      <w:szCs w:val="21"/>
                      <w:lang w:val="en-US" w:eastAsia="zh-CN"/>
                    </w:rPr>
                  </w:pPr>
                  <w:r>
                    <w:rPr>
                      <w:rFonts w:hint="eastAsia" w:ascii="Times New Roman" w:eastAsia="Times New Roman"/>
                      <w:color w:val="auto"/>
                      <w:kern w:val="2"/>
                      <w:sz w:val="21"/>
                      <w:szCs w:val="21"/>
                    </w:rPr>
                    <w:t>拌合</w:t>
                  </w:r>
                  <w:r>
                    <w:rPr>
                      <w:rFonts w:hint="eastAsia" w:ascii="Times New Roman" w:eastAsia="宋体"/>
                      <w:color w:val="auto"/>
                      <w:kern w:val="2"/>
                      <w:sz w:val="21"/>
                      <w:szCs w:val="21"/>
                      <w:lang w:val="en-US" w:eastAsia="zh-CN"/>
                    </w:rPr>
                    <w:t>设备</w:t>
                  </w:r>
                </w:p>
              </w:tc>
              <w:tc>
                <w:tcPr>
                  <w:tcW w:w="2316" w:type="pct"/>
                  <w:vAlign w:val="center"/>
                </w:tcPr>
                <w:p w14:paraId="2F33C906">
                  <w:pPr>
                    <w:pStyle w:val="95"/>
                    <w:spacing w:line="240" w:lineRule="auto"/>
                    <w:ind w:firstLine="0" w:firstLineChars="0"/>
                    <w:jc w:val="left"/>
                    <w:rPr>
                      <w:rFonts w:ascii="Times New Roman" w:eastAsia="Times New Roman"/>
                      <w:color w:val="auto"/>
                      <w:kern w:val="2"/>
                      <w:sz w:val="21"/>
                      <w:szCs w:val="21"/>
                    </w:rPr>
                  </w:pPr>
                  <w:r>
                    <w:rPr>
                      <w:rFonts w:hint="eastAsia" w:ascii="Times New Roman" w:eastAsia="宋体"/>
                      <w:color w:val="auto"/>
                      <w:kern w:val="2"/>
                      <w:sz w:val="21"/>
                      <w:szCs w:val="21"/>
                      <w:lang w:val="en-US" w:eastAsia="zh-CN"/>
                    </w:rPr>
                    <w:t>新建</w:t>
                  </w:r>
                  <w:r>
                    <w:rPr>
                      <w:rFonts w:hint="eastAsia" w:ascii="Times New Roman" w:eastAsia="Times New Roman"/>
                      <w:color w:val="auto"/>
                      <w:kern w:val="2"/>
                      <w:sz w:val="21"/>
                      <w:szCs w:val="21"/>
                    </w:rPr>
                    <w:t>拌合</w:t>
                  </w:r>
                  <w:r>
                    <w:rPr>
                      <w:rFonts w:hint="eastAsia" w:ascii="Times New Roman" w:eastAsia="宋体"/>
                      <w:color w:val="auto"/>
                      <w:kern w:val="2"/>
                      <w:sz w:val="21"/>
                      <w:szCs w:val="21"/>
                      <w:lang w:val="en-US" w:eastAsia="zh-CN"/>
                    </w:rPr>
                    <w:t>设备</w:t>
                  </w:r>
                  <w:r>
                    <w:rPr>
                      <w:rFonts w:ascii="Times New Roman" w:eastAsia="Times New Roman"/>
                      <w:color w:val="auto"/>
                      <w:kern w:val="2"/>
                      <w:sz w:val="21"/>
                      <w:szCs w:val="21"/>
                    </w:rPr>
                    <w:t>建筑面积</w:t>
                  </w:r>
                  <w:r>
                    <w:rPr>
                      <w:rFonts w:hint="eastAsia" w:ascii="Times New Roman" w:eastAsia="宋体"/>
                      <w:color w:val="auto"/>
                      <w:kern w:val="2"/>
                      <w:sz w:val="21"/>
                      <w:szCs w:val="21"/>
                      <w:lang w:val="en-US" w:eastAsia="zh-CN"/>
                    </w:rPr>
                    <w:t>100</w:t>
                  </w:r>
                  <w:r>
                    <w:rPr>
                      <w:rFonts w:ascii="Times New Roman" w:eastAsia="Times New Roman"/>
                      <w:color w:val="auto"/>
                      <w:kern w:val="2"/>
                      <w:sz w:val="21"/>
                      <w:szCs w:val="21"/>
                    </w:rPr>
                    <w:t>m</w:t>
                  </w:r>
                  <w:r>
                    <w:rPr>
                      <w:rFonts w:ascii="Times New Roman" w:eastAsia="Times New Roman"/>
                      <w:color w:val="auto"/>
                      <w:kern w:val="2"/>
                      <w:sz w:val="21"/>
                      <w:szCs w:val="21"/>
                      <w:vertAlign w:val="superscript"/>
                    </w:rPr>
                    <w:t>2</w:t>
                  </w:r>
                  <w:r>
                    <w:rPr>
                      <w:rFonts w:hint="eastAsia" w:ascii="Times New Roman" w:eastAsia="宋体"/>
                      <w:color w:val="auto"/>
                      <w:kern w:val="2"/>
                      <w:sz w:val="21"/>
                      <w:szCs w:val="21"/>
                      <w:lang w:eastAsia="zh-CN"/>
                    </w:rPr>
                    <w:t>（</w:t>
                  </w:r>
                  <w:r>
                    <w:rPr>
                      <w:rFonts w:hint="eastAsia" w:ascii="Times New Roman" w:eastAsia="宋体"/>
                      <w:color w:val="auto"/>
                      <w:kern w:val="2"/>
                      <w:sz w:val="21"/>
                      <w:szCs w:val="21"/>
                      <w:lang w:val="en-US" w:eastAsia="zh-CN"/>
                    </w:rPr>
                    <w:t>包含：</w:t>
                  </w:r>
                  <w:r>
                    <w:rPr>
                      <w:rFonts w:ascii="Times New Roman" w:eastAsia="Times New Roman"/>
                      <w:color w:val="auto"/>
                      <w:kern w:val="2"/>
                      <w:sz w:val="21"/>
                      <w:szCs w:val="21"/>
                    </w:rPr>
                    <w:t>配套品控楼</w:t>
                  </w:r>
                  <w:r>
                    <w:rPr>
                      <w:rFonts w:hint="eastAsia" w:ascii="Times New Roman" w:eastAsia="宋体"/>
                      <w:color w:val="auto"/>
                      <w:kern w:val="2"/>
                      <w:sz w:val="21"/>
                      <w:szCs w:val="21"/>
                      <w:lang w:eastAsia="zh-CN"/>
                    </w:rPr>
                    <w:t>、</w:t>
                  </w:r>
                  <w:r>
                    <w:rPr>
                      <w:rFonts w:hint="eastAsia" w:ascii="Times New Roman" w:eastAsia="宋体"/>
                      <w:color w:val="auto"/>
                      <w:kern w:val="2"/>
                      <w:sz w:val="21"/>
                      <w:szCs w:val="21"/>
                      <w:lang w:val="en-US" w:eastAsia="zh-CN"/>
                    </w:rPr>
                    <w:t>水泥、粉煤灰、矿粉筒仓</w:t>
                  </w:r>
                  <w:r>
                    <w:rPr>
                      <w:rFonts w:hint="eastAsia" w:ascii="Times New Roman" w:eastAsia="宋体"/>
                      <w:color w:val="auto"/>
                      <w:kern w:val="2"/>
                      <w:sz w:val="21"/>
                      <w:szCs w:val="21"/>
                      <w:lang w:eastAsia="zh-CN"/>
                    </w:rPr>
                    <w:t>）</w:t>
                  </w:r>
                  <w:r>
                    <w:rPr>
                      <w:rFonts w:ascii="Times New Roman" w:eastAsia="Times New Roman"/>
                      <w:color w:val="auto"/>
                      <w:kern w:val="2"/>
                      <w:sz w:val="21"/>
                      <w:szCs w:val="21"/>
                    </w:rPr>
                    <w:t>，设置1条HZS</w:t>
                  </w:r>
                  <w:r>
                    <w:rPr>
                      <w:rFonts w:hint="eastAsia" w:ascii="Times New Roman" w:eastAsia="宋体"/>
                      <w:color w:val="auto"/>
                      <w:kern w:val="2"/>
                      <w:sz w:val="21"/>
                      <w:szCs w:val="21"/>
                      <w:lang w:val="en-US" w:eastAsia="zh-CN"/>
                    </w:rPr>
                    <w:t>120</w:t>
                  </w:r>
                  <w:r>
                    <w:rPr>
                      <w:rFonts w:hint="eastAsia" w:ascii="Times New Roman"/>
                      <w:color w:val="auto"/>
                      <w:kern w:val="2"/>
                      <w:sz w:val="21"/>
                      <w:szCs w:val="21"/>
                      <w:lang w:val="en-US" w:eastAsia="zh-CN"/>
                    </w:rPr>
                    <w:t>搅拌站</w:t>
                  </w:r>
                  <w:r>
                    <w:rPr>
                      <w:rFonts w:ascii="Times New Roman" w:eastAsia="Times New Roman"/>
                      <w:color w:val="auto"/>
                      <w:kern w:val="2"/>
                      <w:sz w:val="21"/>
                      <w:szCs w:val="21"/>
                    </w:rPr>
                    <w:t>型生产线。</w:t>
                  </w:r>
                </w:p>
              </w:tc>
              <w:tc>
                <w:tcPr>
                  <w:tcW w:w="918" w:type="pct"/>
                  <w:vAlign w:val="center"/>
                </w:tcPr>
                <w:p w14:paraId="7FF40565">
                  <w:pPr>
                    <w:pStyle w:val="26"/>
                    <w:ind w:firstLine="0" w:firstLineChars="0"/>
                    <w:jc w:val="center"/>
                    <w:rPr>
                      <w:rFonts w:ascii="Times New Roman" w:hAnsi="Times New Roman" w:eastAsia="Times New Roman"/>
                      <w:color w:val="auto"/>
                      <w:szCs w:val="21"/>
                    </w:rPr>
                  </w:pPr>
                  <w:r>
                    <w:rPr>
                      <w:rFonts w:hint="eastAsia" w:ascii="Times New Roman" w:hAnsi="Times New Roman" w:eastAsia="宋体"/>
                      <w:color w:val="auto"/>
                      <w:szCs w:val="21"/>
                      <w:lang w:val="en-US" w:eastAsia="zh-CN"/>
                    </w:rPr>
                    <w:t>新增</w:t>
                  </w:r>
                </w:p>
              </w:tc>
            </w:tr>
            <w:tr w14:paraId="6E74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70667F4C">
                  <w:pPr>
                    <w:pStyle w:val="26"/>
                    <w:ind w:firstLine="0" w:firstLineChars="0"/>
                    <w:jc w:val="center"/>
                    <w:rPr>
                      <w:rFonts w:ascii="Times New Roman" w:hAnsi="Times New Roman"/>
                      <w:color w:val="auto"/>
                      <w:sz w:val="24"/>
                    </w:rPr>
                  </w:pPr>
                </w:p>
              </w:tc>
              <w:tc>
                <w:tcPr>
                  <w:tcW w:w="530" w:type="pct"/>
                  <w:gridSpan w:val="2"/>
                  <w:vMerge w:val="continue"/>
                  <w:vAlign w:val="center"/>
                </w:tcPr>
                <w:p w14:paraId="08792382">
                  <w:pPr>
                    <w:pStyle w:val="26"/>
                    <w:ind w:firstLine="0" w:firstLineChars="0"/>
                    <w:jc w:val="center"/>
                    <w:rPr>
                      <w:rFonts w:ascii="Times New Roman" w:hAnsi="Times New Roman" w:eastAsia="Times New Roman"/>
                      <w:color w:val="auto"/>
                      <w:szCs w:val="21"/>
                    </w:rPr>
                  </w:pPr>
                </w:p>
              </w:tc>
              <w:tc>
                <w:tcPr>
                  <w:tcW w:w="565" w:type="pct"/>
                  <w:vAlign w:val="center"/>
                </w:tcPr>
                <w:p w14:paraId="25369DB6">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水泥筒仓2个</w:t>
                  </w:r>
                </w:p>
              </w:tc>
              <w:tc>
                <w:tcPr>
                  <w:tcW w:w="2316" w:type="pct"/>
                  <w:vAlign w:val="center"/>
                </w:tcPr>
                <w:p w14:paraId="2479625F">
                  <w:pPr>
                    <w:pStyle w:val="26"/>
                    <w:ind w:firstLine="0" w:firstLineChars="0"/>
                    <w:jc w:val="left"/>
                    <w:rPr>
                      <w:rFonts w:ascii="Times New Roman" w:hAnsi="Times New Roman" w:eastAsia="Times New Roman"/>
                      <w:color w:val="auto"/>
                      <w:szCs w:val="21"/>
                    </w:rPr>
                  </w:pPr>
                  <w:r>
                    <w:rPr>
                      <w:rFonts w:hint="eastAsia" w:ascii="Times New Roman" w:hAnsi="Times New Roman" w:eastAsia="Times New Roman"/>
                      <w:color w:val="auto"/>
                      <w:szCs w:val="21"/>
                    </w:rPr>
                    <w:t>5</w:t>
                  </w:r>
                  <w:r>
                    <w:rPr>
                      <w:rFonts w:ascii="Times New Roman" w:hAnsi="Times New Roman" w:eastAsia="Times New Roman"/>
                      <w:color w:val="auto"/>
                      <w:szCs w:val="21"/>
                    </w:rPr>
                    <w:t>#、</w:t>
                  </w:r>
                  <w:r>
                    <w:rPr>
                      <w:rFonts w:hint="eastAsia" w:ascii="Times New Roman" w:hAnsi="Times New Roman" w:eastAsia="Times New Roman"/>
                      <w:color w:val="auto"/>
                      <w:szCs w:val="21"/>
                    </w:rPr>
                    <w:t>6</w:t>
                  </w:r>
                  <w:r>
                    <w:rPr>
                      <w:rFonts w:ascii="Times New Roman" w:hAnsi="Times New Roman" w:eastAsia="Times New Roman"/>
                      <w:color w:val="auto"/>
                      <w:szCs w:val="21"/>
                    </w:rPr>
                    <w:t>#筒仓为水泥筒仓，紧邻</w:t>
                  </w:r>
                  <w:r>
                    <w:rPr>
                      <w:rFonts w:hint="eastAsia" w:ascii="Times New Roman" w:hAnsi="Times New Roman" w:eastAsia="Times New Roman"/>
                      <w:color w:val="auto"/>
                      <w:szCs w:val="21"/>
                    </w:rPr>
                    <w:t>25万t</w:t>
                  </w:r>
                  <w:r>
                    <w:rPr>
                      <w:rFonts w:ascii="Times New Roman" w:hAnsi="Times New Roman" w:eastAsia="Times New Roman"/>
                      <w:color w:val="auto"/>
                      <w:szCs w:val="21"/>
                    </w:rPr>
                    <w:t>商品混凝土生产线，每个容量为200t，高度均为15米。</w:t>
                  </w:r>
                </w:p>
              </w:tc>
              <w:tc>
                <w:tcPr>
                  <w:tcW w:w="918" w:type="pct"/>
                  <w:vAlign w:val="center"/>
                </w:tcPr>
                <w:p w14:paraId="1694F2B1">
                  <w:pPr>
                    <w:pStyle w:val="26"/>
                    <w:ind w:firstLine="0" w:firstLineChars="0"/>
                    <w:jc w:val="center"/>
                    <w:rPr>
                      <w:rFonts w:ascii="Times New Roman" w:hAnsi="Times New Roman" w:eastAsia="Times New Roman"/>
                      <w:color w:val="auto"/>
                      <w:szCs w:val="21"/>
                    </w:rPr>
                  </w:pPr>
                  <w:r>
                    <w:rPr>
                      <w:rFonts w:hint="eastAsia" w:ascii="Times New Roman" w:hAnsi="Times New Roman" w:eastAsia="Times New Roman"/>
                      <w:color w:val="auto"/>
                      <w:szCs w:val="21"/>
                    </w:rPr>
                    <w:t>新增</w:t>
                  </w:r>
                </w:p>
              </w:tc>
            </w:tr>
            <w:tr w14:paraId="66E0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474003CA">
                  <w:pPr>
                    <w:pStyle w:val="26"/>
                    <w:ind w:firstLine="0" w:firstLineChars="0"/>
                    <w:jc w:val="center"/>
                    <w:rPr>
                      <w:rFonts w:ascii="Times New Roman" w:hAnsi="Times New Roman"/>
                      <w:color w:val="auto"/>
                      <w:sz w:val="24"/>
                    </w:rPr>
                  </w:pPr>
                </w:p>
              </w:tc>
              <w:tc>
                <w:tcPr>
                  <w:tcW w:w="530" w:type="pct"/>
                  <w:gridSpan w:val="2"/>
                  <w:vMerge w:val="continue"/>
                  <w:vAlign w:val="center"/>
                </w:tcPr>
                <w:p w14:paraId="21302D31">
                  <w:pPr>
                    <w:pStyle w:val="26"/>
                    <w:ind w:firstLine="0" w:firstLineChars="0"/>
                    <w:jc w:val="center"/>
                    <w:rPr>
                      <w:rFonts w:ascii="Times New Roman" w:hAnsi="Times New Roman" w:eastAsia="Times New Roman"/>
                      <w:color w:val="auto"/>
                      <w:szCs w:val="21"/>
                    </w:rPr>
                  </w:pPr>
                </w:p>
              </w:tc>
              <w:tc>
                <w:tcPr>
                  <w:tcW w:w="565" w:type="pct"/>
                  <w:vAlign w:val="center"/>
                </w:tcPr>
                <w:p w14:paraId="100A7F84">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粉煤灰筒仓1个</w:t>
                  </w:r>
                </w:p>
              </w:tc>
              <w:tc>
                <w:tcPr>
                  <w:tcW w:w="2316" w:type="pct"/>
                  <w:vAlign w:val="center"/>
                </w:tcPr>
                <w:p w14:paraId="4F826664">
                  <w:pPr>
                    <w:pStyle w:val="26"/>
                    <w:ind w:firstLine="0" w:firstLineChars="0"/>
                    <w:jc w:val="left"/>
                    <w:rPr>
                      <w:rFonts w:ascii="Times New Roman" w:hAnsi="Times New Roman" w:eastAsia="Times New Roman"/>
                      <w:color w:val="auto"/>
                      <w:szCs w:val="21"/>
                    </w:rPr>
                  </w:pPr>
                  <w:r>
                    <w:rPr>
                      <w:rFonts w:hint="eastAsia" w:ascii="Times New Roman" w:hAnsi="Times New Roman" w:eastAsia="Times New Roman"/>
                      <w:color w:val="auto"/>
                      <w:szCs w:val="21"/>
                    </w:rPr>
                    <w:t>7</w:t>
                  </w:r>
                  <w:r>
                    <w:rPr>
                      <w:rFonts w:ascii="Times New Roman" w:hAnsi="Times New Roman" w:eastAsia="Times New Roman"/>
                      <w:color w:val="auto"/>
                      <w:szCs w:val="21"/>
                    </w:rPr>
                    <w:t>#筒仓为粉煤灰筒仓，紧邻</w:t>
                  </w:r>
                  <w:r>
                    <w:rPr>
                      <w:rFonts w:hint="eastAsia" w:ascii="Times New Roman" w:hAnsi="Times New Roman" w:eastAsia="Times New Roman"/>
                      <w:color w:val="auto"/>
                      <w:szCs w:val="21"/>
                    </w:rPr>
                    <w:t>25万t</w:t>
                  </w:r>
                  <w:r>
                    <w:rPr>
                      <w:rFonts w:ascii="Times New Roman" w:hAnsi="Times New Roman" w:eastAsia="Times New Roman"/>
                      <w:color w:val="auto"/>
                      <w:szCs w:val="21"/>
                    </w:rPr>
                    <w:t>商品混凝土生产线东北侧，容量为200t，高度15米。</w:t>
                  </w:r>
                </w:p>
              </w:tc>
              <w:tc>
                <w:tcPr>
                  <w:tcW w:w="918" w:type="pct"/>
                  <w:vAlign w:val="center"/>
                </w:tcPr>
                <w:p w14:paraId="6A0BB699">
                  <w:pPr>
                    <w:pStyle w:val="26"/>
                    <w:ind w:firstLine="0" w:firstLineChars="0"/>
                    <w:jc w:val="center"/>
                    <w:rPr>
                      <w:rFonts w:ascii="Times New Roman" w:hAnsi="Times New Roman" w:eastAsia="Times New Roman"/>
                      <w:color w:val="auto"/>
                      <w:szCs w:val="21"/>
                    </w:rPr>
                  </w:pPr>
                  <w:r>
                    <w:rPr>
                      <w:rFonts w:hint="eastAsia" w:ascii="Times New Roman" w:hAnsi="Times New Roman" w:eastAsia="Times New Roman"/>
                      <w:color w:val="auto"/>
                      <w:szCs w:val="21"/>
                    </w:rPr>
                    <w:t>新增</w:t>
                  </w:r>
                </w:p>
              </w:tc>
            </w:tr>
            <w:tr w14:paraId="44CE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47EAD498">
                  <w:pPr>
                    <w:pStyle w:val="26"/>
                    <w:ind w:firstLine="0" w:firstLineChars="0"/>
                    <w:jc w:val="center"/>
                    <w:rPr>
                      <w:rFonts w:ascii="Times New Roman" w:hAnsi="Times New Roman"/>
                      <w:color w:val="auto"/>
                      <w:sz w:val="24"/>
                    </w:rPr>
                  </w:pPr>
                </w:p>
              </w:tc>
              <w:tc>
                <w:tcPr>
                  <w:tcW w:w="530" w:type="pct"/>
                  <w:gridSpan w:val="2"/>
                  <w:vMerge w:val="continue"/>
                  <w:vAlign w:val="center"/>
                </w:tcPr>
                <w:p w14:paraId="7E311AE6">
                  <w:pPr>
                    <w:pStyle w:val="26"/>
                    <w:ind w:firstLine="0" w:firstLineChars="0"/>
                    <w:jc w:val="center"/>
                    <w:rPr>
                      <w:rFonts w:ascii="Times New Roman" w:hAnsi="Times New Roman" w:eastAsia="Times New Roman"/>
                      <w:color w:val="auto"/>
                      <w:szCs w:val="21"/>
                    </w:rPr>
                  </w:pPr>
                </w:p>
              </w:tc>
              <w:tc>
                <w:tcPr>
                  <w:tcW w:w="565" w:type="pct"/>
                  <w:vAlign w:val="center"/>
                </w:tcPr>
                <w:p w14:paraId="6988972F">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矿粉筒仓1个</w:t>
                  </w:r>
                </w:p>
              </w:tc>
              <w:tc>
                <w:tcPr>
                  <w:tcW w:w="2316" w:type="pct"/>
                  <w:vAlign w:val="center"/>
                </w:tcPr>
                <w:p w14:paraId="4FFF7B8F">
                  <w:pPr>
                    <w:pStyle w:val="26"/>
                    <w:ind w:firstLine="0" w:firstLineChars="0"/>
                    <w:jc w:val="left"/>
                    <w:rPr>
                      <w:rFonts w:ascii="Times New Roman" w:hAnsi="Times New Roman" w:eastAsia="Times New Roman"/>
                      <w:color w:val="auto"/>
                      <w:szCs w:val="21"/>
                    </w:rPr>
                  </w:pPr>
                  <w:r>
                    <w:rPr>
                      <w:rFonts w:hint="eastAsia" w:ascii="Times New Roman" w:hAnsi="Times New Roman" w:eastAsia="Times New Roman"/>
                      <w:color w:val="auto"/>
                      <w:szCs w:val="21"/>
                    </w:rPr>
                    <w:t>8</w:t>
                  </w:r>
                  <w:r>
                    <w:rPr>
                      <w:rFonts w:ascii="Times New Roman" w:hAnsi="Times New Roman" w:eastAsia="Times New Roman"/>
                      <w:color w:val="auto"/>
                      <w:szCs w:val="21"/>
                    </w:rPr>
                    <w:t>#筒仓为矿粉筒仓，紧邻</w:t>
                  </w:r>
                  <w:r>
                    <w:rPr>
                      <w:rFonts w:hint="eastAsia" w:ascii="Times New Roman" w:hAnsi="Times New Roman" w:eastAsia="Times New Roman"/>
                      <w:color w:val="auto"/>
                      <w:szCs w:val="21"/>
                    </w:rPr>
                    <w:t>25万t</w:t>
                  </w:r>
                  <w:r>
                    <w:rPr>
                      <w:rFonts w:ascii="Times New Roman" w:hAnsi="Times New Roman" w:eastAsia="Times New Roman"/>
                      <w:color w:val="auto"/>
                      <w:szCs w:val="21"/>
                    </w:rPr>
                    <w:t>商品混凝土生产线东侧，容量为200t，高度15米。</w:t>
                  </w:r>
                </w:p>
              </w:tc>
              <w:tc>
                <w:tcPr>
                  <w:tcW w:w="918" w:type="pct"/>
                  <w:vAlign w:val="center"/>
                </w:tcPr>
                <w:p w14:paraId="6270A556">
                  <w:pPr>
                    <w:pStyle w:val="26"/>
                    <w:ind w:firstLine="0" w:firstLineChars="0"/>
                    <w:jc w:val="center"/>
                    <w:rPr>
                      <w:rFonts w:ascii="Times New Roman" w:hAnsi="Times New Roman" w:eastAsia="Times New Roman"/>
                      <w:color w:val="auto"/>
                      <w:szCs w:val="21"/>
                    </w:rPr>
                  </w:pPr>
                  <w:r>
                    <w:rPr>
                      <w:rFonts w:hint="eastAsia" w:ascii="Times New Roman" w:hAnsi="Times New Roman" w:eastAsia="Times New Roman"/>
                      <w:color w:val="auto"/>
                      <w:szCs w:val="21"/>
                    </w:rPr>
                    <w:t>新增</w:t>
                  </w:r>
                </w:p>
              </w:tc>
            </w:tr>
            <w:tr w14:paraId="24D4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3B0D411E">
                  <w:pPr>
                    <w:pStyle w:val="26"/>
                    <w:ind w:firstLine="0" w:firstLineChars="0"/>
                    <w:jc w:val="center"/>
                    <w:rPr>
                      <w:rFonts w:ascii="Times New Roman" w:hAnsi="Times New Roman"/>
                      <w:color w:val="auto"/>
                      <w:sz w:val="24"/>
                    </w:rPr>
                  </w:pPr>
                </w:p>
              </w:tc>
              <w:tc>
                <w:tcPr>
                  <w:tcW w:w="1096" w:type="pct"/>
                  <w:gridSpan w:val="3"/>
                  <w:vAlign w:val="center"/>
                </w:tcPr>
                <w:p w14:paraId="6F698E48">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堆料仓库</w:t>
                  </w:r>
                </w:p>
              </w:tc>
              <w:tc>
                <w:tcPr>
                  <w:tcW w:w="2316" w:type="pct"/>
                  <w:vAlign w:val="center"/>
                </w:tcPr>
                <w:p w14:paraId="0FD53C74">
                  <w:pPr>
                    <w:pStyle w:val="26"/>
                    <w:ind w:firstLine="0" w:firstLineChars="0"/>
                    <w:jc w:val="left"/>
                    <w:rPr>
                      <w:rFonts w:ascii="Times New Roman" w:hAnsi="Times New Roman" w:eastAsia="Times New Roman"/>
                      <w:color w:val="auto"/>
                      <w:szCs w:val="21"/>
                    </w:rPr>
                  </w:pPr>
                  <w:r>
                    <w:rPr>
                      <w:rFonts w:ascii="Times New Roman" w:hAnsi="Times New Roman" w:eastAsia="Times New Roman"/>
                      <w:color w:val="auto"/>
                      <w:szCs w:val="21"/>
                    </w:rPr>
                    <w:t>场地东北部为堆料仓库用彩钢瓦进行整体封闭，仅将进出物料口设置为敞开式，占地面积</w:t>
                  </w:r>
                  <w:r>
                    <w:rPr>
                      <w:rFonts w:hint="eastAsia" w:ascii="Times New Roman" w:hAnsi="Times New Roman" w:eastAsia="Times New Roman"/>
                      <w:color w:val="auto"/>
                      <w:szCs w:val="21"/>
                    </w:rPr>
                    <w:t>2100</w:t>
                  </w:r>
                  <w:r>
                    <w:rPr>
                      <w:rFonts w:ascii="Times New Roman" w:hAnsi="Times New Roman" w:eastAsia="Times New Roman"/>
                      <w:color w:val="auto"/>
                      <w:szCs w:val="21"/>
                    </w:rPr>
                    <w:t>m</w:t>
                  </w:r>
                  <w:r>
                    <w:rPr>
                      <w:rFonts w:ascii="Times New Roman" w:hAnsi="Times New Roman" w:eastAsia="Times New Roman"/>
                      <w:color w:val="auto"/>
                      <w:szCs w:val="21"/>
                      <w:vertAlign w:val="superscript"/>
                    </w:rPr>
                    <w:t>2</w:t>
                  </w:r>
                  <w:r>
                    <w:rPr>
                      <w:rFonts w:ascii="Times New Roman" w:hAnsi="Times New Roman" w:eastAsia="Times New Roman"/>
                      <w:color w:val="auto"/>
                      <w:szCs w:val="21"/>
                    </w:rPr>
                    <w:t>。</w:t>
                  </w:r>
                </w:p>
              </w:tc>
              <w:tc>
                <w:tcPr>
                  <w:tcW w:w="918" w:type="pct"/>
                  <w:vAlign w:val="center"/>
                </w:tcPr>
                <w:p w14:paraId="1CC2D009">
                  <w:pPr>
                    <w:pStyle w:val="26"/>
                    <w:ind w:firstLine="0" w:firstLineChars="0"/>
                    <w:jc w:val="center"/>
                    <w:rPr>
                      <w:rFonts w:ascii="Times New Roman" w:hAnsi="Times New Roman" w:eastAsia="Times New Roman"/>
                      <w:color w:val="auto"/>
                      <w:szCs w:val="21"/>
                      <w:vertAlign w:val="superscript"/>
                    </w:rPr>
                  </w:pPr>
                  <w:r>
                    <w:rPr>
                      <w:rFonts w:hint="eastAsia" w:ascii="Times New Roman" w:hAnsi="Times New Roman" w:eastAsia="Times New Roman"/>
                      <w:color w:val="auto"/>
                      <w:szCs w:val="21"/>
                    </w:rPr>
                    <w:t>其中1500m</w:t>
                  </w:r>
                  <w:r>
                    <w:rPr>
                      <w:rFonts w:hint="eastAsia" w:ascii="Times New Roman" w:hAnsi="Times New Roman" w:eastAsia="Times New Roman"/>
                      <w:color w:val="auto"/>
                      <w:szCs w:val="21"/>
                      <w:vertAlign w:val="superscript"/>
                    </w:rPr>
                    <w:t>2</w:t>
                  </w:r>
                  <w:r>
                    <w:rPr>
                      <w:rFonts w:hint="eastAsia" w:ascii="Times New Roman" w:hAnsi="Times New Roman" w:eastAsia="Times New Roman"/>
                      <w:color w:val="auto"/>
                      <w:szCs w:val="21"/>
                    </w:rPr>
                    <w:t>为现有项目已建堆料仓库，600m</w:t>
                  </w:r>
                  <w:r>
                    <w:rPr>
                      <w:rFonts w:hint="eastAsia" w:ascii="Times New Roman" w:hAnsi="Times New Roman" w:eastAsia="Times New Roman"/>
                      <w:color w:val="auto"/>
                      <w:szCs w:val="21"/>
                      <w:vertAlign w:val="superscript"/>
                    </w:rPr>
                    <w:t>2</w:t>
                  </w:r>
                  <w:r>
                    <w:rPr>
                      <w:rFonts w:hint="eastAsia" w:ascii="Times New Roman" w:hAnsi="Times New Roman" w:eastAsia="Times New Roman"/>
                      <w:color w:val="auto"/>
                      <w:szCs w:val="21"/>
                    </w:rPr>
                    <w:t>为新建堆料仓库。</w:t>
                  </w:r>
                </w:p>
              </w:tc>
            </w:tr>
            <w:tr w14:paraId="1FB0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3A6BA92E">
                  <w:pPr>
                    <w:pStyle w:val="26"/>
                    <w:ind w:firstLine="0" w:firstLineChars="0"/>
                    <w:jc w:val="center"/>
                    <w:rPr>
                      <w:rFonts w:ascii="Times New Roman" w:hAnsi="Times New Roman"/>
                      <w:color w:val="auto"/>
                      <w:sz w:val="24"/>
                    </w:rPr>
                  </w:pPr>
                </w:p>
              </w:tc>
              <w:tc>
                <w:tcPr>
                  <w:tcW w:w="1096" w:type="pct"/>
                  <w:gridSpan w:val="3"/>
                  <w:vAlign w:val="center"/>
                </w:tcPr>
                <w:p w14:paraId="379FB229">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破碎制砂车间</w:t>
                  </w:r>
                </w:p>
              </w:tc>
              <w:tc>
                <w:tcPr>
                  <w:tcW w:w="2316" w:type="pct"/>
                  <w:vAlign w:val="center"/>
                </w:tcPr>
                <w:p w14:paraId="2B55F49F">
                  <w:pPr>
                    <w:pStyle w:val="26"/>
                    <w:ind w:firstLine="0" w:firstLineChars="0"/>
                    <w:jc w:val="left"/>
                    <w:rPr>
                      <w:rFonts w:hint="eastAsia" w:ascii="Times New Roman" w:hAnsi="Times New Roman" w:eastAsia="宋体"/>
                      <w:color w:val="auto"/>
                      <w:szCs w:val="21"/>
                      <w:lang w:eastAsia="zh-CN"/>
                    </w:rPr>
                  </w:pPr>
                  <w:r>
                    <w:rPr>
                      <w:rFonts w:ascii="Times New Roman" w:hAnsi="Times New Roman" w:eastAsia="Times New Roman"/>
                      <w:color w:val="auto"/>
                      <w:szCs w:val="21"/>
                    </w:rPr>
                    <w:t>场地东北部为破碎制砂车间用彩钢瓦进行整体封闭，占地面积200m</w:t>
                  </w:r>
                  <w:r>
                    <w:rPr>
                      <w:rFonts w:ascii="Times New Roman" w:hAnsi="Times New Roman" w:eastAsia="Times New Roman"/>
                      <w:color w:val="auto"/>
                      <w:szCs w:val="21"/>
                      <w:vertAlign w:val="superscript"/>
                    </w:rPr>
                    <w:t>2</w:t>
                  </w:r>
                  <w:r>
                    <w:rPr>
                      <w:rFonts w:ascii="Times New Roman" w:hAnsi="Times New Roman" w:eastAsia="Times New Roman"/>
                      <w:color w:val="auto"/>
                      <w:szCs w:val="21"/>
                    </w:rPr>
                    <w:t>。</w:t>
                  </w:r>
                  <w:r>
                    <w:rPr>
                      <w:rFonts w:hint="eastAsia" w:ascii="Times New Roman" w:hAnsi="Times New Roman" w:eastAsia="Times New Roman"/>
                      <w:color w:val="auto"/>
                      <w:szCs w:val="21"/>
                    </w:rPr>
                    <w:t>设置打砂机1台、振动筛1台。</w:t>
                  </w:r>
                </w:p>
              </w:tc>
              <w:tc>
                <w:tcPr>
                  <w:tcW w:w="918" w:type="pct"/>
                  <w:vAlign w:val="center"/>
                </w:tcPr>
                <w:p w14:paraId="0F25980C">
                  <w:pPr>
                    <w:pStyle w:val="26"/>
                    <w:ind w:firstLine="0" w:firstLineChars="0"/>
                    <w:jc w:val="center"/>
                    <w:rPr>
                      <w:rFonts w:ascii="Times New Roman" w:hAnsi="Times New Roman" w:eastAsia="Times New Roman"/>
                      <w:color w:val="auto"/>
                      <w:szCs w:val="21"/>
                    </w:rPr>
                  </w:pPr>
                  <w:r>
                    <w:rPr>
                      <w:rFonts w:hint="eastAsia" w:ascii="Times New Roman" w:hAnsi="Times New Roman" w:eastAsia="Times New Roman"/>
                      <w:color w:val="auto"/>
                      <w:szCs w:val="21"/>
                    </w:rPr>
                    <w:t>新增</w:t>
                  </w:r>
                </w:p>
              </w:tc>
            </w:tr>
            <w:tr w14:paraId="656B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restart"/>
                  <w:vAlign w:val="center"/>
                </w:tcPr>
                <w:p w14:paraId="41089205">
                  <w:pPr>
                    <w:pStyle w:val="26"/>
                    <w:ind w:firstLine="0" w:firstLineChars="0"/>
                    <w:jc w:val="center"/>
                    <w:rPr>
                      <w:rFonts w:ascii="Times New Roman" w:hAnsi="Times New Roman"/>
                      <w:color w:val="auto"/>
                      <w:kern w:val="0"/>
                      <w:szCs w:val="21"/>
                    </w:rPr>
                  </w:pPr>
                  <w:r>
                    <w:rPr>
                      <w:rFonts w:ascii="Times New Roman" w:hAnsi="Times New Roman"/>
                      <w:color w:val="auto"/>
                      <w:kern w:val="0"/>
                      <w:szCs w:val="21"/>
                    </w:rPr>
                    <w:t>辅助工程</w:t>
                  </w:r>
                </w:p>
              </w:tc>
              <w:tc>
                <w:tcPr>
                  <w:tcW w:w="1096" w:type="pct"/>
                  <w:gridSpan w:val="3"/>
                  <w:vAlign w:val="center"/>
                </w:tcPr>
                <w:p w14:paraId="1326CE18">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综合住房楼</w:t>
                  </w:r>
                </w:p>
              </w:tc>
              <w:tc>
                <w:tcPr>
                  <w:tcW w:w="2316" w:type="pct"/>
                  <w:vAlign w:val="center"/>
                </w:tcPr>
                <w:p w14:paraId="5530F74F">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原项目已建1栋2层的砖混结构综合楼和1栋2层的彩钢瓦结构住宿楼位于项目地块西部，总建筑面积为2000m</w:t>
                  </w:r>
                  <w:r>
                    <w:rPr>
                      <w:rFonts w:ascii="Times New Roman" w:eastAsia="Times New Roman"/>
                      <w:color w:val="auto"/>
                      <w:kern w:val="2"/>
                      <w:sz w:val="21"/>
                      <w:szCs w:val="21"/>
                      <w:vertAlign w:val="superscript"/>
                    </w:rPr>
                    <w:t>2</w:t>
                  </w:r>
                  <w:r>
                    <w:rPr>
                      <w:rFonts w:ascii="Times New Roman" w:eastAsia="Times New Roman"/>
                      <w:color w:val="auto"/>
                      <w:kern w:val="2"/>
                      <w:sz w:val="21"/>
                      <w:szCs w:val="21"/>
                    </w:rPr>
                    <w:t>，高度为12.1m；综合楼主要为办公室</w:t>
                  </w:r>
                  <w:r>
                    <w:rPr>
                      <w:rFonts w:hint="eastAsia" w:ascii="Times New Roman" w:eastAsia="宋体"/>
                      <w:color w:val="auto"/>
                      <w:kern w:val="2"/>
                      <w:sz w:val="21"/>
                      <w:szCs w:val="21"/>
                      <w:lang w:eastAsia="zh-CN"/>
                    </w:rPr>
                    <w:t>、</w:t>
                  </w:r>
                  <w:r>
                    <w:rPr>
                      <w:rFonts w:hint="eastAsia" w:ascii="Times New Roman" w:eastAsia="宋体"/>
                      <w:color w:val="auto"/>
                      <w:kern w:val="2"/>
                      <w:sz w:val="21"/>
                      <w:szCs w:val="21"/>
                      <w:lang w:val="en-US" w:eastAsia="zh-CN"/>
                    </w:rPr>
                    <w:t>检验室</w:t>
                  </w:r>
                  <w:r>
                    <w:rPr>
                      <w:rFonts w:ascii="Times New Roman" w:eastAsia="Times New Roman"/>
                      <w:color w:val="auto"/>
                      <w:kern w:val="2"/>
                      <w:sz w:val="21"/>
                      <w:szCs w:val="21"/>
                    </w:rPr>
                    <w:t>，住宿楼包含宿舍、食堂。</w:t>
                  </w:r>
                </w:p>
              </w:tc>
              <w:tc>
                <w:tcPr>
                  <w:tcW w:w="918" w:type="pct"/>
                  <w:vMerge w:val="restart"/>
                  <w:vAlign w:val="center"/>
                </w:tcPr>
                <w:p w14:paraId="56383AF9">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依托</w:t>
                  </w:r>
                  <w:r>
                    <w:rPr>
                      <w:rFonts w:hint="eastAsia" w:ascii="Times New Roman" w:hAnsi="Times New Roman" w:eastAsia="Times New Roman"/>
                      <w:color w:val="auto"/>
                      <w:szCs w:val="21"/>
                    </w:rPr>
                    <w:t>现有</w:t>
                  </w:r>
                  <w:r>
                    <w:rPr>
                      <w:rFonts w:ascii="Times New Roman" w:hAnsi="Times New Roman" w:eastAsia="Times New Roman"/>
                      <w:color w:val="auto"/>
                      <w:szCs w:val="21"/>
                    </w:rPr>
                    <w:t>项目已建综合楼和住宿楼</w:t>
                  </w:r>
                  <w:r>
                    <w:rPr>
                      <w:rFonts w:hint="eastAsia" w:ascii="Times New Roman" w:hAnsi="Times New Roman" w:eastAsia="Times New Roman"/>
                      <w:color w:val="auto"/>
                      <w:szCs w:val="21"/>
                    </w:rPr>
                    <w:t>。</w:t>
                  </w:r>
                </w:p>
              </w:tc>
            </w:tr>
            <w:tr w14:paraId="3751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52546601">
                  <w:pPr>
                    <w:pStyle w:val="26"/>
                    <w:ind w:firstLine="0" w:firstLineChars="0"/>
                    <w:jc w:val="center"/>
                    <w:rPr>
                      <w:rFonts w:ascii="Times New Roman" w:hAnsi="Times New Roman"/>
                      <w:color w:val="auto"/>
                      <w:kern w:val="0"/>
                      <w:szCs w:val="21"/>
                    </w:rPr>
                  </w:pPr>
                </w:p>
              </w:tc>
              <w:tc>
                <w:tcPr>
                  <w:tcW w:w="1096" w:type="pct"/>
                  <w:gridSpan w:val="3"/>
                  <w:vAlign w:val="center"/>
                </w:tcPr>
                <w:p w14:paraId="7F350384">
                  <w:pPr>
                    <w:pStyle w:val="95"/>
                    <w:spacing w:line="240" w:lineRule="auto"/>
                    <w:ind w:firstLine="0" w:firstLineChars="0"/>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检验室</w:t>
                  </w:r>
                </w:p>
              </w:tc>
              <w:tc>
                <w:tcPr>
                  <w:tcW w:w="2316" w:type="pct"/>
                  <w:vAlign w:val="center"/>
                </w:tcPr>
                <w:p w14:paraId="0B5944CC">
                  <w:pPr>
                    <w:pStyle w:val="95"/>
                    <w:spacing w:line="240" w:lineRule="auto"/>
                    <w:ind w:firstLine="0" w:firstLineChars="0"/>
                    <w:jc w:val="left"/>
                    <w:rPr>
                      <w:rFonts w:hint="default" w:ascii="Times New Roman" w:eastAsia="宋体"/>
                      <w:color w:val="auto"/>
                      <w:kern w:val="2"/>
                      <w:sz w:val="21"/>
                      <w:szCs w:val="21"/>
                      <w:vertAlign w:val="baseline"/>
                      <w:lang w:val="en-US" w:eastAsia="zh-CN"/>
                    </w:rPr>
                  </w:pPr>
                  <w:r>
                    <w:rPr>
                      <w:rFonts w:hint="eastAsia" w:ascii="Times New Roman" w:eastAsia="宋体"/>
                      <w:color w:val="auto"/>
                      <w:kern w:val="2"/>
                      <w:sz w:val="21"/>
                      <w:szCs w:val="21"/>
                      <w:lang w:val="en-US" w:eastAsia="zh-CN"/>
                    </w:rPr>
                    <w:t>位于办公楼旁，1F，占地面积150m</w:t>
                  </w:r>
                  <w:r>
                    <w:rPr>
                      <w:rFonts w:hint="eastAsia" w:ascii="Times New Roman" w:eastAsia="宋体"/>
                      <w:color w:val="auto"/>
                      <w:kern w:val="2"/>
                      <w:sz w:val="21"/>
                      <w:szCs w:val="21"/>
                      <w:vertAlign w:val="superscript"/>
                      <w:lang w:val="en-US" w:eastAsia="zh-CN"/>
                    </w:rPr>
                    <w:t>2</w:t>
                  </w:r>
                  <w:r>
                    <w:rPr>
                      <w:rFonts w:hint="eastAsia" w:ascii="Times New Roman" w:eastAsia="宋体"/>
                      <w:color w:val="auto"/>
                      <w:kern w:val="2"/>
                      <w:sz w:val="21"/>
                      <w:szCs w:val="21"/>
                      <w:vertAlign w:val="baseline"/>
                      <w:lang w:val="en-US" w:eastAsia="zh-CN"/>
                    </w:rPr>
                    <w:t>，主要用于产品适配成型、力学试验、水泥试验、留样等，为彩钢瓦结构。</w:t>
                  </w:r>
                </w:p>
              </w:tc>
              <w:tc>
                <w:tcPr>
                  <w:tcW w:w="918" w:type="pct"/>
                  <w:vMerge w:val="continue"/>
                  <w:vAlign w:val="center"/>
                </w:tcPr>
                <w:p w14:paraId="4F521F94">
                  <w:pPr>
                    <w:pStyle w:val="26"/>
                    <w:ind w:firstLine="0" w:firstLineChars="0"/>
                    <w:jc w:val="center"/>
                    <w:rPr>
                      <w:rFonts w:ascii="Times New Roman" w:hAnsi="Times New Roman" w:eastAsia="Times New Roman"/>
                      <w:color w:val="auto"/>
                      <w:szCs w:val="21"/>
                    </w:rPr>
                  </w:pPr>
                </w:p>
              </w:tc>
            </w:tr>
            <w:tr w14:paraId="3B6A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68" w:type="pct"/>
                  <w:vMerge w:val="continue"/>
                  <w:vAlign w:val="center"/>
                </w:tcPr>
                <w:p w14:paraId="66FCE1D4">
                  <w:pPr>
                    <w:pStyle w:val="26"/>
                    <w:ind w:firstLine="0" w:firstLineChars="0"/>
                    <w:jc w:val="center"/>
                    <w:rPr>
                      <w:rFonts w:ascii="Times New Roman" w:hAnsi="Times New Roman"/>
                      <w:color w:val="auto"/>
                      <w:kern w:val="0"/>
                      <w:szCs w:val="21"/>
                    </w:rPr>
                  </w:pPr>
                </w:p>
              </w:tc>
              <w:tc>
                <w:tcPr>
                  <w:tcW w:w="1096" w:type="pct"/>
                  <w:gridSpan w:val="3"/>
                  <w:vAlign w:val="center"/>
                </w:tcPr>
                <w:p w14:paraId="00974629">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办公楼</w:t>
                  </w:r>
                </w:p>
              </w:tc>
              <w:tc>
                <w:tcPr>
                  <w:tcW w:w="2316" w:type="pct"/>
                  <w:vAlign w:val="center"/>
                </w:tcPr>
                <w:p w14:paraId="70E675D1">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位于综合楼的1F，</w:t>
                  </w:r>
                  <w:r>
                    <w:rPr>
                      <w:rFonts w:hint="eastAsia" w:ascii="Times New Roman" w:eastAsia="宋体"/>
                      <w:color w:val="auto"/>
                      <w:kern w:val="2"/>
                      <w:sz w:val="21"/>
                      <w:szCs w:val="21"/>
                      <w:lang w:val="en-US" w:eastAsia="zh-CN"/>
                    </w:rPr>
                    <w:t>面积约300m</w:t>
                  </w:r>
                  <w:r>
                    <w:rPr>
                      <w:rFonts w:hint="eastAsia" w:ascii="Times New Roman" w:eastAsia="宋体"/>
                      <w:color w:val="auto"/>
                      <w:kern w:val="2"/>
                      <w:sz w:val="21"/>
                      <w:szCs w:val="21"/>
                      <w:vertAlign w:val="superscript"/>
                      <w:lang w:val="en-US" w:eastAsia="zh-CN"/>
                    </w:rPr>
                    <w:t>2</w:t>
                  </w:r>
                  <w:r>
                    <w:rPr>
                      <w:rFonts w:hint="eastAsia" w:ascii="Times New Roman" w:eastAsia="宋体"/>
                      <w:color w:val="auto"/>
                      <w:kern w:val="2"/>
                      <w:sz w:val="21"/>
                      <w:szCs w:val="21"/>
                      <w:vertAlign w:val="baseline"/>
                      <w:lang w:val="en-US" w:eastAsia="zh-CN"/>
                    </w:rPr>
                    <w:t>，</w:t>
                  </w:r>
                  <w:r>
                    <w:rPr>
                      <w:rFonts w:ascii="Times New Roman" w:eastAsia="Times New Roman"/>
                      <w:color w:val="auto"/>
                      <w:kern w:val="2"/>
                      <w:sz w:val="21"/>
                      <w:szCs w:val="21"/>
                    </w:rPr>
                    <w:t>主要作为办公及会议使用。</w:t>
                  </w:r>
                </w:p>
              </w:tc>
              <w:tc>
                <w:tcPr>
                  <w:tcW w:w="918" w:type="pct"/>
                  <w:vMerge w:val="continue"/>
                  <w:vAlign w:val="center"/>
                </w:tcPr>
                <w:p w14:paraId="244A8B26">
                  <w:pPr>
                    <w:pStyle w:val="26"/>
                    <w:ind w:firstLine="0" w:firstLineChars="0"/>
                    <w:jc w:val="center"/>
                    <w:rPr>
                      <w:rFonts w:ascii="Times New Roman" w:hAnsi="Times New Roman" w:eastAsia="Times New Roman"/>
                      <w:color w:val="auto"/>
                      <w:szCs w:val="21"/>
                    </w:rPr>
                  </w:pPr>
                </w:p>
              </w:tc>
            </w:tr>
            <w:tr w14:paraId="5D30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1D6BA2B7">
                  <w:pPr>
                    <w:pStyle w:val="26"/>
                    <w:ind w:firstLine="0" w:firstLineChars="0"/>
                    <w:jc w:val="center"/>
                    <w:rPr>
                      <w:rFonts w:ascii="Times New Roman" w:hAnsi="Times New Roman"/>
                      <w:color w:val="auto"/>
                      <w:kern w:val="0"/>
                      <w:szCs w:val="21"/>
                    </w:rPr>
                  </w:pPr>
                </w:p>
              </w:tc>
              <w:tc>
                <w:tcPr>
                  <w:tcW w:w="1096" w:type="pct"/>
                  <w:gridSpan w:val="3"/>
                  <w:vAlign w:val="center"/>
                </w:tcPr>
                <w:p w14:paraId="15D8E66F">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宿舍</w:t>
                  </w:r>
                </w:p>
              </w:tc>
              <w:tc>
                <w:tcPr>
                  <w:tcW w:w="2316" w:type="pct"/>
                  <w:vAlign w:val="center"/>
                </w:tcPr>
                <w:p w14:paraId="5BE7AB22">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位于综合楼1楼、住宿楼2层</w:t>
                  </w:r>
                  <w:r>
                    <w:rPr>
                      <w:rFonts w:hint="eastAsia" w:ascii="Times New Roman" w:eastAsia="宋体"/>
                      <w:color w:val="auto"/>
                      <w:kern w:val="2"/>
                      <w:sz w:val="21"/>
                      <w:szCs w:val="21"/>
                      <w:lang w:eastAsia="zh-CN"/>
                    </w:rPr>
                    <w:t>，</w:t>
                  </w:r>
                  <w:r>
                    <w:rPr>
                      <w:rFonts w:hint="eastAsia" w:ascii="Times New Roman" w:eastAsia="宋体"/>
                      <w:color w:val="auto"/>
                      <w:kern w:val="2"/>
                      <w:sz w:val="21"/>
                      <w:szCs w:val="21"/>
                      <w:lang w:val="en-US" w:eastAsia="zh-CN"/>
                    </w:rPr>
                    <w:t>面积约200m</w:t>
                  </w:r>
                  <w:r>
                    <w:rPr>
                      <w:rFonts w:hint="eastAsia" w:ascii="Times New Roman" w:eastAsia="宋体"/>
                      <w:color w:val="auto"/>
                      <w:kern w:val="2"/>
                      <w:sz w:val="21"/>
                      <w:szCs w:val="21"/>
                      <w:vertAlign w:val="superscript"/>
                      <w:lang w:val="en-US" w:eastAsia="zh-CN"/>
                    </w:rPr>
                    <w:t>2</w:t>
                  </w:r>
                  <w:r>
                    <w:rPr>
                      <w:rFonts w:hint="eastAsia" w:ascii="Times New Roman" w:eastAsia="宋体"/>
                      <w:color w:val="auto"/>
                      <w:kern w:val="2"/>
                      <w:sz w:val="21"/>
                      <w:szCs w:val="21"/>
                      <w:vertAlign w:val="baseline"/>
                      <w:lang w:val="en-US" w:eastAsia="zh-CN"/>
                    </w:rPr>
                    <w:t>，</w:t>
                  </w:r>
                  <w:r>
                    <w:rPr>
                      <w:rFonts w:ascii="Times New Roman" w:eastAsia="Times New Roman"/>
                      <w:color w:val="auto"/>
                      <w:kern w:val="2"/>
                      <w:sz w:val="21"/>
                      <w:szCs w:val="21"/>
                    </w:rPr>
                    <w:t>用于员工日常生活。</w:t>
                  </w:r>
                </w:p>
              </w:tc>
              <w:tc>
                <w:tcPr>
                  <w:tcW w:w="918" w:type="pct"/>
                  <w:vMerge w:val="continue"/>
                  <w:vAlign w:val="center"/>
                </w:tcPr>
                <w:p w14:paraId="646A1C58">
                  <w:pPr>
                    <w:pStyle w:val="26"/>
                    <w:ind w:firstLine="0" w:firstLineChars="0"/>
                    <w:jc w:val="center"/>
                    <w:rPr>
                      <w:rFonts w:ascii="Times New Roman" w:hAnsi="Times New Roman" w:eastAsia="Times New Roman"/>
                      <w:color w:val="auto"/>
                      <w:szCs w:val="21"/>
                    </w:rPr>
                  </w:pPr>
                </w:p>
              </w:tc>
            </w:tr>
            <w:tr w14:paraId="55EA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24999680">
                  <w:pPr>
                    <w:pStyle w:val="26"/>
                    <w:ind w:firstLine="0" w:firstLineChars="0"/>
                    <w:jc w:val="center"/>
                    <w:rPr>
                      <w:rFonts w:ascii="Times New Roman" w:hAnsi="Times New Roman"/>
                      <w:color w:val="auto"/>
                      <w:kern w:val="0"/>
                      <w:szCs w:val="21"/>
                    </w:rPr>
                  </w:pPr>
                </w:p>
              </w:tc>
              <w:tc>
                <w:tcPr>
                  <w:tcW w:w="1096" w:type="pct"/>
                  <w:gridSpan w:val="3"/>
                  <w:vAlign w:val="center"/>
                </w:tcPr>
                <w:p w14:paraId="105A0D47">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食堂</w:t>
                  </w:r>
                </w:p>
              </w:tc>
              <w:tc>
                <w:tcPr>
                  <w:tcW w:w="2316" w:type="pct"/>
                  <w:vAlign w:val="center"/>
                </w:tcPr>
                <w:p w14:paraId="46415DF0">
                  <w:pPr>
                    <w:pStyle w:val="95"/>
                    <w:spacing w:line="240" w:lineRule="auto"/>
                    <w:ind w:firstLine="0" w:firstLineChars="0"/>
                    <w:jc w:val="left"/>
                    <w:rPr>
                      <w:rFonts w:hint="default" w:ascii="Times New Roman" w:eastAsia="宋体"/>
                      <w:color w:val="auto"/>
                      <w:kern w:val="2"/>
                      <w:sz w:val="21"/>
                      <w:szCs w:val="21"/>
                      <w:lang w:val="en-US" w:eastAsia="zh-CN"/>
                    </w:rPr>
                  </w:pPr>
                  <w:r>
                    <w:rPr>
                      <w:rFonts w:ascii="Times New Roman" w:eastAsia="Times New Roman"/>
                      <w:color w:val="auto"/>
                      <w:kern w:val="2"/>
                      <w:sz w:val="21"/>
                      <w:szCs w:val="21"/>
                    </w:rPr>
                    <w:t>位于住宿楼1层</w:t>
                  </w:r>
                  <w:r>
                    <w:rPr>
                      <w:rFonts w:hint="eastAsia" w:ascii="Times New Roman" w:eastAsia="宋体"/>
                      <w:color w:val="auto"/>
                      <w:kern w:val="2"/>
                      <w:sz w:val="21"/>
                      <w:szCs w:val="21"/>
                      <w:lang w:eastAsia="zh-CN"/>
                    </w:rPr>
                    <w:t>，</w:t>
                  </w:r>
                  <w:r>
                    <w:rPr>
                      <w:rFonts w:hint="eastAsia" w:ascii="Times New Roman" w:eastAsia="宋体"/>
                      <w:color w:val="auto"/>
                      <w:kern w:val="2"/>
                      <w:sz w:val="21"/>
                      <w:szCs w:val="21"/>
                      <w:lang w:val="en-US" w:eastAsia="zh-CN"/>
                    </w:rPr>
                    <w:t>砖混结构，面积50m</w:t>
                  </w:r>
                  <w:r>
                    <w:rPr>
                      <w:rFonts w:hint="eastAsia" w:ascii="Times New Roman" w:eastAsia="宋体"/>
                      <w:color w:val="auto"/>
                      <w:kern w:val="2"/>
                      <w:sz w:val="21"/>
                      <w:szCs w:val="21"/>
                      <w:vertAlign w:val="superscript"/>
                      <w:lang w:val="en-US" w:eastAsia="zh-CN"/>
                    </w:rPr>
                    <w:t>2</w:t>
                  </w:r>
                  <w:r>
                    <w:rPr>
                      <w:rFonts w:hint="eastAsia" w:ascii="Times New Roman"/>
                      <w:color w:val="auto"/>
                      <w:kern w:val="2"/>
                      <w:sz w:val="21"/>
                      <w:szCs w:val="21"/>
                      <w:vertAlign w:val="baseline"/>
                      <w:lang w:val="en-US" w:eastAsia="zh-CN"/>
                    </w:rPr>
                    <w:t>。</w:t>
                  </w:r>
                </w:p>
              </w:tc>
              <w:tc>
                <w:tcPr>
                  <w:tcW w:w="918" w:type="pct"/>
                  <w:vMerge w:val="continue"/>
                  <w:vAlign w:val="center"/>
                </w:tcPr>
                <w:p w14:paraId="479D08EE">
                  <w:pPr>
                    <w:pStyle w:val="26"/>
                    <w:ind w:firstLine="0" w:firstLineChars="0"/>
                    <w:jc w:val="center"/>
                    <w:rPr>
                      <w:rFonts w:ascii="Times New Roman" w:hAnsi="Times New Roman" w:eastAsia="Times New Roman"/>
                      <w:color w:val="auto"/>
                      <w:szCs w:val="21"/>
                    </w:rPr>
                  </w:pPr>
                </w:p>
              </w:tc>
            </w:tr>
            <w:tr w14:paraId="5353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53140987">
                  <w:pPr>
                    <w:pStyle w:val="26"/>
                    <w:ind w:firstLine="0" w:firstLineChars="0"/>
                    <w:jc w:val="center"/>
                    <w:rPr>
                      <w:rFonts w:ascii="Times New Roman" w:hAnsi="Times New Roman"/>
                      <w:color w:val="auto"/>
                      <w:kern w:val="0"/>
                      <w:szCs w:val="21"/>
                    </w:rPr>
                  </w:pPr>
                </w:p>
              </w:tc>
              <w:tc>
                <w:tcPr>
                  <w:tcW w:w="1096" w:type="pct"/>
                  <w:gridSpan w:val="3"/>
                  <w:vAlign w:val="center"/>
                </w:tcPr>
                <w:p w14:paraId="28CCBC35">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门卫室</w:t>
                  </w:r>
                </w:p>
              </w:tc>
              <w:tc>
                <w:tcPr>
                  <w:tcW w:w="2316" w:type="pct"/>
                  <w:vAlign w:val="center"/>
                </w:tcPr>
                <w:p w14:paraId="3D119771">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项目区出入口旁设置1栋门卫室</w:t>
                  </w:r>
                  <w:r>
                    <w:rPr>
                      <w:rFonts w:hint="eastAsia" w:ascii="Times New Roman" w:eastAsia="宋体"/>
                      <w:color w:val="auto"/>
                      <w:kern w:val="2"/>
                      <w:sz w:val="21"/>
                      <w:szCs w:val="21"/>
                      <w:lang w:eastAsia="zh-CN"/>
                    </w:rPr>
                    <w:t>，</w:t>
                  </w:r>
                  <w:r>
                    <w:rPr>
                      <w:rFonts w:hint="eastAsia" w:ascii="Times New Roman" w:eastAsia="宋体"/>
                      <w:color w:val="auto"/>
                      <w:kern w:val="2"/>
                      <w:sz w:val="21"/>
                      <w:szCs w:val="21"/>
                      <w:lang w:val="en-US" w:eastAsia="zh-CN"/>
                    </w:rPr>
                    <w:t>面积</w:t>
                  </w:r>
                  <w:r>
                    <w:rPr>
                      <w:rFonts w:hint="eastAsia" w:ascii="Times New Roman"/>
                      <w:color w:val="auto"/>
                      <w:kern w:val="2"/>
                      <w:sz w:val="21"/>
                      <w:szCs w:val="21"/>
                      <w:lang w:val="en-US" w:eastAsia="zh-CN"/>
                    </w:rPr>
                    <w:t>1</w:t>
                  </w:r>
                  <w:r>
                    <w:rPr>
                      <w:rFonts w:hint="eastAsia" w:ascii="Times New Roman" w:eastAsia="宋体"/>
                      <w:color w:val="auto"/>
                      <w:kern w:val="2"/>
                      <w:sz w:val="21"/>
                      <w:szCs w:val="21"/>
                      <w:lang w:val="en-US" w:eastAsia="zh-CN"/>
                    </w:rPr>
                    <w:t>0m</w:t>
                  </w:r>
                  <w:r>
                    <w:rPr>
                      <w:rFonts w:hint="eastAsia" w:ascii="Times New Roman" w:eastAsia="宋体"/>
                      <w:color w:val="auto"/>
                      <w:kern w:val="2"/>
                      <w:sz w:val="21"/>
                      <w:szCs w:val="21"/>
                      <w:vertAlign w:val="superscript"/>
                      <w:lang w:val="en-US" w:eastAsia="zh-CN"/>
                    </w:rPr>
                    <w:t>2</w:t>
                  </w:r>
                  <w:r>
                    <w:rPr>
                      <w:rFonts w:hint="eastAsia" w:ascii="Times New Roman"/>
                      <w:color w:val="auto"/>
                      <w:kern w:val="2"/>
                      <w:sz w:val="21"/>
                      <w:szCs w:val="21"/>
                      <w:vertAlign w:val="baseline"/>
                      <w:lang w:val="en-US" w:eastAsia="zh-CN"/>
                    </w:rPr>
                    <w:t>。</w:t>
                  </w:r>
                </w:p>
              </w:tc>
              <w:tc>
                <w:tcPr>
                  <w:tcW w:w="918" w:type="pct"/>
                  <w:vMerge w:val="continue"/>
                  <w:vAlign w:val="center"/>
                </w:tcPr>
                <w:p w14:paraId="6838AC9D">
                  <w:pPr>
                    <w:pStyle w:val="26"/>
                    <w:ind w:firstLine="0" w:firstLineChars="0"/>
                    <w:jc w:val="center"/>
                    <w:rPr>
                      <w:rFonts w:ascii="Times New Roman" w:hAnsi="Times New Roman" w:eastAsia="Times New Roman"/>
                      <w:color w:val="auto"/>
                      <w:szCs w:val="21"/>
                    </w:rPr>
                  </w:pPr>
                </w:p>
              </w:tc>
            </w:tr>
            <w:tr w14:paraId="6BDC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4F4F867D">
                  <w:pPr>
                    <w:pStyle w:val="26"/>
                    <w:ind w:firstLine="0" w:firstLineChars="0"/>
                    <w:jc w:val="center"/>
                    <w:rPr>
                      <w:rFonts w:ascii="Times New Roman" w:hAnsi="Times New Roman"/>
                      <w:color w:val="auto"/>
                      <w:kern w:val="0"/>
                      <w:szCs w:val="21"/>
                    </w:rPr>
                  </w:pPr>
                </w:p>
              </w:tc>
              <w:tc>
                <w:tcPr>
                  <w:tcW w:w="1096" w:type="pct"/>
                  <w:gridSpan w:val="3"/>
                  <w:vAlign w:val="center"/>
                </w:tcPr>
                <w:p w14:paraId="798E021F">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物资仓库</w:t>
                  </w:r>
                </w:p>
              </w:tc>
              <w:tc>
                <w:tcPr>
                  <w:tcW w:w="2316" w:type="pct"/>
                  <w:vAlign w:val="center"/>
                </w:tcPr>
                <w:p w14:paraId="586D0BBE">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设置1间物资仓库，位于项目区西北部，储存机油、润滑油</w:t>
                  </w:r>
                  <w:r>
                    <w:rPr>
                      <w:rFonts w:hint="eastAsia" w:ascii="Times New Roman" w:eastAsia="宋体"/>
                      <w:color w:val="auto"/>
                      <w:kern w:val="2"/>
                      <w:sz w:val="21"/>
                      <w:szCs w:val="21"/>
                      <w:lang w:eastAsia="zh-CN"/>
                    </w:rPr>
                    <w:t>，</w:t>
                  </w:r>
                  <w:r>
                    <w:rPr>
                      <w:rFonts w:hint="eastAsia" w:ascii="Times New Roman" w:eastAsia="宋体"/>
                      <w:color w:val="auto"/>
                      <w:kern w:val="2"/>
                      <w:sz w:val="21"/>
                      <w:szCs w:val="21"/>
                      <w:lang w:val="en-US" w:eastAsia="zh-CN"/>
                    </w:rPr>
                    <w:t>砖混结构，面积约20m</w:t>
                  </w:r>
                  <w:r>
                    <w:rPr>
                      <w:rFonts w:hint="eastAsia" w:ascii="Times New Roman" w:eastAsia="宋体"/>
                      <w:color w:val="auto"/>
                      <w:kern w:val="2"/>
                      <w:sz w:val="21"/>
                      <w:szCs w:val="21"/>
                      <w:vertAlign w:val="superscript"/>
                      <w:lang w:val="en-US" w:eastAsia="zh-CN"/>
                    </w:rPr>
                    <w:t>2</w:t>
                  </w:r>
                  <w:r>
                    <w:rPr>
                      <w:rFonts w:hint="eastAsia" w:ascii="Times New Roman"/>
                      <w:color w:val="auto"/>
                      <w:kern w:val="2"/>
                      <w:sz w:val="21"/>
                      <w:szCs w:val="21"/>
                      <w:vertAlign w:val="baseline"/>
                      <w:lang w:val="en-US" w:eastAsia="zh-CN"/>
                    </w:rPr>
                    <w:t>。</w:t>
                  </w:r>
                </w:p>
              </w:tc>
              <w:tc>
                <w:tcPr>
                  <w:tcW w:w="918" w:type="pct"/>
                  <w:vMerge w:val="continue"/>
                  <w:vAlign w:val="center"/>
                </w:tcPr>
                <w:p w14:paraId="0ACF3B62">
                  <w:pPr>
                    <w:pStyle w:val="26"/>
                    <w:ind w:firstLine="0" w:firstLineChars="0"/>
                    <w:jc w:val="center"/>
                    <w:rPr>
                      <w:rFonts w:ascii="Times New Roman" w:hAnsi="Times New Roman" w:eastAsia="Times New Roman"/>
                      <w:color w:val="auto"/>
                      <w:szCs w:val="21"/>
                    </w:rPr>
                  </w:pPr>
                </w:p>
              </w:tc>
            </w:tr>
            <w:tr w14:paraId="6630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3C2440B5">
                  <w:pPr>
                    <w:pStyle w:val="26"/>
                    <w:ind w:firstLine="0" w:firstLineChars="0"/>
                    <w:jc w:val="center"/>
                    <w:rPr>
                      <w:rFonts w:ascii="Times New Roman" w:hAnsi="Times New Roman"/>
                      <w:color w:val="auto"/>
                      <w:kern w:val="0"/>
                      <w:szCs w:val="21"/>
                    </w:rPr>
                  </w:pPr>
                </w:p>
              </w:tc>
              <w:tc>
                <w:tcPr>
                  <w:tcW w:w="1096" w:type="pct"/>
                  <w:gridSpan w:val="3"/>
                  <w:vAlign w:val="center"/>
                </w:tcPr>
                <w:p w14:paraId="3C6C565C">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厂区运输道路</w:t>
                  </w:r>
                </w:p>
              </w:tc>
              <w:tc>
                <w:tcPr>
                  <w:tcW w:w="2316" w:type="pct"/>
                  <w:vAlign w:val="center"/>
                </w:tcPr>
                <w:p w14:paraId="0EE55A0A">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用于厂区内运输道路。</w:t>
                  </w:r>
                </w:p>
              </w:tc>
              <w:tc>
                <w:tcPr>
                  <w:tcW w:w="918" w:type="pct"/>
                  <w:vMerge w:val="continue"/>
                  <w:vAlign w:val="center"/>
                </w:tcPr>
                <w:p w14:paraId="3C8B7C18">
                  <w:pPr>
                    <w:pStyle w:val="26"/>
                    <w:ind w:firstLine="0" w:firstLineChars="0"/>
                    <w:jc w:val="center"/>
                    <w:rPr>
                      <w:rFonts w:ascii="Times New Roman" w:hAnsi="Times New Roman" w:eastAsia="Times New Roman"/>
                      <w:color w:val="auto"/>
                      <w:szCs w:val="21"/>
                    </w:rPr>
                  </w:pPr>
                </w:p>
              </w:tc>
            </w:tr>
            <w:tr w14:paraId="308E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79F148EA">
                  <w:pPr>
                    <w:pStyle w:val="26"/>
                    <w:ind w:firstLine="0" w:firstLineChars="0"/>
                    <w:jc w:val="center"/>
                    <w:rPr>
                      <w:rFonts w:ascii="Times New Roman" w:hAnsi="Times New Roman"/>
                      <w:color w:val="auto"/>
                      <w:kern w:val="0"/>
                      <w:szCs w:val="21"/>
                    </w:rPr>
                  </w:pPr>
                </w:p>
              </w:tc>
              <w:tc>
                <w:tcPr>
                  <w:tcW w:w="1096" w:type="pct"/>
                  <w:gridSpan w:val="3"/>
                  <w:vAlign w:val="center"/>
                </w:tcPr>
                <w:p w14:paraId="6E4A51C6">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停车区</w:t>
                  </w:r>
                </w:p>
              </w:tc>
              <w:tc>
                <w:tcPr>
                  <w:tcW w:w="2316" w:type="pct"/>
                  <w:vAlign w:val="center"/>
                </w:tcPr>
                <w:p w14:paraId="081B60F9">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停放运输车辆及员工车辆。</w:t>
                  </w:r>
                </w:p>
              </w:tc>
              <w:tc>
                <w:tcPr>
                  <w:tcW w:w="918" w:type="pct"/>
                  <w:vMerge w:val="continue"/>
                  <w:vAlign w:val="center"/>
                </w:tcPr>
                <w:p w14:paraId="53FAA390">
                  <w:pPr>
                    <w:pStyle w:val="26"/>
                    <w:ind w:firstLine="0" w:firstLineChars="0"/>
                    <w:jc w:val="center"/>
                    <w:rPr>
                      <w:rFonts w:ascii="Times New Roman" w:hAnsi="Times New Roman" w:eastAsia="Times New Roman"/>
                      <w:color w:val="auto"/>
                      <w:szCs w:val="21"/>
                    </w:rPr>
                  </w:pPr>
                </w:p>
              </w:tc>
            </w:tr>
            <w:tr w14:paraId="4D8D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40C5C23D">
                  <w:pPr>
                    <w:pStyle w:val="26"/>
                    <w:ind w:firstLine="0" w:firstLineChars="0"/>
                    <w:jc w:val="center"/>
                    <w:rPr>
                      <w:rFonts w:ascii="Times New Roman" w:hAnsi="Times New Roman"/>
                      <w:color w:val="auto"/>
                      <w:kern w:val="0"/>
                      <w:szCs w:val="21"/>
                    </w:rPr>
                  </w:pPr>
                </w:p>
              </w:tc>
              <w:tc>
                <w:tcPr>
                  <w:tcW w:w="1096" w:type="pct"/>
                  <w:gridSpan w:val="3"/>
                  <w:vAlign w:val="center"/>
                </w:tcPr>
                <w:p w14:paraId="34EFE446">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输送皮带</w:t>
                  </w:r>
                </w:p>
              </w:tc>
              <w:tc>
                <w:tcPr>
                  <w:tcW w:w="2316" w:type="pct"/>
                  <w:vAlign w:val="center"/>
                </w:tcPr>
                <w:p w14:paraId="314248C9">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生产过程物料输送使用密闭皮带运输</w:t>
                  </w:r>
                  <w:r>
                    <w:rPr>
                      <w:rFonts w:hint="eastAsia" w:ascii="Times New Roman" w:eastAsia="Times New Roman"/>
                      <w:color w:val="auto"/>
                      <w:kern w:val="2"/>
                      <w:sz w:val="21"/>
                      <w:szCs w:val="21"/>
                    </w:rPr>
                    <w:t>，现有皮带长约50m，新增皮带长约20m。</w:t>
                  </w:r>
                </w:p>
              </w:tc>
              <w:tc>
                <w:tcPr>
                  <w:tcW w:w="918" w:type="pct"/>
                  <w:vAlign w:val="center"/>
                </w:tcPr>
                <w:p w14:paraId="2708551E">
                  <w:pPr>
                    <w:pStyle w:val="26"/>
                    <w:ind w:firstLine="0" w:firstLineChars="0"/>
                    <w:jc w:val="center"/>
                    <w:rPr>
                      <w:rFonts w:ascii="Times New Roman" w:hAnsi="Times New Roman" w:eastAsia="Times New Roman"/>
                      <w:color w:val="auto"/>
                      <w:szCs w:val="21"/>
                    </w:rPr>
                  </w:pPr>
                  <w:r>
                    <w:rPr>
                      <w:rFonts w:hint="eastAsia" w:ascii="Times New Roman" w:hAnsi="Times New Roman" w:eastAsia="Times New Roman"/>
                      <w:color w:val="auto"/>
                      <w:szCs w:val="21"/>
                    </w:rPr>
                    <w:t>其中</w:t>
                  </w:r>
                  <w:r>
                    <w:rPr>
                      <w:rFonts w:hint="eastAsia" w:ascii="Times New Roman" w:eastAsia="Times New Roman"/>
                      <w:color w:val="auto"/>
                      <w:szCs w:val="21"/>
                    </w:rPr>
                    <w:t>50m</w:t>
                  </w:r>
                  <w:r>
                    <w:rPr>
                      <w:rFonts w:hint="eastAsia" w:ascii="Times New Roman" w:hAnsi="Times New Roman" w:eastAsia="Times New Roman"/>
                      <w:color w:val="auto"/>
                      <w:szCs w:val="21"/>
                    </w:rPr>
                    <w:t>为现有项目已建</w:t>
                  </w:r>
                  <w:r>
                    <w:rPr>
                      <w:rFonts w:ascii="Times New Roman" w:hAnsi="Times New Roman" w:eastAsia="Times New Roman"/>
                      <w:color w:val="auto"/>
                      <w:szCs w:val="21"/>
                    </w:rPr>
                    <w:t>密闭皮带</w:t>
                  </w:r>
                  <w:r>
                    <w:rPr>
                      <w:rFonts w:hint="eastAsia" w:ascii="Times New Roman" w:hAnsi="Times New Roman" w:eastAsia="Times New Roman"/>
                      <w:color w:val="auto"/>
                      <w:szCs w:val="21"/>
                    </w:rPr>
                    <w:t>，20m为新增</w:t>
                  </w:r>
                  <w:r>
                    <w:rPr>
                      <w:rFonts w:ascii="Times New Roman" w:hAnsi="Times New Roman" w:eastAsia="Times New Roman"/>
                      <w:color w:val="auto"/>
                      <w:szCs w:val="21"/>
                    </w:rPr>
                    <w:t>密闭皮带</w:t>
                  </w:r>
                  <w:r>
                    <w:rPr>
                      <w:rFonts w:hint="eastAsia" w:ascii="Times New Roman" w:hAnsi="Times New Roman" w:eastAsia="Times New Roman"/>
                      <w:color w:val="auto"/>
                      <w:szCs w:val="21"/>
                    </w:rPr>
                    <w:t>。</w:t>
                  </w:r>
                </w:p>
              </w:tc>
            </w:tr>
            <w:tr w14:paraId="7FC4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restart"/>
                  <w:vAlign w:val="center"/>
                </w:tcPr>
                <w:p w14:paraId="5FA56BDD">
                  <w:pPr>
                    <w:pStyle w:val="26"/>
                    <w:ind w:firstLine="0" w:firstLineChars="0"/>
                    <w:jc w:val="center"/>
                    <w:rPr>
                      <w:rFonts w:ascii="Times New Roman" w:hAnsi="Times New Roman"/>
                      <w:color w:val="auto"/>
                      <w:kern w:val="0"/>
                      <w:szCs w:val="21"/>
                    </w:rPr>
                  </w:pPr>
                  <w:r>
                    <w:rPr>
                      <w:rFonts w:ascii="Times New Roman" w:hAnsi="Times New Roman"/>
                      <w:color w:val="auto"/>
                    </w:rPr>
                    <w:t>公用工程</w:t>
                  </w:r>
                </w:p>
              </w:tc>
              <w:tc>
                <w:tcPr>
                  <w:tcW w:w="1096" w:type="pct"/>
                  <w:gridSpan w:val="3"/>
                  <w:vAlign w:val="center"/>
                </w:tcPr>
                <w:p w14:paraId="404BDD11">
                  <w:pPr>
                    <w:widowControl/>
                    <w:adjustRightInd w:val="0"/>
                    <w:snapToGrid w:val="0"/>
                    <w:ind w:firstLine="0" w:firstLineChars="0"/>
                    <w:jc w:val="center"/>
                    <w:rPr>
                      <w:rFonts w:eastAsia="Times New Roman"/>
                      <w:color w:val="auto"/>
                      <w:szCs w:val="21"/>
                    </w:rPr>
                  </w:pPr>
                  <w:r>
                    <w:rPr>
                      <w:color w:val="auto"/>
                      <w:kern w:val="0"/>
                      <w:szCs w:val="21"/>
                    </w:rPr>
                    <w:t>供水</w:t>
                  </w:r>
                </w:p>
              </w:tc>
              <w:tc>
                <w:tcPr>
                  <w:tcW w:w="2316" w:type="pct"/>
                  <w:vAlign w:val="center"/>
                </w:tcPr>
                <w:p w14:paraId="68BEFCA8">
                  <w:pPr>
                    <w:widowControl/>
                    <w:adjustRightInd w:val="0"/>
                    <w:snapToGrid w:val="0"/>
                    <w:ind w:firstLine="0" w:firstLineChars="0"/>
                    <w:jc w:val="left"/>
                    <w:rPr>
                      <w:rFonts w:eastAsia="Times New Roman"/>
                      <w:color w:val="auto"/>
                      <w:szCs w:val="21"/>
                    </w:rPr>
                  </w:pPr>
                  <w:r>
                    <w:rPr>
                      <w:rFonts w:hint="eastAsia"/>
                      <w:color w:val="auto"/>
                      <w:kern w:val="0"/>
                      <w:szCs w:val="21"/>
                      <w:lang w:val="en-US" w:eastAsia="zh-CN"/>
                    </w:rPr>
                    <w:t>由寻甸自来水厂经市政</w:t>
                  </w:r>
                  <w:r>
                    <w:rPr>
                      <w:color w:val="auto"/>
                      <w:kern w:val="0"/>
                      <w:szCs w:val="21"/>
                    </w:rPr>
                    <w:t>管网供给。</w:t>
                  </w:r>
                </w:p>
              </w:tc>
              <w:tc>
                <w:tcPr>
                  <w:tcW w:w="918" w:type="pct"/>
                  <w:vMerge w:val="restart"/>
                  <w:vAlign w:val="center"/>
                </w:tcPr>
                <w:p w14:paraId="31E078ED">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依托</w:t>
                  </w:r>
                  <w:r>
                    <w:rPr>
                      <w:rFonts w:hint="eastAsia" w:ascii="Times New Roman" w:hAnsi="Times New Roman" w:eastAsia="Times New Roman"/>
                      <w:color w:val="auto"/>
                      <w:szCs w:val="21"/>
                    </w:rPr>
                    <w:t>现有</w:t>
                  </w:r>
                  <w:r>
                    <w:rPr>
                      <w:rFonts w:ascii="Times New Roman" w:hAnsi="Times New Roman" w:eastAsia="Times New Roman"/>
                      <w:color w:val="auto"/>
                      <w:szCs w:val="21"/>
                    </w:rPr>
                    <w:t>项目已建公用工程系统设施</w:t>
                  </w:r>
                  <w:r>
                    <w:rPr>
                      <w:rFonts w:hint="eastAsia" w:ascii="Times New Roman" w:hAnsi="Times New Roman" w:eastAsia="Times New Roman"/>
                      <w:color w:val="auto"/>
                      <w:szCs w:val="21"/>
                    </w:rPr>
                    <w:t>。</w:t>
                  </w:r>
                </w:p>
              </w:tc>
            </w:tr>
            <w:tr w14:paraId="5B01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6DF8F4AF">
                  <w:pPr>
                    <w:pStyle w:val="26"/>
                    <w:ind w:firstLine="0" w:firstLineChars="0"/>
                    <w:jc w:val="center"/>
                    <w:rPr>
                      <w:rFonts w:ascii="Times New Roman" w:hAnsi="Times New Roman"/>
                      <w:color w:val="auto"/>
                      <w:kern w:val="0"/>
                      <w:szCs w:val="21"/>
                    </w:rPr>
                  </w:pPr>
                </w:p>
              </w:tc>
              <w:tc>
                <w:tcPr>
                  <w:tcW w:w="1096" w:type="pct"/>
                  <w:gridSpan w:val="3"/>
                  <w:vAlign w:val="center"/>
                </w:tcPr>
                <w:p w14:paraId="6E7B1521">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排水</w:t>
                  </w:r>
                </w:p>
              </w:tc>
              <w:tc>
                <w:tcPr>
                  <w:tcW w:w="2316" w:type="pct"/>
                  <w:vAlign w:val="center"/>
                </w:tcPr>
                <w:p w14:paraId="14BDD893">
                  <w:pPr>
                    <w:pStyle w:val="95"/>
                    <w:spacing w:line="240" w:lineRule="auto"/>
                    <w:ind w:firstLine="0" w:firstLineChars="0"/>
                    <w:jc w:val="left"/>
                    <w:rPr>
                      <w:rFonts w:hint="eastAsia" w:ascii="Times New Roman" w:eastAsia="宋体"/>
                      <w:color w:val="auto"/>
                      <w:kern w:val="2"/>
                      <w:sz w:val="21"/>
                      <w:szCs w:val="21"/>
                      <w:lang w:eastAsia="zh-CN"/>
                    </w:rPr>
                  </w:pPr>
                  <w:r>
                    <w:rPr>
                      <w:rFonts w:ascii="Times New Roman" w:eastAsia="Times New Roman"/>
                      <w:color w:val="auto"/>
                      <w:kern w:val="2"/>
                      <w:sz w:val="21"/>
                      <w:szCs w:val="21"/>
                    </w:rPr>
                    <w:t>采取雨污分流系统</w:t>
                  </w:r>
                  <w:r>
                    <w:rPr>
                      <w:rFonts w:hint="eastAsia" w:ascii="Times New Roman" w:eastAsia="宋体"/>
                      <w:color w:val="auto"/>
                      <w:kern w:val="2"/>
                      <w:sz w:val="21"/>
                      <w:szCs w:val="21"/>
                      <w:lang w:eastAsia="zh-CN"/>
                    </w:rPr>
                    <w:t>：</w:t>
                  </w:r>
                </w:p>
                <w:p w14:paraId="12043E4C">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①雨水：厂区硬化地上雨水经地势北高南低汇入“沉淀池”系统处理后回用于项目生产过程，厂区周边设有雨水沟，</w:t>
                  </w:r>
                  <w:r>
                    <w:rPr>
                      <w:rFonts w:hint="eastAsia" w:ascii="Times New Roman" w:eastAsia="宋体"/>
                      <w:color w:val="auto"/>
                      <w:kern w:val="2"/>
                      <w:sz w:val="21"/>
                      <w:szCs w:val="21"/>
                      <w:lang w:val="en-US" w:eastAsia="zh-CN"/>
                    </w:rPr>
                    <w:t>初期雨水在沉淀池沉淀后抽至集水池位于厂区东侧容积300m</w:t>
                  </w:r>
                  <w:r>
                    <w:rPr>
                      <w:rFonts w:hint="eastAsia" w:ascii="Times New Roman" w:eastAsia="宋体"/>
                      <w:color w:val="auto"/>
                      <w:kern w:val="2"/>
                      <w:sz w:val="21"/>
                      <w:szCs w:val="21"/>
                      <w:vertAlign w:val="superscript"/>
                      <w:lang w:val="en-US" w:eastAsia="zh-CN"/>
                    </w:rPr>
                    <w:t>3</w:t>
                  </w:r>
                  <w:r>
                    <w:rPr>
                      <w:rFonts w:ascii="Times New Roman" w:eastAsia="Times New Roman"/>
                      <w:color w:val="auto"/>
                      <w:kern w:val="2"/>
                      <w:sz w:val="21"/>
                      <w:szCs w:val="21"/>
                    </w:rPr>
                    <w:t>。</w:t>
                  </w:r>
                </w:p>
                <w:p w14:paraId="4F5A1FAB">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②污水：项目食堂废水先经隔油池处理后，再同生活污水排入化粪池处理后，</w:t>
                  </w:r>
                  <w:r>
                    <w:rPr>
                      <w:rFonts w:hint="eastAsia" w:ascii="Times New Roman" w:eastAsia="宋体"/>
                      <w:color w:val="auto"/>
                      <w:kern w:val="2"/>
                      <w:sz w:val="21"/>
                      <w:szCs w:val="21"/>
                      <w:lang w:val="en-US" w:eastAsia="zh-CN"/>
                    </w:rPr>
                    <w:t>用于农田施肥</w:t>
                  </w:r>
                  <w:r>
                    <w:rPr>
                      <w:rFonts w:ascii="Times New Roman" w:eastAsia="Times New Roman"/>
                      <w:color w:val="auto"/>
                      <w:kern w:val="2"/>
                      <w:sz w:val="21"/>
                      <w:szCs w:val="21"/>
                    </w:rPr>
                    <w:t>；项目搅拌机清洗废水混凝土运输车辆罐体内部及罐车外部清洗废水、</w:t>
                  </w:r>
                  <w:r>
                    <w:rPr>
                      <w:rFonts w:hint="eastAsia" w:ascii="Times New Roman" w:eastAsia="宋体"/>
                      <w:color w:val="auto"/>
                      <w:kern w:val="2"/>
                      <w:sz w:val="21"/>
                      <w:szCs w:val="21"/>
                      <w:lang w:val="en-US" w:eastAsia="zh-CN"/>
                    </w:rPr>
                    <w:t>检验设备废水</w:t>
                  </w:r>
                  <w:r>
                    <w:rPr>
                      <w:rFonts w:ascii="Times New Roman" w:eastAsia="Times New Roman"/>
                      <w:color w:val="auto"/>
                      <w:kern w:val="2"/>
                      <w:sz w:val="21"/>
                      <w:szCs w:val="21"/>
                    </w:rPr>
                    <w:t>经沉淀池处理后回用于项目生产过程，不外排。</w:t>
                  </w:r>
                </w:p>
              </w:tc>
              <w:tc>
                <w:tcPr>
                  <w:tcW w:w="918" w:type="pct"/>
                  <w:vMerge w:val="continue"/>
                  <w:vAlign w:val="center"/>
                </w:tcPr>
                <w:p w14:paraId="437DE3A0">
                  <w:pPr>
                    <w:pStyle w:val="26"/>
                    <w:ind w:firstLine="0" w:firstLineChars="0"/>
                    <w:jc w:val="center"/>
                    <w:rPr>
                      <w:rFonts w:ascii="Times New Roman" w:hAnsi="Times New Roman" w:eastAsia="Times New Roman"/>
                      <w:color w:val="auto"/>
                      <w:szCs w:val="21"/>
                    </w:rPr>
                  </w:pPr>
                </w:p>
              </w:tc>
            </w:tr>
            <w:tr w14:paraId="3858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2F212212">
                  <w:pPr>
                    <w:pStyle w:val="26"/>
                    <w:ind w:firstLine="0" w:firstLineChars="0"/>
                    <w:jc w:val="center"/>
                    <w:rPr>
                      <w:rFonts w:ascii="Times New Roman" w:hAnsi="Times New Roman"/>
                      <w:color w:val="auto"/>
                      <w:kern w:val="0"/>
                      <w:szCs w:val="21"/>
                    </w:rPr>
                  </w:pPr>
                </w:p>
              </w:tc>
              <w:tc>
                <w:tcPr>
                  <w:tcW w:w="1096" w:type="pct"/>
                  <w:gridSpan w:val="3"/>
                  <w:vAlign w:val="center"/>
                </w:tcPr>
                <w:p w14:paraId="490B61DB">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道路、地面硬化区</w:t>
                  </w:r>
                </w:p>
              </w:tc>
              <w:tc>
                <w:tcPr>
                  <w:tcW w:w="2316" w:type="pct"/>
                  <w:vAlign w:val="center"/>
                </w:tcPr>
                <w:p w14:paraId="7C1A6FD9">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占地面积3800m</w:t>
                  </w:r>
                  <w:r>
                    <w:rPr>
                      <w:rFonts w:ascii="Times New Roman" w:eastAsia="Times New Roman"/>
                      <w:color w:val="auto"/>
                      <w:kern w:val="2"/>
                      <w:sz w:val="21"/>
                      <w:szCs w:val="21"/>
                      <w:vertAlign w:val="superscript"/>
                    </w:rPr>
                    <w:t>2</w:t>
                  </w:r>
                  <w:r>
                    <w:rPr>
                      <w:rFonts w:ascii="Times New Roman" w:eastAsia="Times New Roman"/>
                      <w:color w:val="auto"/>
                      <w:kern w:val="2"/>
                      <w:sz w:val="21"/>
                      <w:szCs w:val="21"/>
                    </w:rPr>
                    <w:t>。</w:t>
                  </w:r>
                </w:p>
              </w:tc>
              <w:tc>
                <w:tcPr>
                  <w:tcW w:w="918" w:type="pct"/>
                  <w:vMerge w:val="continue"/>
                  <w:vAlign w:val="center"/>
                </w:tcPr>
                <w:p w14:paraId="7FA1EE03">
                  <w:pPr>
                    <w:pStyle w:val="26"/>
                    <w:ind w:firstLine="0" w:firstLineChars="0"/>
                    <w:jc w:val="center"/>
                    <w:rPr>
                      <w:rFonts w:ascii="Times New Roman" w:hAnsi="Times New Roman" w:eastAsia="Times New Roman"/>
                      <w:color w:val="auto"/>
                      <w:szCs w:val="21"/>
                    </w:rPr>
                  </w:pPr>
                </w:p>
              </w:tc>
            </w:tr>
            <w:tr w14:paraId="18BC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292AA46A">
                  <w:pPr>
                    <w:pStyle w:val="26"/>
                    <w:ind w:firstLine="0" w:firstLineChars="0"/>
                    <w:jc w:val="center"/>
                    <w:rPr>
                      <w:rFonts w:ascii="Times New Roman" w:hAnsi="Times New Roman"/>
                      <w:color w:val="auto"/>
                      <w:kern w:val="0"/>
                      <w:szCs w:val="21"/>
                    </w:rPr>
                  </w:pPr>
                </w:p>
              </w:tc>
              <w:tc>
                <w:tcPr>
                  <w:tcW w:w="1096" w:type="pct"/>
                  <w:gridSpan w:val="3"/>
                  <w:vAlign w:val="center"/>
                </w:tcPr>
                <w:p w14:paraId="3D306F30">
                  <w:pPr>
                    <w:widowControl/>
                    <w:adjustRightInd w:val="0"/>
                    <w:snapToGrid w:val="0"/>
                    <w:ind w:firstLine="0" w:firstLineChars="0"/>
                    <w:jc w:val="center"/>
                    <w:rPr>
                      <w:rFonts w:eastAsia="Times New Roman"/>
                      <w:color w:val="auto"/>
                      <w:szCs w:val="21"/>
                    </w:rPr>
                  </w:pPr>
                  <w:r>
                    <w:rPr>
                      <w:color w:val="auto"/>
                      <w:kern w:val="0"/>
                      <w:szCs w:val="21"/>
                    </w:rPr>
                    <w:t>供电</w:t>
                  </w:r>
                </w:p>
              </w:tc>
              <w:tc>
                <w:tcPr>
                  <w:tcW w:w="2316" w:type="pct"/>
                  <w:vAlign w:val="center"/>
                </w:tcPr>
                <w:p w14:paraId="70631088">
                  <w:pPr>
                    <w:widowControl/>
                    <w:adjustRightInd w:val="0"/>
                    <w:snapToGrid w:val="0"/>
                    <w:ind w:firstLine="0" w:firstLineChars="0"/>
                    <w:jc w:val="left"/>
                    <w:rPr>
                      <w:rFonts w:eastAsia="Times New Roman"/>
                      <w:color w:val="auto"/>
                      <w:szCs w:val="21"/>
                    </w:rPr>
                  </w:pPr>
                  <w:r>
                    <w:rPr>
                      <w:color w:val="auto"/>
                      <w:kern w:val="0"/>
                      <w:szCs w:val="21"/>
                    </w:rPr>
                    <w:t>从</w:t>
                  </w:r>
                  <w:r>
                    <w:rPr>
                      <w:color w:val="auto"/>
                    </w:rPr>
                    <w:t>金所乡哨上大村输电线路，输电线缆引入电力变压器，再经电力变压器降压后为380/220V供项目用电。</w:t>
                  </w:r>
                </w:p>
              </w:tc>
              <w:tc>
                <w:tcPr>
                  <w:tcW w:w="918" w:type="pct"/>
                  <w:vMerge w:val="continue"/>
                  <w:vAlign w:val="center"/>
                </w:tcPr>
                <w:p w14:paraId="2345A815">
                  <w:pPr>
                    <w:pStyle w:val="26"/>
                    <w:ind w:firstLine="0" w:firstLineChars="0"/>
                    <w:jc w:val="center"/>
                    <w:rPr>
                      <w:rFonts w:ascii="Times New Roman" w:hAnsi="Times New Roman" w:eastAsia="Times New Roman"/>
                      <w:color w:val="auto"/>
                      <w:szCs w:val="21"/>
                    </w:rPr>
                  </w:pPr>
                </w:p>
              </w:tc>
            </w:tr>
            <w:tr w14:paraId="52A2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6B296F58">
                  <w:pPr>
                    <w:pStyle w:val="26"/>
                    <w:ind w:firstLine="0" w:firstLineChars="0"/>
                    <w:jc w:val="center"/>
                    <w:rPr>
                      <w:rFonts w:ascii="Times New Roman" w:hAnsi="Times New Roman"/>
                      <w:color w:val="auto"/>
                      <w:kern w:val="0"/>
                      <w:szCs w:val="21"/>
                    </w:rPr>
                  </w:pPr>
                </w:p>
              </w:tc>
              <w:tc>
                <w:tcPr>
                  <w:tcW w:w="1096" w:type="pct"/>
                  <w:gridSpan w:val="3"/>
                  <w:vAlign w:val="center"/>
                </w:tcPr>
                <w:p w14:paraId="35C1A1A4">
                  <w:pPr>
                    <w:widowControl/>
                    <w:adjustRightInd w:val="0"/>
                    <w:snapToGrid w:val="0"/>
                    <w:ind w:firstLine="0" w:firstLineChars="0"/>
                    <w:jc w:val="center"/>
                    <w:rPr>
                      <w:rFonts w:eastAsia="Times New Roman"/>
                      <w:color w:val="auto"/>
                      <w:szCs w:val="21"/>
                    </w:rPr>
                  </w:pPr>
                  <w:r>
                    <w:rPr>
                      <w:color w:val="auto"/>
                      <w:kern w:val="0"/>
                      <w:szCs w:val="21"/>
                    </w:rPr>
                    <w:t>消防</w:t>
                  </w:r>
                </w:p>
              </w:tc>
              <w:tc>
                <w:tcPr>
                  <w:tcW w:w="2316" w:type="pct"/>
                  <w:vAlign w:val="center"/>
                </w:tcPr>
                <w:p w14:paraId="314C3535">
                  <w:pPr>
                    <w:widowControl/>
                    <w:adjustRightInd w:val="0"/>
                    <w:snapToGrid w:val="0"/>
                    <w:ind w:firstLine="0" w:firstLineChars="0"/>
                    <w:jc w:val="left"/>
                    <w:rPr>
                      <w:rFonts w:eastAsia="Times New Roman"/>
                      <w:color w:val="auto"/>
                      <w:szCs w:val="21"/>
                    </w:rPr>
                  </w:pPr>
                  <w:r>
                    <w:rPr>
                      <w:color w:val="auto"/>
                      <w:kern w:val="0"/>
                      <w:szCs w:val="21"/>
                    </w:rPr>
                    <w:t>项目建筑均配有灭火器</w:t>
                  </w:r>
                </w:p>
              </w:tc>
              <w:tc>
                <w:tcPr>
                  <w:tcW w:w="918" w:type="pct"/>
                  <w:vMerge w:val="continue"/>
                  <w:vAlign w:val="center"/>
                </w:tcPr>
                <w:p w14:paraId="466D65D4">
                  <w:pPr>
                    <w:pStyle w:val="26"/>
                    <w:ind w:firstLine="0" w:firstLineChars="0"/>
                    <w:jc w:val="center"/>
                    <w:rPr>
                      <w:rFonts w:ascii="Times New Roman" w:hAnsi="Times New Roman" w:eastAsia="Times New Roman"/>
                      <w:color w:val="auto"/>
                      <w:szCs w:val="21"/>
                    </w:rPr>
                  </w:pPr>
                </w:p>
              </w:tc>
            </w:tr>
            <w:tr w14:paraId="5AF0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restart"/>
                  <w:vAlign w:val="center"/>
                </w:tcPr>
                <w:p w14:paraId="1BE319FB">
                  <w:pPr>
                    <w:pStyle w:val="26"/>
                    <w:ind w:firstLine="0" w:firstLineChars="0"/>
                    <w:jc w:val="center"/>
                    <w:rPr>
                      <w:rFonts w:ascii="Times New Roman" w:hAnsi="Times New Roman"/>
                      <w:color w:val="auto"/>
                      <w:kern w:val="0"/>
                      <w:szCs w:val="21"/>
                    </w:rPr>
                  </w:pPr>
                  <w:r>
                    <w:rPr>
                      <w:rFonts w:ascii="Times New Roman" w:hAnsi="Times New Roman"/>
                      <w:color w:val="auto"/>
                    </w:rPr>
                    <w:t>环保工程</w:t>
                  </w:r>
                </w:p>
              </w:tc>
              <w:tc>
                <w:tcPr>
                  <w:tcW w:w="521" w:type="pct"/>
                  <w:vAlign w:val="center"/>
                </w:tcPr>
                <w:p w14:paraId="20B3C45E">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生活污水处理设施</w:t>
                  </w:r>
                </w:p>
              </w:tc>
              <w:tc>
                <w:tcPr>
                  <w:tcW w:w="574" w:type="pct"/>
                  <w:gridSpan w:val="2"/>
                  <w:vAlign w:val="center"/>
                </w:tcPr>
                <w:p w14:paraId="3F6C6F79">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隔油池</w:t>
                  </w:r>
                </w:p>
              </w:tc>
              <w:tc>
                <w:tcPr>
                  <w:tcW w:w="2316" w:type="pct"/>
                  <w:vAlign w:val="center"/>
                </w:tcPr>
                <w:p w14:paraId="46C139DE">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容积2m</w:t>
                  </w:r>
                  <w:r>
                    <w:rPr>
                      <w:rFonts w:ascii="Times New Roman" w:eastAsia="Times New Roman"/>
                      <w:color w:val="auto"/>
                      <w:kern w:val="2"/>
                      <w:sz w:val="21"/>
                      <w:szCs w:val="21"/>
                      <w:vertAlign w:val="superscript"/>
                    </w:rPr>
                    <w:t>3</w:t>
                  </w:r>
                  <w:r>
                    <w:rPr>
                      <w:rFonts w:ascii="Times New Roman" w:eastAsia="Times New Roman"/>
                      <w:color w:val="auto"/>
                      <w:kern w:val="2"/>
                      <w:sz w:val="21"/>
                      <w:szCs w:val="21"/>
                    </w:rPr>
                    <w:t>的三级隔油池1座，用于含油废水隔油预处理。</w:t>
                  </w:r>
                </w:p>
              </w:tc>
              <w:tc>
                <w:tcPr>
                  <w:tcW w:w="918" w:type="pct"/>
                  <w:vAlign w:val="center"/>
                </w:tcPr>
                <w:p w14:paraId="5A2375D1">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依托</w:t>
                  </w:r>
                  <w:r>
                    <w:rPr>
                      <w:rFonts w:hint="eastAsia" w:ascii="Times New Roman" w:hAnsi="Times New Roman" w:eastAsia="Times New Roman"/>
                      <w:color w:val="auto"/>
                      <w:szCs w:val="21"/>
                    </w:rPr>
                    <w:t>现有</w:t>
                  </w:r>
                  <w:r>
                    <w:rPr>
                      <w:rFonts w:ascii="Times New Roman" w:hAnsi="Times New Roman" w:eastAsia="Times New Roman"/>
                      <w:color w:val="auto"/>
                      <w:szCs w:val="21"/>
                    </w:rPr>
                    <w:t>项目已建隔油池</w:t>
                  </w:r>
                  <w:r>
                    <w:rPr>
                      <w:rFonts w:hint="eastAsia" w:ascii="Times New Roman" w:hAnsi="Times New Roman" w:eastAsia="Times New Roman"/>
                      <w:color w:val="auto"/>
                      <w:szCs w:val="21"/>
                    </w:rPr>
                    <w:t>。</w:t>
                  </w:r>
                </w:p>
              </w:tc>
            </w:tr>
            <w:tr w14:paraId="41EB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385F7E76">
                  <w:pPr>
                    <w:pStyle w:val="26"/>
                    <w:ind w:firstLine="0" w:firstLineChars="0"/>
                    <w:jc w:val="center"/>
                    <w:rPr>
                      <w:rFonts w:ascii="Times New Roman" w:hAnsi="Times New Roman"/>
                      <w:color w:val="auto"/>
                      <w:kern w:val="0"/>
                      <w:szCs w:val="21"/>
                    </w:rPr>
                  </w:pPr>
                </w:p>
              </w:tc>
              <w:tc>
                <w:tcPr>
                  <w:tcW w:w="521" w:type="pct"/>
                  <w:vAlign w:val="center"/>
                </w:tcPr>
                <w:p w14:paraId="5C5581B9">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生产废水处理设施</w:t>
                  </w:r>
                </w:p>
              </w:tc>
              <w:tc>
                <w:tcPr>
                  <w:tcW w:w="574" w:type="pct"/>
                  <w:gridSpan w:val="2"/>
                  <w:vAlign w:val="center"/>
                </w:tcPr>
                <w:p w14:paraId="6E2C1FCC">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沉淀池</w:t>
                  </w:r>
                </w:p>
              </w:tc>
              <w:tc>
                <w:tcPr>
                  <w:tcW w:w="2316" w:type="pct"/>
                  <w:vAlign w:val="center"/>
                </w:tcPr>
                <w:p w14:paraId="1F4F5B92">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设置1个三级沉淀池：容积150m</w:t>
                  </w:r>
                  <w:r>
                    <w:rPr>
                      <w:rFonts w:ascii="Times New Roman" w:eastAsia="Times New Roman"/>
                      <w:color w:val="auto"/>
                      <w:kern w:val="2"/>
                      <w:sz w:val="21"/>
                      <w:szCs w:val="21"/>
                      <w:vertAlign w:val="superscript"/>
                    </w:rPr>
                    <w:t>3</w:t>
                  </w:r>
                  <w:r>
                    <w:rPr>
                      <w:rFonts w:ascii="Times New Roman" w:eastAsia="Times New Roman"/>
                      <w:color w:val="auto"/>
                      <w:kern w:val="2"/>
                      <w:sz w:val="21"/>
                      <w:szCs w:val="21"/>
                    </w:rPr>
                    <w:t>。</w:t>
                  </w:r>
                </w:p>
              </w:tc>
              <w:tc>
                <w:tcPr>
                  <w:tcW w:w="918" w:type="pct"/>
                  <w:vAlign w:val="center"/>
                </w:tcPr>
                <w:p w14:paraId="1F094441">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依托</w:t>
                  </w:r>
                  <w:r>
                    <w:rPr>
                      <w:rFonts w:hint="eastAsia" w:ascii="Times New Roman" w:hAnsi="Times New Roman" w:eastAsia="Times New Roman"/>
                      <w:color w:val="auto"/>
                      <w:szCs w:val="21"/>
                    </w:rPr>
                    <w:t>现有</w:t>
                  </w:r>
                  <w:r>
                    <w:rPr>
                      <w:rFonts w:ascii="Times New Roman" w:hAnsi="Times New Roman" w:eastAsia="Times New Roman"/>
                      <w:color w:val="auto"/>
                      <w:szCs w:val="21"/>
                    </w:rPr>
                    <w:t>项目已建生产废水处理设施</w:t>
                  </w:r>
                  <w:r>
                    <w:rPr>
                      <w:rFonts w:hint="eastAsia" w:ascii="Times New Roman" w:hAnsi="Times New Roman" w:eastAsia="Times New Roman"/>
                      <w:color w:val="auto"/>
                      <w:szCs w:val="21"/>
                    </w:rPr>
                    <w:t>。</w:t>
                  </w:r>
                </w:p>
              </w:tc>
            </w:tr>
            <w:tr w14:paraId="4DFE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2AAFF887">
                  <w:pPr>
                    <w:pStyle w:val="26"/>
                    <w:ind w:firstLine="0" w:firstLineChars="0"/>
                    <w:jc w:val="center"/>
                    <w:rPr>
                      <w:rFonts w:ascii="Times New Roman" w:hAnsi="Times New Roman"/>
                      <w:color w:val="auto"/>
                      <w:kern w:val="0"/>
                      <w:szCs w:val="21"/>
                    </w:rPr>
                  </w:pPr>
                </w:p>
              </w:tc>
              <w:tc>
                <w:tcPr>
                  <w:tcW w:w="521" w:type="pct"/>
                  <w:vAlign w:val="center"/>
                </w:tcPr>
                <w:p w14:paraId="2B83B0BC">
                  <w:pPr>
                    <w:pStyle w:val="26"/>
                    <w:ind w:firstLine="0" w:firstLineChars="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初期雨水</w:t>
                  </w:r>
                </w:p>
              </w:tc>
              <w:tc>
                <w:tcPr>
                  <w:tcW w:w="574" w:type="pct"/>
                  <w:gridSpan w:val="2"/>
                  <w:vAlign w:val="center"/>
                </w:tcPr>
                <w:p w14:paraId="4F697500">
                  <w:pPr>
                    <w:pStyle w:val="95"/>
                    <w:spacing w:line="240" w:lineRule="auto"/>
                    <w:ind w:firstLine="0" w:firstLineChars="0"/>
                    <w:rPr>
                      <w:rFonts w:hint="eastAsia"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集水池</w:t>
                  </w:r>
                </w:p>
              </w:tc>
              <w:tc>
                <w:tcPr>
                  <w:tcW w:w="2316" w:type="pct"/>
                  <w:vAlign w:val="center"/>
                </w:tcPr>
                <w:p w14:paraId="128C68B0">
                  <w:pPr>
                    <w:pStyle w:val="95"/>
                    <w:spacing w:line="240" w:lineRule="auto"/>
                    <w:ind w:firstLine="0" w:firstLineChars="0"/>
                    <w:jc w:val="left"/>
                    <w:rPr>
                      <w:rFonts w:hint="eastAsia" w:ascii="Times New Roman" w:eastAsia="宋体"/>
                      <w:color w:val="auto"/>
                      <w:kern w:val="2"/>
                      <w:sz w:val="21"/>
                      <w:szCs w:val="21"/>
                      <w:vertAlign w:val="baseline"/>
                      <w:lang w:val="en-US" w:eastAsia="zh-CN"/>
                    </w:rPr>
                  </w:pPr>
                  <w:r>
                    <w:rPr>
                      <w:rFonts w:hint="eastAsia" w:ascii="Times New Roman" w:eastAsia="宋体"/>
                      <w:color w:val="auto"/>
                      <w:kern w:val="2"/>
                      <w:sz w:val="21"/>
                      <w:szCs w:val="21"/>
                      <w:lang w:val="en-US" w:eastAsia="zh-CN"/>
                    </w:rPr>
                    <w:t>位于厂区的东侧，容积300</w:t>
                  </w:r>
                  <w:r>
                    <w:rPr>
                      <w:rFonts w:ascii="Times New Roman" w:eastAsia="Times New Roman"/>
                      <w:color w:val="auto"/>
                      <w:kern w:val="2"/>
                      <w:sz w:val="21"/>
                      <w:szCs w:val="21"/>
                    </w:rPr>
                    <w:t>m</w:t>
                  </w:r>
                  <w:r>
                    <w:rPr>
                      <w:rFonts w:ascii="Times New Roman" w:eastAsia="Times New Roman"/>
                      <w:color w:val="auto"/>
                      <w:kern w:val="2"/>
                      <w:sz w:val="21"/>
                      <w:szCs w:val="21"/>
                      <w:vertAlign w:val="superscript"/>
                    </w:rPr>
                    <w:t>3</w:t>
                  </w:r>
                  <w:r>
                    <w:rPr>
                      <w:rFonts w:hint="eastAsia" w:ascii="Times New Roman" w:eastAsia="宋体"/>
                      <w:color w:val="auto"/>
                      <w:kern w:val="2"/>
                      <w:sz w:val="21"/>
                      <w:szCs w:val="21"/>
                      <w:vertAlign w:val="baseline"/>
                      <w:lang w:val="en-US" w:eastAsia="zh-CN"/>
                    </w:rPr>
                    <w:t>。</w:t>
                  </w:r>
                </w:p>
              </w:tc>
              <w:tc>
                <w:tcPr>
                  <w:tcW w:w="918" w:type="pct"/>
                  <w:vAlign w:val="center"/>
                </w:tcPr>
                <w:p w14:paraId="577875AD">
                  <w:pPr>
                    <w:pStyle w:val="26"/>
                    <w:ind w:firstLine="0" w:firstLineChars="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已建的集水池</w:t>
                  </w:r>
                </w:p>
              </w:tc>
            </w:tr>
            <w:tr w14:paraId="7F5D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726783FC">
                  <w:pPr>
                    <w:pStyle w:val="26"/>
                    <w:ind w:firstLine="0" w:firstLineChars="0"/>
                    <w:jc w:val="center"/>
                    <w:rPr>
                      <w:rFonts w:ascii="Times New Roman" w:hAnsi="Times New Roman"/>
                      <w:color w:val="auto"/>
                      <w:kern w:val="0"/>
                      <w:szCs w:val="21"/>
                    </w:rPr>
                  </w:pPr>
                </w:p>
              </w:tc>
              <w:tc>
                <w:tcPr>
                  <w:tcW w:w="521" w:type="pct"/>
                  <w:vAlign w:val="center"/>
                </w:tcPr>
                <w:p w14:paraId="77B7EE40">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化粪池</w:t>
                  </w:r>
                </w:p>
              </w:tc>
              <w:tc>
                <w:tcPr>
                  <w:tcW w:w="574" w:type="pct"/>
                  <w:gridSpan w:val="2"/>
                  <w:vAlign w:val="center"/>
                </w:tcPr>
                <w:p w14:paraId="2EBAFE40">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卫生间</w:t>
                  </w:r>
                </w:p>
              </w:tc>
              <w:tc>
                <w:tcPr>
                  <w:tcW w:w="2316" w:type="pct"/>
                  <w:vAlign w:val="center"/>
                </w:tcPr>
                <w:p w14:paraId="228ADEE9">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在项目地块南侧，用于处理排泄污染物</w:t>
                  </w:r>
                  <w:r>
                    <w:rPr>
                      <w:rFonts w:hint="eastAsia" w:ascii="Times New Roman" w:eastAsia="Times New Roman"/>
                      <w:color w:val="auto"/>
                      <w:kern w:val="2"/>
                      <w:sz w:val="21"/>
                      <w:szCs w:val="21"/>
                    </w:rPr>
                    <w:t>，化粪池容积5</w:t>
                  </w:r>
                  <w:r>
                    <w:rPr>
                      <w:rFonts w:ascii="Times New Roman" w:eastAsia="Times New Roman"/>
                      <w:color w:val="auto"/>
                      <w:kern w:val="2"/>
                      <w:sz w:val="21"/>
                      <w:szCs w:val="21"/>
                    </w:rPr>
                    <w:t>m</w:t>
                  </w:r>
                  <w:r>
                    <w:rPr>
                      <w:rFonts w:ascii="Times New Roman" w:eastAsia="Times New Roman"/>
                      <w:color w:val="auto"/>
                      <w:kern w:val="2"/>
                      <w:sz w:val="21"/>
                      <w:szCs w:val="21"/>
                      <w:vertAlign w:val="superscript"/>
                    </w:rPr>
                    <w:t>3</w:t>
                  </w:r>
                  <w:r>
                    <w:rPr>
                      <w:rFonts w:ascii="Times New Roman" w:eastAsia="Times New Roman"/>
                      <w:color w:val="auto"/>
                      <w:kern w:val="2"/>
                      <w:sz w:val="21"/>
                      <w:szCs w:val="21"/>
                    </w:rPr>
                    <w:t>。</w:t>
                  </w:r>
                </w:p>
              </w:tc>
              <w:tc>
                <w:tcPr>
                  <w:tcW w:w="918" w:type="pct"/>
                  <w:vAlign w:val="center"/>
                </w:tcPr>
                <w:p w14:paraId="5C3689CD">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依托</w:t>
                  </w:r>
                  <w:r>
                    <w:rPr>
                      <w:rFonts w:hint="eastAsia" w:ascii="Times New Roman" w:hAnsi="Times New Roman" w:eastAsia="Times New Roman"/>
                      <w:color w:val="auto"/>
                      <w:szCs w:val="21"/>
                    </w:rPr>
                    <w:t>现有</w:t>
                  </w:r>
                  <w:r>
                    <w:rPr>
                      <w:rFonts w:ascii="Times New Roman" w:hAnsi="Times New Roman" w:eastAsia="Times New Roman"/>
                      <w:color w:val="auto"/>
                      <w:szCs w:val="21"/>
                    </w:rPr>
                    <w:t>项目已建化粪池</w:t>
                  </w:r>
                  <w:r>
                    <w:rPr>
                      <w:rFonts w:hint="eastAsia" w:ascii="Times New Roman" w:hAnsi="Times New Roman" w:eastAsia="Times New Roman"/>
                      <w:color w:val="auto"/>
                      <w:szCs w:val="21"/>
                    </w:rPr>
                    <w:t>。</w:t>
                  </w:r>
                </w:p>
              </w:tc>
            </w:tr>
            <w:tr w14:paraId="145C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0AD1998A">
                  <w:pPr>
                    <w:pStyle w:val="26"/>
                    <w:ind w:firstLine="0" w:firstLineChars="0"/>
                    <w:jc w:val="center"/>
                    <w:rPr>
                      <w:rFonts w:ascii="Times New Roman" w:hAnsi="Times New Roman"/>
                      <w:color w:val="auto"/>
                      <w:kern w:val="0"/>
                      <w:szCs w:val="21"/>
                    </w:rPr>
                  </w:pPr>
                </w:p>
              </w:tc>
              <w:tc>
                <w:tcPr>
                  <w:tcW w:w="521" w:type="pct"/>
                  <w:vMerge w:val="restart"/>
                  <w:vAlign w:val="center"/>
                </w:tcPr>
                <w:p w14:paraId="52E1EDAF">
                  <w:pPr>
                    <w:pStyle w:val="93"/>
                    <w:ind w:firstLine="0" w:firstLineChars="0"/>
                    <w:rPr>
                      <w:rFonts w:hint="default" w:eastAsia="宋体"/>
                      <w:color w:val="auto"/>
                      <w:kern w:val="0"/>
                      <w:lang w:val="en-US" w:eastAsia="zh-CN"/>
                    </w:rPr>
                  </w:pPr>
                  <w:r>
                    <w:rPr>
                      <w:rFonts w:hint="eastAsia" w:eastAsia="宋体"/>
                      <w:color w:val="auto"/>
                      <w:kern w:val="0"/>
                      <w:lang w:val="en-US" w:eastAsia="zh-CN"/>
                    </w:rPr>
                    <w:t>有组织粉尘</w:t>
                  </w:r>
                </w:p>
              </w:tc>
              <w:tc>
                <w:tcPr>
                  <w:tcW w:w="574" w:type="pct"/>
                  <w:gridSpan w:val="2"/>
                  <w:vMerge w:val="restart"/>
                  <w:vAlign w:val="center"/>
                </w:tcPr>
                <w:p w14:paraId="7B05A664">
                  <w:pPr>
                    <w:pStyle w:val="93"/>
                    <w:ind w:firstLine="0" w:firstLineChars="0"/>
                    <w:rPr>
                      <w:rFonts w:eastAsia="宋体"/>
                      <w:color w:val="auto"/>
                      <w:kern w:val="0"/>
                    </w:rPr>
                  </w:pPr>
                  <w:r>
                    <w:rPr>
                      <w:rFonts w:hint="eastAsia"/>
                      <w:color w:val="auto"/>
                    </w:rPr>
                    <w:t>10万t</w:t>
                  </w:r>
                  <w:r>
                    <w:rPr>
                      <w:color w:val="auto"/>
                    </w:rPr>
                    <w:t>商品混凝土生产线</w:t>
                  </w:r>
                  <w:r>
                    <w:rPr>
                      <w:rFonts w:eastAsia="宋体"/>
                      <w:color w:val="auto"/>
                      <w:kern w:val="0"/>
                    </w:rPr>
                    <w:t>筒仓</w:t>
                  </w:r>
                </w:p>
              </w:tc>
              <w:tc>
                <w:tcPr>
                  <w:tcW w:w="2316" w:type="pct"/>
                  <w:vAlign w:val="center"/>
                </w:tcPr>
                <w:p w14:paraId="54965D3A">
                  <w:pPr>
                    <w:pStyle w:val="95"/>
                    <w:wordWrap w:val="0"/>
                    <w:topLinePunct/>
                    <w:spacing w:line="240" w:lineRule="auto"/>
                    <w:ind w:firstLine="0" w:firstLineChars="0"/>
                    <w:jc w:val="left"/>
                    <w:rPr>
                      <w:rFonts w:ascii="Times New Roman"/>
                      <w:color w:val="auto"/>
                      <w:sz w:val="21"/>
                      <w:szCs w:val="21"/>
                    </w:rPr>
                  </w:pPr>
                  <w:r>
                    <w:rPr>
                      <w:rFonts w:hint="eastAsia" w:ascii="Times New Roman" w:eastAsia="Times New Roman"/>
                      <w:color w:val="auto"/>
                      <w:kern w:val="2"/>
                      <w:sz w:val="21"/>
                      <w:szCs w:val="21"/>
                    </w:rPr>
                    <w:t>5#新增的2个</w:t>
                  </w:r>
                  <w:r>
                    <w:rPr>
                      <w:rFonts w:ascii="Times New Roman" w:eastAsia="Times New Roman"/>
                      <w:color w:val="auto"/>
                      <w:kern w:val="2"/>
                      <w:sz w:val="21"/>
                      <w:szCs w:val="21"/>
                    </w:rPr>
                    <w:t>水泥筒</w:t>
                  </w:r>
                  <w:r>
                    <w:rPr>
                      <w:rFonts w:hint="eastAsia" w:ascii="Times New Roman" w:eastAsia="Times New Roman"/>
                      <w:color w:val="auto"/>
                      <w:kern w:val="2"/>
                      <w:sz w:val="21"/>
                      <w:szCs w:val="21"/>
                    </w:rPr>
                    <w:t>共用一套</w:t>
                  </w:r>
                  <w:r>
                    <w:rPr>
                      <w:rFonts w:ascii="Times New Roman" w:eastAsia="Times New Roman"/>
                      <w:color w:val="auto"/>
                      <w:kern w:val="2"/>
                      <w:sz w:val="21"/>
                      <w:szCs w:val="21"/>
                    </w:rPr>
                    <w:t>布袋除尘器</w:t>
                  </w:r>
                  <w:r>
                    <w:rPr>
                      <w:rFonts w:hint="eastAsia" w:ascii="Times New Roman" w:eastAsia="Times New Roman"/>
                      <w:color w:val="auto"/>
                      <w:kern w:val="2"/>
                      <w:sz w:val="21"/>
                      <w:szCs w:val="21"/>
                    </w:rPr>
                    <w:t>，处理后的废气经仓顶呼吸口（DA00</w:t>
                  </w:r>
                  <w:r>
                    <w:rPr>
                      <w:rFonts w:hint="eastAsia" w:ascii="Times New Roman" w:eastAsia="宋体"/>
                      <w:color w:val="auto"/>
                      <w:kern w:val="2"/>
                      <w:sz w:val="21"/>
                      <w:szCs w:val="21"/>
                      <w:lang w:val="en-US" w:eastAsia="zh-CN"/>
                    </w:rPr>
                    <w:t>4</w:t>
                  </w:r>
                  <w:r>
                    <w:rPr>
                      <w:rFonts w:hint="eastAsia" w:ascii="Times New Roman" w:eastAsia="Times New Roman"/>
                      <w:color w:val="auto"/>
                      <w:kern w:val="2"/>
                      <w:sz w:val="21"/>
                      <w:szCs w:val="21"/>
                    </w:rPr>
                    <w:t>）排放。</w:t>
                  </w:r>
                </w:p>
              </w:tc>
              <w:tc>
                <w:tcPr>
                  <w:tcW w:w="918" w:type="pct"/>
                  <w:vAlign w:val="center"/>
                </w:tcPr>
                <w:p w14:paraId="773ED89C">
                  <w:pPr>
                    <w:widowControl/>
                    <w:ind w:firstLine="0" w:firstLineChars="0"/>
                    <w:jc w:val="center"/>
                    <w:rPr>
                      <w:color w:val="auto"/>
                      <w:kern w:val="0"/>
                      <w:szCs w:val="21"/>
                      <w:lang w:bidi="ar"/>
                    </w:rPr>
                  </w:pPr>
                  <w:r>
                    <w:rPr>
                      <w:rFonts w:hint="eastAsia"/>
                      <w:color w:val="auto"/>
                      <w:kern w:val="0"/>
                      <w:szCs w:val="21"/>
                      <w:lang w:bidi="ar"/>
                    </w:rPr>
                    <w:t>新增</w:t>
                  </w:r>
                </w:p>
              </w:tc>
            </w:tr>
            <w:tr w14:paraId="024E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22949217">
                  <w:pPr>
                    <w:pStyle w:val="26"/>
                    <w:ind w:firstLine="0" w:firstLineChars="0"/>
                    <w:jc w:val="center"/>
                    <w:rPr>
                      <w:rFonts w:ascii="Times New Roman" w:hAnsi="Times New Roman"/>
                      <w:color w:val="auto"/>
                      <w:kern w:val="0"/>
                      <w:szCs w:val="21"/>
                    </w:rPr>
                  </w:pPr>
                </w:p>
              </w:tc>
              <w:tc>
                <w:tcPr>
                  <w:tcW w:w="521" w:type="pct"/>
                  <w:vMerge w:val="continue"/>
                  <w:vAlign w:val="center"/>
                </w:tcPr>
                <w:p w14:paraId="6F14CF60">
                  <w:pPr>
                    <w:pStyle w:val="93"/>
                    <w:ind w:firstLine="0" w:firstLineChars="0"/>
                    <w:rPr>
                      <w:color w:val="auto"/>
                    </w:rPr>
                  </w:pPr>
                </w:p>
              </w:tc>
              <w:tc>
                <w:tcPr>
                  <w:tcW w:w="574" w:type="pct"/>
                  <w:gridSpan w:val="2"/>
                  <w:vMerge w:val="continue"/>
                  <w:vAlign w:val="center"/>
                </w:tcPr>
                <w:p w14:paraId="0A404543">
                  <w:pPr>
                    <w:pStyle w:val="93"/>
                    <w:ind w:firstLine="0" w:firstLineChars="0"/>
                    <w:rPr>
                      <w:rFonts w:eastAsia="宋体"/>
                      <w:color w:val="auto"/>
                      <w:kern w:val="0"/>
                    </w:rPr>
                  </w:pPr>
                </w:p>
              </w:tc>
              <w:tc>
                <w:tcPr>
                  <w:tcW w:w="2316" w:type="pct"/>
                  <w:vAlign w:val="center"/>
                </w:tcPr>
                <w:p w14:paraId="06434D79">
                  <w:pPr>
                    <w:pStyle w:val="95"/>
                    <w:spacing w:line="240" w:lineRule="auto"/>
                    <w:ind w:firstLine="0" w:firstLineChars="0"/>
                    <w:jc w:val="left"/>
                    <w:rPr>
                      <w:rFonts w:ascii="Times New Roman" w:eastAsia="Times New Roman"/>
                      <w:color w:val="auto"/>
                      <w:kern w:val="2"/>
                      <w:sz w:val="21"/>
                      <w:szCs w:val="21"/>
                    </w:rPr>
                  </w:pPr>
                  <w:r>
                    <w:rPr>
                      <w:rFonts w:hint="eastAsia" w:ascii="Times New Roman" w:eastAsia="Times New Roman"/>
                      <w:color w:val="auto"/>
                      <w:kern w:val="2"/>
                      <w:sz w:val="21"/>
                      <w:szCs w:val="21"/>
                    </w:rPr>
                    <w:t>6#粉煤灰</w:t>
                  </w:r>
                  <w:r>
                    <w:rPr>
                      <w:rFonts w:ascii="Times New Roman" w:eastAsia="Times New Roman"/>
                      <w:color w:val="auto"/>
                      <w:kern w:val="2"/>
                      <w:sz w:val="21"/>
                      <w:szCs w:val="21"/>
                    </w:rPr>
                    <w:t>筒仓顶部设置布袋除尘器</w:t>
                  </w:r>
                  <w:r>
                    <w:rPr>
                      <w:rFonts w:hint="eastAsia" w:ascii="Times New Roman" w:eastAsia="Times New Roman"/>
                      <w:color w:val="auto"/>
                      <w:kern w:val="2"/>
                      <w:sz w:val="21"/>
                      <w:szCs w:val="21"/>
                    </w:rPr>
                    <w:t>，处理后的废气经仓顶呼吸口（DA00</w:t>
                  </w:r>
                  <w:r>
                    <w:rPr>
                      <w:rFonts w:hint="eastAsia" w:ascii="Times New Roman" w:eastAsia="宋体"/>
                      <w:color w:val="auto"/>
                      <w:kern w:val="2"/>
                      <w:sz w:val="21"/>
                      <w:szCs w:val="21"/>
                      <w:lang w:val="en-US" w:eastAsia="zh-CN"/>
                    </w:rPr>
                    <w:t>5</w:t>
                  </w:r>
                  <w:r>
                    <w:rPr>
                      <w:rFonts w:hint="eastAsia" w:ascii="Times New Roman" w:eastAsia="Times New Roman"/>
                      <w:color w:val="auto"/>
                      <w:kern w:val="2"/>
                      <w:sz w:val="21"/>
                      <w:szCs w:val="21"/>
                    </w:rPr>
                    <w:t>）排放。</w:t>
                  </w:r>
                </w:p>
              </w:tc>
              <w:tc>
                <w:tcPr>
                  <w:tcW w:w="918" w:type="pct"/>
                  <w:vAlign w:val="center"/>
                </w:tcPr>
                <w:p w14:paraId="094731D9">
                  <w:pPr>
                    <w:widowControl/>
                    <w:ind w:firstLine="0" w:firstLineChars="0"/>
                    <w:jc w:val="center"/>
                    <w:rPr>
                      <w:color w:val="auto"/>
                      <w:kern w:val="0"/>
                      <w:szCs w:val="21"/>
                      <w:lang w:bidi="ar"/>
                    </w:rPr>
                  </w:pPr>
                  <w:r>
                    <w:rPr>
                      <w:rFonts w:hint="eastAsia"/>
                      <w:color w:val="auto"/>
                      <w:kern w:val="0"/>
                      <w:szCs w:val="21"/>
                      <w:lang w:bidi="ar"/>
                    </w:rPr>
                    <w:t>新增</w:t>
                  </w:r>
                </w:p>
              </w:tc>
            </w:tr>
            <w:tr w14:paraId="2B2A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68" w:type="pct"/>
                  <w:vMerge w:val="continue"/>
                  <w:vAlign w:val="center"/>
                </w:tcPr>
                <w:p w14:paraId="675522DE">
                  <w:pPr>
                    <w:pStyle w:val="26"/>
                    <w:ind w:firstLine="0" w:firstLineChars="0"/>
                    <w:jc w:val="center"/>
                    <w:rPr>
                      <w:rFonts w:ascii="Times New Roman" w:hAnsi="Times New Roman"/>
                      <w:color w:val="auto"/>
                      <w:kern w:val="0"/>
                      <w:szCs w:val="21"/>
                    </w:rPr>
                  </w:pPr>
                </w:p>
              </w:tc>
              <w:tc>
                <w:tcPr>
                  <w:tcW w:w="521" w:type="pct"/>
                  <w:vMerge w:val="continue"/>
                  <w:vAlign w:val="center"/>
                </w:tcPr>
                <w:p w14:paraId="05AF645D">
                  <w:pPr>
                    <w:pStyle w:val="93"/>
                    <w:ind w:firstLine="0" w:firstLineChars="0"/>
                    <w:rPr>
                      <w:color w:val="auto"/>
                    </w:rPr>
                  </w:pPr>
                </w:p>
              </w:tc>
              <w:tc>
                <w:tcPr>
                  <w:tcW w:w="574" w:type="pct"/>
                  <w:gridSpan w:val="2"/>
                  <w:vMerge w:val="continue"/>
                  <w:vAlign w:val="center"/>
                </w:tcPr>
                <w:p w14:paraId="5859D14E">
                  <w:pPr>
                    <w:pStyle w:val="93"/>
                    <w:ind w:firstLine="0" w:firstLineChars="0"/>
                    <w:rPr>
                      <w:rFonts w:eastAsia="宋体"/>
                      <w:color w:val="auto"/>
                      <w:kern w:val="0"/>
                    </w:rPr>
                  </w:pPr>
                </w:p>
              </w:tc>
              <w:tc>
                <w:tcPr>
                  <w:tcW w:w="2316" w:type="pct"/>
                  <w:vAlign w:val="center"/>
                </w:tcPr>
                <w:p w14:paraId="7F140724">
                  <w:pPr>
                    <w:pStyle w:val="95"/>
                    <w:spacing w:line="240" w:lineRule="auto"/>
                    <w:ind w:firstLine="0" w:firstLineChars="0"/>
                    <w:jc w:val="left"/>
                    <w:rPr>
                      <w:rFonts w:ascii="Times New Roman" w:eastAsia="Times New Roman"/>
                      <w:color w:val="auto"/>
                      <w:kern w:val="2"/>
                      <w:sz w:val="21"/>
                      <w:szCs w:val="21"/>
                    </w:rPr>
                  </w:pPr>
                  <w:r>
                    <w:rPr>
                      <w:rFonts w:hint="eastAsia" w:ascii="Times New Roman" w:eastAsia="Times New Roman"/>
                      <w:color w:val="auto"/>
                      <w:kern w:val="2"/>
                      <w:sz w:val="21"/>
                      <w:szCs w:val="21"/>
                    </w:rPr>
                    <w:t>7#</w:t>
                  </w:r>
                  <w:r>
                    <w:rPr>
                      <w:rFonts w:hint="eastAsia"/>
                      <w:color w:val="auto"/>
                      <w:sz w:val="21"/>
                      <w:szCs w:val="21"/>
                    </w:rPr>
                    <w:t>矿粉</w:t>
                  </w:r>
                  <w:r>
                    <w:rPr>
                      <w:rFonts w:ascii="Times New Roman" w:eastAsia="Times New Roman"/>
                      <w:color w:val="auto"/>
                      <w:kern w:val="2"/>
                      <w:sz w:val="21"/>
                      <w:szCs w:val="21"/>
                    </w:rPr>
                    <w:t>筒仓顶部设置布袋除尘器</w:t>
                  </w:r>
                  <w:r>
                    <w:rPr>
                      <w:rFonts w:hint="eastAsia" w:ascii="Times New Roman" w:eastAsia="Times New Roman"/>
                      <w:color w:val="auto"/>
                      <w:kern w:val="2"/>
                      <w:sz w:val="21"/>
                      <w:szCs w:val="21"/>
                    </w:rPr>
                    <w:t>，处理后的废气经仓顶呼吸口（DA00</w:t>
                  </w:r>
                  <w:r>
                    <w:rPr>
                      <w:rFonts w:hint="eastAsia" w:ascii="Times New Roman" w:eastAsia="宋体"/>
                      <w:color w:val="auto"/>
                      <w:kern w:val="2"/>
                      <w:sz w:val="21"/>
                      <w:szCs w:val="21"/>
                      <w:lang w:val="en-US" w:eastAsia="zh-CN"/>
                    </w:rPr>
                    <w:t>6</w:t>
                  </w:r>
                  <w:r>
                    <w:rPr>
                      <w:rFonts w:hint="eastAsia" w:ascii="Times New Roman" w:eastAsia="Times New Roman"/>
                      <w:color w:val="auto"/>
                      <w:kern w:val="2"/>
                      <w:sz w:val="21"/>
                      <w:szCs w:val="21"/>
                    </w:rPr>
                    <w:t>）排放。</w:t>
                  </w:r>
                </w:p>
              </w:tc>
              <w:tc>
                <w:tcPr>
                  <w:tcW w:w="918" w:type="pct"/>
                  <w:vAlign w:val="center"/>
                </w:tcPr>
                <w:p w14:paraId="07CA7A69">
                  <w:pPr>
                    <w:widowControl/>
                    <w:ind w:firstLine="0" w:firstLineChars="0"/>
                    <w:jc w:val="center"/>
                    <w:rPr>
                      <w:color w:val="auto"/>
                      <w:kern w:val="0"/>
                      <w:szCs w:val="21"/>
                      <w:lang w:bidi="ar"/>
                    </w:rPr>
                  </w:pPr>
                  <w:r>
                    <w:rPr>
                      <w:rFonts w:hint="eastAsia"/>
                      <w:color w:val="auto"/>
                      <w:kern w:val="0"/>
                      <w:szCs w:val="21"/>
                      <w:lang w:bidi="ar"/>
                    </w:rPr>
                    <w:t>新增</w:t>
                  </w:r>
                </w:p>
              </w:tc>
            </w:tr>
            <w:tr w14:paraId="1965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27E9D091">
                  <w:pPr>
                    <w:pStyle w:val="26"/>
                    <w:ind w:firstLine="0" w:firstLineChars="0"/>
                    <w:jc w:val="center"/>
                    <w:rPr>
                      <w:rFonts w:ascii="Times New Roman" w:hAnsi="Times New Roman"/>
                      <w:color w:val="auto"/>
                      <w:kern w:val="0"/>
                      <w:szCs w:val="21"/>
                    </w:rPr>
                  </w:pPr>
                </w:p>
              </w:tc>
              <w:tc>
                <w:tcPr>
                  <w:tcW w:w="521" w:type="pct"/>
                  <w:vMerge w:val="restart"/>
                  <w:vAlign w:val="center"/>
                </w:tcPr>
                <w:p w14:paraId="23FAB144">
                  <w:pPr>
                    <w:widowControl/>
                    <w:ind w:firstLine="0" w:firstLineChars="0"/>
                    <w:jc w:val="center"/>
                    <w:rPr>
                      <w:color w:val="auto"/>
                      <w:szCs w:val="21"/>
                    </w:rPr>
                  </w:pPr>
                  <w:r>
                    <w:rPr>
                      <w:color w:val="auto"/>
                      <w:kern w:val="0"/>
                      <w:szCs w:val="21"/>
                      <w:lang w:bidi="ar"/>
                    </w:rPr>
                    <w:t>无组织</w:t>
                  </w:r>
                </w:p>
                <w:p w14:paraId="7FAD4F73">
                  <w:pPr>
                    <w:widowControl/>
                    <w:ind w:firstLine="0" w:firstLineChars="0"/>
                    <w:jc w:val="center"/>
                    <w:rPr>
                      <w:color w:val="auto"/>
                      <w:kern w:val="0"/>
                      <w:szCs w:val="21"/>
                    </w:rPr>
                  </w:pPr>
                  <w:r>
                    <w:rPr>
                      <w:color w:val="auto"/>
                      <w:kern w:val="0"/>
                      <w:szCs w:val="21"/>
                      <w:lang w:bidi="ar"/>
                    </w:rPr>
                    <w:t>粉尘治理</w:t>
                  </w:r>
                </w:p>
              </w:tc>
              <w:tc>
                <w:tcPr>
                  <w:tcW w:w="574" w:type="pct"/>
                  <w:gridSpan w:val="2"/>
                  <w:vAlign w:val="center"/>
                </w:tcPr>
                <w:p w14:paraId="6159EAF1">
                  <w:pPr>
                    <w:pStyle w:val="93"/>
                    <w:ind w:firstLine="0" w:firstLineChars="0"/>
                    <w:rPr>
                      <w:color w:val="auto"/>
                      <w:kern w:val="0"/>
                      <w:lang w:bidi="ar"/>
                    </w:rPr>
                  </w:pPr>
                  <w:r>
                    <w:rPr>
                      <w:rFonts w:hint="eastAsia" w:eastAsia="宋体"/>
                      <w:color w:val="auto"/>
                      <w:kern w:val="0"/>
                    </w:rPr>
                    <w:t>拌合站</w:t>
                  </w:r>
                </w:p>
              </w:tc>
              <w:tc>
                <w:tcPr>
                  <w:tcW w:w="2316" w:type="pct"/>
                  <w:vAlign w:val="center"/>
                </w:tcPr>
                <w:p w14:paraId="484D9D10">
                  <w:pPr>
                    <w:widowControl/>
                    <w:ind w:firstLine="0" w:firstLineChars="0"/>
                    <w:jc w:val="left"/>
                    <w:rPr>
                      <w:color w:val="auto"/>
                      <w:kern w:val="0"/>
                      <w:szCs w:val="21"/>
                      <w:lang w:bidi="ar"/>
                    </w:rPr>
                  </w:pPr>
                  <w:r>
                    <w:rPr>
                      <w:rFonts w:hint="eastAsia"/>
                      <w:color w:val="auto"/>
                      <w:kern w:val="0"/>
                      <w:szCs w:val="21"/>
                      <w:lang w:bidi="ar"/>
                    </w:rPr>
                    <w:t>拌合站投料口设置1个集气罩收集，经布袋除尘器处理后的</w:t>
                  </w:r>
                  <w:r>
                    <w:rPr>
                      <w:rFonts w:hint="eastAsia"/>
                      <w:color w:val="auto"/>
                      <w:kern w:val="0"/>
                      <w:szCs w:val="21"/>
                      <w:lang w:val="en-US" w:eastAsia="zh-CN" w:bidi="ar"/>
                    </w:rPr>
                    <w:t>颗粒物呈</w:t>
                  </w:r>
                  <w:r>
                    <w:rPr>
                      <w:rFonts w:hint="eastAsia"/>
                      <w:color w:val="auto"/>
                      <w:kern w:val="0"/>
                      <w:szCs w:val="21"/>
                      <w:lang w:bidi="ar"/>
                    </w:rPr>
                    <w:t>无组织</w:t>
                  </w:r>
                  <w:r>
                    <w:rPr>
                      <w:rFonts w:hint="eastAsia"/>
                      <w:color w:val="auto"/>
                      <w:kern w:val="0"/>
                      <w:szCs w:val="21"/>
                      <w:lang w:val="en-US" w:eastAsia="zh-CN" w:bidi="ar"/>
                    </w:rPr>
                    <w:t>扩散</w:t>
                  </w:r>
                  <w:r>
                    <w:rPr>
                      <w:color w:val="auto"/>
                      <w:kern w:val="0"/>
                      <w:szCs w:val="21"/>
                      <w:lang w:bidi="ar"/>
                    </w:rPr>
                    <w:t>。</w:t>
                  </w:r>
                  <w:r>
                    <w:rPr>
                      <w:rFonts w:hint="eastAsia"/>
                      <w:color w:val="auto"/>
                      <w:kern w:val="0"/>
                      <w:szCs w:val="21"/>
                      <w:lang w:bidi="ar"/>
                    </w:rPr>
                    <w:t xml:space="preserve"> </w:t>
                  </w:r>
                </w:p>
              </w:tc>
              <w:tc>
                <w:tcPr>
                  <w:tcW w:w="918" w:type="pct"/>
                  <w:vAlign w:val="center"/>
                </w:tcPr>
                <w:p w14:paraId="7708BE37">
                  <w:pPr>
                    <w:widowControl/>
                    <w:ind w:firstLine="0" w:firstLineChars="0"/>
                    <w:jc w:val="center"/>
                    <w:rPr>
                      <w:color w:val="auto"/>
                      <w:kern w:val="0"/>
                      <w:szCs w:val="21"/>
                      <w:lang w:bidi="ar"/>
                    </w:rPr>
                  </w:pPr>
                  <w:r>
                    <w:rPr>
                      <w:rFonts w:hint="eastAsia"/>
                      <w:color w:val="auto"/>
                      <w:kern w:val="0"/>
                      <w:szCs w:val="21"/>
                      <w:lang w:bidi="ar"/>
                    </w:rPr>
                    <w:t>拌合站环保设施为本次扩建项目新增。</w:t>
                  </w:r>
                </w:p>
              </w:tc>
            </w:tr>
            <w:tr w14:paraId="4FC0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7A0C2139">
                  <w:pPr>
                    <w:pStyle w:val="26"/>
                    <w:ind w:firstLine="0" w:firstLineChars="0"/>
                    <w:jc w:val="center"/>
                    <w:rPr>
                      <w:rFonts w:ascii="Times New Roman" w:hAnsi="Times New Roman"/>
                      <w:color w:val="auto"/>
                      <w:kern w:val="0"/>
                      <w:szCs w:val="21"/>
                    </w:rPr>
                  </w:pPr>
                </w:p>
              </w:tc>
              <w:tc>
                <w:tcPr>
                  <w:tcW w:w="521" w:type="pct"/>
                  <w:vMerge w:val="continue"/>
                  <w:vAlign w:val="center"/>
                </w:tcPr>
                <w:p w14:paraId="62F88893">
                  <w:pPr>
                    <w:widowControl/>
                    <w:ind w:firstLine="0" w:firstLineChars="0"/>
                    <w:jc w:val="center"/>
                    <w:rPr>
                      <w:color w:val="auto"/>
                      <w:kern w:val="0"/>
                      <w:szCs w:val="21"/>
                    </w:rPr>
                  </w:pPr>
                </w:p>
              </w:tc>
              <w:tc>
                <w:tcPr>
                  <w:tcW w:w="574" w:type="pct"/>
                  <w:gridSpan w:val="2"/>
                  <w:vAlign w:val="center"/>
                </w:tcPr>
                <w:p w14:paraId="5E9FA248">
                  <w:pPr>
                    <w:widowControl/>
                    <w:ind w:firstLine="0" w:firstLineChars="0"/>
                    <w:jc w:val="center"/>
                    <w:rPr>
                      <w:color w:val="auto"/>
                      <w:kern w:val="0"/>
                      <w:szCs w:val="21"/>
                    </w:rPr>
                  </w:pPr>
                  <w:r>
                    <w:rPr>
                      <w:color w:val="auto"/>
                      <w:kern w:val="0"/>
                      <w:szCs w:val="21"/>
                      <w:lang w:bidi="ar"/>
                    </w:rPr>
                    <w:t>混凝土</w:t>
                  </w:r>
                  <w:r>
                    <w:rPr>
                      <w:rFonts w:hint="eastAsia"/>
                      <w:color w:val="auto"/>
                      <w:kern w:val="0"/>
                      <w:szCs w:val="21"/>
                      <w:lang w:bidi="ar"/>
                    </w:rPr>
                    <w:t>拌合站</w:t>
                  </w:r>
                  <w:r>
                    <w:rPr>
                      <w:color w:val="auto"/>
                      <w:kern w:val="0"/>
                      <w:szCs w:val="21"/>
                      <w:lang w:bidi="ar"/>
                    </w:rPr>
                    <w:t>封闭措施</w:t>
                  </w:r>
                </w:p>
              </w:tc>
              <w:tc>
                <w:tcPr>
                  <w:tcW w:w="2316" w:type="pct"/>
                  <w:vAlign w:val="center"/>
                </w:tcPr>
                <w:p w14:paraId="5949DDD1">
                  <w:pPr>
                    <w:widowControl/>
                    <w:ind w:firstLine="0" w:firstLineChars="0"/>
                    <w:jc w:val="left"/>
                    <w:rPr>
                      <w:color w:val="auto"/>
                      <w:szCs w:val="21"/>
                    </w:rPr>
                  </w:pPr>
                  <w:r>
                    <w:rPr>
                      <w:rFonts w:hint="eastAsia"/>
                      <w:color w:val="auto"/>
                      <w:kern w:val="0"/>
                      <w:szCs w:val="21"/>
                      <w:lang w:bidi="ar"/>
                    </w:rPr>
                    <w:t>拌合站</w:t>
                  </w:r>
                  <w:r>
                    <w:rPr>
                      <w:color w:val="auto"/>
                      <w:kern w:val="0"/>
                      <w:szCs w:val="21"/>
                      <w:lang w:bidi="ar"/>
                    </w:rPr>
                    <w:t>主体二层及以上部分、原材料上料、配料、搅拌等设施、设备均进行封闭处理。</w:t>
                  </w:r>
                </w:p>
              </w:tc>
              <w:tc>
                <w:tcPr>
                  <w:tcW w:w="918" w:type="pct"/>
                  <w:vAlign w:val="center"/>
                </w:tcPr>
                <w:p w14:paraId="263A90AB">
                  <w:pPr>
                    <w:pStyle w:val="26"/>
                    <w:ind w:firstLine="0" w:firstLineChars="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新建</w:t>
                  </w:r>
                </w:p>
              </w:tc>
            </w:tr>
            <w:tr w14:paraId="77FD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3EEBAEE2">
                  <w:pPr>
                    <w:pStyle w:val="26"/>
                    <w:ind w:firstLine="0" w:firstLineChars="0"/>
                    <w:jc w:val="center"/>
                    <w:rPr>
                      <w:rFonts w:ascii="Times New Roman" w:hAnsi="Times New Roman"/>
                      <w:color w:val="auto"/>
                      <w:kern w:val="0"/>
                      <w:szCs w:val="21"/>
                    </w:rPr>
                  </w:pPr>
                </w:p>
              </w:tc>
              <w:tc>
                <w:tcPr>
                  <w:tcW w:w="521" w:type="pct"/>
                  <w:vMerge w:val="continue"/>
                  <w:vAlign w:val="center"/>
                </w:tcPr>
                <w:p w14:paraId="45AEC15C">
                  <w:pPr>
                    <w:pStyle w:val="26"/>
                    <w:ind w:firstLine="0" w:firstLineChars="0"/>
                    <w:jc w:val="center"/>
                    <w:rPr>
                      <w:rFonts w:ascii="Times New Roman" w:hAnsi="Times New Roman"/>
                      <w:color w:val="auto"/>
                      <w:kern w:val="0"/>
                      <w:szCs w:val="21"/>
                    </w:rPr>
                  </w:pPr>
                </w:p>
              </w:tc>
              <w:tc>
                <w:tcPr>
                  <w:tcW w:w="574" w:type="pct"/>
                  <w:gridSpan w:val="2"/>
                  <w:vAlign w:val="center"/>
                </w:tcPr>
                <w:p w14:paraId="7A139970">
                  <w:pPr>
                    <w:widowControl/>
                    <w:ind w:firstLine="0" w:firstLineChars="0"/>
                    <w:jc w:val="center"/>
                    <w:rPr>
                      <w:color w:val="auto"/>
                      <w:kern w:val="0"/>
                      <w:szCs w:val="21"/>
                    </w:rPr>
                  </w:pPr>
                  <w:r>
                    <w:rPr>
                      <w:color w:val="auto"/>
                    </w:rPr>
                    <w:t>制砂车间</w:t>
                  </w:r>
                  <w:r>
                    <w:rPr>
                      <w:color w:val="auto"/>
                      <w:kern w:val="0"/>
                      <w:szCs w:val="21"/>
                      <w:lang w:bidi="ar"/>
                    </w:rPr>
                    <w:t>封闭措施及物料加湿措施</w:t>
                  </w:r>
                </w:p>
              </w:tc>
              <w:tc>
                <w:tcPr>
                  <w:tcW w:w="2316" w:type="pct"/>
                  <w:vAlign w:val="center"/>
                </w:tcPr>
                <w:p w14:paraId="31649C96">
                  <w:pPr>
                    <w:widowControl/>
                    <w:ind w:firstLine="0" w:firstLineChars="0"/>
                    <w:jc w:val="left"/>
                    <w:rPr>
                      <w:color w:val="auto"/>
                      <w:szCs w:val="21"/>
                    </w:rPr>
                  </w:pPr>
                  <w:r>
                    <w:rPr>
                      <w:color w:val="auto"/>
                    </w:rPr>
                    <w:t>对制砂车间</w:t>
                  </w:r>
                  <w:r>
                    <w:rPr>
                      <w:color w:val="auto"/>
                      <w:kern w:val="0"/>
                      <w:szCs w:val="21"/>
                      <w:lang w:bidi="ar"/>
                    </w:rPr>
                    <w:t>进行</w:t>
                  </w:r>
                  <w:r>
                    <w:rPr>
                      <w:rFonts w:hint="eastAsia"/>
                      <w:color w:val="auto"/>
                      <w:kern w:val="0"/>
                      <w:szCs w:val="21"/>
                      <w:lang w:bidi="ar"/>
                    </w:rPr>
                    <w:t>彩钢瓦</w:t>
                  </w:r>
                  <w:r>
                    <w:rPr>
                      <w:color w:val="auto"/>
                      <w:kern w:val="0"/>
                      <w:szCs w:val="21"/>
                      <w:lang w:bidi="ar"/>
                    </w:rPr>
                    <w:t>封闭处理</w:t>
                  </w:r>
                  <w:r>
                    <w:rPr>
                      <w:rFonts w:hint="eastAsia"/>
                      <w:color w:val="auto"/>
                      <w:kern w:val="0"/>
                      <w:szCs w:val="21"/>
                      <w:lang w:bidi="ar"/>
                    </w:rPr>
                    <w:t>，并设置车间喷雾降尘措施</w:t>
                  </w:r>
                  <w:r>
                    <w:rPr>
                      <w:color w:val="auto"/>
                      <w:kern w:val="0"/>
                      <w:szCs w:val="21"/>
                      <w:lang w:bidi="ar"/>
                    </w:rPr>
                    <w:t>。</w:t>
                  </w:r>
                </w:p>
              </w:tc>
              <w:tc>
                <w:tcPr>
                  <w:tcW w:w="918" w:type="pct"/>
                  <w:vAlign w:val="center"/>
                </w:tcPr>
                <w:p w14:paraId="1824A62A">
                  <w:pPr>
                    <w:pStyle w:val="26"/>
                    <w:ind w:firstLine="0" w:firstLineChars="0"/>
                    <w:jc w:val="center"/>
                    <w:rPr>
                      <w:rFonts w:ascii="Times New Roman" w:hAnsi="Times New Roman" w:eastAsia="Times New Roman"/>
                      <w:color w:val="auto"/>
                      <w:szCs w:val="21"/>
                    </w:rPr>
                  </w:pPr>
                  <w:r>
                    <w:rPr>
                      <w:rFonts w:hint="eastAsia" w:ascii="Times New Roman" w:hAnsi="Times New Roman"/>
                      <w:color w:val="auto"/>
                      <w:kern w:val="0"/>
                      <w:szCs w:val="21"/>
                      <w:lang w:bidi="ar"/>
                    </w:rPr>
                    <w:t>新增</w:t>
                  </w:r>
                </w:p>
              </w:tc>
            </w:tr>
            <w:tr w14:paraId="48E6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3B57CEF4">
                  <w:pPr>
                    <w:pStyle w:val="26"/>
                    <w:ind w:firstLine="0" w:firstLineChars="0"/>
                    <w:jc w:val="center"/>
                    <w:rPr>
                      <w:rFonts w:ascii="Times New Roman" w:hAnsi="Times New Roman"/>
                      <w:color w:val="auto"/>
                      <w:kern w:val="0"/>
                      <w:szCs w:val="21"/>
                    </w:rPr>
                  </w:pPr>
                </w:p>
              </w:tc>
              <w:tc>
                <w:tcPr>
                  <w:tcW w:w="521" w:type="pct"/>
                  <w:vMerge w:val="continue"/>
                  <w:vAlign w:val="center"/>
                </w:tcPr>
                <w:p w14:paraId="20F4FA69">
                  <w:pPr>
                    <w:pStyle w:val="26"/>
                    <w:ind w:firstLine="0" w:firstLineChars="0"/>
                    <w:jc w:val="center"/>
                    <w:rPr>
                      <w:rFonts w:ascii="Times New Roman" w:hAnsi="Times New Roman"/>
                      <w:color w:val="auto"/>
                      <w:kern w:val="0"/>
                      <w:szCs w:val="21"/>
                    </w:rPr>
                  </w:pPr>
                </w:p>
              </w:tc>
              <w:tc>
                <w:tcPr>
                  <w:tcW w:w="574" w:type="pct"/>
                  <w:gridSpan w:val="2"/>
                  <w:vAlign w:val="center"/>
                </w:tcPr>
                <w:p w14:paraId="0F4A082D">
                  <w:pPr>
                    <w:widowControl/>
                    <w:ind w:firstLine="0" w:firstLineChars="0"/>
                    <w:jc w:val="center"/>
                    <w:rPr>
                      <w:color w:val="auto"/>
                      <w:kern w:val="0"/>
                      <w:szCs w:val="21"/>
                    </w:rPr>
                  </w:pPr>
                  <w:r>
                    <w:rPr>
                      <w:color w:val="auto"/>
                      <w:kern w:val="0"/>
                      <w:szCs w:val="21"/>
                      <w:lang w:bidi="ar"/>
                    </w:rPr>
                    <w:t>骨料皮带输送机抑尘措施</w:t>
                  </w:r>
                </w:p>
              </w:tc>
              <w:tc>
                <w:tcPr>
                  <w:tcW w:w="2316" w:type="pct"/>
                  <w:vAlign w:val="center"/>
                </w:tcPr>
                <w:p w14:paraId="0E5EE9FD">
                  <w:pPr>
                    <w:widowControl/>
                    <w:ind w:firstLine="0" w:firstLineChars="0"/>
                    <w:jc w:val="left"/>
                    <w:rPr>
                      <w:color w:val="auto"/>
                      <w:szCs w:val="21"/>
                    </w:rPr>
                  </w:pPr>
                  <w:r>
                    <w:rPr>
                      <w:color w:val="auto"/>
                      <w:kern w:val="0"/>
                      <w:szCs w:val="21"/>
                      <w:lang w:bidi="ar"/>
                    </w:rPr>
                    <w:t>皮带输送机廊道设置全封闭皮带输送系统。</w:t>
                  </w:r>
                </w:p>
              </w:tc>
              <w:tc>
                <w:tcPr>
                  <w:tcW w:w="918" w:type="pct"/>
                  <w:vAlign w:val="center"/>
                </w:tcPr>
                <w:p w14:paraId="6F87D081">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其中50m为现有项目已建密闭皮带，20m为新增密闭皮带。</w:t>
                  </w:r>
                </w:p>
              </w:tc>
            </w:tr>
            <w:tr w14:paraId="7D94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22B6EDC6">
                  <w:pPr>
                    <w:pStyle w:val="26"/>
                    <w:ind w:firstLine="0" w:firstLineChars="0"/>
                    <w:jc w:val="center"/>
                    <w:rPr>
                      <w:rFonts w:ascii="Times New Roman" w:hAnsi="Times New Roman"/>
                      <w:color w:val="auto"/>
                      <w:kern w:val="0"/>
                      <w:szCs w:val="21"/>
                    </w:rPr>
                  </w:pPr>
                </w:p>
              </w:tc>
              <w:tc>
                <w:tcPr>
                  <w:tcW w:w="521" w:type="pct"/>
                  <w:vMerge w:val="continue"/>
                  <w:vAlign w:val="center"/>
                </w:tcPr>
                <w:p w14:paraId="21B95C53">
                  <w:pPr>
                    <w:pStyle w:val="26"/>
                    <w:ind w:firstLine="0" w:firstLineChars="0"/>
                    <w:jc w:val="center"/>
                    <w:rPr>
                      <w:rFonts w:ascii="Times New Roman" w:hAnsi="Times New Roman"/>
                      <w:color w:val="auto"/>
                      <w:kern w:val="0"/>
                      <w:szCs w:val="21"/>
                    </w:rPr>
                  </w:pPr>
                </w:p>
              </w:tc>
              <w:tc>
                <w:tcPr>
                  <w:tcW w:w="574" w:type="pct"/>
                  <w:gridSpan w:val="2"/>
                  <w:vAlign w:val="center"/>
                </w:tcPr>
                <w:p w14:paraId="4407C387">
                  <w:pPr>
                    <w:widowControl/>
                    <w:ind w:firstLine="0" w:firstLineChars="0"/>
                    <w:jc w:val="center"/>
                    <w:rPr>
                      <w:color w:val="auto"/>
                      <w:kern w:val="0"/>
                      <w:szCs w:val="21"/>
                    </w:rPr>
                  </w:pPr>
                  <w:r>
                    <w:rPr>
                      <w:color w:val="auto"/>
                      <w:kern w:val="0"/>
                      <w:szCs w:val="21"/>
                      <w:lang w:bidi="ar"/>
                    </w:rPr>
                    <w:t>骨料料仓抑尘措施</w:t>
                  </w:r>
                </w:p>
              </w:tc>
              <w:tc>
                <w:tcPr>
                  <w:tcW w:w="2316" w:type="pct"/>
                  <w:vAlign w:val="center"/>
                </w:tcPr>
                <w:p w14:paraId="2A7C070E">
                  <w:pPr>
                    <w:widowControl/>
                    <w:ind w:firstLine="0" w:firstLineChars="0"/>
                    <w:jc w:val="left"/>
                    <w:rPr>
                      <w:color w:val="auto"/>
                      <w:szCs w:val="21"/>
                    </w:rPr>
                  </w:pPr>
                  <w:r>
                    <w:rPr>
                      <w:color w:val="auto"/>
                      <w:kern w:val="0"/>
                      <w:szCs w:val="21"/>
                      <w:lang w:bidi="ar"/>
                    </w:rPr>
                    <w:t>骨料料仓采用彩钢瓦进行整体封闭，仅将进出物料口设置为敞开式</w:t>
                  </w:r>
                  <w:r>
                    <w:rPr>
                      <w:rFonts w:hint="eastAsia"/>
                      <w:color w:val="auto"/>
                      <w:kern w:val="0"/>
                      <w:szCs w:val="21"/>
                      <w:lang w:bidi="ar"/>
                    </w:rPr>
                    <w:t>，并设置车间喷雾降尘措施</w:t>
                  </w:r>
                  <w:r>
                    <w:rPr>
                      <w:color w:val="auto"/>
                      <w:kern w:val="0"/>
                      <w:szCs w:val="21"/>
                      <w:lang w:bidi="ar"/>
                    </w:rPr>
                    <w:t>。</w:t>
                  </w:r>
                </w:p>
              </w:tc>
              <w:tc>
                <w:tcPr>
                  <w:tcW w:w="918" w:type="pct"/>
                  <w:vAlign w:val="center"/>
                </w:tcPr>
                <w:p w14:paraId="47F86A6E">
                  <w:pPr>
                    <w:pStyle w:val="26"/>
                    <w:ind w:firstLine="0" w:firstLineChars="0"/>
                    <w:jc w:val="center"/>
                    <w:rPr>
                      <w:rFonts w:ascii="Times New Roman" w:hAnsi="Times New Roman"/>
                      <w:color w:val="auto"/>
                      <w:szCs w:val="21"/>
                    </w:rPr>
                  </w:pPr>
                  <w:r>
                    <w:rPr>
                      <w:rFonts w:ascii="Times New Roman" w:hAnsi="Times New Roman"/>
                      <w:color w:val="auto"/>
                      <w:kern w:val="0"/>
                      <w:szCs w:val="21"/>
                      <w:lang w:bidi="ar"/>
                    </w:rPr>
                    <w:t>骨料料仓</w:t>
                  </w:r>
                  <w:r>
                    <w:rPr>
                      <w:rFonts w:hint="eastAsia" w:ascii="Times New Roman" w:hAnsi="Times New Roman"/>
                      <w:color w:val="auto"/>
                      <w:kern w:val="0"/>
                      <w:szCs w:val="21"/>
                      <w:lang w:bidi="ar"/>
                    </w:rPr>
                    <w:t>三面围挡</w:t>
                  </w:r>
                  <w:r>
                    <w:rPr>
                      <w:rFonts w:hint="eastAsia" w:ascii="Times New Roman" w:hAnsi="Times New Roman"/>
                      <w:color w:val="auto"/>
                      <w:kern w:val="0"/>
                      <w:szCs w:val="21"/>
                      <w:lang w:val="en-US" w:eastAsia="zh-CN" w:bidi="ar"/>
                    </w:rPr>
                    <w:t>+顶棚</w:t>
                  </w:r>
                  <w:r>
                    <w:rPr>
                      <w:rFonts w:hint="eastAsia" w:ascii="Times New Roman" w:hAnsi="Times New Roman"/>
                      <w:color w:val="auto"/>
                      <w:kern w:val="0"/>
                      <w:szCs w:val="21"/>
                      <w:lang w:bidi="ar"/>
                    </w:rPr>
                    <w:t>措施为本次扩建项目新增。</w:t>
                  </w:r>
                </w:p>
              </w:tc>
            </w:tr>
            <w:tr w14:paraId="2B09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5E088B57">
                  <w:pPr>
                    <w:pStyle w:val="26"/>
                    <w:ind w:firstLine="0" w:firstLineChars="0"/>
                    <w:jc w:val="center"/>
                    <w:rPr>
                      <w:rFonts w:ascii="Times New Roman" w:hAnsi="Times New Roman"/>
                      <w:color w:val="auto"/>
                      <w:kern w:val="0"/>
                      <w:szCs w:val="21"/>
                    </w:rPr>
                  </w:pPr>
                </w:p>
              </w:tc>
              <w:tc>
                <w:tcPr>
                  <w:tcW w:w="521" w:type="pct"/>
                  <w:vMerge w:val="continue"/>
                  <w:vAlign w:val="center"/>
                </w:tcPr>
                <w:p w14:paraId="16717020">
                  <w:pPr>
                    <w:pStyle w:val="26"/>
                    <w:ind w:firstLine="0" w:firstLineChars="0"/>
                    <w:jc w:val="center"/>
                    <w:rPr>
                      <w:rFonts w:ascii="Times New Roman" w:hAnsi="Times New Roman"/>
                      <w:color w:val="auto"/>
                      <w:kern w:val="0"/>
                      <w:szCs w:val="21"/>
                    </w:rPr>
                  </w:pPr>
                </w:p>
              </w:tc>
              <w:tc>
                <w:tcPr>
                  <w:tcW w:w="574" w:type="pct"/>
                  <w:gridSpan w:val="2"/>
                  <w:vAlign w:val="center"/>
                </w:tcPr>
                <w:p w14:paraId="2E2A7D1D">
                  <w:pPr>
                    <w:pStyle w:val="26"/>
                    <w:ind w:firstLine="0" w:firstLineChars="0"/>
                    <w:jc w:val="center"/>
                    <w:rPr>
                      <w:rFonts w:ascii="Times New Roman" w:hAnsi="Times New Roman"/>
                      <w:color w:val="auto"/>
                      <w:kern w:val="0"/>
                      <w:szCs w:val="21"/>
                    </w:rPr>
                  </w:pPr>
                  <w:r>
                    <w:rPr>
                      <w:rFonts w:ascii="Times New Roman" w:hAnsi="Times New Roman"/>
                      <w:color w:val="auto"/>
                      <w:kern w:val="0"/>
                      <w:szCs w:val="21"/>
                      <w:lang w:bidi="ar"/>
                    </w:rPr>
                    <w:t>车辆清洗设施</w:t>
                  </w:r>
                </w:p>
              </w:tc>
              <w:tc>
                <w:tcPr>
                  <w:tcW w:w="2316" w:type="pct"/>
                  <w:vAlign w:val="center"/>
                </w:tcPr>
                <w:p w14:paraId="73CB9A4B">
                  <w:pPr>
                    <w:widowControl/>
                    <w:ind w:firstLine="0" w:firstLineChars="0"/>
                    <w:jc w:val="left"/>
                    <w:rPr>
                      <w:color w:val="auto"/>
                      <w:szCs w:val="21"/>
                    </w:rPr>
                  </w:pPr>
                  <w:r>
                    <w:rPr>
                      <w:color w:val="auto"/>
                      <w:kern w:val="0"/>
                      <w:szCs w:val="21"/>
                      <w:lang w:bidi="ar"/>
                    </w:rPr>
                    <w:t>在搅拌机主楼前方设1个车辆清洗设施，配套2个高压水枪，对运输罐车外部进行清洗。</w:t>
                  </w:r>
                </w:p>
              </w:tc>
              <w:tc>
                <w:tcPr>
                  <w:tcW w:w="918" w:type="pct"/>
                  <w:vAlign w:val="center"/>
                </w:tcPr>
                <w:p w14:paraId="6AB57299">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依托</w:t>
                  </w:r>
                  <w:r>
                    <w:rPr>
                      <w:rFonts w:hint="eastAsia" w:ascii="Times New Roman" w:hAnsi="Times New Roman" w:eastAsia="Times New Roman"/>
                      <w:color w:val="auto"/>
                      <w:szCs w:val="21"/>
                    </w:rPr>
                    <w:t>现有</w:t>
                  </w:r>
                  <w:r>
                    <w:rPr>
                      <w:rFonts w:ascii="Times New Roman" w:hAnsi="Times New Roman" w:eastAsia="Times New Roman"/>
                      <w:color w:val="auto"/>
                      <w:szCs w:val="21"/>
                    </w:rPr>
                    <w:t>项目已建车辆清洗设施</w:t>
                  </w:r>
                  <w:r>
                    <w:rPr>
                      <w:rFonts w:hint="eastAsia" w:ascii="Times New Roman" w:hAnsi="Times New Roman" w:eastAsia="Times New Roman"/>
                      <w:color w:val="auto"/>
                      <w:szCs w:val="21"/>
                    </w:rPr>
                    <w:t>。</w:t>
                  </w:r>
                </w:p>
              </w:tc>
            </w:tr>
            <w:tr w14:paraId="7127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4F73D356">
                  <w:pPr>
                    <w:pStyle w:val="26"/>
                    <w:ind w:firstLine="0" w:firstLineChars="0"/>
                    <w:jc w:val="center"/>
                    <w:rPr>
                      <w:rFonts w:ascii="Times New Roman" w:hAnsi="Times New Roman"/>
                      <w:color w:val="auto"/>
                      <w:kern w:val="0"/>
                      <w:szCs w:val="21"/>
                    </w:rPr>
                  </w:pPr>
                </w:p>
              </w:tc>
              <w:tc>
                <w:tcPr>
                  <w:tcW w:w="521" w:type="pct"/>
                  <w:vMerge w:val="continue"/>
                  <w:vAlign w:val="center"/>
                </w:tcPr>
                <w:p w14:paraId="55C381C4">
                  <w:pPr>
                    <w:pStyle w:val="26"/>
                    <w:ind w:firstLine="0" w:firstLineChars="0"/>
                    <w:jc w:val="center"/>
                    <w:rPr>
                      <w:rFonts w:ascii="Times New Roman" w:hAnsi="Times New Roman"/>
                      <w:color w:val="auto"/>
                      <w:kern w:val="0"/>
                      <w:szCs w:val="21"/>
                    </w:rPr>
                  </w:pPr>
                </w:p>
              </w:tc>
              <w:tc>
                <w:tcPr>
                  <w:tcW w:w="574" w:type="pct"/>
                  <w:gridSpan w:val="2"/>
                  <w:vAlign w:val="center"/>
                </w:tcPr>
                <w:p w14:paraId="78280250">
                  <w:pPr>
                    <w:pStyle w:val="26"/>
                    <w:ind w:firstLine="0" w:firstLineChars="0"/>
                    <w:jc w:val="center"/>
                    <w:rPr>
                      <w:rFonts w:ascii="Times New Roman" w:hAnsi="Times New Roman"/>
                      <w:color w:val="auto"/>
                      <w:kern w:val="0"/>
                      <w:szCs w:val="21"/>
                      <w:lang w:bidi="ar"/>
                    </w:rPr>
                  </w:pPr>
                  <w:r>
                    <w:rPr>
                      <w:rFonts w:ascii="Times New Roman" w:hAnsi="Times New Roman"/>
                      <w:color w:val="auto"/>
                      <w:kern w:val="0"/>
                      <w:szCs w:val="21"/>
                      <w:lang w:bidi="ar"/>
                    </w:rPr>
                    <w:t>厂区粉尘、运输粉尘抑尘措施</w:t>
                  </w:r>
                </w:p>
              </w:tc>
              <w:tc>
                <w:tcPr>
                  <w:tcW w:w="2316" w:type="pct"/>
                  <w:vAlign w:val="center"/>
                </w:tcPr>
                <w:p w14:paraId="3C11B7DC">
                  <w:pPr>
                    <w:widowControl/>
                    <w:ind w:firstLine="0" w:firstLineChars="0"/>
                    <w:jc w:val="left"/>
                    <w:rPr>
                      <w:color w:val="auto"/>
                      <w:kern w:val="0"/>
                      <w:szCs w:val="21"/>
                      <w:lang w:bidi="ar"/>
                    </w:rPr>
                  </w:pPr>
                  <w:r>
                    <w:rPr>
                      <w:color w:val="auto"/>
                      <w:kern w:val="0"/>
                      <w:szCs w:val="21"/>
                      <w:lang w:bidi="ar"/>
                    </w:rPr>
                    <w:t>文明装卸，物料输送采用封闭式输送带，加强绿化，加强厂区内的清扫工作，定时洒水，建立健全科学的操作规章和制度，加强管理。</w:t>
                  </w:r>
                </w:p>
              </w:tc>
              <w:tc>
                <w:tcPr>
                  <w:tcW w:w="918" w:type="pct"/>
                  <w:vAlign w:val="center"/>
                </w:tcPr>
                <w:p w14:paraId="7B71FE05">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依托</w:t>
                  </w:r>
                  <w:r>
                    <w:rPr>
                      <w:rFonts w:hint="eastAsia" w:ascii="Times New Roman" w:hAnsi="Times New Roman" w:eastAsia="Times New Roman"/>
                      <w:color w:val="auto"/>
                      <w:szCs w:val="21"/>
                    </w:rPr>
                    <w:t>现有</w:t>
                  </w:r>
                  <w:r>
                    <w:rPr>
                      <w:rFonts w:ascii="Times New Roman" w:hAnsi="Times New Roman" w:eastAsia="Times New Roman"/>
                      <w:color w:val="auto"/>
                      <w:szCs w:val="21"/>
                    </w:rPr>
                    <w:t>项目已建设施</w:t>
                  </w:r>
                  <w:r>
                    <w:rPr>
                      <w:rFonts w:hint="eastAsia" w:ascii="Times New Roman" w:hAnsi="Times New Roman" w:eastAsia="Times New Roman"/>
                      <w:color w:val="auto"/>
                      <w:szCs w:val="21"/>
                    </w:rPr>
                    <w:t>。</w:t>
                  </w:r>
                </w:p>
              </w:tc>
            </w:tr>
            <w:tr w14:paraId="3CB2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6F2866E4">
                  <w:pPr>
                    <w:pStyle w:val="26"/>
                    <w:ind w:firstLine="0" w:firstLineChars="0"/>
                    <w:jc w:val="center"/>
                    <w:rPr>
                      <w:rFonts w:ascii="Times New Roman" w:hAnsi="Times New Roman"/>
                      <w:color w:val="auto"/>
                      <w:kern w:val="0"/>
                      <w:szCs w:val="21"/>
                    </w:rPr>
                  </w:pPr>
                </w:p>
              </w:tc>
              <w:tc>
                <w:tcPr>
                  <w:tcW w:w="521" w:type="pct"/>
                  <w:vAlign w:val="center"/>
                </w:tcPr>
                <w:p w14:paraId="09F87FBB">
                  <w:pPr>
                    <w:widowControl/>
                    <w:ind w:firstLine="0" w:firstLineChars="0"/>
                    <w:jc w:val="center"/>
                    <w:rPr>
                      <w:color w:val="auto"/>
                      <w:kern w:val="0"/>
                      <w:szCs w:val="21"/>
                    </w:rPr>
                  </w:pPr>
                  <w:r>
                    <w:rPr>
                      <w:color w:val="auto"/>
                      <w:kern w:val="0"/>
                      <w:szCs w:val="21"/>
                      <w:lang w:bidi="ar"/>
                    </w:rPr>
                    <w:t>食堂油烟治理</w:t>
                  </w:r>
                </w:p>
              </w:tc>
              <w:tc>
                <w:tcPr>
                  <w:tcW w:w="574" w:type="pct"/>
                  <w:gridSpan w:val="2"/>
                  <w:vAlign w:val="center"/>
                </w:tcPr>
                <w:p w14:paraId="0534B229">
                  <w:pPr>
                    <w:widowControl/>
                    <w:ind w:firstLine="0" w:firstLineChars="0"/>
                    <w:jc w:val="center"/>
                    <w:rPr>
                      <w:color w:val="auto"/>
                      <w:kern w:val="0"/>
                      <w:szCs w:val="21"/>
                    </w:rPr>
                  </w:pPr>
                  <w:r>
                    <w:rPr>
                      <w:color w:val="auto"/>
                      <w:kern w:val="0"/>
                      <w:szCs w:val="21"/>
                    </w:rPr>
                    <w:t>油烟净化器</w:t>
                  </w:r>
                </w:p>
              </w:tc>
              <w:tc>
                <w:tcPr>
                  <w:tcW w:w="2316" w:type="pct"/>
                  <w:vAlign w:val="center"/>
                </w:tcPr>
                <w:p w14:paraId="2F7FD21A">
                  <w:pPr>
                    <w:widowControl/>
                    <w:ind w:firstLine="0" w:firstLineChars="0"/>
                    <w:jc w:val="left"/>
                    <w:rPr>
                      <w:color w:val="auto"/>
                      <w:szCs w:val="21"/>
                    </w:rPr>
                  </w:pPr>
                  <w:r>
                    <w:rPr>
                      <w:color w:val="auto"/>
                      <w:szCs w:val="21"/>
                    </w:rPr>
                    <w:t>配备了一台型号为FNT-JD-6A，风量为6000</w:t>
                  </w:r>
                  <w:r>
                    <w:rPr>
                      <w:rFonts w:eastAsia="Times New Roman"/>
                      <w:color w:val="auto"/>
                      <w:szCs w:val="21"/>
                    </w:rPr>
                    <w:t>m</w:t>
                  </w:r>
                  <w:r>
                    <w:rPr>
                      <w:rFonts w:eastAsia="Times New Roman"/>
                      <w:color w:val="auto"/>
                      <w:szCs w:val="21"/>
                      <w:vertAlign w:val="superscript"/>
                    </w:rPr>
                    <w:t>3</w:t>
                  </w:r>
                  <w:r>
                    <w:rPr>
                      <w:color w:val="auto"/>
                      <w:szCs w:val="21"/>
                    </w:rPr>
                    <w:t>/h的静点式饮食业油烟净化器，则油烟排放浓度能够达到《饮食业油烟排放标准》（GB18483-2001）中≤2.0mg/</w:t>
                  </w:r>
                  <w:r>
                    <w:rPr>
                      <w:rFonts w:eastAsia="Times New Roman"/>
                      <w:color w:val="auto"/>
                      <w:szCs w:val="21"/>
                    </w:rPr>
                    <w:t>m</w:t>
                  </w:r>
                  <w:r>
                    <w:rPr>
                      <w:rFonts w:eastAsia="Times New Roman"/>
                      <w:color w:val="auto"/>
                      <w:szCs w:val="21"/>
                      <w:vertAlign w:val="superscript"/>
                    </w:rPr>
                    <w:t>3</w:t>
                  </w:r>
                  <w:r>
                    <w:rPr>
                      <w:color w:val="auto"/>
                      <w:szCs w:val="21"/>
                    </w:rPr>
                    <w:t>的要求后排放。</w:t>
                  </w:r>
                </w:p>
              </w:tc>
              <w:tc>
                <w:tcPr>
                  <w:tcW w:w="918" w:type="pct"/>
                  <w:vAlign w:val="center"/>
                </w:tcPr>
                <w:p w14:paraId="5A17EB85">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依托</w:t>
                  </w:r>
                  <w:r>
                    <w:rPr>
                      <w:rFonts w:hint="eastAsia" w:ascii="Times New Roman" w:hAnsi="Times New Roman" w:eastAsia="Times New Roman"/>
                      <w:color w:val="auto"/>
                      <w:szCs w:val="21"/>
                    </w:rPr>
                    <w:t>现有</w:t>
                  </w:r>
                  <w:r>
                    <w:rPr>
                      <w:rFonts w:ascii="Times New Roman" w:hAnsi="Times New Roman" w:eastAsia="Times New Roman"/>
                      <w:color w:val="auto"/>
                      <w:szCs w:val="21"/>
                    </w:rPr>
                    <w:t>项目已建治理油烟净化器</w:t>
                  </w:r>
                  <w:r>
                    <w:rPr>
                      <w:rFonts w:hint="eastAsia" w:ascii="Times New Roman" w:hAnsi="Times New Roman" w:eastAsia="Times New Roman"/>
                      <w:color w:val="auto"/>
                      <w:szCs w:val="21"/>
                    </w:rPr>
                    <w:t>。</w:t>
                  </w:r>
                </w:p>
              </w:tc>
            </w:tr>
            <w:tr w14:paraId="15BB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3EEC932A">
                  <w:pPr>
                    <w:pStyle w:val="26"/>
                    <w:ind w:firstLine="0" w:firstLineChars="0"/>
                    <w:jc w:val="center"/>
                    <w:rPr>
                      <w:rFonts w:ascii="Times New Roman" w:hAnsi="Times New Roman"/>
                      <w:color w:val="auto"/>
                      <w:kern w:val="0"/>
                      <w:szCs w:val="21"/>
                    </w:rPr>
                  </w:pPr>
                </w:p>
              </w:tc>
              <w:tc>
                <w:tcPr>
                  <w:tcW w:w="1096" w:type="pct"/>
                  <w:gridSpan w:val="3"/>
                  <w:vAlign w:val="center"/>
                </w:tcPr>
                <w:p w14:paraId="41CBE2AB">
                  <w:pPr>
                    <w:widowControl/>
                    <w:ind w:firstLine="0" w:firstLineChars="0"/>
                    <w:jc w:val="center"/>
                    <w:rPr>
                      <w:color w:val="auto"/>
                      <w:kern w:val="0"/>
                      <w:szCs w:val="21"/>
                    </w:rPr>
                  </w:pPr>
                  <w:r>
                    <w:rPr>
                      <w:color w:val="auto"/>
                      <w:kern w:val="0"/>
                      <w:szCs w:val="21"/>
                      <w:lang w:bidi="ar"/>
                    </w:rPr>
                    <w:t>设备噪声</w:t>
                  </w:r>
                </w:p>
              </w:tc>
              <w:tc>
                <w:tcPr>
                  <w:tcW w:w="2316" w:type="pct"/>
                  <w:vAlign w:val="center"/>
                </w:tcPr>
                <w:p w14:paraId="0E14273E">
                  <w:pPr>
                    <w:widowControl/>
                    <w:ind w:firstLine="0" w:firstLineChars="0"/>
                    <w:jc w:val="left"/>
                    <w:rPr>
                      <w:color w:val="auto"/>
                      <w:szCs w:val="21"/>
                    </w:rPr>
                  </w:pPr>
                  <w:r>
                    <w:rPr>
                      <w:color w:val="auto"/>
                      <w:kern w:val="0"/>
                      <w:szCs w:val="21"/>
                      <w:lang w:bidi="ar"/>
                    </w:rPr>
                    <w:t>设置减震垫、隔声设施。</w:t>
                  </w:r>
                </w:p>
              </w:tc>
              <w:tc>
                <w:tcPr>
                  <w:tcW w:w="918" w:type="pct"/>
                  <w:vAlign w:val="center"/>
                </w:tcPr>
                <w:p w14:paraId="3E65C1E9">
                  <w:pPr>
                    <w:pStyle w:val="26"/>
                    <w:ind w:firstLine="0" w:firstLineChars="0"/>
                    <w:jc w:val="center"/>
                    <w:rPr>
                      <w:rFonts w:ascii="Times New Roman" w:hAnsi="Times New Roman" w:eastAsia="Times New Roman"/>
                      <w:color w:val="auto"/>
                      <w:szCs w:val="21"/>
                    </w:rPr>
                  </w:pPr>
                  <w:r>
                    <w:rPr>
                      <w:rFonts w:hint="eastAsia" w:ascii="Times New Roman" w:hAnsi="Times New Roman"/>
                      <w:color w:val="auto"/>
                      <w:kern w:val="0"/>
                      <w:szCs w:val="21"/>
                      <w:lang w:bidi="ar"/>
                    </w:rPr>
                    <w:t>新增</w:t>
                  </w:r>
                </w:p>
              </w:tc>
            </w:tr>
            <w:tr w14:paraId="5F34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64C3CB79">
                  <w:pPr>
                    <w:pStyle w:val="26"/>
                    <w:ind w:firstLine="0" w:firstLineChars="0"/>
                    <w:jc w:val="center"/>
                    <w:rPr>
                      <w:rFonts w:ascii="Times New Roman" w:hAnsi="Times New Roman"/>
                      <w:color w:val="auto"/>
                      <w:kern w:val="0"/>
                      <w:szCs w:val="21"/>
                    </w:rPr>
                  </w:pPr>
                </w:p>
              </w:tc>
              <w:tc>
                <w:tcPr>
                  <w:tcW w:w="521" w:type="pct"/>
                  <w:vMerge w:val="restart"/>
                  <w:vAlign w:val="center"/>
                </w:tcPr>
                <w:p w14:paraId="545E263B">
                  <w:pPr>
                    <w:widowControl/>
                    <w:ind w:firstLine="0" w:firstLineChars="0"/>
                    <w:jc w:val="center"/>
                    <w:rPr>
                      <w:color w:val="auto"/>
                      <w:kern w:val="0"/>
                      <w:szCs w:val="21"/>
                    </w:rPr>
                  </w:pPr>
                  <w:r>
                    <w:rPr>
                      <w:color w:val="auto"/>
                      <w:kern w:val="0"/>
                      <w:szCs w:val="21"/>
                      <w:lang w:bidi="ar"/>
                    </w:rPr>
                    <w:t>固废处置</w:t>
                  </w:r>
                </w:p>
              </w:tc>
              <w:tc>
                <w:tcPr>
                  <w:tcW w:w="574" w:type="pct"/>
                  <w:gridSpan w:val="2"/>
                  <w:vAlign w:val="center"/>
                </w:tcPr>
                <w:p w14:paraId="3146F09C">
                  <w:pPr>
                    <w:widowControl/>
                    <w:ind w:firstLine="0" w:firstLineChars="0"/>
                    <w:jc w:val="center"/>
                    <w:rPr>
                      <w:color w:val="auto"/>
                      <w:kern w:val="0"/>
                      <w:szCs w:val="21"/>
                    </w:rPr>
                  </w:pPr>
                  <w:r>
                    <w:rPr>
                      <w:color w:val="auto"/>
                      <w:kern w:val="0"/>
                      <w:szCs w:val="21"/>
                      <w:lang w:bidi="ar"/>
                    </w:rPr>
                    <w:t>生活垃圾箱</w:t>
                  </w:r>
                </w:p>
              </w:tc>
              <w:tc>
                <w:tcPr>
                  <w:tcW w:w="2316" w:type="pct"/>
                  <w:vAlign w:val="center"/>
                </w:tcPr>
                <w:p w14:paraId="40385DE2">
                  <w:pPr>
                    <w:widowControl/>
                    <w:ind w:firstLine="0" w:firstLineChars="0"/>
                    <w:jc w:val="left"/>
                    <w:rPr>
                      <w:color w:val="auto"/>
                      <w:szCs w:val="21"/>
                    </w:rPr>
                  </w:pPr>
                  <w:r>
                    <w:rPr>
                      <w:color w:val="auto"/>
                      <w:kern w:val="0"/>
                      <w:szCs w:val="21"/>
                      <w:lang w:bidi="ar"/>
                    </w:rPr>
                    <w:t>若干，分布设置于办公生活区。</w:t>
                  </w:r>
                </w:p>
              </w:tc>
              <w:tc>
                <w:tcPr>
                  <w:tcW w:w="918" w:type="pct"/>
                  <w:vMerge w:val="restart"/>
                  <w:vAlign w:val="center"/>
                </w:tcPr>
                <w:p w14:paraId="7E83026F">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依托</w:t>
                  </w:r>
                  <w:r>
                    <w:rPr>
                      <w:rFonts w:hint="eastAsia" w:ascii="Times New Roman" w:hAnsi="Times New Roman" w:eastAsia="Times New Roman"/>
                      <w:color w:val="auto"/>
                      <w:szCs w:val="21"/>
                    </w:rPr>
                    <w:t>现有</w:t>
                  </w:r>
                  <w:r>
                    <w:rPr>
                      <w:rFonts w:ascii="Times New Roman" w:hAnsi="Times New Roman" w:eastAsia="Times New Roman"/>
                      <w:color w:val="auto"/>
                      <w:szCs w:val="21"/>
                    </w:rPr>
                    <w:t>项目已建固废处置设施</w:t>
                  </w:r>
                  <w:r>
                    <w:rPr>
                      <w:rFonts w:hint="eastAsia" w:ascii="Times New Roman" w:hAnsi="Times New Roman" w:eastAsia="Times New Roman"/>
                      <w:color w:val="auto"/>
                      <w:szCs w:val="21"/>
                    </w:rPr>
                    <w:t>。</w:t>
                  </w:r>
                </w:p>
              </w:tc>
            </w:tr>
            <w:tr w14:paraId="7295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vMerge w:val="continue"/>
                  <w:vAlign w:val="center"/>
                </w:tcPr>
                <w:p w14:paraId="62CE8D9B">
                  <w:pPr>
                    <w:pStyle w:val="26"/>
                    <w:ind w:firstLine="0" w:firstLineChars="0"/>
                    <w:jc w:val="center"/>
                    <w:rPr>
                      <w:rFonts w:ascii="Times New Roman" w:hAnsi="Times New Roman"/>
                      <w:color w:val="auto"/>
                      <w:kern w:val="0"/>
                      <w:szCs w:val="21"/>
                    </w:rPr>
                  </w:pPr>
                </w:p>
              </w:tc>
              <w:tc>
                <w:tcPr>
                  <w:tcW w:w="521" w:type="pct"/>
                  <w:vMerge w:val="continue"/>
                  <w:vAlign w:val="center"/>
                </w:tcPr>
                <w:p w14:paraId="23F97C39">
                  <w:pPr>
                    <w:pStyle w:val="26"/>
                    <w:ind w:firstLine="0" w:firstLineChars="0"/>
                    <w:jc w:val="center"/>
                    <w:rPr>
                      <w:rFonts w:ascii="Times New Roman" w:hAnsi="Times New Roman"/>
                      <w:color w:val="auto"/>
                      <w:kern w:val="0"/>
                      <w:szCs w:val="21"/>
                    </w:rPr>
                  </w:pPr>
                </w:p>
              </w:tc>
              <w:tc>
                <w:tcPr>
                  <w:tcW w:w="574" w:type="pct"/>
                  <w:gridSpan w:val="2"/>
                  <w:vAlign w:val="center"/>
                </w:tcPr>
                <w:p w14:paraId="482C13A0">
                  <w:pPr>
                    <w:widowControl/>
                    <w:ind w:firstLine="0" w:firstLineChars="0"/>
                    <w:jc w:val="center"/>
                    <w:rPr>
                      <w:color w:val="auto"/>
                      <w:kern w:val="0"/>
                      <w:szCs w:val="21"/>
                      <w:lang w:bidi="ar"/>
                    </w:rPr>
                  </w:pPr>
                  <w:r>
                    <w:rPr>
                      <w:color w:val="auto"/>
                      <w:kern w:val="0"/>
                      <w:szCs w:val="21"/>
                      <w:lang w:bidi="ar"/>
                    </w:rPr>
                    <w:t>生产固废</w:t>
                  </w:r>
                </w:p>
              </w:tc>
              <w:tc>
                <w:tcPr>
                  <w:tcW w:w="2316" w:type="pct"/>
                  <w:vAlign w:val="center"/>
                </w:tcPr>
                <w:p w14:paraId="4741F7F6">
                  <w:pPr>
                    <w:widowControl/>
                    <w:ind w:firstLine="0" w:firstLineChars="0"/>
                    <w:jc w:val="left"/>
                    <w:rPr>
                      <w:color w:val="auto"/>
                      <w:kern w:val="0"/>
                      <w:szCs w:val="21"/>
                      <w:lang w:bidi="ar"/>
                    </w:rPr>
                  </w:pPr>
                  <w:r>
                    <w:rPr>
                      <w:color w:val="auto"/>
                      <w:kern w:val="0"/>
                      <w:szCs w:val="21"/>
                      <w:lang w:bidi="ar"/>
                    </w:rPr>
                    <w:t>不合格的砂石料、剩余的混凝土、沉淀池沉淀渣等。沉淀池的沉渣晾干后可作为填方材料，可用于铺设次要道路等。</w:t>
                  </w:r>
                </w:p>
              </w:tc>
              <w:tc>
                <w:tcPr>
                  <w:tcW w:w="918" w:type="pct"/>
                  <w:vMerge w:val="continue"/>
                  <w:vAlign w:val="center"/>
                </w:tcPr>
                <w:p w14:paraId="6FBC604C">
                  <w:pPr>
                    <w:pStyle w:val="26"/>
                    <w:ind w:firstLine="0" w:firstLineChars="0"/>
                    <w:jc w:val="center"/>
                    <w:rPr>
                      <w:rFonts w:ascii="Times New Roman" w:hAnsi="Times New Roman" w:eastAsia="Times New Roman"/>
                      <w:color w:val="auto"/>
                      <w:szCs w:val="21"/>
                    </w:rPr>
                  </w:pPr>
                </w:p>
              </w:tc>
            </w:tr>
            <w:tr w14:paraId="3185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33B9C58F">
                  <w:pPr>
                    <w:pStyle w:val="26"/>
                    <w:ind w:firstLine="0" w:firstLineChars="0"/>
                    <w:jc w:val="center"/>
                    <w:rPr>
                      <w:rFonts w:ascii="Times New Roman" w:hAnsi="Times New Roman"/>
                      <w:color w:val="auto"/>
                      <w:kern w:val="0"/>
                      <w:szCs w:val="21"/>
                    </w:rPr>
                  </w:pPr>
                </w:p>
              </w:tc>
              <w:tc>
                <w:tcPr>
                  <w:tcW w:w="521" w:type="pct"/>
                  <w:vMerge w:val="continue"/>
                  <w:vAlign w:val="center"/>
                </w:tcPr>
                <w:p w14:paraId="29708C36">
                  <w:pPr>
                    <w:pStyle w:val="26"/>
                    <w:ind w:firstLine="0" w:firstLineChars="0"/>
                    <w:jc w:val="center"/>
                    <w:rPr>
                      <w:rFonts w:ascii="Times New Roman" w:hAnsi="Times New Roman"/>
                      <w:color w:val="auto"/>
                      <w:kern w:val="0"/>
                      <w:szCs w:val="21"/>
                    </w:rPr>
                  </w:pPr>
                </w:p>
              </w:tc>
              <w:tc>
                <w:tcPr>
                  <w:tcW w:w="574" w:type="pct"/>
                  <w:gridSpan w:val="2"/>
                  <w:vAlign w:val="center"/>
                </w:tcPr>
                <w:p w14:paraId="06E7A943">
                  <w:pPr>
                    <w:widowControl/>
                    <w:ind w:firstLine="0" w:firstLineChars="0"/>
                    <w:jc w:val="center"/>
                    <w:rPr>
                      <w:color w:val="auto"/>
                      <w:kern w:val="0"/>
                      <w:szCs w:val="21"/>
                    </w:rPr>
                  </w:pPr>
                  <w:r>
                    <w:rPr>
                      <w:color w:val="auto"/>
                      <w:kern w:val="0"/>
                      <w:szCs w:val="21"/>
                      <w:lang w:bidi="ar"/>
                    </w:rPr>
                    <w:t>危废暂存间</w:t>
                  </w:r>
                </w:p>
              </w:tc>
              <w:tc>
                <w:tcPr>
                  <w:tcW w:w="2316" w:type="pct"/>
                  <w:vAlign w:val="center"/>
                </w:tcPr>
                <w:p w14:paraId="060B338D">
                  <w:pPr>
                    <w:keepNext w:val="0"/>
                    <w:keepLines w:val="0"/>
                    <w:pageBreakBefore w:val="0"/>
                    <w:widowControl/>
                    <w:kinsoku/>
                    <w:wordWrap w:val="0"/>
                    <w:overflowPunct/>
                    <w:topLinePunct/>
                    <w:autoSpaceDE/>
                    <w:autoSpaceDN/>
                    <w:bidi w:val="0"/>
                    <w:adjustRightInd/>
                    <w:snapToGrid/>
                    <w:ind w:firstLine="0" w:firstLineChars="0"/>
                    <w:jc w:val="left"/>
                    <w:textAlignment w:val="auto"/>
                    <w:rPr>
                      <w:rFonts w:hint="eastAsia" w:eastAsia="宋体"/>
                      <w:color w:val="auto"/>
                      <w:szCs w:val="21"/>
                      <w:lang w:eastAsia="zh-CN"/>
                    </w:rPr>
                  </w:pPr>
                  <w:r>
                    <w:rPr>
                      <w:rFonts w:hint="eastAsia"/>
                      <w:color w:val="auto"/>
                      <w:szCs w:val="21"/>
                      <w:lang w:val="en-US" w:eastAsia="zh-CN"/>
                    </w:rPr>
                    <w:t>项目本次预新建一间危废暂存间，建筑面积10m</w:t>
                  </w:r>
                  <w:r>
                    <w:rPr>
                      <w:rFonts w:hint="eastAsia"/>
                      <w:color w:val="auto"/>
                      <w:szCs w:val="21"/>
                      <w:vertAlign w:val="superscript"/>
                      <w:lang w:val="en-US" w:eastAsia="zh-CN"/>
                    </w:rPr>
                    <w:t>2</w:t>
                  </w:r>
                  <w:r>
                    <w:rPr>
                      <w:rFonts w:hint="eastAsia"/>
                      <w:color w:val="auto"/>
                      <w:szCs w:val="21"/>
                      <w:lang w:val="en-US" w:eastAsia="zh-CN"/>
                    </w:rPr>
                    <w:t>，位于物资仓库内，按照</w:t>
                  </w:r>
                  <w:r>
                    <w:rPr>
                      <w:rFonts w:hint="eastAsia"/>
                      <w:color w:val="auto"/>
                      <w:szCs w:val="21"/>
                    </w:rPr>
                    <w:t>《危险废物收集贮存运输技术规范》（HJ 2025-2012）及《危险废物贮存污染控制》（GB18597-2023）</w:t>
                  </w:r>
                  <w:r>
                    <w:rPr>
                      <w:rFonts w:hint="eastAsia"/>
                      <w:color w:val="auto"/>
                      <w:szCs w:val="21"/>
                      <w:lang w:val="en-US" w:eastAsia="zh-CN"/>
                    </w:rPr>
                    <w:t>的要求在危险废物暂存间地面和四周墙裙脚采用“抗渗混凝土+2mm厚HDPE+环氧树脂”进行重点防渗处理，渗透系数≤10</w:t>
                  </w:r>
                  <w:r>
                    <w:rPr>
                      <w:rFonts w:hint="eastAsia"/>
                      <w:color w:val="auto"/>
                      <w:szCs w:val="21"/>
                      <w:vertAlign w:val="superscript"/>
                      <w:lang w:val="en-US" w:eastAsia="zh-CN"/>
                    </w:rPr>
                    <w:t>-10</w:t>
                  </w:r>
                  <w:r>
                    <w:rPr>
                      <w:rFonts w:hint="eastAsia"/>
                      <w:color w:val="auto"/>
                      <w:szCs w:val="21"/>
                      <w:lang w:val="en-US" w:eastAsia="zh-CN"/>
                    </w:rPr>
                    <w:t>cm/s，并按照要求设置规范的标识标牌</w:t>
                  </w:r>
                  <w:r>
                    <w:rPr>
                      <w:color w:val="auto"/>
                      <w:szCs w:val="21"/>
                    </w:rPr>
                    <w:t>，定期委托有处置资质的单位处置</w:t>
                  </w:r>
                  <w:r>
                    <w:rPr>
                      <w:rFonts w:hint="eastAsia"/>
                      <w:color w:val="auto"/>
                      <w:szCs w:val="21"/>
                      <w:lang w:eastAsia="zh-CN"/>
                    </w:rPr>
                    <w:t>；</w:t>
                  </w:r>
                </w:p>
              </w:tc>
              <w:tc>
                <w:tcPr>
                  <w:tcW w:w="918" w:type="pct"/>
                  <w:vAlign w:val="center"/>
                </w:tcPr>
                <w:p w14:paraId="7FCB4968">
                  <w:pPr>
                    <w:pStyle w:val="26"/>
                    <w:ind w:firstLine="0" w:firstLineChars="0"/>
                    <w:jc w:val="center"/>
                    <w:rPr>
                      <w:rFonts w:ascii="Times New Roman" w:hAnsi="Times New Roman" w:eastAsia="Times New Roman"/>
                      <w:color w:val="auto"/>
                      <w:szCs w:val="21"/>
                    </w:rPr>
                  </w:pPr>
                  <w:r>
                    <w:rPr>
                      <w:rFonts w:hint="eastAsia" w:ascii="Times New Roman" w:hAnsi="Times New Roman"/>
                      <w:color w:val="auto"/>
                      <w:kern w:val="0"/>
                      <w:szCs w:val="21"/>
                      <w:lang w:bidi="ar"/>
                    </w:rPr>
                    <w:t>新增</w:t>
                  </w:r>
                </w:p>
              </w:tc>
            </w:tr>
          </w:tbl>
          <w:p w14:paraId="1A920F02">
            <w:pPr>
              <w:pStyle w:val="26"/>
              <w:adjustRightInd w:val="0"/>
              <w:snapToGrid w:val="0"/>
              <w:spacing w:line="360" w:lineRule="auto"/>
              <w:ind w:firstLine="482"/>
              <w:rPr>
                <w:rFonts w:ascii="Times New Roman" w:hAnsi="Times New Roman"/>
                <w:b/>
                <w:color w:val="auto"/>
                <w:sz w:val="24"/>
              </w:rPr>
            </w:pPr>
            <w:bookmarkStart w:id="14" w:name="_Toc5921"/>
            <w:r>
              <w:rPr>
                <w:rFonts w:ascii="Times New Roman" w:hAnsi="Times New Roman"/>
                <w:b/>
                <w:color w:val="auto"/>
                <w:sz w:val="24"/>
              </w:rPr>
              <w:t>2、产品方案及规模</w:t>
            </w:r>
          </w:p>
          <w:p w14:paraId="5DE0D732">
            <w:pPr>
              <w:adjustRightInd w:val="0"/>
              <w:snapToGrid w:val="0"/>
              <w:spacing w:line="360" w:lineRule="auto"/>
              <w:ind w:firstLine="480"/>
              <w:rPr>
                <w:color w:val="auto"/>
                <w:sz w:val="24"/>
              </w:rPr>
            </w:pPr>
            <w:r>
              <w:rPr>
                <w:color w:val="auto"/>
                <w:sz w:val="24"/>
              </w:rPr>
              <w:t>本项目扩建一条年产10万吨商品混凝土生产线（搅拌线筒库4个，其中水泥仓2个、粉煤灰仓1个、矿粉1个），新增600平方米堆料仓、200平方米制砂车间，主要产品见表2-2。</w:t>
            </w:r>
          </w:p>
          <w:p w14:paraId="12DFFDE1">
            <w:pPr>
              <w:ind w:firstLine="422"/>
              <w:jc w:val="center"/>
              <w:rPr>
                <w:b/>
                <w:bCs/>
                <w:color w:val="auto"/>
                <w:szCs w:val="21"/>
              </w:rPr>
            </w:pPr>
            <w:r>
              <w:rPr>
                <w:b/>
                <w:bCs/>
                <w:color w:val="auto"/>
                <w:szCs w:val="21"/>
              </w:rPr>
              <w:t>表2-2  项目产品方案一览表</w:t>
            </w:r>
          </w:p>
          <w:tbl>
            <w:tblPr>
              <w:tblStyle w:val="37"/>
              <w:tblW w:w="4987" w:type="pct"/>
              <w:jc w:val="center"/>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
            <w:tblGrid>
              <w:gridCol w:w="829"/>
              <w:gridCol w:w="1491"/>
              <w:gridCol w:w="1861"/>
              <w:gridCol w:w="1872"/>
              <w:gridCol w:w="1887"/>
            </w:tblGrid>
            <w:tr w14:paraId="289E3525">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522" w:type="pct"/>
                  <w:tcBorders>
                    <w:tl2br w:val="nil"/>
                    <w:tr2bl w:val="nil"/>
                  </w:tcBorders>
                  <w:vAlign w:val="center"/>
                </w:tcPr>
                <w:p w14:paraId="55A769FE">
                  <w:pPr>
                    <w:ind w:firstLine="0" w:firstLineChars="0"/>
                    <w:jc w:val="center"/>
                    <w:rPr>
                      <w:b/>
                      <w:bCs/>
                      <w:color w:val="auto"/>
                      <w:szCs w:val="21"/>
                    </w:rPr>
                  </w:pPr>
                  <w:r>
                    <w:rPr>
                      <w:b/>
                      <w:bCs/>
                      <w:color w:val="auto"/>
                      <w:szCs w:val="21"/>
                    </w:rPr>
                    <w:t>序号</w:t>
                  </w:r>
                </w:p>
              </w:tc>
              <w:tc>
                <w:tcPr>
                  <w:tcW w:w="939" w:type="pct"/>
                  <w:tcBorders>
                    <w:tl2br w:val="nil"/>
                    <w:tr2bl w:val="nil"/>
                  </w:tcBorders>
                  <w:vAlign w:val="center"/>
                </w:tcPr>
                <w:p w14:paraId="26631473">
                  <w:pPr>
                    <w:ind w:firstLine="0" w:firstLineChars="0"/>
                    <w:jc w:val="center"/>
                    <w:rPr>
                      <w:b/>
                      <w:bCs/>
                      <w:color w:val="auto"/>
                      <w:szCs w:val="21"/>
                    </w:rPr>
                  </w:pPr>
                  <w:r>
                    <w:rPr>
                      <w:b/>
                      <w:bCs/>
                      <w:color w:val="auto"/>
                      <w:szCs w:val="21"/>
                    </w:rPr>
                    <w:t>产品名称</w:t>
                  </w:r>
                </w:p>
              </w:tc>
              <w:tc>
                <w:tcPr>
                  <w:tcW w:w="1172" w:type="pct"/>
                  <w:tcBorders>
                    <w:tl2br w:val="nil"/>
                    <w:tr2bl w:val="nil"/>
                  </w:tcBorders>
                  <w:vAlign w:val="center"/>
                </w:tcPr>
                <w:p w14:paraId="06037C68">
                  <w:pPr>
                    <w:ind w:firstLine="0" w:firstLineChars="0"/>
                    <w:jc w:val="center"/>
                    <w:rPr>
                      <w:b/>
                      <w:bCs/>
                      <w:color w:val="auto"/>
                      <w:szCs w:val="21"/>
                    </w:rPr>
                  </w:pPr>
                  <w:r>
                    <w:rPr>
                      <w:b/>
                      <w:color w:val="auto"/>
                      <w:sz w:val="24"/>
                    </w:rPr>
                    <w:t>单位</w:t>
                  </w:r>
                </w:p>
              </w:tc>
              <w:tc>
                <w:tcPr>
                  <w:tcW w:w="1179" w:type="pct"/>
                  <w:tcBorders>
                    <w:tl2br w:val="nil"/>
                    <w:tr2bl w:val="nil"/>
                  </w:tcBorders>
                  <w:vAlign w:val="center"/>
                </w:tcPr>
                <w:p w14:paraId="00DA244F">
                  <w:pPr>
                    <w:ind w:firstLine="0" w:firstLineChars="0"/>
                    <w:jc w:val="center"/>
                    <w:rPr>
                      <w:b/>
                      <w:bCs/>
                      <w:color w:val="auto"/>
                      <w:szCs w:val="21"/>
                    </w:rPr>
                  </w:pPr>
                  <w:r>
                    <w:rPr>
                      <w:b/>
                      <w:bCs/>
                      <w:color w:val="auto"/>
                      <w:szCs w:val="21"/>
                    </w:rPr>
                    <w:t>产量</w:t>
                  </w:r>
                </w:p>
              </w:tc>
              <w:tc>
                <w:tcPr>
                  <w:tcW w:w="1185" w:type="pct"/>
                  <w:tcBorders>
                    <w:tl2br w:val="nil"/>
                    <w:tr2bl w:val="nil"/>
                  </w:tcBorders>
                  <w:vAlign w:val="center"/>
                </w:tcPr>
                <w:p w14:paraId="1520E43F">
                  <w:pPr>
                    <w:ind w:firstLine="0" w:firstLineChars="0"/>
                    <w:jc w:val="center"/>
                    <w:rPr>
                      <w:b/>
                      <w:bCs/>
                      <w:color w:val="auto"/>
                      <w:szCs w:val="21"/>
                    </w:rPr>
                  </w:pPr>
                  <w:r>
                    <w:rPr>
                      <w:b/>
                      <w:bCs/>
                      <w:color w:val="auto"/>
                      <w:szCs w:val="21"/>
                    </w:rPr>
                    <w:t>备注</w:t>
                  </w:r>
                </w:p>
              </w:tc>
            </w:tr>
            <w:tr w14:paraId="0B4FDFBB">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1657C3EC">
                  <w:pPr>
                    <w:ind w:firstLine="0" w:firstLineChars="0"/>
                    <w:jc w:val="center"/>
                    <w:rPr>
                      <w:b/>
                      <w:bCs/>
                      <w:color w:val="auto"/>
                      <w:szCs w:val="21"/>
                    </w:rPr>
                  </w:pPr>
                  <w:r>
                    <w:rPr>
                      <w:b/>
                      <w:bCs/>
                      <w:color w:val="auto"/>
                      <w:szCs w:val="21"/>
                    </w:rPr>
                    <w:t>本次扩建项目产品方案</w:t>
                  </w:r>
                </w:p>
              </w:tc>
            </w:tr>
            <w:tr w14:paraId="19DBE97A">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jc w:val="center"/>
              </w:trPr>
              <w:tc>
                <w:tcPr>
                  <w:tcW w:w="522" w:type="pct"/>
                  <w:tcBorders>
                    <w:tl2br w:val="nil"/>
                    <w:tr2bl w:val="nil"/>
                  </w:tcBorders>
                  <w:vAlign w:val="center"/>
                </w:tcPr>
                <w:p w14:paraId="102D5284">
                  <w:pPr>
                    <w:widowControl/>
                    <w:ind w:firstLine="0" w:firstLineChars="0"/>
                    <w:jc w:val="center"/>
                    <w:textAlignment w:val="center"/>
                    <w:rPr>
                      <w:color w:val="auto"/>
                      <w:kern w:val="0"/>
                      <w:szCs w:val="21"/>
                      <w:lang w:bidi="ar"/>
                    </w:rPr>
                  </w:pPr>
                  <w:r>
                    <w:rPr>
                      <w:color w:val="auto"/>
                      <w:kern w:val="0"/>
                      <w:szCs w:val="21"/>
                      <w:lang w:bidi="ar"/>
                    </w:rPr>
                    <w:t>1</w:t>
                  </w:r>
                </w:p>
              </w:tc>
              <w:tc>
                <w:tcPr>
                  <w:tcW w:w="939" w:type="pct"/>
                  <w:tcBorders>
                    <w:tl2br w:val="nil"/>
                    <w:tr2bl w:val="nil"/>
                  </w:tcBorders>
                  <w:vAlign w:val="center"/>
                </w:tcPr>
                <w:p w14:paraId="59D1B7D5">
                  <w:pPr>
                    <w:widowControl/>
                    <w:ind w:firstLine="0" w:firstLineChars="0"/>
                    <w:jc w:val="center"/>
                    <w:textAlignment w:val="center"/>
                    <w:rPr>
                      <w:color w:val="auto"/>
                      <w:kern w:val="0"/>
                      <w:szCs w:val="21"/>
                      <w:lang w:bidi="ar"/>
                    </w:rPr>
                  </w:pPr>
                  <w:r>
                    <w:rPr>
                      <w:color w:val="auto"/>
                      <w:kern w:val="0"/>
                      <w:szCs w:val="21"/>
                      <w:lang w:bidi="ar"/>
                    </w:rPr>
                    <w:t>商品混凝土</w:t>
                  </w:r>
                </w:p>
              </w:tc>
              <w:tc>
                <w:tcPr>
                  <w:tcW w:w="1172" w:type="pct"/>
                  <w:tcBorders>
                    <w:tl2br w:val="nil"/>
                    <w:tr2bl w:val="nil"/>
                  </w:tcBorders>
                  <w:vAlign w:val="center"/>
                </w:tcPr>
                <w:p w14:paraId="75E9C4B9">
                  <w:pPr>
                    <w:widowControl/>
                    <w:ind w:firstLine="0" w:firstLineChars="0"/>
                    <w:jc w:val="center"/>
                    <w:textAlignment w:val="center"/>
                    <w:rPr>
                      <w:color w:val="auto"/>
                      <w:kern w:val="0"/>
                      <w:szCs w:val="21"/>
                      <w:lang w:bidi="ar"/>
                    </w:rPr>
                  </w:pPr>
                  <w:r>
                    <w:rPr>
                      <w:color w:val="auto"/>
                      <w:kern w:val="0"/>
                      <w:szCs w:val="21"/>
                      <w:lang w:bidi="ar"/>
                    </w:rPr>
                    <w:t>吨/年</w:t>
                  </w:r>
                </w:p>
              </w:tc>
              <w:tc>
                <w:tcPr>
                  <w:tcW w:w="1179" w:type="pct"/>
                  <w:tcBorders>
                    <w:tl2br w:val="nil"/>
                    <w:tr2bl w:val="nil"/>
                  </w:tcBorders>
                  <w:vAlign w:val="center"/>
                </w:tcPr>
                <w:p w14:paraId="1D5F1C31">
                  <w:pPr>
                    <w:widowControl/>
                    <w:ind w:firstLine="0" w:firstLineChars="0"/>
                    <w:jc w:val="center"/>
                    <w:textAlignment w:val="center"/>
                    <w:rPr>
                      <w:color w:val="auto"/>
                      <w:kern w:val="0"/>
                      <w:szCs w:val="21"/>
                      <w:lang w:bidi="ar"/>
                    </w:rPr>
                  </w:pPr>
                  <w:r>
                    <w:rPr>
                      <w:color w:val="auto"/>
                      <w:kern w:val="0"/>
                      <w:szCs w:val="21"/>
                      <w:lang w:bidi="ar"/>
                    </w:rPr>
                    <w:t>10万</w:t>
                  </w:r>
                </w:p>
              </w:tc>
              <w:tc>
                <w:tcPr>
                  <w:tcW w:w="1185" w:type="pct"/>
                  <w:tcBorders>
                    <w:tl2br w:val="nil"/>
                    <w:tr2bl w:val="nil"/>
                  </w:tcBorders>
                  <w:vAlign w:val="center"/>
                </w:tcPr>
                <w:p w14:paraId="4FD6CA97">
                  <w:pPr>
                    <w:widowControl/>
                    <w:ind w:firstLine="0" w:firstLineChars="0"/>
                    <w:jc w:val="center"/>
                    <w:textAlignment w:val="center"/>
                    <w:rPr>
                      <w:color w:val="auto"/>
                      <w:kern w:val="0"/>
                      <w:szCs w:val="21"/>
                      <w:lang w:bidi="ar"/>
                    </w:rPr>
                  </w:pPr>
                  <w:r>
                    <w:rPr>
                      <w:color w:val="auto"/>
                    </w:rPr>
                    <w:t>每种规格混凝土根据需求情况配比生产</w:t>
                  </w:r>
                </w:p>
              </w:tc>
            </w:tr>
            <w:tr w14:paraId="59D50C4B">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jc w:val="center"/>
              </w:trPr>
              <w:tc>
                <w:tcPr>
                  <w:tcW w:w="522" w:type="pct"/>
                  <w:tcBorders>
                    <w:tl2br w:val="nil"/>
                    <w:tr2bl w:val="nil"/>
                  </w:tcBorders>
                  <w:vAlign w:val="center"/>
                </w:tcPr>
                <w:p w14:paraId="1451E9B3">
                  <w:pPr>
                    <w:widowControl/>
                    <w:ind w:firstLine="0" w:firstLineChars="0"/>
                    <w:jc w:val="center"/>
                    <w:textAlignment w:val="center"/>
                    <w:rPr>
                      <w:color w:val="auto"/>
                      <w:kern w:val="0"/>
                      <w:szCs w:val="21"/>
                      <w:lang w:bidi="ar"/>
                    </w:rPr>
                  </w:pPr>
                  <w:r>
                    <w:rPr>
                      <w:rFonts w:hint="eastAsia"/>
                      <w:color w:val="auto"/>
                      <w:kern w:val="0"/>
                      <w:szCs w:val="21"/>
                      <w:lang w:bidi="ar"/>
                    </w:rPr>
                    <w:t>2</w:t>
                  </w:r>
                </w:p>
              </w:tc>
              <w:tc>
                <w:tcPr>
                  <w:tcW w:w="939" w:type="pct"/>
                  <w:tcBorders>
                    <w:tl2br w:val="nil"/>
                    <w:tr2bl w:val="nil"/>
                  </w:tcBorders>
                  <w:vAlign w:val="center"/>
                </w:tcPr>
                <w:p w14:paraId="64E2A663">
                  <w:pPr>
                    <w:widowControl/>
                    <w:ind w:firstLine="0" w:firstLineChars="0"/>
                    <w:jc w:val="center"/>
                    <w:textAlignment w:val="center"/>
                    <w:rPr>
                      <w:color w:val="auto"/>
                      <w:kern w:val="0"/>
                      <w:szCs w:val="21"/>
                      <w:lang w:bidi="ar"/>
                    </w:rPr>
                  </w:pPr>
                  <w:r>
                    <w:rPr>
                      <w:rFonts w:hint="eastAsia"/>
                      <w:color w:val="auto"/>
                      <w:kern w:val="0"/>
                      <w:szCs w:val="21"/>
                      <w:lang w:bidi="ar"/>
                    </w:rPr>
                    <w:t>机制砂</w:t>
                  </w:r>
                </w:p>
              </w:tc>
              <w:tc>
                <w:tcPr>
                  <w:tcW w:w="1172" w:type="pct"/>
                  <w:tcBorders>
                    <w:tl2br w:val="nil"/>
                    <w:tr2bl w:val="nil"/>
                  </w:tcBorders>
                  <w:vAlign w:val="center"/>
                </w:tcPr>
                <w:p w14:paraId="7052FD51">
                  <w:pPr>
                    <w:widowControl/>
                    <w:ind w:firstLine="0" w:firstLineChars="0"/>
                    <w:jc w:val="center"/>
                    <w:textAlignment w:val="center"/>
                    <w:rPr>
                      <w:color w:val="auto"/>
                      <w:kern w:val="0"/>
                      <w:szCs w:val="21"/>
                      <w:lang w:bidi="ar"/>
                    </w:rPr>
                  </w:pPr>
                  <w:r>
                    <w:rPr>
                      <w:color w:val="auto"/>
                      <w:kern w:val="0"/>
                      <w:szCs w:val="21"/>
                      <w:lang w:bidi="ar"/>
                    </w:rPr>
                    <w:t>吨/年</w:t>
                  </w:r>
                </w:p>
              </w:tc>
              <w:tc>
                <w:tcPr>
                  <w:tcW w:w="1179" w:type="pct"/>
                  <w:tcBorders>
                    <w:tl2br w:val="nil"/>
                    <w:tr2bl w:val="nil"/>
                  </w:tcBorders>
                  <w:vAlign w:val="center"/>
                </w:tcPr>
                <w:p w14:paraId="15983147">
                  <w:pPr>
                    <w:widowControl/>
                    <w:ind w:firstLine="0" w:firstLineChars="0"/>
                    <w:jc w:val="center"/>
                    <w:textAlignment w:val="center"/>
                    <w:rPr>
                      <w:color w:val="auto"/>
                      <w:kern w:val="0"/>
                      <w:szCs w:val="21"/>
                      <w:lang w:bidi="ar"/>
                    </w:rPr>
                  </w:pPr>
                  <w:r>
                    <w:rPr>
                      <w:rFonts w:hint="eastAsia"/>
                      <w:color w:val="auto"/>
                      <w:kern w:val="0"/>
                      <w:szCs w:val="21"/>
                      <w:lang w:bidi="ar"/>
                    </w:rPr>
                    <w:t>3.32万</w:t>
                  </w:r>
                </w:p>
              </w:tc>
              <w:tc>
                <w:tcPr>
                  <w:tcW w:w="1185" w:type="pct"/>
                  <w:tcBorders>
                    <w:tl2br w:val="nil"/>
                    <w:tr2bl w:val="nil"/>
                  </w:tcBorders>
                  <w:vAlign w:val="center"/>
                </w:tcPr>
                <w:p w14:paraId="07BEE7F3">
                  <w:pPr>
                    <w:widowControl/>
                    <w:ind w:firstLine="0" w:firstLineChars="0"/>
                    <w:jc w:val="center"/>
                    <w:textAlignment w:val="center"/>
                    <w:rPr>
                      <w:color w:val="auto"/>
                    </w:rPr>
                  </w:pPr>
                  <w:r>
                    <w:rPr>
                      <w:rFonts w:hint="eastAsia"/>
                      <w:color w:val="auto"/>
                    </w:rPr>
                    <w:t>中间产品，全部用作本项目商品混凝土的原料。</w:t>
                  </w:r>
                </w:p>
              </w:tc>
            </w:tr>
            <w:tr w14:paraId="4620218F">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40960965">
                  <w:pPr>
                    <w:ind w:firstLine="0" w:firstLineChars="0"/>
                    <w:jc w:val="center"/>
                    <w:rPr>
                      <w:b/>
                      <w:bCs/>
                      <w:color w:val="auto"/>
                      <w:szCs w:val="21"/>
                    </w:rPr>
                  </w:pPr>
                  <w:r>
                    <w:rPr>
                      <w:b/>
                      <w:bCs/>
                      <w:color w:val="auto"/>
                      <w:szCs w:val="21"/>
                    </w:rPr>
                    <w:t>原项目实际产品方案</w:t>
                  </w:r>
                </w:p>
              </w:tc>
            </w:tr>
            <w:tr w14:paraId="10833F7C">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792" w:hRule="atLeast"/>
                <w:jc w:val="center"/>
              </w:trPr>
              <w:tc>
                <w:tcPr>
                  <w:tcW w:w="522" w:type="pct"/>
                  <w:tcBorders>
                    <w:tl2br w:val="nil"/>
                    <w:tr2bl w:val="nil"/>
                  </w:tcBorders>
                  <w:vAlign w:val="center"/>
                </w:tcPr>
                <w:p w14:paraId="6F3C19C5">
                  <w:pPr>
                    <w:widowControl/>
                    <w:ind w:firstLine="0" w:firstLineChars="0"/>
                    <w:jc w:val="center"/>
                    <w:textAlignment w:val="center"/>
                    <w:rPr>
                      <w:color w:val="auto"/>
                      <w:kern w:val="0"/>
                      <w:szCs w:val="21"/>
                      <w:lang w:bidi="ar"/>
                    </w:rPr>
                  </w:pPr>
                  <w:r>
                    <w:rPr>
                      <w:rFonts w:hint="eastAsia"/>
                      <w:color w:val="auto"/>
                      <w:kern w:val="0"/>
                      <w:szCs w:val="21"/>
                      <w:lang w:bidi="ar"/>
                    </w:rPr>
                    <w:t>3</w:t>
                  </w:r>
                </w:p>
              </w:tc>
              <w:tc>
                <w:tcPr>
                  <w:tcW w:w="939" w:type="pct"/>
                  <w:tcBorders>
                    <w:tl2br w:val="nil"/>
                    <w:tr2bl w:val="nil"/>
                  </w:tcBorders>
                  <w:vAlign w:val="center"/>
                </w:tcPr>
                <w:p w14:paraId="127CB89C">
                  <w:pPr>
                    <w:widowControl/>
                    <w:ind w:firstLine="0" w:firstLineChars="0"/>
                    <w:jc w:val="center"/>
                    <w:textAlignment w:val="center"/>
                    <w:rPr>
                      <w:color w:val="auto"/>
                      <w:kern w:val="0"/>
                      <w:szCs w:val="21"/>
                      <w:lang w:bidi="ar"/>
                    </w:rPr>
                  </w:pPr>
                  <w:r>
                    <w:rPr>
                      <w:color w:val="auto"/>
                      <w:kern w:val="0"/>
                      <w:szCs w:val="21"/>
                      <w:lang w:bidi="ar"/>
                    </w:rPr>
                    <w:t>商品混凝土</w:t>
                  </w:r>
                </w:p>
              </w:tc>
              <w:tc>
                <w:tcPr>
                  <w:tcW w:w="1172" w:type="pct"/>
                  <w:tcBorders>
                    <w:tl2br w:val="nil"/>
                    <w:tr2bl w:val="nil"/>
                  </w:tcBorders>
                  <w:vAlign w:val="center"/>
                </w:tcPr>
                <w:p w14:paraId="25B5AAF9">
                  <w:pPr>
                    <w:widowControl/>
                    <w:ind w:firstLine="0" w:firstLineChars="0"/>
                    <w:jc w:val="center"/>
                    <w:textAlignment w:val="center"/>
                    <w:rPr>
                      <w:color w:val="auto"/>
                      <w:kern w:val="0"/>
                      <w:szCs w:val="21"/>
                      <w:lang w:bidi="ar"/>
                    </w:rPr>
                  </w:pPr>
                  <w:r>
                    <w:rPr>
                      <w:color w:val="auto"/>
                      <w:kern w:val="0"/>
                      <w:szCs w:val="21"/>
                      <w:lang w:bidi="ar"/>
                    </w:rPr>
                    <w:t>吨/年</w:t>
                  </w:r>
                </w:p>
              </w:tc>
              <w:tc>
                <w:tcPr>
                  <w:tcW w:w="1179" w:type="pct"/>
                  <w:tcBorders>
                    <w:tl2br w:val="nil"/>
                    <w:tr2bl w:val="nil"/>
                  </w:tcBorders>
                  <w:vAlign w:val="center"/>
                </w:tcPr>
                <w:p w14:paraId="7B0BFD28">
                  <w:pPr>
                    <w:widowControl/>
                    <w:ind w:firstLine="0" w:firstLineChars="0"/>
                    <w:jc w:val="center"/>
                    <w:textAlignment w:val="center"/>
                    <w:rPr>
                      <w:color w:val="auto"/>
                      <w:kern w:val="0"/>
                      <w:szCs w:val="21"/>
                      <w:lang w:bidi="ar"/>
                    </w:rPr>
                  </w:pPr>
                  <w:r>
                    <w:rPr>
                      <w:color w:val="auto"/>
                      <w:kern w:val="0"/>
                      <w:szCs w:val="21"/>
                      <w:lang w:bidi="ar"/>
                    </w:rPr>
                    <w:t>25万</w:t>
                  </w:r>
                </w:p>
              </w:tc>
              <w:tc>
                <w:tcPr>
                  <w:tcW w:w="1185" w:type="pct"/>
                  <w:tcBorders>
                    <w:tl2br w:val="nil"/>
                    <w:tr2bl w:val="nil"/>
                  </w:tcBorders>
                  <w:vAlign w:val="center"/>
                </w:tcPr>
                <w:p w14:paraId="77042BA9">
                  <w:pPr>
                    <w:widowControl/>
                    <w:ind w:firstLine="0" w:firstLineChars="0"/>
                    <w:jc w:val="center"/>
                    <w:textAlignment w:val="center"/>
                    <w:rPr>
                      <w:color w:val="auto"/>
                      <w:kern w:val="0"/>
                      <w:szCs w:val="21"/>
                      <w:lang w:bidi="ar"/>
                    </w:rPr>
                  </w:pPr>
                  <w:r>
                    <w:rPr>
                      <w:color w:val="auto"/>
                    </w:rPr>
                    <w:t>每种规格混凝土根据需求情况配比生产</w:t>
                  </w:r>
                </w:p>
              </w:tc>
            </w:tr>
            <w:tr w14:paraId="4D182232">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2310B4B8">
                  <w:pPr>
                    <w:ind w:firstLine="0" w:firstLineChars="0"/>
                    <w:jc w:val="center"/>
                    <w:rPr>
                      <w:b/>
                      <w:bCs/>
                      <w:color w:val="auto"/>
                      <w:szCs w:val="21"/>
                    </w:rPr>
                  </w:pPr>
                  <w:r>
                    <w:rPr>
                      <w:b/>
                      <w:bCs/>
                      <w:color w:val="auto"/>
                      <w:szCs w:val="21"/>
                    </w:rPr>
                    <w:t>扩建完成后全厂产品方案</w:t>
                  </w:r>
                </w:p>
              </w:tc>
            </w:tr>
            <w:tr w14:paraId="3515135C">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314" w:hRule="atLeast"/>
                <w:jc w:val="center"/>
              </w:trPr>
              <w:tc>
                <w:tcPr>
                  <w:tcW w:w="522" w:type="pct"/>
                  <w:tcBorders>
                    <w:tl2br w:val="nil"/>
                    <w:tr2bl w:val="nil"/>
                  </w:tcBorders>
                  <w:vAlign w:val="center"/>
                </w:tcPr>
                <w:p w14:paraId="2A6E3C64">
                  <w:pPr>
                    <w:widowControl/>
                    <w:ind w:firstLine="0" w:firstLineChars="0"/>
                    <w:jc w:val="center"/>
                    <w:textAlignment w:val="center"/>
                    <w:rPr>
                      <w:color w:val="auto"/>
                      <w:kern w:val="0"/>
                      <w:szCs w:val="21"/>
                      <w:lang w:bidi="ar"/>
                    </w:rPr>
                  </w:pPr>
                  <w:r>
                    <w:rPr>
                      <w:rFonts w:hint="eastAsia"/>
                      <w:color w:val="auto"/>
                      <w:kern w:val="0"/>
                      <w:szCs w:val="21"/>
                      <w:lang w:bidi="ar"/>
                    </w:rPr>
                    <w:t>4</w:t>
                  </w:r>
                </w:p>
              </w:tc>
              <w:tc>
                <w:tcPr>
                  <w:tcW w:w="939" w:type="pct"/>
                  <w:tcBorders>
                    <w:tl2br w:val="nil"/>
                    <w:tr2bl w:val="nil"/>
                  </w:tcBorders>
                  <w:vAlign w:val="center"/>
                </w:tcPr>
                <w:p w14:paraId="72038D98">
                  <w:pPr>
                    <w:widowControl/>
                    <w:ind w:firstLine="0" w:firstLineChars="0"/>
                    <w:jc w:val="center"/>
                    <w:textAlignment w:val="center"/>
                    <w:rPr>
                      <w:color w:val="auto"/>
                      <w:kern w:val="0"/>
                      <w:szCs w:val="21"/>
                      <w:lang w:bidi="ar"/>
                    </w:rPr>
                  </w:pPr>
                  <w:r>
                    <w:rPr>
                      <w:color w:val="auto"/>
                      <w:kern w:val="0"/>
                      <w:szCs w:val="21"/>
                      <w:lang w:bidi="ar"/>
                    </w:rPr>
                    <w:t>商品混凝土</w:t>
                  </w:r>
                </w:p>
              </w:tc>
              <w:tc>
                <w:tcPr>
                  <w:tcW w:w="1172" w:type="pct"/>
                  <w:tcBorders>
                    <w:tl2br w:val="nil"/>
                    <w:tr2bl w:val="nil"/>
                  </w:tcBorders>
                  <w:vAlign w:val="center"/>
                </w:tcPr>
                <w:p w14:paraId="52E0A7C4">
                  <w:pPr>
                    <w:widowControl/>
                    <w:ind w:firstLine="0" w:firstLineChars="0"/>
                    <w:jc w:val="center"/>
                    <w:textAlignment w:val="center"/>
                    <w:rPr>
                      <w:color w:val="auto"/>
                      <w:kern w:val="0"/>
                      <w:szCs w:val="21"/>
                      <w:lang w:bidi="ar"/>
                    </w:rPr>
                  </w:pPr>
                  <w:r>
                    <w:rPr>
                      <w:color w:val="auto"/>
                      <w:kern w:val="0"/>
                      <w:szCs w:val="21"/>
                      <w:lang w:bidi="ar"/>
                    </w:rPr>
                    <w:t>吨/年</w:t>
                  </w:r>
                </w:p>
              </w:tc>
              <w:tc>
                <w:tcPr>
                  <w:tcW w:w="1179" w:type="pct"/>
                  <w:tcBorders>
                    <w:tl2br w:val="nil"/>
                    <w:tr2bl w:val="nil"/>
                  </w:tcBorders>
                  <w:vAlign w:val="center"/>
                </w:tcPr>
                <w:p w14:paraId="0B37F33A">
                  <w:pPr>
                    <w:widowControl/>
                    <w:ind w:firstLine="0" w:firstLineChars="0"/>
                    <w:jc w:val="center"/>
                    <w:textAlignment w:val="center"/>
                    <w:rPr>
                      <w:color w:val="auto"/>
                      <w:kern w:val="0"/>
                      <w:szCs w:val="21"/>
                      <w:lang w:bidi="ar"/>
                    </w:rPr>
                  </w:pPr>
                  <w:r>
                    <w:rPr>
                      <w:color w:val="auto"/>
                      <w:kern w:val="0"/>
                      <w:szCs w:val="21"/>
                      <w:lang w:bidi="ar"/>
                    </w:rPr>
                    <w:t>35万</w:t>
                  </w:r>
                </w:p>
              </w:tc>
              <w:tc>
                <w:tcPr>
                  <w:tcW w:w="1185" w:type="pct"/>
                  <w:tcBorders>
                    <w:tl2br w:val="nil"/>
                    <w:tr2bl w:val="nil"/>
                  </w:tcBorders>
                  <w:vAlign w:val="center"/>
                </w:tcPr>
                <w:p w14:paraId="2C8AFE96">
                  <w:pPr>
                    <w:widowControl/>
                    <w:ind w:firstLine="0" w:firstLineChars="0"/>
                    <w:jc w:val="left"/>
                    <w:textAlignment w:val="center"/>
                    <w:rPr>
                      <w:color w:val="auto"/>
                      <w:kern w:val="0"/>
                      <w:szCs w:val="21"/>
                      <w:lang w:bidi="ar"/>
                    </w:rPr>
                  </w:pPr>
                  <w:r>
                    <w:rPr>
                      <w:color w:val="auto"/>
                    </w:rPr>
                    <w:t>每种规格混凝土根据需求情况配比生产</w:t>
                  </w:r>
                </w:p>
              </w:tc>
            </w:tr>
            <w:tr w14:paraId="7094699B">
              <w:tblPrEx>
                <w:tblBorders>
                  <w:top w:val="single" w:color="auto" w:sz="4" w:space="0"/>
                  <w:left w:val="single" w:color="auto" w:sz="4" w:space="0"/>
                  <w:bottom w:val="single" w:color="auto" w:sz="2" w:space="0"/>
                  <w:right w:val="single" w:color="auto" w:sz="2" w:space="0"/>
                  <w:insideH w:val="single" w:color="auto" w:sz="4" w:space="0"/>
                  <w:insideV w:val="single" w:color="auto" w:sz="2" w:space="0"/>
                </w:tblBorders>
                <w:tblCellMar>
                  <w:top w:w="0" w:type="dxa"/>
                  <w:left w:w="108" w:type="dxa"/>
                  <w:bottom w:w="0" w:type="dxa"/>
                  <w:right w:w="108" w:type="dxa"/>
                </w:tblCellMar>
              </w:tblPrEx>
              <w:trPr>
                <w:trHeight w:val="314" w:hRule="atLeast"/>
                <w:jc w:val="center"/>
              </w:trPr>
              <w:tc>
                <w:tcPr>
                  <w:tcW w:w="522" w:type="pct"/>
                  <w:tcBorders>
                    <w:tl2br w:val="nil"/>
                    <w:tr2bl w:val="nil"/>
                  </w:tcBorders>
                  <w:vAlign w:val="center"/>
                </w:tcPr>
                <w:p w14:paraId="613E26DE">
                  <w:pPr>
                    <w:widowControl/>
                    <w:ind w:firstLine="0" w:firstLineChars="0"/>
                    <w:jc w:val="center"/>
                    <w:textAlignment w:val="center"/>
                    <w:rPr>
                      <w:color w:val="auto"/>
                      <w:kern w:val="0"/>
                      <w:szCs w:val="21"/>
                      <w:lang w:bidi="ar"/>
                    </w:rPr>
                  </w:pPr>
                  <w:r>
                    <w:rPr>
                      <w:rFonts w:hint="eastAsia"/>
                      <w:color w:val="auto"/>
                      <w:kern w:val="0"/>
                      <w:szCs w:val="21"/>
                      <w:lang w:bidi="ar"/>
                    </w:rPr>
                    <w:t>5</w:t>
                  </w:r>
                </w:p>
              </w:tc>
              <w:tc>
                <w:tcPr>
                  <w:tcW w:w="1843" w:type="dxa"/>
                  <w:tcBorders>
                    <w:tl2br w:val="nil"/>
                    <w:tr2bl w:val="nil"/>
                  </w:tcBorders>
                  <w:vAlign w:val="center"/>
                </w:tcPr>
                <w:p w14:paraId="1AA5FD89">
                  <w:pPr>
                    <w:widowControl/>
                    <w:ind w:firstLine="0" w:firstLineChars="0"/>
                    <w:jc w:val="center"/>
                    <w:textAlignment w:val="center"/>
                    <w:rPr>
                      <w:color w:val="auto"/>
                      <w:kern w:val="0"/>
                      <w:szCs w:val="21"/>
                      <w:lang w:bidi="ar"/>
                    </w:rPr>
                  </w:pPr>
                  <w:r>
                    <w:rPr>
                      <w:rFonts w:hint="eastAsia"/>
                      <w:color w:val="auto"/>
                      <w:kern w:val="0"/>
                      <w:szCs w:val="21"/>
                      <w:lang w:bidi="ar"/>
                    </w:rPr>
                    <w:t>机制砂</w:t>
                  </w:r>
                </w:p>
              </w:tc>
              <w:tc>
                <w:tcPr>
                  <w:tcW w:w="2300" w:type="dxa"/>
                  <w:tcBorders>
                    <w:tl2br w:val="nil"/>
                    <w:tr2bl w:val="nil"/>
                  </w:tcBorders>
                  <w:vAlign w:val="center"/>
                </w:tcPr>
                <w:p w14:paraId="6052CF74">
                  <w:pPr>
                    <w:widowControl/>
                    <w:ind w:firstLine="0" w:firstLineChars="0"/>
                    <w:jc w:val="center"/>
                    <w:textAlignment w:val="center"/>
                    <w:rPr>
                      <w:color w:val="auto"/>
                      <w:kern w:val="0"/>
                      <w:szCs w:val="21"/>
                      <w:lang w:bidi="ar"/>
                    </w:rPr>
                  </w:pPr>
                  <w:r>
                    <w:rPr>
                      <w:color w:val="auto"/>
                      <w:kern w:val="0"/>
                      <w:szCs w:val="21"/>
                      <w:lang w:bidi="ar"/>
                    </w:rPr>
                    <w:t>吨/年</w:t>
                  </w:r>
                </w:p>
              </w:tc>
              <w:tc>
                <w:tcPr>
                  <w:tcW w:w="2313" w:type="dxa"/>
                  <w:tcBorders>
                    <w:tl2br w:val="nil"/>
                    <w:tr2bl w:val="nil"/>
                  </w:tcBorders>
                  <w:vAlign w:val="center"/>
                </w:tcPr>
                <w:p w14:paraId="6F64E9AF">
                  <w:pPr>
                    <w:widowControl/>
                    <w:ind w:firstLine="0" w:firstLineChars="0"/>
                    <w:jc w:val="center"/>
                    <w:textAlignment w:val="center"/>
                    <w:rPr>
                      <w:color w:val="auto"/>
                      <w:kern w:val="0"/>
                      <w:szCs w:val="21"/>
                      <w:lang w:bidi="ar"/>
                    </w:rPr>
                  </w:pPr>
                  <w:r>
                    <w:rPr>
                      <w:rFonts w:hint="eastAsia"/>
                      <w:color w:val="auto"/>
                      <w:kern w:val="0"/>
                      <w:szCs w:val="21"/>
                      <w:lang w:bidi="ar"/>
                    </w:rPr>
                    <w:t>3.32万</w:t>
                  </w:r>
                </w:p>
              </w:tc>
              <w:tc>
                <w:tcPr>
                  <w:tcW w:w="2331" w:type="dxa"/>
                  <w:tcBorders>
                    <w:tl2br w:val="nil"/>
                    <w:tr2bl w:val="nil"/>
                  </w:tcBorders>
                  <w:vAlign w:val="center"/>
                </w:tcPr>
                <w:p w14:paraId="499B3F7D">
                  <w:pPr>
                    <w:widowControl/>
                    <w:ind w:firstLine="0" w:firstLineChars="0"/>
                    <w:jc w:val="left"/>
                    <w:textAlignment w:val="center"/>
                    <w:rPr>
                      <w:color w:val="auto"/>
                    </w:rPr>
                  </w:pPr>
                  <w:r>
                    <w:rPr>
                      <w:rFonts w:hint="eastAsia"/>
                      <w:color w:val="auto"/>
                    </w:rPr>
                    <w:t>中间产品，全部用作本项目商品混凝土的原料。</w:t>
                  </w:r>
                </w:p>
              </w:tc>
            </w:tr>
          </w:tbl>
          <w:p w14:paraId="5C45F928">
            <w:pPr>
              <w:pStyle w:val="26"/>
              <w:adjustRightInd w:val="0"/>
              <w:snapToGrid w:val="0"/>
              <w:spacing w:line="360" w:lineRule="auto"/>
              <w:ind w:firstLine="482"/>
              <w:rPr>
                <w:rFonts w:ascii="Times New Roman" w:hAnsi="Times New Roman"/>
                <w:b/>
                <w:color w:val="auto"/>
                <w:sz w:val="24"/>
              </w:rPr>
            </w:pPr>
            <w:r>
              <w:rPr>
                <w:rFonts w:ascii="Times New Roman" w:hAnsi="Times New Roman"/>
                <w:b/>
                <w:color w:val="auto"/>
                <w:sz w:val="24"/>
              </w:rPr>
              <w:t>3、主要原辅料及用量</w:t>
            </w:r>
          </w:p>
          <w:p w14:paraId="3E4A4741">
            <w:pPr>
              <w:adjustRightInd w:val="0"/>
              <w:snapToGrid w:val="0"/>
              <w:spacing w:line="360" w:lineRule="auto"/>
              <w:ind w:firstLine="482"/>
              <w:rPr>
                <w:b/>
                <w:bCs/>
                <w:color w:val="auto"/>
                <w:sz w:val="24"/>
              </w:rPr>
            </w:pPr>
            <w:r>
              <w:rPr>
                <w:b/>
                <w:bCs/>
                <w:color w:val="auto"/>
                <w:sz w:val="24"/>
              </w:rPr>
              <w:t>（1）原辅料用量</w:t>
            </w:r>
          </w:p>
          <w:p w14:paraId="5FC422CC">
            <w:pPr>
              <w:adjustRightInd w:val="0"/>
              <w:snapToGrid w:val="0"/>
              <w:spacing w:line="360" w:lineRule="auto"/>
              <w:ind w:firstLine="480"/>
              <w:rPr>
                <w:b/>
                <w:bCs/>
                <w:color w:val="auto"/>
                <w:szCs w:val="21"/>
              </w:rPr>
            </w:pPr>
            <w:r>
              <w:rPr>
                <w:rFonts w:hint="eastAsia"/>
                <w:color w:val="auto"/>
                <w:sz w:val="24"/>
              </w:rPr>
              <w:t>扩建完成后项目</w:t>
            </w:r>
            <w:r>
              <w:rPr>
                <w:color w:val="auto"/>
                <w:sz w:val="24"/>
              </w:rPr>
              <w:t>主要原辅料见表2-3。</w:t>
            </w:r>
          </w:p>
          <w:p w14:paraId="52800174">
            <w:pPr>
              <w:ind w:firstLine="422"/>
              <w:jc w:val="center"/>
              <w:rPr>
                <w:b/>
                <w:bCs/>
                <w:color w:val="auto"/>
                <w:szCs w:val="21"/>
              </w:rPr>
            </w:pPr>
            <w:r>
              <w:rPr>
                <w:b/>
                <w:bCs/>
                <w:color w:val="auto"/>
                <w:szCs w:val="21"/>
              </w:rPr>
              <w:t xml:space="preserve">表2-3   </w:t>
            </w:r>
            <w:r>
              <w:rPr>
                <w:rFonts w:hint="eastAsia"/>
                <w:b/>
                <w:bCs/>
                <w:color w:val="auto"/>
                <w:szCs w:val="21"/>
              </w:rPr>
              <w:t>扩建完成后</w:t>
            </w:r>
            <w:r>
              <w:rPr>
                <w:b/>
                <w:bCs/>
                <w:color w:val="auto"/>
                <w:szCs w:val="21"/>
              </w:rPr>
              <w:t>主要原辅材料一览表</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86"/>
              <w:gridCol w:w="1035"/>
              <w:gridCol w:w="633"/>
              <w:gridCol w:w="2709"/>
              <w:gridCol w:w="1129"/>
              <w:gridCol w:w="1133"/>
            </w:tblGrid>
            <w:tr w14:paraId="6100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3AFF44E9">
                  <w:pPr>
                    <w:adjustRightInd w:val="0"/>
                    <w:snapToGrid w:val="0"/>
                    <w:ind w:firstLine="0" w:firstLineChars="0"/>
                    <w:jc w:val="center"/>
                    <w:rPr>
                      <w:b/>
                      <w:bCs/>
                      <w:color w:val="auto"/>
                      <w:szCs w:val="21"/>
                    </w:rPr>
                  </w:pPr>
                  <w:r>
                    <w:rPr>
                      <w:b/>
                      <w:bCs/>
                      <w:color w:val="auto"/>
                      <w:szCs w:val="21"/>
                    </w:rPr>
                    <w:t>序号</w:t>
                  </w:r>
                </w:p>
              </w:tc>
              <w:tc>
                <w:tcPr>
                  <w:tcW w:w="557" w:type="pct"/>
                  <w:tcBorders>
                    <w:tl2br w:val="nil"/>
                    <w:tr2bl w:val="nil"/>
                  </w:tcBorders>
                  <w:vAlign w:val="center"/>
                </w:tcPr>
                <w:p w14:paraId="4E7D6396">
                  <w:pPr>
                    <w:adjustRightInd w:val="0"/>
                    <w:snapToGrid w:val="0"/>
                    <w:ind w:firstLine="0" w:firstLineChars="0"/>
                    <w:jc w:val="center"/>
                    <w:rPr>
                      <w:b/>
                      <w:bCs/>
                      <w:color w:val="auto"/>
                      <w:szCs w:val="21"/>
                    </w:rPr>
                  </w:pPr>
                  <w:r>
                    <w:rPr>
                      <w:b/>
                      <w:bCs/>
                      <w:color w:val="auto"/>
                      <w:szCs w:val="21"/>
                    </w:rPr>
                    <w:t>材料名称</w:t>
                  </w:r>
                </w:p>
              </w:tc>
              <w:tc>
                <w:tcPr>
                  <w:tcW w:w="651" w:type="pct"/>
                  <w:tcBorders>
                    <w:tl2br w:val="nil"/>
                    <w:tr2bl w:val="nil"/>
                  </w:tcBorders>
                  <w:vAlign w:val="center"/>
                </w:tcPr>
                <w:p w14:paraId="5C4A9476">
                  <w:pPr>
                    <w:adjustRightInd w:val="0"/>
                    <w:snapToGrid w:val="0"/>
                    <w:ind w:firstLine="0" w:firstLineChars="0"/>
                    <w:jc w:val="center"/>
                    <w:rPr>
                      <w:b/>
                      <w:bCs/>
                      <w:color w:val="auto"/>
                      <w:szCs w:val="21"/>
                    </w:rPr>
                  </w:pPr>
                  <w:r>
                    <w:rPr>
                      <w:b/>
                      <w:bCs/>
                      <w:color w:val="auto"/>
                      <w:szCs w:val="21"/>
                    </w:rPr>
                    <w:t>年耗量（t/a）</w:t>
                  </w:r>
                </w:p>
              </w:tc>
              <w:tc>
                <w:tcPr>
                  <w:tcW w:w="398" w:type="pct"/>
                  <w:tcBorders>
                    <w:tl2br w:val="nil"/>
                    <w:tr2bl w:val="nil"/>
                  </w:tcBorders>
                  <w:vAlign w:val="center"/>
                </w:tcPr>
                <w:p w14:paraId="19F9BBEE">
                  <w:pPr>
                    <w:adjustRightInd w:val="0"/>
                    <w:snapToGrid w:val="0"/>
                    <w:ind w:firstLine="0" w:firstLineChars="0"/>
                    <w:jc w:val="center"/>
                    <w:rPr>
                      <w:b/>
                      <w:bCs/>
                      <w:color w:val="auto"/>
                      <w:szCs w:val="21"/>
                    </w:rPr>
                  </w:pPr>
                  <w:r>
                    <w:rPr>
                      <w:b/>
                      <w:bCs/>
                      <w:color w:val="auto"/>
                      <w:szCs w:val="21"/>
                    </w:rPr>
                    <w:t>来源</w:t>
                  </w:r>
                </w:p>
              </w:tc>
              <w:tc>
                <w:tcPr>
                  <w:tcW w:w="1703" w:type="pct"/>
                  <w:tcBorders>
                    <w:tl2br w:val="nil"/>
                    <w:tr2bl w:val="nil"/>
                  </w:tcBorders>
                  <w:vAlign w:val="center"/>
                </w:tcPr>
                <w:p w14:paraId="06B2BF91">
                  <w:pPr>
                    <w:adjustRightInd w:val="0"/>
                    <w:snapToGrid w:val="0"/>
                    <w:ind w:firstLine="0" w:firstLineChars="0"/>
                    <w:jc w:val="center"/>
                    <w:rPr>
                      <w:b/>
                      <w:bCs/>
                      <w:color w:val="auto"/>
                      <w:szCs w:val="21"/>
                    </w:rPr>
                  </w:pPr>
                  <w:r>
                    <w:rPr>
                      <w:b/>
                      <w:bCs/>
                      <w:color w:val="auto"/>
                      <w:szCs w:val="21"/>
                    </w:rPr>
                    <w:t>原料质量控制标准</w:t>
                  </w:r>
                </w:p>
              </w:tc>
              <w:tc>
                <w:tcPr>
                  <w:tcW w:w="710" w:type="pct"/>
                  <w:tcBorders>
                    <w:tl2br w:val="nil"/>
                    <w:tr2bl w:val="nil"/>
                  </w:tcBorders>
                  <w:vAlign w:val="center"/>
                </w:tcPr>
                <w:p w14:paraId="428C24D5">
                  <w:pPr>
                    <w:adjustRightInd w:val="0"/>
                    <w:snapToGrid w:val="0"/>
                    <w:ind w:firstLine="0" w:firstLineChars="0"/>
                    <w:jc w:val="center"/>
                    <w:rPr>
                      <w:b/>
                      <w:bCs/>
                      <w:color w:val="auto"/>
                      <w:szCs w:val="21"/>
                    </w:rPr>
                  </w:pPr>
                  <w:r>
                    <w:rPr>
                      <w:b/>
                      <w:bCs/>
                      <w:color w:val="auto"/>
                      <w:szCs w:val="21"/>
                    </w:rPr>
                    <w:t>储存方式</w:t>
                  </w:r>
                </w:p>
              </w:tc>
              <w:tc>
                <w:tcPr>
                  <w:tcW w:w="710" w:type="pct"/>
                  <w:tcBorders>
                    <w:tl2br w:val="nil"/>
                    <w:tr2bl w:val="nil"/>
                  </w:tcBorders>
                  <w:vAlign w:val="center"/>
                </w:tcPr>
                <w:p w14:paraId="307C529C">
                  <w:pPr>
                    <w:adjustRightInd w:val="0"/>
                    <w:snapToGrid w:val="0"/>
                    <w:ind w:firstLine="0" w:firstLineChars="0"/>
                    <w:jc w:val="center"/>
                    <w:rPr>
                      <w:b/>
                      <w:bCs/>
                      <w:color w:val="auto"/>
                      <w:szCs w:val="21"/>
                    </w:rPr>
                  </w:pPr>
                  <w:r>
                    <w:rPr>
                      <w:rFonts w:hint="eastAsia"/>
                      <w:b/>
                      <w:bCs/>
                      <w:color w:val="auto"/>
                      <w:szCs w:val="21"/>
                    </w:rPr>
                    <w:t>备注</w:t>
                  </w:r>
                </w:p>
              </w:tc>
            </w:tr>
            <w:tr w14:paraId="4E49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l2br w:val="nil"/>
                    <w:tr2bl w:val="nil"/>
                  </w:tcBorders>
                  <w:vAlign w:val="center"/>
                </w:tcPr>
                <w:p w14:paraId="33B5802F">
                  <w:pPr>
                    <w:ind w:firstLine="0" w:firstLineChars="0"/>
                    <w:jc w:val="center"/>
                    <w:rPr>
                      <w:b/>
                      <w:bCs/>
                      <w:color w:val="auto"/>
                      <w:szCs w:val="21"/>
                    </w:rPr>
                  </w:pPr>
                  <w:r>
                    <w:rPr>
                      <w:b/>
                      <w:bCs/>
                      <w:color w:val="auto"/>
                      <w:szCs w:val="21"/>
                    </w:rPr>
                    <w:t>本次扩建项目原辅材料</w:t>
                  </w:r>
                </w:p>
              </w:tc>
            </w:tr>
            <w:tr w14:paraId="1527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vMerge w:val="restart"/>
                  <w:tcBorders>
                    <w:tl2br w:val="nil"/>
                    <w:tr2bl w:val="nil"/>
                  </w:tcBorders>
                  <w:vAlign w:val="center"/>
                </w:tcPr>
                <w:p w14:paraId="315F0226">
                  <w:pPr>
                    <w:widowControl/>
                    <w:ind w:firstLine="0" w:firstLineChars="0"/>
                    <w:jc w:val="center"/>
                    <w:rPr>
                      <w:color w:val="auto"/>
                      <w:szCs w:val="21"/>
                    </w:rPr>
                  </w:pPr>
                  <w:r>
                    <w:rPr>
                      <w:color w:val="auto"/>
                      <w:szCs w:val="21"/>
                    </w:rPr>
                    <w:t>1</w:t>
                  </w:r>
                </w:p>
              </w:tc>
              <w:tc>
                <w:tcPr>
                  <w:tcW w:w="557" w:type="pct"/>
                  <w:vMerge w:val="restart"/>
                  <w:tcBorders>
                    <w:tl2br w:val="nil"/>
                    <w:tr2bl w:val="nil"/>
                  </w:tcBorders>
                  <w:vAlign w:val="center"/>
                </w:tcPr>
                <w:p w14:paraId="742C3DB7">
                  <w:pPr>
                    <w:pStyle w:val="53"/>
                    <w:spacing w:beforeLines="0" w:afterLines="0" w:line="240" w:lineRule="auto"/>
                    <w:ind w:firstLine="0" w:firstLineChars="0"/>
                    <w:rPr>
                      <w:rFonts w:ascii="Times New Roman"/>
                      <w:color w:val="auto"/>
                      <w:szCs w:val="21"/>
                    </w:rPr>
                  </w:pPr>
                  <w:r>
                    <w:rPr>
                      <w:rFonts w:ascii="Times New Roman"/>
                      <w:color w:val="auto"/>
                      <w:szCs w:val="21"/>
                    </w:rPr>
                    <w:t>碎石</w:t>
                  </w:r>
                </w:p>
              </w:tc>
              <w:tc>
                <w:tcPr>
                  <w:tcW w:w="651" w:type="pct"/>
                  <w:tcBorders>
                    <w:tl2br w:val="nil"/>
                    <w:tr2bl w:val="nil"/>
                  </w:tcBorders>
                  <w:vAlign w:val="center"/>
                </w:tcPr>
                <w:p w14:paraId="61FAA110">
                  <w:pPr>
                    <w:pStyle w:val="53"/>
                    <w:spacing w:beforeLines="0" w:afterLines="0" w:line="240" w:lineRule="auto"/>
                    <w:ind w:firstLine="0" w:firstLineChars="0"/>
                    <w:rPr>
                      <w:rFonts w:ascii="Times New Roman"/>
                      <w:color w:val="auto"/>
                      <w:szCs w:val="21"/>
                    </w:rPr>
                  </w:pPr>
                  <w:r>
                    <w:rPr>
                      <w:rFonts w:ascii="Times New Roman"/>
                      <w:color w:val="auto"/>
                      <w:szCs w:val="21"/>
                    </w:rPr>
                    <w:t>50000</w:t>
                  </w:r>
                </w:p>
              </w:tc>
              <w:tc>
                <w:tcPr>
                  <w:tcW w:w="398" w:type="pct"/>
                  <w:tcBorders>
                    <w:tl2br w:val="nil"/>
                    <w:tr2bl w:val="nil"/>
                  </w:tcBorders>
                  <w:vAlign w:val="center"/>
                </w:tcPr>
                <w:p w14:paraId="33722B7F">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2C1F25B9">
                  <w:pPr>
                    <w:pStyle w:val="53"/>
                    <w:spacing w:beforeLines="0" w:afterLines="0" w:line="240" w:lineRule="auto"/>
                    <w:ind w:firstLine="0" w:firstLineChars="0"/>
                    <w:rPr>
                      <w:rFonts w:ascii="Times New Roman"/>
                      <w:color w:val="auto"/>
                      <w:szCs w:val="21"/>
                    </w:rPr>
                  </w:pPr>
                  <w:r>
                    <w:rPr>
                      <w:rFonts w:ascii="Times New Roman"/>
                      <w:color w:val="auto"/>
                      <w:szCs w:val="21"/>
                    </w:rPr>
                    <w:t>JGJ52-2006《普通混凝土用砂、石质量及检验方法标准》</w:t>
                  </w:r>
                </w:p>
              </w:tc>
              <w:tc>
                <w:tcPr>
                  <w:tcW w:w="710" w:type="pct"/>
                  <w:tcBorders>
                    <w:tl2br w:val="nil"/>
                    <w:tr2bl w:val="nil"/>
                  </w:tcBorders>
                  <w:vAlign w:val="center"/>
                </w:tcPr>
                <w:p w14:paraId="269BD5CF">
                  <w:pPr>
                    <w:pStyle w:val="53"/>
                    <w:spacing w:beforeLines="0" w:afterLines="0" w:line="240" w:lineRule="auto"/>
                    <w:ind w:firstLine="0" w:firstLineChars="0"/>
                    <w:rPr>
                      <w:rFonts w:ascii="Times New Roman"/>
                      <w:color w:val="auto"/>
                      <w:szCs w:val="21"/>
                    </w:rPr>
                  </w:pPr>
                  <w:r>
                    <w:rPr>
                      <w:rFonts w:ascii="Times New Roman"/>
                      <w:color w:val="auto"/>
                      <w:szCs w:val="21"/>
                    </w:rPr>
                    <w:t>原料堆场</w:t>
                  </w:r>
                </w:p>
              </w:tc>
              <w:tc>
                <w:tcPr>
                  <w:tcW w:w="710" w:type="pct"/>
                  <w:tcBorders>
                    <w:tl2br w:val="nil"/>
                    <w:tr2bl w:val="nil"/>
                  </w:tcBorders>
                  <w:vAlign w:val="center"/>
                </w:tcPr>
                <w:p w14:paraId="16EA4E0A">
                  <w:pPr>
                    <w:pStyle w:val="53"/>
                    <w:spacing w:beforeLines="0" w:afterLines="0" w:line="240" w:lineRule="auto"/>
                    <w:ind w:firstLine="0" w:firstLineChars="0"/>
                    <w:rPr>
                      <w:rFonts w:ascii="Times New Roman"/>
                      <w:color w:val="auto"/>
                      <w:szCs w:val="21"/>
                    </w:rPr>
                  </w:pPr>
                  <w:r>
                    <w:rPr>
                      <w:rFonts w:hint="eastAsia" w:ascii="Times New Roman"/>
                      <w:color w:val="auto"/>
                      <w:szCs w:val="21"/>
                    </w:rPr>
                    <w:t>该部分直接当做商品混凝土原料使用</w:t>
                  </w:r>
                </w:p>
              </w:tc>
            </w:tr>
            <w:tr w14:paraId="4F38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vMerge w:val="continue"/>
                  <w:tcBorders>
                    <w:tl2br w:val="nil"/>
                    <w:tr2bl w:val="nil"/>
                  </w:tcBorders>
                  <w:vAlign w:val="center"/>
                </w:tcPr>
                <w:p w14:paraId="55C07DA3">
                  <w:pPr>
                    <w:widowControl/>
                    <w:ind w:firstLine="0" w:firstLineChars="0"/>
                    <w:jc w:val="center"/>
                    <w:rPr>
                      <w:color w:val="auto"/>
                      <w:szCs w:val="21"/>
                    </w:rPr>
                  </w:pPr>
                </w:p>
              </w:tc>
              <w:tc>
                <w:tcPr>
                  <w:tcW w:w="557" w:type="pct"/>
                  <w:vMerge w:val="continue"/>
                  <w:tcBorders>
                    <w:tl2br w:val="nil"/>
                    <w:tr2bl w:val="nil"/>
                  </w:tcBorders>
                  <w:vAlign w:val="center"/>
                </w:tcPr>
                <w:p w14:paraId="0261D1F0">
                  <w:pPr>
                    <w:pStyle w:val="53"/>
                    <w:spacing w:beforeLines="0" w:afterLines="0" w:line="240" w:lineRule="auto"/>
                    <w:ind w:firstLine="0" w:firstLineChars="0"/>
                    <w:rPr>
                      <w:rFonts w:ascii="Times New Roman"/>
                      <w:color w:val="auto"/>
                      <w:szCs w:val="21"/>
                    </w:rPr>
                  </w:pPr>
                </w:p>
              </w:tc>
              <w:tc>
                <w:tcPr>
                  <w:tcW w:w="651" w:type="pct"/>
                  <w:tcBorders>
                    <w:tl2br w:val="nil"/>
                    <w:tr2bl w:val="nil"/>
                  </w:tcBorders>
                  <w:vAlign w:val="center"/>
                </w:tcPr>
                <w:p w14:paraId="238F715F">
                  <w:pPr>
                    <w:pStyle w:val="53"/>
                    <w:spacing w:beforeLines="0" w:afterLines="0" w:line="240" w:lineRule="auto"/>
                    <w:ind w:firstLine="0" w:firstLineChars="0"/>
                    <w:rPr>
                      <w:rFonts w:ascii="Times New Roman"/>
                      <w:color w:val="auto"/>
                      <w:szCs w:val="21"/>
                    </w:rPr>
                  </w:pPr>
                  <w:r>
                    <w:rPr>
                      <w:rFonts w:hint="eastAsia" w:ascii="Times New Roman"/>
                      <w:color w:val="auto"/>
                      <w:szCs w:val="21"/>
                    </w:rPr>
                    <w:t>33262.748</w:t>
                  </w:r>
                </w:p>
              </w:tc>
              <w:tc>
                <w:tcPr>
                  <w:tcW w:w="398" w:type="pct"/>
                  <w:tcBorders>
                    <w:tl2br w:val="nil"/>
                    <w:tr2bl w:val="nil"/>
                  </w:tcBorders>
                  <w:vAlign w:val="center"/>
                </w:tcPr>
                <w:p w14:paraId="7F4DE485">
                  <w:pPr>
                    <w:pStyle w:val="53"/>
                    <w:spacing w:beforeLines="0" w:afterLines="0" w:line="240" w:lineRule="auto"/>
                    <w:ind w:firstLine="0" w:firstLineChars="0"/>
                    <w:rPr>
                      <w:rFonts w:ascii="Times New Roman"/>
                      <w:color w:val="auto"/>
                      <w:szCs w:val="21"/>
                    </w:rPr>
                  </w:pPr>
                  <w:r>
                    <w:rPr>
                      <w:rFonts w:hint="eastAsia" w:ascii="Times New Roman"/>
                      <w:color w:val="auto"/>
                      <w:szCs w:val="21"/>
                    </w:rPr>
                    <w:t>外购</w:t>
                  </w:r>
                </w:p>
              </w:tc>
              <w:tc>
                <w:tcPr>
                  <w:tcW w:w="1703" w:type="pct"/>
                  <w:tcBorders>
                    <w:tl2br w:val="nil"/>
                    <w:tr2bl w:val="nil"/>
                  </w:tcBorders>
                  <w:vAlign w:val="center"/>
                </w:tcPr>
                <w:p w14:paraId="5CF48F46">
                  <w:pPr>
                    <w:pStyle w:val="53"/>
                    <w:spacing w:beforeLines="0" w:afterLines="0" w:line="240" w:lineRule="auto"/>
                    <w:ind w:firstLine="0" w:firstLineChars="0"/>
                    <w:rPr>
                      <w:rFonts w:ascii="Times New Roman"/>
                      <w:color w:val="auto"/>
                      <w:szCs w:val="21"/>
                    </w:rPr>
                  </w:pPr>
                  <w:r>
                    <w:rPr>
                      <w:rFonts w:ascii="Times New Roman"/>
                      <w:color w:val="auto"/>
                      <w:szCs w:val="21"/>
                    </w:rPr>
                    <w:t>JGJ52-2006《普通混凝土用砂、石质量及检验方法标准》</w:t>
                  </w:r>
                </w:p>
              </w:tc>
              <w:tc>
                <w:tcPr>
                  <w:tcW w:w="710" w:type="pct"/>
                  <w:tcBorders>
                    <w:tl2br w:val="nil"/>
                    <w:tr2bl w:val="nil"/>
                  </w:tcBorders>
                  <w:vAlign w:val="center"/>
                </w:tcPr>
                <w:p w14:paraId="675B72C8">
                  <w:pPr>
                    <w:pStyle w:val="53"/>
                    <w:spacing w:beforeLines="0" w:afterLines="0" w:line="240" w:lineRule="auto"/>
                    <w:ind w:firstLine="0" w:firstLineChars="0"/>
                    <w:rPr>
                      <w:rFonts w:ascii="Times New Roman"/>
                      <w:color w:val="auto"/>
                      <w:szCs w:val="21"/>
                    </w:rPr>
                  </w:pPr>
                  <w:r>
                    <w:rPr>
                      <w:rFonts w:ascii="Times New Roman"/>
                      <w:color w:val="auto"/>
                      <w:szCs w:val="21"/>
                    </w:rPr>
                    <w:t>原料堆场</w:t>
                  </w:r>
                </w:p>
              </w:tc>
              <w:tc>
                <w:tcPr>
                  <w:tcW w:w="710" w:type="pct"/>
                  <w:tcBorders>
                    <w:tl2br w:val="nil"/>
                    <w:tr2bl w:val="nil"/>
                  </w:tcBorders>
                  <w:vAlign w:val="center"/>
                </w:tcPr>
                <w:p w14:paraId="21948F60">
                  <w:pPr>
                    <w:pStyle w:val="53"/>
                    <w:spacing w:beforeLines="0" w:afterLines="0" w:line="240" w:lineRule="auto"/>
                    <w:ind w:firstLine="0" w:firstLineChars="0"/>
                    <w:rPr>
                      <w:rFonts w:ascii="Times New Roman"/>
                      <w:color w:val="auto"/>
                      <w:szCs w:val="21"/>
                    </w:rPr>
                  </w:pPr>
                  <w:r>
                    <w:rPr>
                      <w:rFonts w:hint="eastAsia" w:ascii="Times New Roman"/>
                      <w:color w:val="auto"/>
                      <w:szCs w:val="21"/>
                    </w:rPr>
                    <w:t>该部分用于破碎成0～5mm的机制砂</w:t>
                  </w:r>
                </w:p>
              </w:tc>
            </w:tr>
            <w:tr w14:paraId="4A28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15B8F14B">
                  <w:pPr>
                    <w:widowControl/>
                    <w:ind w:firstLine="0" w:firstLineChars="0"/>
                    <w:jc w:val="center"/>
                    <w:rPr>
                      <w:color w:val="auto"/>
                      <w:kern w:val="0"/>
                      <w:szCs w:val="21"/>
                      <w:lang w:bidi="ar"/>
                    </w:rPr>
                  </w:pPr>
                  <w:r>
                    <w:rPr>
                      <w:color w:val="auto"/>
                      <w:kern w:val="0"/>
                      <w:szCs w:val="21"/>
                      <w:lang w:bidi="ar"/>
                    </w:rPr>
                    <w:t>2</w:t>
                  </w:r>
                </w:p>
              </w:tc>
              <w:tc>
                <w:tcPr>
                  <w:tcW w:w="557" w:type="pct"/>
                  <w:tcBorders>
                    <w:tl2br w:val="nil"/>
                    <w:tr2bl w:val="nil"/>
                  </w:tcBorders>
                  <w:vAlign w:val="center"/>
                </w:tcPr>
                <w:p w14:paraId="30DE72B2">
                  <w:pPr>
                    <w:pStyle w:val="53"/>
                    <w:spacing w:beforeLines="0" w:afterLines="0" w:line="240" w:lineRule="auto"/>
                    <w:ind w:firstLine="0" w:firstLineChars="0"/>
                    <w:rPr>
                      <w:rFonts w:ascii="Times New Roman"/>
                      <w:color w:val="auto"/>
                      <w:szCs w:val="21"/>
                    </w:rPr>
                  </w:pPr>
                  <w:r>
                    <w:rPr>
                      <w:rFonts w:ascii="Times New Roman"/>
                      <w:color w:val="auto"/>
                      <w:szCs w:val="21"/>
                    </w:rPr>
                    <w:t>机制砂</w:t>
                  </w:r>
                </w:p>
              </w:tc>
              <w:tc>
                <w:tcPr>
                  <w:tcW w:w="651" w:type="pct"/>
                  <w:tcBorders>
                    <w:tl2br w:val="nil"/>
                    <w:tr2bl w:val="nil"/>
                  </w:tcBorders>
                  <w:vAlign w:val="center"/>
                </w:tcPr>
                <w:p w14:paraId="66F012EE">
                  <w:pPr>
                    <w:pStyle w:val="53"/>
                    <w:spacing w:beforeLines="0" w:afterLines="0" w:line="240" w:lineRule="auto"/>
                    <w:ind w:firstLine="0" w:firstLineChars="0"/>
                    <w:rPr>
                      <w:rFonts w:ascii="Times New Roman"/>
                      <w:color w:val="auto"/>
                      <w:szCs w:val="21"/>
                    </w:rPr>
                  </w:pPr>
                  <w:r>
                    <w:rPr>
                      <w:rFonts w:ascii="Times New Roman"/>
                      <w:color w:val="auto"/>
                      <w:szCs w:val="21"/>
                    </w:rPr>
                    <w:t>33200</w:t>
                  </w:r>
                </w:p>
              </w:tc>
              <w:tc>
                <w:tcPr>
                  <w:tcW w:w="398" w:type="pct"/>
                  <w:tcBorders>
                    <w:tl2br w:val="nil"/>
                    <w:tr2bl w:val="nil"/>
                  </w:tcBorders>
                  <w:vAlign w:val="center"/>
                </w:tcPr>
                <w:p w14:paraId="2D09108A">
                  <w:pPr>
                    <w:pStyle w:val="53"/>
                    <w:spacing w:beforeLines="0" w:afterLines="0" w:line="240" w:lineRule="auto"/>
                    <w:ind w:firstLine="0" w:firstLineChars="0"/>
                    <w:rPr>
                      <w:rFonts w:ascii="Times New Roman"/>
                      <w:color w:val="auto"/>
                      <w:szCs w:val="21"/>
                    </w:rPr>
                  </w:pPr>
                  <w:r>
                    <w:rPr>
                      <w:rFonts w:hint="eastAsia" w:ascii="Times New Roman"/>
                      <w:color w:val="auto"/>
                      <w:szCs w:val="21"/>
                    </w:rPr>
                    <w:t>自产</w:t>
                  </w:r>
                </w:p>
              </w:tc>
              <w:tc>
                <w:tcPr>
                  <w:tcW w:w="1703" w:type="pct"/>
                  <w:tcBorders>
                    <w:tl2br w:val="nil"/>
                    <w:tr2bl w:val="nil"/>
                  </w:tcBorders>
                  <w:vAlign w:val="center"/>
                </w:tcPr>
                <w:p w14:paraId="0F671D8B">
                  <w:pPr>
                    <w:pStyle w:val="53"/>
                    <w:spacing w:beforeLines="0" w:afterLines="0" w:line="240" w:lineRule="auto"/>
                    <w:ind w:firstLine="0" w:firstLineChars="0"/>
                    <w:rPr>
                      <w:rFonts w:ascii="Times New Roman"/>
                      <w:color w:val="auto"/>
                      <w:szCs w:val="21"/>
                    </w:rPr>
                  </w:pPr>
                  <w:r>
                    <w:rPr>
                      <w:rFonts w:ascii="Times New Roman"/>
                      <w:color w:val="auto"/>
                      <w:szCs w:val="21"/>
                    </w:rPr>
                    <w:t>JGJ52-2006《普通混凝土用砂、石质量及检验方法标准》</w:t>
                  </w:r>
                </w:p>
              </w:tc>
              <w:tc>
                <w:tcPr>
                  <w:tcW w:w="710" w:type="pct"/>
                  <w:tcBorders>
                    <w:tl2br w:val="nil"/>
                    <w:tr2bl w:val="nil"/>
                  </w:tcBorders>
                  <w:vAlign w:val="center"/>
                </w:tcPr>
                <w:p w14:paraId="4E048CD8">
                  <w:pPr>
                    <w:pStyle w:val="53"/>
                    <w:spacing w:beforeLines="0" w:afterLines="0" w:line="240" w:lineRule="auto"/>
                    <w:ind w:firstLine="0" w:firstLineChars="0"/>
                    <w:rPr>
                      <w:rFonts w:ascii="Times New Roman"/>
                      <w:color w:val="auto"/>
                      <w:szCs w:val="21"/>
                    </w:rPr>
                  </w:pPr>
                  <w:r>
                    <w:rPr>
                      <w:rFonts w:ascii="Times New Roman"/>
                      <w:color w:val="auto"/>
                      <w:szCs w:val="21"/>
                    </w:rPr>
                    <w:t>原料堆场</w:t>
                  </w:r>
                </w:p>
              </w:tc>
              <w:tc>
                <w:tcPr>
                  <w:tcW w:w="710" w:type="pct"/>
                  <w:tcBorders>
                    <w:tl2br w:val="nil"/>
                    <w:tr2bl w:val="nil"/>
                  </w:tcBorders>
                  <w:vAlign w:val="center"/>
                </w:tcPr>
                <w:p w14:paraId="6E28637B">
                  <w:pPr>
                    <w:ind w:firstLine="0" w:firstLineChars="0"/>
                    <w:rPr>
                      <w:color w:val="auto"/>
                      <w:szCs w:val="21"/>
                    </w:rPr>
                  </w:pPr>
                  <w:r>
                    <w:rPr>
                      <w:color w:val="auto"/>
                      <w:szCs w:val="21"/>
                    </w:rPr>
                    <w:t>中间产品，全部用作本项目商品混凝土的原料</w:t>
                  </w:r>
                </w:p>
              </w:tc>
            </w:tr>
            <w:tr w14:paraId="41A6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64E2FA97">
                  <w:pPr>
                    <w:widowControl/>
                    <w:ind w:firstLine="0" w:firstLineChars="0"/>
                    <w:jc w:val="center"/>
                    <w:rPr>
                      <w:color w:val="auto"/>
                      <w:szCs w:val="21"/>
                    </w:rPr>
                  </w:pPr>
                  <w:r>
                    <w:rPr>
                      <w:color w:val="auto"/>
                      <w:kern w:val="0"/>
                      <w:szCs w:val="21"/>
                      <w:lang w:bidi="ar"/>
                    </w:rPr>
                    <w:t>3</w:t>
                  </w:r>
                </w:p>
              </w:tc>
              <w:tc>
                <w:tcPr>
                  <w:tcW w:w="557" w:type="pct"/>
                  <w:tcBorders>
                    <w:tl2br w:val="nil"/>
                    <w:tr2bl w:val="nil"/>
                  </w:tcBorders>
                  <w:vAlign w:val="center"/>
                </w:tcPr>
                <w:p w14:paraId="7CE65DC3">
                  <w:pPr>
                    <w:pStyle w:val="53"/>
                    <w:spacing w:beforeLines="0" w:afterLines="0" w:line="240" w:lineRule="auto"/>
                    <w:ind w:firstLine="0" w:firstLineChars="0"/>
                    <w:rPr>
                      <w:rFonts w:ascii="Times New Roman"/>
                      <w:color w:val="auto"/>
                      <w:szCs w:val="21"/>
                    </w:rPr>
                  </w:pPr>
                  <w:r>
                    <w:rPr>
                      <w:rFonts w:ascii="Times New Roman"/>
                      <w:color w:val="auto"/>
                      <w:szCs w:val="21"/>
                    </w:rPr>
                    <w:t>水泥</w:t>
                  </w:r>
                </w:p>
              </w:tc>
              <w:tc>
                <w:tcPr>
                  <w:tcW w:w="651" w:type="pct"/>
                  <w:tcBorders>
                    <w:tl2br w:val="nil"/>
                    <w:tr2bl w:val="nil"/>
                  </w:tcBorders>
                  <w:vAlign w:val="center"/>
                </w:tcPr>
                <w:p w14:paraId="3C088DC9">
                  <w:pPr>
                    <w:pStyle w:val="53"/>
                    <w:spacing w:beforeLines="0" w:afterLines="0" w:line="240" w:lineRule="auto"/>
                    <w:ind w:firstLine="0" w:firstLineChars="0"/>
                    <w:rPr>
                      <w:rFonts w:ascii="Times New Roman"/>
                      <w:color w:val="auto"/>
                      <w:szCs w:val="21"/>
                    </w:rPr>
                  </w:pPr>
                  <w:r>
                    <w:rPr>
                      <w:rFonts w:ascii="Times New Roman"/>
                      <w:color w:val="auto"/>
                      <w:szCs w:val="21"/>
                    </w:rPr>
                    <w:t>12400</w:t>
                  </w:r>
                </w:p>
              </w:tc>
              <w:tc>
                <w:tcPr>
                  <w:tcW w:w="398" w:type="pct"/>
                  <w:tcBorders>
                    <w:tl2br w:val="nil"/>
                    <w:tr2bl w:val="nil"/>
                  </w:tcBorders>
                  <w:vAlign w:val="center"/>
                </w:tcPr>
                <w:p w14:paraId="32A12CD8">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700791F0">
                  <w:pPr>
                    <w:pStyle w:val="53"/>
                    <w:spacing w:beforeLines="0" w:afterLines="0" w:line="240" w:lineRule="auto"/>
                    <w:ind w:firstLine="0" w:firstLineChars="0"/>
                    <w:rPr>
                      <w:rFonts w:ascii="Times New Roman"/>
                      <w:color w:val="auto"/>
                      <w:szCs w:val="21"/>
                    </w:rPr>
                  </w:pPr>
                  <w:r>
                    <w:rPr>
                      <w:rFonts w:ascii="Times New Roman"/>
                      <w:color w:val="auto"/>
                      <w:szCs w:val="21"/>
                    </w:rPr>
                    <w:t>GB175-2007《通用硅酸盐水泥》、GB200-2017《中热硅酸盐水泥低热硅酸盐水泥》</w:t>
                  </w:r>
                </w:p>
              </w:tc>
              <w:tc>
                <w:tcPr>
                  <w:tcW w:w="710" w:type="pct"/>
                  <w:tcBorders>
                    <w:tl2br w:val="nil"/>
                    <w:tr2bl w:val="nil"/>
                  </w:tcBorders>
                  <w:vAlign w:val="center"/>
                </w:tcPr>
                <w:p w14:paraId="5AC87B30">
                  <w:pPr>
                    <w:pStyle w:val="53"/>
                    <w:spacing w:beforeLines="0" w:afterLines="0" w:line="240" w:lineRule="auto"/>
                    <w:ind w:firstLine="0" w:firstLineChars="0"/>
                    <w:rPr>
                      <w:rFonts w:ascii="Times New Roman"/>
                      <w:color w:val="auto"/>
                      <w:szCs w:val="21"/>
                    </w:rPr>
                  </w:pPr>
                  <w:r>
                    <w:rPr>
                      <w:rFonts w:ascii="Times New Roman"/>
                      <w:color w:val="auto"/>
                      <w:szCs w:val="21"/>
                    </w:rPr>
                    <w:t>水泥筒仓</w:t>
                  </w:r>
                </w:p>
              </w:tc>
              <w:tc>
                <w:tcPr>
                  <w:tcW w:w="710" w:type="pct"/>
                  <w:tcBorders>
                    <w:tl2br w:val="nil"/>
                    <w:tr2bl w:val="nil"/>
                  </w:tcBorders>
                  <w:vAlign w:val="center"/>
                </w:tcPr>
                <w:p w14:paraId="02457361">
                  <w:pPr>
                    <w:ind w:firstLine="420"/>
                    <w:rPr>
                      <w:color w:val="auto"/>
                      <w:szCs w:val="21"/>
                    </w:rPr>
                  </w:pPr>
                  <w:r>
                    <w:rPr>
                      <w:color w:val="auto"/>
                      <w:szCs w:val="21"/>
                    </w:rPr>
                    <w:t>/</w:t>
                  </w:r>
                </w:p>
              </w:tc>
            </w:tr>
            <w:tr w14:paraId="73D3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7D15143E">
                  <w:pPr>
                    <w:widowControl/>
                    <w:ind w:firstLine="0" w:firstLineChars="0"/>
                    <w:jc w:val="center"/>
                    <w:rPr>
                      <w:color w:val="auto"/>
                      <w:kern w:val="0"/>
                      <w:szCs w:val="21"/>
                      <w:lang w:bidi="ar"/>
                    </w:rPr>
                  </w:pPr>
                  <w:r>
                    <w:rPr>
                      <w:color w:val="auto"/>
                      <w:kern w:val="0"/>
                      <w:szCs w:val="21"/>
                      <w:lang w:bidi="ar"/>
                    </w:rPr>
                    <w:t>4</w:t>
                  </w:r>
                </w:p>
              </w:tc>
              <w:tc>
                <w:tcPr>
                  <w:tcW w:w="557" w:type="pct"/>
                  <w:tcBorders>
                    <w:tl2br w:val="nil"/>
                    <w:tr2bl w:val="nil"/>
                  </w:tcBorders>
                  <w:vAlign w:val="center"/>
                </w:tcPr>
                <w:p w14:paraId="5EA4F2FE">
                  <w:pPr>
                    <w:pStyle w:val="53"/>
                    <w:spacing w:beforeLines="0" w:afterLines="0" w:line="240" w:lineRule="auto"/>
                    <w:ind w:firstLine="0" w:firstLineChars="0"/>
                    <w:rPr>
                      <w:rFonts w:ascii="Times New Roman"/>
                      <w:color w:val="auto"/>
                      <w:szCs w:val="21"/>
                    </w:rPr>
                  </w:pPr>
                  <w:r>
                    <w:rPr>
                      <w:rFonts w:ascii="Times New Roman"/>
                      <w:color w:val="auto"/>
                      <w:szCs w:val="21"/>
                    </w:rPr>
                    <w:t>粉煤灰</w:t>
                  </w:r>
                </w:p>
              </w:tc>
              <w:tc>
                <w:tcPr>
                  <w:tcW w:w="651" w:type="pct"/>
                  <w:tcBorders>
                    <w:tl2br w:val="nil"/>
                    <w:tr2bl w:val="nil"/>
                  </w:tcBorders>
                  <w:vAlign w:val="center"/>
                </w:tcPr>
                <w:p w14:paraId="298E6153">
                  <w:pPr>
                    <w:pStyle w:val="53"/>
                    <w:spacing w:beforeLines="0" w:afterLines="0" w:line="240" w:lineRule="auto"/>
                    <w:ind w:firstLine="0" w:firstLineChars="0"/>
                    <w:rPr>
                      <w:rFonts w:ascii="Times New Roman"/>
                      <w:color w:val="auto"/>
                      <w:szCs w:val="21"/>
                    </w:rPr>
                  </w:pPr>
                  <w:r>
                    <w:rPr>
                      <w:rFonts w:ascii="Times New Roman"/>
                      <w:color w:val="auto"/>
                      <w:szCs w:val="21"/>
                    </w:rPr>
                    <w:t>3300</w:t>
                  </w:r>
                </w:p>
              </w:tc>
              <w:tc>
                <w:tcPr>
                  <w:tcW w:w="398" w:type="pct"/>
                  <w:tcBorders>
                    <w:tl2br w:val="nil"/>
                    <w:tr2bl w:val="nil"/>
                  </w:tcBorders>
                  <w:vAlign w:val="center"/>
                </w:tcPr>
                <w:p w14:paraId="69E48944">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34EED1FC">
                  <w:pPr>
                    <w:pStyle w:val="53"/>
                    <w:spacing w:beforeLines="0" w:afterLines="0" w:line="240" w:lineRule="auto"/>
                    <w:ind w:firstLine="0" w:firstLineChars="0"/>
                    <w:rPr>
                      <w:rFonts w:ascii="Times New Roman"/>
                      <w:color w:val="auto"/>
                      <w:szCs w:val="21"/>
                    </w:rPr>
                  </w:pPr>
                  <w:r>
                    <w:rPr>
                      <w:rFonts w:ascii="Times New Roman"/>
                      <w:color w:val="auto"/>
                    </w:rPr>
                    <w:t>GB/T1596-2017《用于水泥和混凝土中的粉煤灰》</w:t>
                  </w:r>
                </w:p>
              </w:tc>
              <w:tc>
                <w:tcPr>
                  <w:tcW w:w="710" w:type="pct"/>
                  <w:tcBorders>
                    <w:tl2br w:val="nil"/>
                    <w:tr2bl w:val="nil"/>
                  </w:tcBorders>
                  <w:vAlign w:val="center"/>
                </w:tcPr>
                <w:p w14:paraId="6FE4252B">
                  <w:pPr>
                    <w:pStyle w:val="53"/>
                    <w:spacing w:beforeLines="0" w:afterLines="0" w:line="240" w:lineRule="auto"/>
                    <w:ind w:firstLine="0" w:firstLineChars="0"/>
                    <w:rPr>
                      <w:rFonts w:ascii="Times New Roman"/>
                      <w:color w:val="auto"/>
                      <w:szCs w:val="21"/>
                    </w:rPr>
                  </w:pPr>
                  <w:r>
                    <w:rPr>
                      <w:rFonts w:ascii="Times New Roman"/>
                      <w:color w:val="auto"/>
                      <w:szCs w:val="21"/>
                    </w:rPr>
                    <w:t>粉煤灰筒仓</w:t>
                  </w:r>
                </w:p>
              </w:tc>
              <w:tc>
                <w:tcPr>
                  <w:tcW w:w="710" w:type="pct"/>
                  <w:tcBorders>
                    <w:tl2br w:val="nil"/>
                    <w:tr2bl w:val="nil"/>
                  </w:tcBorders>
                  <w:vAlign w:val="center"/>
                </w:tcPr>
                <w:p w14:paraId="313B65E9">
                  <w:pPr>
                    <w:ind w:firstLine="420"/>
                    <w:rPr>
                      <w:color w:val="auto"/>
                      <w:szCs w:val="21"/>
                    </w:rPr>
                  </w:pPr>
                  <w:r>
                    <w:rPr>
                      <w:color w:val="auto"/>
                      <w:szCs w:val="21"/>
                    </w:rPr>
                    <w:t>/</w:t>
                  </w:r>
                </w:p>
              </w:tc>
            </w:tr>
            <w:tr w14:paraId="39DD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271578D6">
                  <w:pPr>
                    <w:adjustRightInd w:val="0"/>
                    <w:snapToGrid w:val="0"/>
                    <w:ind w:firstLine="0" w:firstLineChars="0"/>
                    <w:jc w:val="center"/>
                    <w:rPr>
                      <w:color w:val="auto"/>
                      <w:kern w:val="0"/>
                      <w:szCs w:val="21"/>
                      <w:lang w:bidi="ar"/>
                    </w:rPr>
                  </w:pPr>
                  <w:r>
                    <w:rPr>
                      <w:color w:val="auto"/>
                      <w:kern w:val="0"/>
                      <w:szCs w:val="21"/>
                      <w:lang w:bidi="ar"/>
                    </w:rPr>
                    <w:t>5</w:t>
                  </w:r>
                </w:p>
              </w:tc>
              <w:tc>
                <w:tcPr>
                  <w:tcW w:w="557" w:type="pct"/>
                  <w:tcBorders>
                    <w:tl2br w:val="nil"/>
                    <w:tr2bl w:val="nil"/>
                  </w:tcBorders>
                  <w:vAlign w:val="center"/>
                </w:tcPr>
                <w:p w14:paraId="0A8509AA">
                  <w:pPr>
                    <w:pStyle w:val="53"/>
                    <w:spacing w:beforeLines="0" w:afterLines="0" w:line="240" w:lineRule="auto"/>
                    <w:ind w:firstLine="0" w:firstLineChars="0"/>
                    <w:rPr>
                      <w:rFonts w:ascii="Times New Roman"/>
                      <w:color w:val="auto"/>
                      <w:szCs w:val="21"/>
                    </w:rPr>
                  </w:pPr>
                  <w:r>
                    <w:rPr>
                      <w:rFonts w:ascii="Times New Roman"/>
                      <w:color w:val="auto"/>
                      <w:szCs w:val="21"/>
                    </w:rPr>
                    <w:t>矿粉</w:t>
                  </w:r>
                </w:p>
              </w:tc>
              <w:tc>
                <w:tcPr>
                  <w:tcW w:w="651" w:type="pct"/>
                  <w:tcBorders>
                    <w:tl2br w:val="nil"/>
                    <w:tr2bl w:val="nil"/>
                  </w:tcBorders>
                  <w:vAlign w:val="center"/>
                </w:tcPr>
                <w:p w14:paraId="3B855514">
                  <w:pPr>
                    <w:pStyle w:val="53"/>
                    <w:spacing w:beforeLines="0" w:afterLines="0" w:line="240" w:lineRule="auto"/>
                    <w:ind w:firstLine="0" w:firstLineChars="0"/>
                    <w:rPr>
                      <w:rFonts w:ascii="Times New Roman"/>
                      <w:color w:val="auto"/>
                      <w:szCs w:val="21"/>
                    </w:rPr>
                  </w:pPr>
                  <w:r>
                    <w:rPr>
                      <w:rFonts w:ascii="Times New Roman"/>
                      <w:color w:val="auto"/>
                      <w:szCs w:val="21"/>
                    </w:rPr>
                    <w:t>1100</w:t>
                  </w:r>
                </w:p>
              </w:tc>
              <w:tc>
                <w:tcPr>
                  <w:tcW w:w="398" w:type="pct"/>
                  <w:tcBorders>
                    <w:tl2br w:val="nil"/>
                    <w:tr2bl w:val="nil"/>
                  </w:tcBorders>
                  <w:vAlign w:val="center"/>
                </w:tcPr>
                <w:p w14:paraId="6BEF4EEC">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014AC15C">
                  <w:pPr>
                    <w:pStyle w:val="53"/>
                    <w:spacing w:beforeLines="0" w:afterLines="0" w:line="240" w:lineRule="auto"/>
                    <w:ind w:firstLine="0" w:firstLineChars="0"/>
                    <w:rPr>
                      <w:rFonts w:ascii="Times New Roman"/>
                      <w:color w:val="auto"/>
                      <w:szCs w:val="21"/>
                    </w:rPr>
                  </w:pPr>
                  <w:r>
                    <w:rPr>
                      <w:rFonts w:ascii="Times New Roman"/>
                      <w:color w:val="auto"/>
                    </w:rPr>
                    <w:t>GB/T18046-2000《用于水泥和混凝土中的粒化高炉矿渣粉》</w:t>
                  </w:r>
                </w:p>
              </w:tc>
              <w:tc>
                <w:tcPr>
                  <w:tcW w:w="710" w:type="pct"/>
                  <w:tcBorders>
                    <w:tl2br w:val="nil"/>
                    <w:tr2bl w:val="nil"/>
                  </w:tcBorders>
                  <w:vAlign w:val="center"/>
                </w:tcPr>
                <w:p w14:paraId="7DE6B9E3">
                  <w:pPr>
                    <w:pStyle w:val="53"/>
                    <w:spacing w:beforeLines="0" w:afterLines="0" w:line="240" w:lineRule="auto"/>
                    <w:ind w:firstLine="0" w:firstLineChars="0"/>
                    <w:rPr>
                      <w:rFonts w:ascii="Times New Roman"/>
                      <w:color w:val="auto"/>
                      <w:szCs w:val="21"/>
                    </w:rPr>
                  </w:pPr>
                  <w:r>
                    <w:rPr>
                      <w:rFonts w:ascii="Times New Roman"/>
                      <w:color w:val="auto"/>
                      <w:szCs w:val="21"/>
                    </w:rPr>
                    <w:t>矿粉筒仓</w:t>
                  </w:r>
                </w:p>
              </w:tc>
              <w:tc>
                <w:tcPr>
                  <w:tcW w:w="710" w:type="pct"/>
                  <w:tcBorders>
                    <w:tl2br w:val="nil"/>
                    <w:tr2bl w:val="nil"/>
                  </w:tcBorders>
                  <w:vAlign w:val="center"/>
                </w:tcPr>
                <w:p w14:paraId="5BAD839F">
                  <w:pPr>
                    <w:ind w:firstLine="0" w:firstLineChars="0"/>
                    <w:jc w:val="center"/>
                    <w:rPr>
                      <w:color w:val="auto"/>
                      <w:szCs w:val="21"/>
                    </w:rPr>
                  </w:pPr>
                  <w:r>
                    <w:rPr>
                      <w:color w:val="auto"/>
                      <w:szCs w:val="21"/>
                    </w:rPr>
                    <w:t>/</w:t>
                  </w:r>
                </w:p>
              </w:tc>
            </w:tr>
            <w:tr w14:paraId="4E23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tcBorders>
                    <w:tl2br w:val="nil"/>
                    <w:tr2bl w:val="nil"/>
                  </w:tcBorders>
                  <w:vAlign w:val="center"/>
                </w:tcPr>
                <w:p w14:paraId="50E53A33">
                  <w:pPr>
                    <w:adjustRightInd w:val="0"/>
                    <w:snapToGrid w:val="0"/>
                    <w:ind w:firstLine="0" w:firstLineChars="0"/>
                    <w:jc w:val="center"/>
                    <w:rPr>
                      <w:color w:val="auto"/>
                      <w:kern w:val="0"/>
                      <w:szCs w:val="21"/>
                      <w:lang w:bidi="ar"/>
                    </w:rPr>
                  </w:pPr>
                  <w:r>
                    <w:rPr>
                      <w:rFonts w:hint="eastAsia"/>
                      <w:color w:val="auto"/>
                      <w:kern w:val="0"/>
                      <w:szCs w:val="21"/>
                      <w:lang w:bidi="ar"/>
                    </w:rPr>
                    <w:t>6</w:t>
                  </w:r>
                </w:p>
              </w:tc>
              <w:tc>
                <w:tcPr>
                  <w:tcW w:w="557" w:type="pct"/>
                  <w:tcBorders>
                    <w:tl2br w:val="nil"/>
                    <w:tr2bl w:val="nil"/>
                  </w:tcBorders>
                  <w:vAlign w:val="center"/>
                </w:tcPr>
                <w:p w14:paraId="3C674F57">
                  <w:pPr>
                    <w:pStyle w:val="53"/>
                    <w:spacing w:beforeLines="0" w:afterLines="0" w:line="240" w:lineRule="auto"/>
                    <w:ind w:firstLine="0" w:firstLineChars="0"/>
                    <w:rPr>
                      <w:rFonts w:ascii="Times New Roman"/>
                      <w:color w:val="auto"/>
                      <w:szCs w:val="21"/>
                    </w:rPr>
                  </w:pPr>
                  <w:r>
                    <w:rPr>
                      <w:rFonts w:hint="eastAsia" w:ascii="Times New Roman"/>
                      <w:color w:val="auto"/>
                      <w:szCs w:val="21"/>
                    </w:rPr>
                    <w:t>外加剂</w:t>
                  </w:r>
                </w:p>
              </w:tc>
              <w:tc>
                <w:tcPr>
                  <w:tcW w:w="651" w:type="pct"/>
                  <w:tcBorders>
                    <w:tl2br w:val="nil"/>
                    <w:tr2bl w:val="nil"/>
                  </w:tcBorders>
                  <w:vAlign w:val="center"/>
                </w:tcPr>
                <w:p w14:paraId="3A3CC4C8">
                  <w:pPr>
                    <w:pStyle w:val="53"/>
                    <w:spacing w:beforeLines="0" w:afterLines="0" w:line="240" w:lineRule="auto"/>
                    <w:ind w:firstLine="0" w:firstLineChars="0"/>
                    <w:rPr>
                      <w:rFonts w:ascii="Times New Roman"/>
                      <w:color w:val="auto"/>
                      <w:szCs w:val="21"/>
                    </w:rPr>
                  </w:pPr>
                  <w:r>
                    <w:rPr>
                      <w:rFonts w:hint="eastAsia" w:ascii="Times New Roman"/>
                      <w:color w:val="auto"/>
                      <w:szCs w:val="21"/>
                    </w:rPr>
                    <w:t>15</w:t>
                  </w:r>
                </w:p>
              </w:tc>
              <w:tc>
                <w:tcPr>
                  <w:tcW w:w="398" w:type="pct"/>
                  <w:tcBorders>
                    <w:tl2br w:val="nil"/>
                    <w:tr2bl w:val="nil"/>
                  </w:tcBorders>
                  <w:vAlign w:val="center"/>
                </w:tcPr>
                <w:p w14:paraId="46DC3130">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0EE61B60">
                  <w:pPr>
                    <w:pStyle w:val="53"/>
                    <w:spacing w:beforeLines="0" w:afterLines="0" w:line="240" w:lineRule="auto"/>
                    <w:ind w:firstLine="0" w:firstLineChars="0"/>
                    <w:rPr>
                      <w:rFonts w:ascii="Times New Roman"/>
                      <w:color w:val="auto"/>
                    </w:rPr>
                  </w:pPr>
                  <w:r>
                    <w:rPr>
                      <w:rFonts w:hint="eastAsia" w:ascii="Times New Roman"/>
                      <w:color w:val="auto"/>
                    </w:rPr>
                    <w:t>/</w:t>
                  </w:r>
                </w:p>
              </w:tc>
              <w:tc>
                <w:tcPr>
                  <w:tcW w:w="710" w:type="pct"/>
                  <w:tcBorders>
                    <w:tl2br w:val="nil"/>
                    <w:tr2bl w:val="nil"/>
                  </w:tcBorders>
                  <w:vAlign w:val="center"/>
                </w:tcPr>
                <w:p w14:paraId="1233DB4F">
                  <w:pPr>
                    <w:pStyle w:val="53"/>
                    <w:spacing w:beforeLines="0" w:afterLines="0" w:line="240" w:lineRule="auto"/>
                    <w:ind w:firstLine="0" w:firstLineChars="0"/>
                    <w:rPr>
                      <w:rFonts w:ascii="Times New Roman"/>
                      <w:color w:val="auto"/>
                      <w:szCs w:val="21"/>
                    </w:rPr>
                  </w:pPr>
                  <w:r>
                    <w:rPr>
                      <w:rFonts w:hint="eastAsia" w:ascii="Times New Roman"/>
                      <w:color w:val="auto"/>
                      <w:szCs w:val="21"/>
                    </w:rPr>
                    <w:t>外加剂存放桶</w:t>
                  </w:r>
                </w:p>
              </w:tc>
              <w:tc>
                <w:tcPr>
                  <w:tcW w:w="710" w:type="pct"/>
                  <w:tcBorders>
                    <w:tl2br w:val="nil"/>
                    <w:tr2bl w:val="nil"/>
                  </w:tcBorders>
                  <w:vAlign w:val="center"/>
                </w:tcPr>
                <w:p w14:paraId="5319066C">
                  <w:pPr>
                    <w:ind w:firstLine="0" w:firstLineChars="0"/>
                    <w:rPr>
                      <w:color w:val="auto"/>
                      <w:szCs w:val="21"/>
                    </w:rPr>
                  </w:pPr>
                  <w:r>
                    <w:rPr>
                      <w:rFonts w:hint="eastAsia"/>
                      <w:color w:val="auto"/>
                      <w:szCs w:val="21"/>
                    </w:rPr>
                    <w:t>10t塑料桶装</w:t>
                  </w:r>
                </w:p>
              </w:tc>
            </w:tr>
            <w:tr w14:paraId="7EF2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l2br w:val="nil"/>
                    <w:tr2bl w:val="nil"/>
                  </w:tcBorders>
                  <w:vAlign w:val="center"/>
                </w:tcPr>
                <w:p w14:paraId="43764D2E">
                  <w:pPr>
                    <w:adjustRightInd w:val="0"/>
                    <w:snapToGrid w:val="0"/>
                    <w:ind w:firstLine="0" w:firstLineChars="0"/>
                    <w:jc w:val="center"/>
                    <w:rPr>
                      <w:b/>
                      <w:bCs/>
                      <w:color w:val="auto"/>
                      <w:szCs w:val="21"/>
                    </w:rPr>
                  </w:pPr>
                  <w:r>
                    <w:rPr>
                      <w:b/>
                      <w:bCs/>
                      <w:color w:val="auto"/>
                      <w:szCs w:val="21"/>
                    </w:rPr>
                    <w:t>原项目原辅材料</w:t>
                  </w:r>
                </w:p>
              </w:tc>
            </w:tr>
            <w:tr w14:paraId="11BE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6654EF30">
                  <w:pPr>
                    <w:adjustRightInd w:val="0"/>
                    <w:snapToGrid w:val="0"/>
                    <w:ind w:firstLine="0" w:firstLineChars="0"/>
                    <w:jc w:val="center"/>
                    <w:rPr>
                      <w:color w:val="auto"/>
                      <w:kern w:val="0"/>
                      <w:szCs w:val="21"/>
                      <w:lang w:bidi="ar"/>
                    </w:rPr>
                  </w:pPr>
                  <w:r>
                    <w:rPr>
                      <w:color w:val="auto"/>
                      <w:kern w:val="0"/>
                      <w:szCs w:val="21"/>
                      <w:lang w:bidi="ar"/>
                    </w:rPr>
                    <w:t>1</w:t>
                  </w:r>
                </w:p>
              </w:tc>
              <w:tc>
                <w:tcPr>
                  <w:tcW w:w="557" w:type="pct"/>
                  <w:tcBorders>
                    <w:tl2br w:val="nil"/>
                    <w:tr2bl w:val="nil"/>
                  </w:tcBorders>
                  <w:vAlign w:val="center"/>
                </w:tcPr>
                <w:p w14:paraId="0B3D8C3A">
                  <w:pPr>
                    <w:pStyle w:val="53"/>
                    <w:spacing w:beforeLines="0" w:afterLines="0" w:line="240" w:lineRule="auto"/>
                    <w:ind w:firstLine="0" w:firstLineChars="0"/>
                    <w:rPr>
                      <w:rFonts w:ascii="Times New Roman"/>
                      <w:color w:val="auto"/>
                      <w:szCs w:val="21"/>
                    </w:rPr>
                  </w:pPr>
                  <w:r>
                    <w:rPr>
                      <w:rFonts w:ascii="Times New Roman"/>
                      <w:color w:val="auto"/>
                      <w:szCs w:val="21"/>
                    </w:rPr>
                    <w:t>碎石</w:t>
                  </w:r>
                </w:p>
              </w:tc>
              <w:tc>
                <w:tcPr>
                  <w:tcW w:w="651" w:type="pct"/>
                  <w:tcBorders>
                    <w:tl2br w:val="nil"/>
                    <w:tr2bl w:val="nil"/>
                  </w:tcBorders>
                  <w:vAlign w:val="center"/>
                </w:tcPr>
                <w:p w14:paraId="62DEFE5C">
                  <w:pPr>
                    <w:pStyle w:val="53"/>
                    <w:spacing w:beforeLines="0" w:afterLines="0" w:line="240" w:lineRule="auto"/>
                    <w:ind w:firstLine="0" w:firstLineChars="0"/>
                    <w:rPr>
                      <w:rFonts w:ascii="Times New Roman"/>
                      <w:color w:val="auto"/>
                      <w:szCs w:val="21"/>
                    </w:rPr>
                  </w:pPr>
                  <w:r>
                    <w:rPr>
                      <w:rFonts w:ascii="Times New Roman"/>
                      <w:color w:val="auto"/>
                      <w:szCs w:val="21"/>
                    </w:rPr>
                    <w:t>125000</w:t>
                  </w:r>
                </w:p>
              </w:tc>
              <w:tc>
                <w:tcPr>
                  <w:tcW w:w="398" w:type="pct"/>
                  <w:tcBorders>
                    <w:tl2br w:val="nil"/>
                    <w:tr2bl w:val="nil"/>
                  </w:tcBorders>
                  <w:vAlign w:val="center"/>
                </w:tcPr>
                <w:p w14:paraId="45D465EC">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010F89E3">
                  <w:pPr>
                    <w:pStyle w:val="53"/>
                    <w:spacing w:beforeLines="0" w:afterLines="0" w:line="240" w:lineRule="auto"/>
                    <w:ind w:firstLine="0" w:firstLineChars="0"/>
                    <w:rPr>
                      <w:rFonts w:ascii="Times New Roman"/>
                      <w:color w:val="auto"/>
                      <w:szCs w:val="21"/>
                    </w:rPr>
                  </w:pPr>
                </w:p>
                <w:p w14:paraId="1045238B">
                  <w:pPr>
                    <w:pStyle w:val="53"/>
                    <w:spacing w:beforeLines="0" w:afterLines="0" w:line="240" w:lineRule="auto"/>
                    <w:ind w:firstLine="0" w:firstLineChars="0"/>
                    <w:rPr>
                      <w:rFonts w:ascii="Times New Roman"/>
                      <w:color w:val="auto"/>
                      <w:szCs w:val="21"/>
                    </w:rPr>
                  </w:pPr>
                  <w:r>
                    <w:rPr>
                      <w:rFonts w:ascii="Times New Roman"/>
                      <w:color w:val="auto"/>
                      <w:szCs w:val="21"/>
                    </w:rPr>
                    <w:t>JGJ52-2006《普通混凝土用砂、石质量及检验方法标准》</w:t>
                  </w:r>
                </w:p>
              </w:tc>
              <w:tc>
                <w:tcPr>
                  <w:tcW w:w="710" w:type="pct"/>
                  <w:tcBorders>
                    <w:tl2br w:val="nil"/>
                    <w:tr2bl w:val="nil"/>
                  </w:tcBorders>
                  <w:vAlign w:val="center"/>
                </w:tcPr>
                <w:p w14:paraId="0767E745">
                  <w:pPr>
                    <w:pStyle w:val="53"/>
                    <w:spacing w:beforeLines="0" w:afterLines="0" w:line="240" w:lineRule="auto"/>
                    <w:ind w:firstLine="0" w:firstLineChars="0"/>
                    <w:rPr>
                      <w:rFonts w:ascii="Times New Roman"/>
                      <w:color w:val="auto"/>
                      <w:szCs w:val="21"/>
                    </w:rPr>
                  </w:pPr>
                  <w:r>
                    <w:rPr>
                      <w:rFonts w:ascii="Times New Roman"/>
                      <w:color w:val="auto"/>
                      <w:szCs w:val="21"/>
                    </w:rPr>
                    <w:t>原料堆场</w:t>
                  </w:r>
                </w:p>
              </w:tc>
              <w:tc>
                <w:tcPr>
                  <w:tcW w:w="710" w:type="pct"/>
                  <w:tcBorders>
                    <w:tl2br w:val="nil"/>
                    <w:tr2bl w:val="nil"/>
                  </w:tcBorders>
                  <w:vAlign w:val="center"/>
                </w:tcPr>
                <w:p w14:paraId="41DFECAF">
                  <w:pPr>
                    <w:pStyle w:val="53"/>
                    <w:spacing w:beforeLines="0" w:afterLines="0" w:line="240" w:lineRule="auto"/>
                    <w:ind w:firstLine="0" w:firstLineChars="0"/>
                    <w:rPr>
                      <w:rFonts w:ascii="Times New Roman"/>
                      <w:color w:val="auto"/>
                      <w:szCs w:val="21"/>
                    </w:rPr>
                  </w:pPr>
                  <w:r>
                    <w:rPr>
                      <w:rFonts w:ascii="Times New Roman"/>
                      <w:color w:val="auto"/>
                      <w:szCs w:val="21"/>
                    </w:rPr>
                    <w:t>/</w:t>
                  </w:r>
                </w:p>
              </w:tc>
            </w:tr>
            <w:tr w14:paraId="20D2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5452F5DF">
                  <w:pPr>
                    <w:adjustRightInd w:val="0"/>
                    <w:snapToGrid w:val="0"/>
                    <w:ind w:firstLine="0" w:firstLineChars="0"/>
                    <w:jc w:val="center"/>
                    <w:rPr>
                      <w:color w:val="auto"/>
                      <w:kern w:val="0"/>
                      <w:szCs w:val="21"/>
                      <w:lang w:bidi="ar"/>
                    </w:rPr>
                  </w:pPr>
                  <w:r>
                    <w:rPr>
                      <w:color w:val="auto"/>
                      <w:kern w:val="0"/>
                      <w:szCs w:val="21"/>
                      <w:lang w:bidi="ar"/>
                    </w:rPr>
                    <w:t>2</w:t>
                  </w:r>
                </w:p>
              </w:tc>
              <w:tc>
                <w:tcPr>
                  <w:tcW w:w="557" w:type="pct"/>
                  <w:tcBorders>
                    <w:tl2br w:val="nil"/>
                    <w:tr2bl w:val="nil"/>
                  </w:tcBorders>
                  <w:vAlign w:val="center"/>
                </w:tcPr>
                <w:p w14:paraId="3B4E5C09">
                  <w:pPr>
                    <w:pStyle w:val="53"/>
                    <w:spacing w:beforeLines="0" w:afterLines="0" w:line="240" w:lineRule="auto"/>
                    <w:ind w:firstLine="0" w:firstLineChars="0"/>
                    <w:rPr>
                      <w:rFonts w:ascii="Times New Roman"/>
                      <w:color w:val="auto"/>
                      <w:szCs w:val="21"/>
                    </w:rPr>
                  </w:pPr>
                  <w:r>
                    <w:rPr>
                      <w:rFonts w:ascii="Times New Roman"/>
                      <w:color w:val="auto"/>
                      <w:szCs w:val="21"/>
                    </w:rPr>
                    <w:t>机制砂</w:t>
                  </w:r>
                </w:p>
              </w:tc>
              <w:tc>
                <w:tcPr>
                  <w:tcW w:w="651" w:type="pct"/>
                  <w:tcBorders>
                    <w:tl2br w:val="nil"/>
                    <w:tr2bl w:val="nil"/>
                  </w:tcBorders>
                  <w:vAlign w:val="center"/>
                </w:tcPr>
                <w:p w14:paraId="5E623673">
                  <w:pPr>
                    <w:pStyle w:val="53"/>
                    <w:spacing w:beforeLines="0" w:afterLines="0" w:line="240" w:lineRule="auto"/>
                    <w:ind w:firstLine="0" w:firstLineChars="0"/>
                    <w:rPr>
                      <w:rFonts w:ascii="Times New Roman"/>
                      <w:color w:val="auto"/>
                      <w:szCs w:val="21"/>
                    </w:rPr>
                  </w:pPr>
                  <w:r>
                    <w:rPr>
                      <w:rFonts w:ascii="Times New Roman"/>
                      <w:color w:val="auto"/>
                      <w:szCs w:val="21"/>
                    </w:rPr>
                    <w:t>83000</w:t>
                  </w:r>
                </w:p>
              </w:tc>
              <w:tc>
                <w:tcPr>
                  <w:tcW w:w="398" w:type="pct"/>
                  <w:tcBorders>
                    <w:tl2br w:val="nil"/>
                    <w:tr2bl w:val="nil"/>
                  </w:tcBorders>
                  <w:vAlign w:val="center"/>
                </w:tcPr>
                <w:p w14:paraId="5685CC0D">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6E0FB97E">
                  <w:pPr>
                    <w:pStyle w:val="53"/>
                    <w:spacing w:beforeLines="0" w:afterLines="0" w:line="240" w:lineRule="auto"/>
                    <w:ind w:firstLine="0" w:firstLineChars="0"/>
                    <w:rPr>
                      <w:rFonts w:ascii="Times New Roman"/>
                      <w:color w:val="auto"/>
                      <w:szCs w:val="21"/>
                    </w:rPr>
                  </w:pPr>
                  <w:r>
                    <w:rPr>
                      <w:rFonts w:ascii="Times New Roman"/>
                      <w:color w:val="auto"/>
                      <w:szCs w:val="21"/>
                    </w:rPr>
                    <w:t>/</w:t>
                  </w:r>
                </w:p>
              </w:tc>
              <w:tc>
                <w:tcPr>
                  <w:tcW w:w="710" w:type="pct"/>
                  <w:tcBorders>
                    <w:tl2br w:val="nil"/>
                    <w:tr2bl w:val="nil"/>
                  </w:tcBorders>
                  <w:vAlign w:val="center"/>
                </w:tcPr>
                <w:p w14:paraId="0F50D15D">
                  <w:pPr>
                    <w:pStyle w:val="53"/>
                    <w:spacing w:beforeLines="0" w:afterLines="0" w:line="240" w:lineRule="auto"/>
                    <w:ind w:firstLine="0" w:firstLineChars="0"/>
                    <w:rPr>
                      <w:rFonts w:ascii="Times New Roman"/>
                      <w:color w:val="auto"/>
                      <w:szCs w:val="21"/>
                    </w:rPr>
                  </w:pPr>
                  <w:r>
                    <w:rPr>
                      <w:rFonts w:ascii="Times New Roman"/>
                      <w:color w:val="auto"/>
                      <w:szCs w:val="21"/>
                    </w:rPr>
                    <w:t>原料堆场</w:t>
                  </w:r>
                </w:p>
              </w:tc>
              <w:tc>
                <w:tcPr>
                  <w:tcW w:w="710" w:type="pct"/>
                  <w:tcBorders>
                    <w:tl2br w:val="nil"/>
                    <w:tr2bl w:val="nil"/>
                  </w:tcBorders>
                  <w:vAlign w:val="center"/>
                </w:tcPr>
                <w:p w14:paraId="49F9A7B8">
                  <w:pPr>
                    <w:pStyle w:val="53"/>
                    <w:spacing w:beforeLines="0" w:afterLines="0" w:line="240" w:lineRule="auto"/>
                    <w:ind w:firstLine="0" w:firstLineChars="0"/>
                    <w:rPr>
                      <w:rFonts w:ascii="Times New Roman"/>
                      <w:color w:val="auto"/>
                      <w:szCs w:val="21"/>
                    </w:rPr>
                  </w:pPr>
                  <w:r>
                    <w:rPr>
                      <w:rFonts w:ascii="Times New Roman"/>
                      <w:color w:val="auto"/>
                      <w:szCs w:val="21"/>
                    </w:rPr>
                    <w:t>/</w:t>
                  </w:r>
                </w:p>
              </w:tc>
            </w:tr>
            <w:tr w14:paraId="3455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7F7687EA">
                  <w:pPr>
                    <w:adjustRightInd w:val="0"/>
                    <w:snapToGrid w:val="0"/>
                    <w:ind w:firstLine="0" w:firstLineChars="0"/>
                    <w:jc w:val="center"/>
                    <w:rPr>
                      <w:color w:val="auto"/>
                      <w:kern w:val="0"/>
                      <w:szCs w:val="21"/>
                      <w:lang w:bidi="ar"/>
                    </w:rPr>
                  </w:pPr>
                  <w:r>
                    <w:rPr>
                      <w:color w:val="auto"/>
                      <w:kern w:val="0"/>
                      <w:szCs w:val="21"/>
                      <w:lang w:bidi="ar"/>
                    </w:rPr>
                    <w:t>3</w:t>
                  </w:r>
                </w:p>
              </w:tc>
              <w:tc>
                <w:tcPr>
                  <w:tcW w:w="557" w:type="pct"/>
                  <w:tcBorders>
                    <w:tl2br w:val="nil"/>
                    <w:tr2bl w:val="nil"/>
                  </w:tcBorders>
                  <w:vAlign w:val="center"/>
                </w:tcPr>
                <w:p w14:paraId="4DA0CE31">
                  <w:pPr>
                    <w:pStyle w:val="53"/>
                    <w:spacing w:beforeLines="0" w:afterLines="0" w:line="240" w:lineRule="auto"/>
                    <w:ind w:firstLine="0" w:firstLineChars="0"/>
                    <w:rPr>
                      <w:rFonts w:ascii="Times New Roman"/>
                      <w:color w:val="auto"/>
                      <w:szCs w:val="21"/>
                    </w:rPr>
                  </w:pPr>
                  <w:r>
                    <w:rPr>
                      <w:rFonts w:ascii="Times New Roman"/>
                      <w:color w:val="auto"/>
                      <w:szCs w:val="21"/>
                    </w:rPr>
                    <w:t>水泥</w:t>
                  </w:r>
                </w:p>
              </w:tc>
              <w:tc>
                <w:tcPr>
                  <w:tcW w:w="651" w:type="pct"/>
                  <w:tcBorders>
                    <w:tl2br w:val="nil"/>
                    <w:tr2bl w:val="nil"/>
                  </w:tcBorders>
                  <w:vAlign w:val="center"/>
                </w:tcPr>
                <w:p w14:paraId="7AE885F3">
                  <w:pPr>
                    <w:pStyle w:val="53"/>
                    <w:spacing w:beforeLines="0" w:afterLines="0" w:line="240" w:lineRule="auto"/>
                    <w:ind w:firstLine="0" w:firstLineChars="0"/>
                    <w:rPr>
                      <w:rFonts w:ascii="Times New Roman"/>
                      <w:color w:val="auto"/>
                      <w:szCs w:val="21"/>
                    </w:rPr>
                  </w:pPr>
                  <w:r>
                    <w:rPr>
                      <w:rFonts w:ascii="Times New Roman"/>
                      <w:color w:val="auto"/>
                      <w:szCs w:val="21"/>
                    </w:rPr>
                    <w:t>31000</w:t>
                  </w:r>
                </w:p>
              </w:tc>
              <w:tc>
                <w:tcPr>
                  <w:tcW w:w="398" w:type="pct"/>
                  <w:tcBorders>
                    <w:tl2br w:val="nil"/>
                    <w:tr2bl w:val="nil"/>
                  </w:tcBorders>
                  <w:vAlign w:val="center"/>
                </w:tcPr>
                <w:p w14:paraId="325CD498">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24CA78BF">
                  <w:pPr>
                    <w:pStyle w:val="53"/>
                    <w:spacing w:beforeLines="0" w:afterLines="0" w:line="240" w:lineRule="auto"/>
                    <w:ind w:firstLine="0" w:firstLineChars="0"/>
                    <w:rPr>
                      <w:rFonts w:ascii="Times New Roman"/>
                      <w:color w:val="auto"/>
                      <w:szCs w:val="21"/>
                    </w:rPr>
                  </w:pPr>
                  <w:r>
                    <w:rPr>
                      <w:rFonts w:ascii="Times New Roman"/>
                      <w:color w:val="auto"/>
                      <w:szCs w:val="21"/>
                    </w:rPr>
                    <w:t>GB175-2007《通用硅酸盐水泥》、GB200-2017《中热硅酸盐水泥低热硅酸盐水泥》</w:t>
                  </w:r>
                </w:p>
              </w:tc>
              <w:tc>
                <w:tcPr>
                  <w:tcW w:w="710" w:type="pct"/>
                  <w:tcBorders>
                    <w:tl2br w:val="nil"/>
                    <w:tr2bl w:val="nil"/>
                  </w:tcBorders>
                  <w:vAlign w:val="center"/>
                </w:tcPr>
                <w:p w14:paraId="30534373">
                  <w:pPr>
                    <w:pStyle w:val="53"/>
                    <w:spacing w:beforeLines="0" w:afterLines="0" w:line="240" w:lineRule="auto"/>
                    <w:ind w:firstLine="0" w:firstLineChars="0"/>
                    <w:rPr>
                      <w:rFonts w:ascii="Times New Roman"/>
                      <w:color w:val="auto"/>
                      <w:szCs w:val="21"/>
                    </w:rPr>
                  </w:pPr>
                  <w:r>
                    <w:rPr>
                      <w:rFonts w:ascii="Times New Roman"/>
                      <w:color w:val="auto"/>
                      <w:szCs w:val="21"/>
                    </w:rPr>
                    <w:t>水泥筒仓</w:t>
                  </w:r>
                </w:p>
              </w:tc>
              <w:tc>
                <w:tcPr>
                  <w:tcW w:w="710" w:type="pct"/>
                  <w:tcBorders>
                    <w:tl2br w:val="nil"/>
                    <w:tr2bl w:val="nil"/>
                  </w:tcBorders>
                  <w:vAlign w:val="center"/>
                </w:tcPr>
                <w:p w14:paraId="394FD9CA">
                  <w:pPr>
                    <w:pStyle w:val="53"/>
                    <w:spacing w:beforeLines="0" w:afterLines="0" w:line="240" w:lineRule="auto"/>
                    <w:ind w:firstLine="0" w:firstLineChars="0"/>
                    <w:rPr>
                      <w:rFonts w:ascii="Times New Roman"/>
                      <w:color w:val="auto"/>
                      <w:szCs w:val="21"/>
                    </w:rPr>
                  </w:pPr>
                  <w:r>
                    <w:rPr>
                      <w:rFonts w:ascii="Times New Roman"/>
                      <w:color w:val="auto"/>
                      <w:szCs w:val="21"/>
                    </w:rPr>
                    <w:t>/</w:t>
                  </w:r>
                </w:p>
              </w:tc>
            </w:tr>
            <w:tr w14:paraId="595F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5680509A">
                  <w:pPr>
                    <w:adjustRightInd w:val="0"/>
                    <w:snapToGrid w:val="0"/>
                    <w:ind w:firstLine="0" w:firstLineChars="0"/>
                    <w:jc w:val="center"/>
                    <w:rPr>
                      <w:color w:val="auto"/>
                      <w:kern w:val="0"/>
                      <w:szCs w:val="21"/>
                      <w:lang w:bidi="ar"/>
                    </w:rPr>
                  </w:pPr>
                  <w:r>
                    <w:rPr>
                      <w:color w:val="auto"/>
                      <w:kern w:val="0"/>
                      <w:szCs w:val="21"/>
                      <w:lang w:bidi="ar"/>
                    </w:rPr>
                    <w:t>4</w:t>
                  </w:r>
                </w:p>
              </w:tc>
              <w:tc>
                <w:tcPr>
                  <w:tcW w:w="557" w:type="pct"/>
                  <w:tcBorders>
                    <w:tl2br w:val="nil"/>
                    <w:tr2bl w:val="nil"/>
                  </w:tcBorders>
                  <w:vAlign w:val="center"/>
                </w:tcPr>
                <w:p w14:paraId="07020A29">
                  <w:pPr>
                    <w:pStyle w:val="53"/>
                    <w:spacing w:beforeLines="0" w:afterLines="0" w:line="240" w:lineRule="auto"/>
                    <w:ind w:firstLine="0" w:firstLineChars="0"/>
                    <w:rPr>
                      <w:rFonts w:ascii="Times New Roman"/>
                      <w:color w:val="auto"/>
                      <w:szCs w:val="21"/>
                    </w:rPr>
                  </w:pPr>
                  <w:r>
                    <w:rPr>
                      <w:rFonts w:ascii="Times New Roman"/>
                      <w:color w:val="auto"/>
                      <w:szCs w:val="21"/>
                    </w:rPr>
                    <w:t>粉煤灰</w:t>
                  </w:r>
                </w:p>
              </w:tc>
              <w:tc>
                <w:tcPr>
                  <w:tcW w:w="651" w:type="pct"/>
                  <w:tcBorders>
                    <w:tl2br w:val="nil"/>
                    <w:tr2bl w:val="nil"/>
                  </w:tcBorders>
                  <w:vAlign w:val="center"/>
                </w:tcPr>
                <w:p w14:paraId="7BAD12DF">
                  <w:pPr>
                    <w:pStyle w:val="53"/>
                    <w:spacing w:beforeLines="0" w:afterLines="0" w:line="240" w:lineRule="auto"/>
                    <w:ind w:firstLine="0" w:firstLineChars="0"/>
                    <w:rPr>
                      <w:rFonts w:ascii="Times New Roman"/>
                      <w:color w:val="auto"/>
                      <w:szCs w:val="21"/>
                    </w:rPr>
                  </w:pPr>
                  <w:r>
                    <w:rPr>
                      <w:rFonts w:ascii="Times New Roman"/>
                      <w:color w:val="auto"/>
                      <w:szCs w:val="21"/>
                    </w:rPr>
                    <w:t>8250</w:t>
                  </w:r>
                </w:p>
              </w:tc>
              <w:tc>
                <w:tcPr>
                  <w:tcW w:w="398" w:type="pct"/>
                  <w:tcBorders>
                    <w:tl2br w:val="nil"/>
                    <w:tr2bl w:val="nil"/>
                  </w:tcBorders>
                  <w:vAlign w:val="center"/>
                </w:tcPr>
                <w:p w14:paraId="5FA711F7">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631AF589">
                  <w:pPr>
                    <w:pStyle w:val="53"/>
                    <w:spacing w:beforeLines="0" w:afterLines="0" w:line="240" w:lineRule="auto"/>
                    <w:ind w:firstLine="0" w:firstLineChars="0"/>
                    <w:rPr>
                      <w:rFonts w:ascii="Times New Roman"/>
                      <w:color w:val="auto"/>
                      <w:szCs w:val="21"/>
                    </w:rPr>
                  </w:pPr>
                  <w:r>
                    <w:rPr>
                      <w:rFonts w:ascii="Times New Roman"/>
                      <w:color w:val="auto"/>
                    </w:rPr>
                    <w:t>GB/T1596-2017《用于水泥和混凝土中的粉煤灰》</w:t>
                  </w:r>
                </w:p>
              </w:tc>
              <w:tc>
                <w:tcPr>
                  <w:tcW w:w="710" w:type="pct"/>
                  <w:tcBorders>
                    <w:tl2br w:val="nil"/>
                    <w:tr2bl w:val="nil"/>
                  </w:tcBorders>
                  <w:vAlign w:val="center"/>
                </w:tcPr>
                <w:p w14:paraId="2B8C9239">
                  <w:pPr>
                    <w:pStyle w:val="53"/>
                    <w:spacing w:beforeLines="0" w:afterLines="0" w:line="240" w:lineRule="auto"/>
                    <w:ind w:firstLine="0" w:firstLineChars="0"/>
                    <w:rPr>
                      <w:rFonts w:ascii="Times New Roman"/>
                      <w:color w:val="auto"/>
                      <w:szCs w:val="21"/>
                    </w:rPr>
                  </w:pPr>
                  <w:r>
                    <w:rPr>
                      <w:rFonts w:ascii="Times New Roman"/>
                      <w:color w:val="auto"/>
                      <w:szCs w:val="21"/>
                    </w:rPr>
                    <w:t>粉煤灰筒仓</w:t>
                  </w:r>
                </w:p>
              </w:tc>
              <w:tc>
                <w:tcPr>
                  <w:tcW w:w="710" w:type="pct"/>
                  <w:tcBorders>
                    <w:tl2br w:val="nil"/>
                    <w:tr2bl w:val="nil"/>
                  </w:tcBorders>
                  <w:vAlign w:val="center"/>
                </w:tcPr>
                <w:p w14:paraId="4DDB9FEF">
                  <w:pPr>
                    <w:pStyle w:val="53"/>
                    <w:spacing w:beforeLines="0" w:afterLines="0" w:line="240" w:lineRule="auto"/>
                    <w:ind w:firstLine="0" w:firstLineChars="0"/>
                    <w:rPr>
                      <w:rFonts w:ascii="Times New Roman"/>
                      <w:color w:val="auto"/>
                      <w:szCs w:val="21"/>
                    </w:rPr>
                  </w:pPr>
                  <w:r>
                    <w:rPr>
                      <w:rFonts w:ascii="Times New Roman"/>
                      <w:color w:val="auto"/>
                      <w:szCs w:val="21"/>
                    </w:rPr>
                    <w:t>/</w:t>
                  </w:r>
                </w:p>
              </w:tc>
            </w:tr>
            <w:tr w14:paraId="1CEE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23289FFB">
                  <w:pPr>
                    <w:adjustRightInd w:val="0"/>
                    <w:snapToGrid w:val="0"/>
                    <w:ind w:firstLine="0" w:firstLineChars="0"/>
                    <w:jc w:val="center"/>
                    <w:rPr>
                      <w:color w:val="auto"/>
                      <w:kern w:val="0"/>
                      <w:szCs w:val="21"/>
                      <w:lang w:bidi="ar"/>
                    </w:rPr>
                  </w:pPr>
                  <w:r>
                    <w:rPr>
                      <w:color w:val="auto"/>
                      <w:kern w:val="0"/>
                      <w:szCs w:val="21"/>
                      <w:lang w:bidi="ar"/>
                    </w:rPr>
                    <w:t>5</w:t>
                  </w:r>
                </w:p>
              </w:tc>
              <w:tc>
                <w:tcPr>
                  <w:tcW w:w="557" w:type="pct"/>
                  <w:tcBorders>
                    <w:tl2br w:val="nil"/>
                    <w:tr2bl w:val="nil"/>
                  </w:tcBorders>
                  <w:vAlign w:val="center"/>
                </w:tcPr>
                <w:p w14:paraId="50845AB4">
                  <w:pPr>
                    <w:pStyle w:val="53"/>
                    <w:spacing w:beforeLines="0" w:afterLines="0" w:line="240" w:lineRule="auto"/>
                    <w:ind w:firstLine="0" w:firstLineChars="0"/>
                    <w:rPr>
                      <w:rFonts w:ascii="Times New Roman"/>
                      <w:color w:val="auto"/>
                      <w:szCs w:val="21"/>
                    </w:rPr>
                  </w:pPr>
                  <w:r>
                    <w:rPr>
                      <w:rFonts w:ascii="Times New Roman"/>
                      <w:color w:val="auto"/>
                      <w:szCs w:val="21"/>
                    </w:rPr>
                    <w:t>矿粉</w:t>
                  </w:r>
                </w:p>
              </w:tc>
              <w:tc>
                <w:tcPr>
                  <w:tcW w:w="651" w:type="pct"/>
                  <w:tcBorders>
                    <w:tl2br w:val="nil"/>
                    <w:tr2bl w:val="nil"/>
                  </w:tcBorders>
                  <w:vAlign w:val="center"/>
                </w:tcPr>
                <w:p w14:paraId="48D0FB05">
                  <w:pPr>
                    <w:pStyle w:val="53"/>
                    <w:spacing w:beforeLines="0" w:afterLines="0" w:line="240" w:lineRule="auto"/>
                    <w:ind w:firstLine="0" w:firstLineChars="0"/>
                    <w:rPr>
                      <w:rFonts w:ascii="Times New Roman"/>
                      <w:color w:val="auto"/>
                      <w:szCs w:val="21"/>
                    </w:rPr>
                  </w:pPr>
                  <w:r>
                    <w:rPr>
                      <w:rFonts w:ascii="Times New Roman"/>
                      <w:color w:val="auto"/>
                      <w:szCs w:val="21"/>
                    </w:rPr>
                    <w:t>2750</w:t>
                  </w:r>
                </w:p>
              </w:tc>
              <w:tc>
                <w:tcPr>
                  <w:tcW w:w="398" w:type="pct"/>
                  <w:tcBorders>
                    <w:tl2br w:val="nil"/>
                    <w:tr2bl w:val="nil"/>
                  </w:tcBorders>
                  <w:vAlign w:val="center"/>
                </w:tcPr>
                <w:p w14:paraId="3F04D701">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1B320CC3">
                  <w:pPr>
                    <w:pStyle w:val="53"/>
                    <w:spacing w:beforeLines="0" w:afterLines="0" w:line="240" w:lineRule="auto"/>
                    <w:ind w:firstLine="0" w:firstLineChars="0"/>
                    <w:rPr>
                      <w:rFonts w:ascii="Times New Roman"/>
                      <w:color w:val="auto"/>
                      <w:szCs w:val="21"/>
                    </w:rPr>
                  </w:pPr>
                  <w:r>
                    <w:rPr>
                      <w:rFonts w:ascii="Times New Roman"/>
                      <w:color w:val="auto"/>
                    </w:rPr>
                    <w:t>GB/T18046-2000《用于水泥和混凝土中的粒化高炉矿渣粉》</w:t>
                  </w:r>
                </w:p>
              </w:tc>
              <w:tc>
                <w:tcPr>
                  <w:tcW w:w="710" w:type="pct"/>
                  <w:tcBorders>
                    <w:tl2br w:val="nil"/>
                    <w:tr2bl w:val="nil"/>
                  </w:tcBorders>
                  <w:vAlign w:val="center"/>
                </w:tcPr>
                <w:p w14:paraId="7DCEF48B">
                  <w:pPr>
                    <w:pStyle w:val="53"/>
                    <w:spacing w:beforeLines="0" w:afterLines="0" w:line="240" w:lineRule="auto"/>
                    <w:ind w:firstLine="0" w:firstLineChars="0"/>
                    <w:rPr>
                      <w:rFonts w:ascii="Times New Roman"/>
                      <w:color w:val="auto"/>
                      <w:szCs w:val="21"/>
                    </w:rPr>
                  </w:pPr>
                  <w:r>
                    <w:rPr>
                      <w:rFonts w:ascii="Times New Roman"/>
                      <w:color w:val="auto"/>
                      <w:szCs w:val="21"/>
                    </w:rPr>
                    <w:t>矿粉筒仓</w:t>
                  </w:r>
                </w:p>
              </w:tc>
              <w:tc>
                <w:tcPr>
                  <w:tcW w:w="710" w:type="pct"/>
                  <w:tcBorders>
                    <w:tl2br w:val="nil"/>
                    <w:tr2bl w:val="nil"/>
                  </w:tcBorders>
                  <w:vAlign w:val="center"/>
                </w:tcPr>
                <w:p w14:paraId="6FA431B7">
                  <w:pPr>
                    <w:pStyle w:val="53"/>
                    <w:spacing w:beforeLines="0" w:afterLines="0" w:line="240" w:lineRule="auto"/>
                    <w:ind w:firstLine="0" w:firstLineChars="0"/>
                    <w:rPr>
                      <w:rFonts w:ascii="Times New Roman"/>
                      <w:color w:val="auto"/>
                      <w:szCs w:val="21"/>
                    </w:rPr>
                  </w:pPr>
                  <w:r>
                    <w:rPr>
                      <w:rFonts w:ascii="Times New Roman"/>
                      <w:color w:val="auto"/>
                      <w:szCs w:val="21"/>
                    </w:rPr>
                    <w:t>/</w:t>
                  </w:r>
                </w:p>
              </w:tc>
            </w:tr>
            <w:tr w14:paraId="2B7B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1FB45B3C">
                  <w:pPr>
                    <w:adjustRightInd w:val="0"/>
                    <w:snapToGrid w:val="0"/>
                    <w:ind w:firstLine="0" w:firstLineChars="0"/>
                    <w:jc w:val="center"/>
                    <w:rPr>
                      <w:color w:val="auto"/>
                      <w:kern w:val="0"/>
                      <w:szCs w:val="21"/>
                      <w:lang w:bidi="ar"/>
                    </w:rPr>
                  </w:pPr>
                  <w:r>
                    <w:rPr>
                      <w:rFonts w:hint="eastAsia"/>
                      <w:color w:val="auto"/>
                      <w:kern w:val="0"/>
                      <w:szCs w:val="21"/>
                      <w:lang w:bidi="ar"/>
                    </w:rPr>
                    <w:t>6</w:t>
                  </w:r>
                </w:p>
              </w:tc>
              <w:tc>
                <w:tcPr>
                  <w:tcW w:w="557" w:type="pct"/>
                  <w:tcBorders>
                    <w:tl2br w:val="nil"/>
                    <w:tr2bl w:val="nil"/>
                  </w:tcBorders>
                  <w:vAlign w:val="center"/>
                </w:tcPr>
                <w:p w14:paraId="6088497D">
                  <w:pPr>
                    <w:pStyle w:val="53"/>
                    <w:spacing w:beforeLines="0" w:afterLines="0" w:line="240" w:lineRule="auto"/>
                    <w:ind w:firstLine="0" w:firstLineChars="0"/>
                    <w:rPr>
                      <w:rFonts w:ascii="Times New Roman"/>
                      <w:color w:val="auto"/>
                      <w:szCs w:val="21"/>
                    </w:rPr>
                  </w:pPr>
                  <w:r>
                    <w:rPr>
                      <w:rFonts w:hint="eastAsia" w:ascii="Times New Roman"/>
                      <w:color w:val="auto"/>
                      <w:szCs w:val="21"/>
                    </w:rPr>
                    <w:t>外加剂</w:t>
                  </w:r>
                </w:p>
              </w:tc>
              <w:tc>
                <w:tcPr>
                  <w:tcW w:w="651" w:type="pct"/>
                  <w:tcBorders>
                    <w:tl2br w:val="nil"/>
                    <w:tr2bl w:val="nil"/>
                  </w:tcBorders>
                  <w:vAlign w:val="center"/>
                </w:tcPr>
                <w:p w14:paraId="489C360E">
                  <w:pPr>
                    <w:pStyle w:val="53"/>
                    <w:spacing w:beforeLines="0" w:afterLines="0" w:line="240" w:lineRule="auto"/>
                    <w:ind w:firstLine="0" w:firstLineChars="0"/>
                    <w:rPr>
                      <w:rFonts w:ascii="Times New Roman"/>
                      <w:color w:val="auto"/>
                      <w:szCs w:val="21"/>
                    </w:rPr>
                  </w:pPr>
                  <w:r>
                    <w:rPr>
                      <w:rFonts w:hint="eastAsia" w:ascii="Times New Roman"/>
                      <w:color w:val="auto"/>
                      <w:szCs w:val="21"/>
                    </w:rPr>
                    <w:t>35</w:t>
                  </w:r>
                </w:p>
              </w:tc>
              <w:tc>
                <w:tcPr>
                  <w:tcW w:w="398" w:type="pct"/>
                  <w:tcBorders>
                    <w:tl2br w:val="nil"/>
                    <w:tr2bl w:val="nil"/>
                  </w:tcBorders>
                  <w:vAlign w:val="center"/>
                </w:tcPr>
                <w:p w14:paraId="0C480758">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0AF8A1CF">
                  <w:pPr>
                    <w:pStyle w:val="53"/>
                    <w:spacing w:beforeLines="0" w:afterLines="0" w:line="240" w:lineRule="auto"/>
                    <w:ind w:firstLine="0" w:firstLineChars="0"/>
                    <w:rPr>
                      <w:rFonts w:ascii="Times New Roman"/>
                      <w:color w:val="auto"/>
                    </w:rPr>
                  </w:pPr>
                  <w:r>
                    <w:rPr>
                      <w:rFonts w:hint="eastAsia" w:ascii="Times New Roman"/>
                      <w:color w:val="auto"/>
                    </w:rPr>
                    <w:t>/</w:t>
                  </w:r>
                </w:p>
              </w:tc>
              <w:tc>
                <w:tcPr>
                  <w:tcW w:w="710" w:type="pct"/>
                  <w:tcBorders>
                    <w:tl2br w:val="nil"/>
                    <w:tr2bl w:val="nil"/>
                  </w:tcBorders>
                  <w:vAlign w:val="center"/>
                </w:tcPr>
                <w:p w14:paraId="1A17F92B">
                  <w:pPr>
                    <w:pStyle w:val="53"/>
                    <w:spacing w:beforeLines="0" w:afterLines="0" w:line="240" w:lineRule="auto"/>
                    <w:ind w:firstLine="0" w:firstLineChars="0"/>
                    <w:rPr>
                      <w:rFonts w:ascii="Times New Roman"/>
                      <w:color w:val="auto"/>
                      <w:szCs w:val="21"/>
                    </w:rPr>
                  </w:pPr>
                  <w:r>
                    <w:rPr>
                      <w:rFonts w:hint="eastAsia" w:ascii="Times New Roman"/>
                      <w:color w:val="auto"/>
                      <w:szCs w:val="21"/>
                    </w:rPr>
                    <w:t>外加剂存放桶</w:t>
                  </w:r>
                </w:p>
              </w:tc>
              <w:tc>
                <w:tcPr>
                  <w:tcW w:w="710" w:type="pct"/>
                  <w:tcBorders>
                    <w:tl2br w:val="nil"/>
                    <w:tr2bl w:val="nil"/>
                  </w:tcBorders>
                  <w:vAlign w:val="center"/>
                </w:tcPr>
                <w:p w14:paraId="5C290FC6">
                  <w:pPr>
                    <w:ind w:firstLine="0" w:firstLineChars="0"/>
                    <w:rPr>
                      <w:color w:val="auto"/>
                      <w:szCs w:val="21"/>
                    </w:rPr>
                  </w:pPr>
                  <w:r>
                    <w:rPr>
                      <w:rFonts w:hint="eastAsia"/>
                      <w:color w:val="auto"/>
                      <w:szCs w:val="21"/>
                    </w:rPr>
                    <w:t>10t塑料桶装</w:t>
                  </w:r>
                </w:p>
              </w:tc>
            </w:tr>
            <w:tr w14:paraId="5258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l2br w:val="nil"/>
                    <w:tr2bl w:val="nil"/>
                  </w:tcBorders>
                  <w:vAlign w:val="center"/>
                </w:tcPr>
                <w:p w14:paraId="745D1A85">
                  <w:pPr>
                    <w:adjustRightInd w:val="0"/>
                    <w:snapToGrid w:val="0"/>
                    <w:ind w:firstLine="0" w:firstLineChars="0"/>
                    <w:jc w:val="center"/>
                    <w:rPr>
                      <w:b/>
                      <w:bCs/>
                      <w:color w:val="auto"/>
                      <w:szCs w:val="21"/>
                    </w:rPr>
                  </w:pPr>
                  <w:r>
                    <w:rPr>
                      <w:b/>
                      <w:bCs/>
                      <w:color w:val="auto"/>
                      <w:szCs w:val="21"/>
                    </w:rPr>
                    <w:t>扩建完成后全厂原辅材料</w:t>
                  </w:r>
                </w:p>
              </w:tc>
            </w:tr>
            <w:tr w14:paraId="7B22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6F078F9B">
                  <w:pPr>
                    <w:adjustRightInd w:val="0"/>
                    <w:snapToGrid w:val="0"/>
                    <w:ind w:firstLine="0" w:firstLineChars="0"/>
                    <w:jc w:val="center"/>
                    <w:rPr>
                      <w:color w:val="auto"/>
                      <w:kern w:val="0"/>
                      <w:szCs w:val="21"/>
                      <w:lang w:bidi="ar"/>
                    </w:rPr>
                  </w:pPr>
                  <w:r>
                    <w:rPr>
                      <w:color w:val="auto"/>
                      <w:kern w:val="0"/>
                      <w:szCs w:val="21"/>
                      <w:lang w:bidi="ar"/>
                    </w:rPr>
                    <w:t>1</w:t>
                  </w:r>
                </w:p>
              </w:tc>
              <w:tc>
                <w:tcPr>
                  <w:tcW w:w="557" w:type="pct"/>
                  <w:tcBorders>
                    <w:tl2br w:val="nil"/>
                    <w:tr2bl w:val="nil"/>
                  </w:tcBorders>
                  <w:vAlign w:val="center"/>
                </w:tcPr>
                <w:p w14:paraId="56A1233F">
                  <w:pPr>
                    <w:pStyle w:val="53"/>
                    <w:spacing w:beforeLines="0" w:afterLines="0" w:line="240" w:lineRule="auto"/>
                    <w:ind w:firstLine="0" w:firstLineChars="0"/>
                    <w:rPr>
                      <w:rFonts w:ascii="Times New Roman"/>
                      <w:color w:val="auto"/>
                      <w:szCs w:val="21"/>
                    </w:rPr>
                  </w:pPr>
                  <w:r>
                    <w:rPr>
                      <w:rFonts w:ascii="Times New Roman"/>
                      <w:color w:val="auto"/>
                      <w:szCs w:val="21"/>
                    </w:rPr>
                    <w:t>碎石</w:t>
                  </w:r>
                </w:p>
              </w:tc>
              <w:tc>
                <w:tcPr>
                  <w:tcW w:w="651" w:type="pct"/>
                  <w:tcBorders>
                    <w:tl2br w:val="nil"/>
                    <w:tr2bl w:val="nil"/>
                  </w:tcBorders>
                  <w:vAlign w:val="center"/>
                </w:tcPr>
                <w:p w14:paraId="7DE4E74F">
                  <w:pPr>
                    <w:pStyle w:val="53"/>
                    <w:spacing w:beforeLines="0" w:afterLines="0" w:line="240" w:lineRule="auto"/>
                    <w:ind w:firstLine="0" w:firstLineChars="0"/>
                    <w:rPr>
                      <w:rFonts w:ascii="Times New Roman"/>
                      <w:color w:val="auto"/>
                      <w:szCs w:val="21"/>
                    </w:rPr>
                  </w:pPr>
                  <w:r>
                    <w:rPr>
                      <w:rFonts w:hint="eastAsia" w:ascii="Times New Roman"/>
                      <w:color w:val="auto"/>
                      <w:szCs w:val="21"/>
                    </w:rPr>
                    <w:t>208262.748</w:t>
                  </w:r>
                </w:p>
              </w:tc>
              <w:tc>
                <w:tcPr>
                  <w:tcW w:w="398" w:type="pct"/>
                  <w:tcBorders>
                    <w:tl2br w:val="nil"/>
                    <w:tr2bl w:val="nil"/>
                  </w:tcBorders>
                  <w:vAlign w:val="center"/>
                </w:tcPr>
                <w:p w14:paraId="23407A99">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0E6AE0AD">
                  <w:pPr>
                    <w:pStyle w:val="53"/>
                    <w:spacing w:beforeLines="0" w:afterLines="0" w:line="240" w:lineRule="auto"/>
                    <w:ind w:firstLine="0" w:firstLineChars="0"/>
                    <w:rPr>
                      <w:rFonts w:ascii="Times New Roman"/>
                      <w:color w:val="auto"/>
                      <w:szCs w:val="21"/>
                    </w:rPr>
                  </w:pPr>
                </w:p>
                <w:p w14:paraId="16B643D1">
                  <w:pPr>
                    <w:pStyle w:val="53"/>
                    <w:spacing w:beforeLines="0" w:afterLines="0" w:line="240" w:lineRule="auto"/>
                    <w:ind w:firstLine="0" w:firstLineChars="0"/>
                    <w:rPr>
                      <w:rFonts w:ascii="Times New Roman"/>
                      <w:color w:val="auto"/>
                      <w:szCs w:val="21"/>
                    </w:rPr>
                  </w:pPr>
                  <w:r>
                    <w:rPr>
                      <w:rFonts w:ascii="Times New Roman"/>
                      <w:color w:val="auto"/>
                      <w:szCs w:val="21"/>
                    </w:rPr>
                    <w:t>JGJ52-2006《普通混凝土用砂、石质量及检验方法标准》</w:t>
                  </w:r>
                </w:p>
              </w:tc>
              <w:tc>
                <w:tcPr>
                  <w:tcW w:w="710" w:type="pct"/>
                  <w:tcBorders>
                    <w:tl2br w:val="nil"/>
                    <w:tr2bl w:val="nil"/>
                  </w:tcBorders>
                  <w:vAlign w:val="center"/>
                </w:tcPr>
                <w:p w14:paraId="36AD83D4">
                  <w:pPr>
                    <w:pStyle w:val="53"/>
                    <w:spacing w:beforeLines="0" w:afterLines="0" w:line="240" w:lineRule="auto"/>
                    <w:ind w:firstLine="0" w:firstLineChars="0"/>
                    <w:rPr>
                      <w:rFonts w:ascii="Times New Roman"/>
                      <w:color w:val="auto"/>
                      <w:szCs w:val="21"/>
                    </w:rPr>
                  </w:pPr>
                  <w:r>
                    <w:rPr>
                      <w:rFonts w:ascii="Times New Roman"/>
                      <w:color w:val="auto"/>
                      <w:szCs w:val="21"/>
                    </w:rPr>
                    <w:t>原料堆场</w:t>
                  </w:r>
                </w:p>
              </w:tc>
              <w:tc>
                <w:tcPr>
                  <w:tcW w:w="710" w:type="pct"/>
                  <w:tcBorders>
                    <w:tl2br w:val="nil"/>
                    <w:tr2bl w:val="nil"/>
                  </w:tcBorders>
                  <w:vAlign w:val="center"/>
                </w:tcPr>
                <w:p w14:paraId="309ED36F">
                  <w:pPr>
                    <w:pStyle w:val="53"/>
                    <w:spacing w:beforeLines="0" w:afterLines="0" w:line="240" w:lineRule="auto"/>
                    <w:ind w:firstLine="0" w:firstLineChars="0"/>
                    <w:rPr>
                      <w:rFonts w:ascii="Times New Roman"/>
                      <w:color w:val="auto"/>
                      <w:szCs w:val="21"/>
                    </w:rPr>
                  </w:pPr>
                  <w:r>
                    <w:rPr>
                      <w:rFonts w:ascii="Times New Roman"/>
                      <w:color w:val="auto"/>
                      <w:szCs w:val="21"/>
                    </w:rPr>
                    <w:t>/</w:t>
                  </w:r>
                </w:p>
              </w:tc>
            </w:tr>
            <w:tr w14:paraId="2AF4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68567FBC">
                  <w:pPr>
                    <w:adjustRightInd w:val="0"/>
                    <w:snapToGrid w:val="0"/>
                    <w:ind w:firstLine="0" w:firstLineChars="0"/>
                    <w:jc w:val="center"/>
                    <w:rPr>
                      <w:color w:val="auto"/>
                      <w:kern w:val="0"/>
                      <w:szCs w:val="21"/>
                      <w:lang w:bidi="ar"/>
                    </w:rPr>
                  </w:pPr>
                  <w:r>
                    <w:rPr>
                      <w:color w:val="auto"/>
                      <w:kern w:val="0"/>
                      <w:szCs w:val="21"/>
                      <w:lang w:bidi="ar"/>
                    </w:rPr>
                    <w:t>2</w:t>
                  </w:r>
                </w:p>
              </w:tc>
              <w:tc>
                <w:tcPr>
                  <w:tcW w:w="557" w:type="pct"/>
                  <w:tcBorders>
                    <w:tl2br w:val="nil"/>
                    <w:tr2bl w:val="nil"/>
                  </w:tcBorders>
                  <w:vAlign w:val="center"/>
                </w:tcPr>
                <w:p w14:paraId="0363F7F0">
                  <w:pPr>
                    <w:pStyle w:val="53"/>
                    <w:spacing w:beforeLines="0" w:afterLines="0" w:line="240" w:lineRule="auto"/>
                    <w:ind w:firstLine="0" w:firstLineChars="0"/>
                    <w:rPr>
                      <w:rFonts w:ascii="Times New Roman"/>
                      <w:color w:val="auto"/>
                      <w:szCs w:val="21"/>
                    </w:rPr>
                  </w:pPr>
                  <w:r>
                    <w:rPr>
                      <w:rFonts w:ascii="Times New Roman"/>
                      <w:color w:val="auto"/>
                      <w:szCs w:val="21"/>
                    </w:rPr>
                    <w:t>机制砂</w:t>
                  </w:r>
                </w:p>
              </w:tc>
              <w:tc>
                <w:tcPr>
                  <w:tcW w:w="651" w:type="pct"/>
                  <w:tcBorders>
                    <w:tl2br w:val="nil"/>
                    <w:tr2bl w:val="nil"/>
                  </w:tcBorders>
                  <w:vAlign w:val="center"/>
                </w:tcPr>
                <w:p w14:paraId="6A5F17B0">
                  <w:pPr>
                    <w:pStyle w:val="53"/>
                    <w:spacing w:beforeLines="0" w:afterLines="0" w:line="240" w:lineRule="auto"/>
                    <w:ind w:firstLine="0" w:firstLineChars="0"/>
                    <w:rPr>
                      <w:rFonts w:ascii="Times New Roman"/>
                      <w:color w:val="auto"/>
                      <w:szCs w:val="21"/>
                    </w:rPr>
                  </w:pPr>
                  <w:r>
                    <w:rPr>
                      <w:rFonts w:ascii="Times New Roman"/>
                      <w:color w:val="auto"/>
                      <w:szCs w:val="21"/>
                    </w:rPr>
                    <w:t>116200</w:t>
                  </w:r>
                </w:p>
              </w:tc>
              <w:tc>
                <w:tcPr>
                  <w:tcW w:w="398" w:type="pct"/>
                  <w:tcBorders>
                    <w:tl2br w:val="nil"/>
                    <w:tr2bl w:val="nil"/>
                  </w:tcBorders>
                  <w:vAlign w:val="center"/>
                </w:tcPr>
                <w:p w14:paraId="1ED1780C">
                  <w:pPr>
                    <w:pStyle w:val="53"/>
                    <w:spacing w:beforeLines="0" w:afterLines="0" w:line="240" w:lineRule="auto"/>
                    <w:ind w:firstLine="0" w:firstLineChars="0"/>
                    <w:rPr>
                      <w:rFonts w:ascii="Times New Roman"/>
                      <w:color w:val="auto"/>
                      <w:szCs w:val="21"/>
                    </w:rPr>
                  </w:pPr>
                  <w:r>
                    <w:rPr>
                      <w:rFonts w:hint="eastAsia" w:ascii="Times New Roman"/>
                      <w:color w:val="auto"/>
                      <w:szCs w:val="21"/>
                    </w:rPr>
                    <w:t>部分</w:t>
                  </w:r>
                  <w:r>
                    <w:rPr>
                      <w:rFonts w:ascii="Times New Roman"/>
                      <w:color w:val="auto"/>
                      <w:szCs w:val="21"/>
                    </w:rPr>
                    <w:t>外购</w:t>
                  </w:r>
                </w:p>
              </w:tc>
              <w:tc>
                <w:tcPr>
                  <w:tcW w:w="1703" w:type="pct"/>
                  <w:tcBorders>
                    <w:tl2br w:val="nil"/>
                    <w:tr2bl w:val="nil"/>
                  </w:tcBorders>
                  <w:vAlign w:val="center"/>
                </w:tcPr>
                <w:p w14:paraId="58949907">
                  <w:pPr>
                    <w:pStyle w:val="53"/>
                    <w:spacing w:beforeLines="0" w:afterLines="0" w:line="240" w:lineRule="auto"/>
                    <w:ind w:firstLine="0" w:firstLineChars="0"/>
                    <w:rPr>
                      <w:rFonts w:ascii="Times New Roman"/>
                      <w:color w:val="auto"/>
                      <w:szCs w:val="21"/>
                    </w:rPr>
                  </w:pPr>
                  <w:r>
                    <w:rPr>
                      <w:rFonts w:ascii="Times New Roman"/>
                      <w:color w:val="auto"/>
                      <w:szCs w:val="21"/>
                    </w:rPr>
                    <w:t>/</w:t>
                  </w:r>
                </w:p>
              </w:tc>
              <w:tc>
                <w:tcPr>
                  <w:tcW w:w="710" w:type="pct"/>
                  <w:tcBorders>
                    <w:tl2br w:val="nil"/>
                    <w:tr2bl w:val="nil"/>
                  </w:tcBorders>
                  <w:vAlign w:val="center"/>
                </w:tcPr>
                <w:p w14:paraId="795D05EC">
                  <w:pPr>
                    <w:pStyle w:val="53"/>
                    <w:spacing w:beforeLines="0" w:afterLines="0" w:line="240" w:lineRule="auto"/>
                    <w:ind w:firstLine="0" w:firstLineChars="0"/>
                    <w:rPr>
                      <w:rFonts w:ascii="Times New Roman"/>
                      <w:color w:val="auto"/>
                      <w:szCs w:val="21"/>
                    </w:rPr>
                  </w:pPr>
                  <w:r>
                    <w:rPr>
                      <w:rFonts w:ascii="Times New Roman"/>
                      <w:color w:val="auto"/>
                      <w:szCs w:val="21"/>
                    </w:rPr>
                    <w:t>原料堆场</w:t>
                  </w:r>
                </w:p>
              </w:tc>
              <w:tc>
                <w:tcPr>
                  <w:tcW w:w="710" w:type="pct"/>
                  <w:tcBorders>
                    <w:tl2br w:val="nil"/>
                    <w:tr2bl w:val="nil"/>
                  </w:tcBorders>
                  <w:vAlign w:val="center"/>
                </w:tcPr>
                <w:p w14:paraId="0A0BADE9">
                  <w:pPr>
                    <w:pStyle w:val="53"/>
                    <w:spacing w:beforeLines="0" w:afterLines="0" w:line="240" w:lineRule="auto"/>
                    <w:ind w:firstLine="0" w:firstLineChars="0"/>
                    <w:rPr>
                      <w:rFonts w:ascii="Times New Roman"/>
                      <w:color w:val="auto"/>
                      <w:szCs w:val="21"/>
                    </w:rPr>
                  </w:pPr>
                  <w:r>
                    <w:rPr>
                      <w:rFonts w:hint="eastAsia" w:ascii="Times New Roman"/>
                      <w:color w:val="auto"/>
                      <w:szCs w:val="21"/>
                    </w:rPr>
                    <w:t>其中33200t由破碎制砂车间自产，另外</w:t>
                  </w:r>
                  <w:r>
                    <w:rPr>
                      <w:rFonts w:ascii="Times New Roman"/>
                      <w:color w:val="auto"/>
                      <w:szCs w:val="21"/>
                    </w:rPr>
                    <w:t>83000</w:t>
                  </w:r>
                  <w:r>
                    <w:rPr>
                      <w:rFonts w:hint="eastAsia" w:ascii="Times New Roman"/>
                      <w:color w:val="auto"/>
                      <w:szCs w:val="21"/>
                    </w:rPr>
                    <w:t>t外购。</w:t>
                  </w:r>
                </w:p>
              </w:tc>
            </w:tr>
            <w:tr w14:paraId="3986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51070441">
                  <w:pPr>
                    <w:adjustRightInd w:val="0"/>
                    <w:snapToGrid w:val="0"/>
                    <w:ind w:firstLine="0" w:firstLineChars="0"/>
                    <w:jc w:val="center"/>
                    <w:rPr>
                      <w:color w:val="auto"/>
                      <w:kern w:val="0"/>
                      <w:szCs w:val="21"/>
                      <w:lang w:bidi="ar"/>
                    </w:rPr>
                  </w:pPr>
                  <w:r>
                    <w:rPr>
                      <w:color w:val="auto"/>
                      <w:kern w:val="0"/>
                      <w:szCs w:val="21"/>
                      <w:lang w:bidi="ar"/>
                    </w:rPr>
                    <w:t>3</w:t>
                  </w:r>
                </w:p>
              </w:tc>
              <w:tc>
                <w:tcPr>
                  <w:tcW w:w="557" w:type="pct"/>
                  <w:tcBorders>
                    <w:tl2br w:val="nil"/>
                    <w:tr2bl w:val="nil"/>
                  </w:tcBorders>
                  <w:vAlign w:val="center"/>
                </w:tcPr>
                <w:p w14:paraId="1FF3DFA1">
                  <w:pPr>
                    <w:pStyle w:val="53"/>
                    <w:spacing w:beforeLines="0" w:afterLines="0" w:line="240" w:lineRule="auto"/>
                    <w:ind w:firstLine="0" w:firstLineChars="0"/>
                    <w:rPr>
                      <w:rFonts w:ascii="Times New Roman"/>
                      <w:color w:val="auto"/>
                      <w:szCs w:val="21"/>
                    </w:rPr>
                  </w:pPr>
                  <w:r>
                    <w:rPr>
                      <w:rFonts w:ascii="Times New Roman"/>
                      <w:color w:val="auto"/>
                      <w:szCs w:val="21"/>
                    </w:rPr>
                    <w:t>水泥</w:t>
                  </w:r>
                </w:p>
              </w:tc>
              <w:tc>
                <w:tcPr>
                  <w:tcW w:w="651" w:type="pct"/>
                  <w:tcBorders>
                    <w:tl2br w:val="nil"/>
                    <w:tr2bl w:val="nil"/>
                  </w:tcBorders>
                  <w:vAlign w:val="center"/>
                </w:tcPr>
                <w:p w14:paraId="6539C9AC">
                  <w:pPr>
                    <w:pStyle w:val="53"/>
                    <w:spacing w:beforeLines="0" w:afterLines="0" w:line="240" w:lineRule="auto"/>
                    <w:ind w:firstLine="0" w:firstLineChars="0"/>
                    <w:rPr>
                      <w:rFonts w:ascii="Times New Roman"/>
                      <w:color w:val="auto"/>
                      <w:szCs w:val="21"/>
                    </w:rPr>
                  </w:pPr>
                  <w:r>
                    <w:rPr>
                      <w:rFonts w:ascii="Times New Roman"/>
                      <w:color w:val="auto"/>
                      <w:szCs w:val="21"/>
                    </w:rPr>
                    <w:t>43400</w:t>
                  </w:r>
                </w:p>
              </w:tc>
              <w:tc>
                <w:tcPr>
                  <w:tcW w:w="398" w:type="pct"/>
                  <w:tcBorders>
                    <w:tl2br w:val="nil"/>
                    <w:tr2bl w:val="nil"/>
                  </w:tcBorders>
                  <w:vAlign w:val="center"/>
                </w:tcPr>
                <w:p w14:paraId="79C3EB8E">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5BAE1FCC">
                  <w:pPr>
                    <w:pStyle w:val="53"/>
                    <w:spacing w:beforeLines="0" w:afterLines="0" w:line="240" w:lineRule="auto"/>
                    <w:ind w:firstLine="0" w:firstLineChars="0"/>
                    <w:rPr>
                      <w:rFonts w:ascii="Times New Roman"/>
                      <w:color w:val="auto"/>
                      <w:szCs w:val="21"/>
                    </w:rPr>
                  </w:pPr>
                  <w:r>
                    <w:rPr>
                      <w:rFonts w:ascii="Times New Roman"/>
                      <w:color w:val="auto"/>
                      <w:szCs w:val="21"/>
                    </w:rPr>
                    <w:t>GB175-2007《通用硅酸盐水泥》、GB200-2017《中热硅酸盐水泥低热硅酸盐水泥》</w:t>
                  </w:r>
                </w:p>
              </w:tc>
              <w:tc>
                <w:tcPr>
                  <w:tcW w:w="710" w:type="pct"/>
                  <w:tcBorders>
                    <w:tl2br w:val="nil"/>
                    <w:tr2bl w:val="nil"/>
                  </w:tcBorders>
                  <w:vAlign w:val="center"/>
                </w:tcPr>
                <w:p w14:paraId="059B4F34">
                  <w:pPr>
                    <w:pStyle w:val="53"/>
                    <w:spacing w:beforeLines="0" w:afterLines="0" w:line="240" w:lineRule="auto"/>
                    <w:ind w:firstLine="0" w:firstLineChars="0"/>
                    <w:rPr>
                      <w:rFonts w:ascii="Times New Roman"/>
                      <w:color w:val="auto"/>
                      <w:szCs w:val="21"/>
                    </w:rPr>
                  </w:pPr>
                  <w:r>
                    <w:rPr>
                      <w:rFonts w:ascii="Times New Roman"/>
                      <w:color w:val="auto"/>
                      <w:szCs w:val="21"/>
                    </w:rPr>
                    <w:t>水泥筒仓</w:t>
                  </w:r>
                </w:p>
              </w:tc>
              <w:tc>
                <w:tcPr>
                  <w:tcW w:w="710" w:type="pct"/>
                  <w:tcBorders>
                    <w:tl2br w:val="nil"/>
                    <w:tr2bl w:val="nil"/>
                  </w:tcBorders>
                  <w:vAlign w:val="center"/>
                </w:tcPr>
                <w:p w14:paraId="336E4B92">
                  <w:pPr>
                    <w:pStyle w:val="53"/>
                    <w:spacing w:beforeLines="0" w:afterLines="0" w:line="240" w:lineRule="auto"/>
                    <w:ind w:firstLine="0" w:firstLineChars="0"/>
                    <w:rPr>
                      <w:rFonts w:ascii="Times New Roman"/>
                      <w:color w:val="auto"/>
                      <w:szCs w:val="21"/>
                    </w:rPr>
                  </w:pPr>
                  <w:r>
                    <w:rPr>
                      <w:rFonts w:ascii="Times New Roman"/>
                      <w:color w:val="auto"/>
                      <w:szCs w:val="21"/>
                    </w:rPr>
                    <w:t>/</w:t>
                  </w:r>
                </w:p>
              </w:tc>
            </w:tr>
            <w:tr w14:paraId="43DD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52209BC5">
                  <w:pPr>
                    <w:adjustRightInd w:val="0"/>
                    <w:snapToGrid w:val="0"/>
                    <w:ind w:firstLine="0" w:firstLineChars="0"/>
                    <w:jc w:val="center"/>
                    <w:rPr>
                      <w:color w:val="auto"/>
                      <w:kern w:val="0"/>
                      <w:szCs w:val="21"/>
                      <w:lang w:bidi="ar"/>
                    </w:rPr>
                  </w:pPr>
                  <w:r>
                    <w:rPr>
                      <w:color w:val="auto"/>
                      <w:kern w:val="0"/>
                      <w:szCs w:val="21"/>
                      <w:lang w:bidi="ar"/>
                    </w:rPr>
                    <w:t>4</w:t>
                  </w:r>
                </w:p>
              </w:tc>
              <w:tc>
                <w:tcPr>
                  <w:tcW w:w="557" w:type="pct"/>
                  <w:tcBorders>
                    <w:tl2br w:val="nil"/>
                    <w:tr2bl w:val="nil"/>
                  </w:tcBorders>
                  <w:vAlign w:val="center"/>
                </w:tcPr>
                <w:p w14:paraId="450AD7C6">
                  <w:pPr>
                    <w:pStyle w:val="53"/>
                    <w:spacing w:beforeLines="0" w:afterLines="0" w:line="240" w:lineRule="auto"/>
                    <w:ind w:firstLine="0" w:firstLineChars="0"/>
                    <w:rPr>
                      <w:rFonts w:ascii="Times New Roman"/>
                      <w:color w:val="auto"/>
                      <w:szCs w:val="21"/>
                    </w:rPr>
                  </w:pPr>
                  <w:r>
                    <w:rPr>
                      <w:rFonts w:ascii="Times New Roman"/>
                      <w:color w:val="auto"/>
                      <w:szCs w:val="21"/>
                    </w:rPr>
                    <w:t>粉煤灰</w:t>
                  </w:r>
                </w:p>
              </w:tc>
              <w:tc>
                <w:tcPr>
                  <w:tcW w:w="651" w:type="pct"/>
                  <w:tcBorders>
                    <w:tl2br w:val="nil"/>
                    <w:tr2bl w:val="nil"/>
                  </w:tcBorders>
                  <w:vAlign w:val="center"/>
                </w:tcPr>
                <w:p w14:paraId="3ADE2811">
                  <w:pPr>
                    <w:pStyle w:val="53"/>
                    <w:spacing w:beforeLines="0" w:afterLines="0" w:line="240" w:lineRule="auto"/>
                    <w:ind w:firstLine="0" w:firstLineChars="0"/>
                    <w:rPr>
                      <w:rFonts w:ascii="Times New Roman"/>
                      <w:color w:val="auto"/>
                      <w:szCs w:val="21"/>
                    </w:rPr>
                  </w:pPr>
                  <w:r>
                    <w:rPr>
                      <w:rFonts w:ascii="Times New Roman"/>
                      <w:color w:val="auto"/>
                      <w:szCs w:val="21"/>
                    </w:rPr>
                    <w:t>11550</w:t>
                  </w:r>
                </w:p>
              </w:tc>
              <w:tc>
                <w:tcPr>
                  <w:tcW w:w="398" w:type="pct"/>
                  <w:tcBorders>
                    <w:tl2br w:val="nil"/>
                    <w:tr2bl w:val="nil"/>
                  </w:tcBorders>
                  <w:vAlign w:val="center"/>
                </w:tcPr>
                <w:p w14:paraId="07415949">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5F70A19A">
                  <w:pPr>
                    <w:pStyle w:val="53"/>
                    <w:spacing w:beforeLines="0" w:afterLines="0" w:line="240" w:lineRule="auto"/>
                    <w:ind w:firstLine="0" w:firstLineChars="0"/>
                    <w:rPr>
                      <w:rFonts w:ascii="Times New Roman"/>
                      <w:color w:val="auto"/>
                      <w:szCs w:val="21"/>
                    </w:rPr>
                  </w:pPr>
                  <w:r>
                    <w:rPr>
                      <w:rFonts w:ascii="Times New Roman"/>
                      <w:color w:val="auto"/>
                    </w:rPr>
                    <w:t>GB/T1596-2017《用于水泥和混凝土中的粉煤灰》</w:t>
                  </w:r>
                </w:p>
              </w:tc>
              <w:tc>
                <w:tcPr>
                  <w:tcW w:w="710" w:type="pct"/>
                  <w:tcBorders>
                    <w:tl2br w:val="nil"/>
                    <w:tr2bl w:val="nil"/>
                  </w:tcBorders>
                  <w:vAlign w:val="center"/>
                </w:tcPr>
                <w:p w14:paraId="7EDCC6D5">
                  <w:pPr>
                    <w:pStyle w:val="53"/>
                    <w:spacing w:beforeLines="0" w:afterLines="0" w:line="240" w:lineRule="auto"/>
                    <w:ind w:firstLine="0" w:firstLineChars="0"/>
                    <w:rPr>
                      <w:rFonts w:ascii="Times New Roman"/>
                      <w:color w:val="auto"/>
                      <w:szCs w:val="21"/>
                    </w:rPr>
                  </w:pPr>
                  <w:r>
                    <w:rPr>
                      <w:rFonts w:ascii="Times New Roman"/>
                      <w:color w:val="auto"/>
                      <w:szCs w:val="21"/>
                    </w:rPr>
                    <w:t>粉煤灰筒仓</w:t>
                  </w:r>
                </w:p>
              </w:tc>
              <w:tc>
                <w:tcPr>
                  <w:tcW w:w="710" w:type="pct"/>
                  <w:tcBorders>
                    <w:tl2br w:val="nil"/>
                    <w:tr2bl w:val="nil"/>
                  </w:tcBorders>
                  <w:vAlign w:val="center"/>
                </w:tcPr>
                <w:p w14:paraId="36B2DF71">
                  <w:pPr>
                    <w:pStyle w:val="53"/>
                    <w:spacing w:beforeLines="0" w:afterLines="0" w:line="240" w:lineRule="auto"/>
                    <w:ind w:firstLine="0" w:firstLineChars="0"/>
                    <w:rPr>
                      <w:rFonts w:ascii="Times New Roman"/>
                      <w:color w:val="auto"/>
                      <w:szCs w:val="21"/>
                    </w:rPr>
                  </w:pPr>
                  <w:r>
                    <w:rPr>
                      <w:rFonts w:ascii="Times New Roman"/>
                      <w:color w:val="auto"/>
                      <w:szCs w:val="21"/>
                    </w:rPr>
                    <w:t>/</w:t>
                  </w:r>
                </w:p>
              </w:tc>
            </w:tr>
            <w:tr w14:paraId="28F7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3877312F">
                  <w:pPr>
                    <w:adjustRightInd w:val="0"/>
                    <w:snapToGrid w:val="0"/>
                    <w:ind w:firstLine="0" w:firstLineChars="0"/>
                    <w:jc w:val="center"/>
                    <w:rPr>
                      <w:color w:val="auto"/>
                      <w:kern w:val="0"/>
                      <w:szCs w:val="21"/>
                      <w:lang w:bidi="ar"/>
                    </w:rPr>
                  </w:pPr>
                  <w:r>
                    <w:rPr>
                      <w:color w:val="auto"/>
                      <w:kern w:val="0"/>
                      <w:szCs w:val="21"/>
                      <w:lang w:bidi="ar"/>
                    </w:rPr>
                    <w:t>5</w:t>
                  </w:r>
                </w:p>
              </w:tc>
              <w:tc>
                <w:tcPr>
                  <w:tcW w:w="557" w:type="pct"/>
                  <w:tcBorders>
                    <w:tl2br w:val="nil"/>
                    <w:tr2bl w:val="nil"/>
                  </w:tcBorders>
                  <w:vAlign w:val="center"/>
                </w:tcPr>
                <w:p w14:paraId="6B1F28F7">
                  <w:pPr>
                    <w:pStyle w:val="53"/>
                    <w:spacing w:beforeLines="0" w:afterLines="0" w:line="240" w:lineRule="auto"/>
                    <w:ind w:firstLine="0" w:firstLineChars="0"/>
                    <w:rPr>
                      <w:rFonts w:ascii="Times New Roman"/>
                      <w:color w:val="auto"/>
                      <w:szCs w:val="21"/>
                    </w:rPr>
                  </w:pPr>
                  <w:r>
                    <w:rPr>
                      <w:rFonts w:ascii="Times New Roman"/>
                      <w:color w:val="auto"/>
                      <w:szCs w:val="21"/>
                    </w:rPr>
                    <w:t>矿粉</w:t>
                  </w:r>
                </w:p>
              </w:tc>
              <w:tc>
                <w:tcPr>
                  <w:tcW w:w="651" w:type="pct"/>
                  <w:tcBorders>
                    <w:tl2br w:val="nil"/>
                    <w:tr2bl w:val="nil"/>
                  </w:tcBorders>
                  <w:vAlign w:val="center"/>
                </w:tcPr>
                <w:p w14:paraId="3BD51FDD">
                  <w:pPr>
                    <w:pStyle w:val="53"/>
                    <w:spacing w:beforeLines="0" w:afterLines="0" w:line="240" w:lineRule="auto"/>
                    <w:ind w:firstLine="0" w:firstLineChars="0"/>
                    <w:rPr>
                      <w:rFonts w:ascii="Times New Roman"/>
                      <w:color w:val="auto"/>
                      <w:szCs w:val="21"/>
                    </w:rPr>
                  </w:pPr>
                  <w:r>
                    <w:rPr>
                      <w:rFonts w:ascii="Times New Roman"/>
                      <w:color w:val="auto"/>
                      <w:szCs w:val="21"/>
                    </w:rPr>
                    <w:t>3850</w:t>
                  </w:r>
                </w:p>
              </w:tc>
              <w:tc>
                <w:tcPr>
                  <w:tcW w:w="398" w:type="pct"/>
                  <w:tcBorders>
                    <w:tl2br w:val="nil"/>
                    <w:tr2bl w:val="nil"/>
                  </w:tcBorders>
                  <w:vAlign w:val="center"/>
                </w:tcPr>
                <w:p w14:paraId="39CEDE4D">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6429D35F">
                  <w:pPr>
                    <w:pStyle w:val="53"/>
                    <w:spacing w:beforeLines="0" w:afterLines="0" w:line="240" w:lineRule="auto"/>
                    <w:ind w:firstLine="0" w:firstLineChars="0"/>
                    <w:rPr>
                      <w:rFonts w:ascii="Times New Roman"/>
                      <w:color w:val="auto"/>
                      <w:szCs w:val="21"/>
                    </w:rPr>
                  </w:pPr>
                  <w:r>
                    <w:rPr>
                      <w:rFonts w:ascii="Times New Roman"/>
                      <w:color w:val="auto"/>
                    </w:rPr>
                    <w:t>GB/T18046-2000《用于水泥和混凝土中的粒化高炉矿渣粉》</w:t>
                  </w:r>
                </w:p>
              </w:tc>
              <w:tc>
                <w:tcPr>
                  <w:tcW w:w="710" w:type="pct"/>
                  <w:tcBorders>
                    <w:tl2br w:val="nil"/>
                    <w:tr2bl w:val="nil"/>
                  </w:tcBorders>
                  <w:vAlign w:val="center"/>
                </w:tcPr>
                <w:p w14:paraId="3FF216A5">
                  <w:pPr>
                    <w:pStyle w:val="53"/>
                    <w:spacing w:beforeLines="0" w:afterLines="0" w:line="240" w:lineRule="auto"/>
                    <w:ind w:firstLine="0" w:firstLineChars="0"/>
                    <w:rPr>
                      <w:rFonts w:ascii="Times New Roman"/>
                      <w:color w:val="auto"/>
                      <w:szCs w:val="21"/>
                    </w:rPr>
                  </w:pPr>
                  <w:r>
                    <w:rPr>
                      <w:rFonts w:ascii="Times New Roman"/>
                      <w:color w:val="auto"/>
                      <w:szCs w:val="21"/>
                    </w:rPr>
                    <w:t>矿粉筒仓</w:t>
                  </w:r>
                </w:p>
              </w:tc>
              <w:tc>
                <w:tcPr>
                  <w:tcW w:w="710" w:type="pct"/>
                  <w:tcBorders>
                    <w:tl2br w:val="nil"/>
                    <w:tr2bl w:val="nil"/>
                  </w:tcBorders>
                  <w:vAlign w:val="center"/>
                </w:tcPr>
                <w:p w14:paraId="1EBA93C4">
                  <w:pPr>
                    <w:pStyle w:val="53"/>
                    <w:spacing w:beforeLines="0" w:afterLines="0" w:line="240" w:lineRule="auto"/>
                    <w:ind w:firstLine="0" w:firstLineChars="0"/>
                    <w:rPr>
                      <w:rFonts w:ascii="Times New Roman"/>
                      <w:color w:val="auto"/>
                      <w:szCs w:val="21"/>
                    </w:rPr>
                  </w:pPr>
                  <w:r>
                    <w:rPr>
                      <w:rFonts w:ascii="Times New Roman"/>
                      <w:color w:val="auto"/>
                      <w:szCs w:val="21"/>
                    </w:rPr>
                    <w:t>/</w:t>
                  </w:r>
                </w:p>
              </w:tc>
            </w:tr>
            <w:tr w14:paraId="4A06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688065B0">
                  <w:pPr>
                    <w:adjustRightInd w:val="0"/>
                    <w:snapToGrid w:val="0"/>
                    <w:ind w:firstLine="0" w:firstLineChars="0"/>
                    <w:jc w:val="center"/>
                    <w:rPr>
                      <w:color w:val="auto"/>
                      <w:kern w:val="0"/>
                      <w:szCs w:val="21"/>
                      <w:lang w:bidi="ar"/>
                    </w:rPr>
                  </w:pPr>
                  <w:r>
                    <w:rPr>
                      <w:rFonts w:hint="eastAsia"/>
                      <w:color w:val="auto"/>
                      <w:kern w:val="0"/>
                      <w:szCs w:val="21"/>
                      <w:lang w:bidi="ar"/>
                    </w:rPr>
                    <w:t>6</w:t>
                  </w:r>
                </w:p>
              </w:tc>
              <w:tc>
                <w:tcPr>
                  <w:tcW w:w="557" w:type="pct"/>
                  <w:tcBorders>
                    <w:tl2br w:val="nil"/>
                    <w:tr2bl w:val="nil"/>
                  </w:tcBorders>
                  <w:vAlign w:val="center"/>
                </w:tcPr>
                <w:p w14:paraId="352067F0">
                  <w:pPr>
                    <w:pStyle w:val="53"/>
                    <w:spacing w:beforeLines="0" w:afterLines="0" w:line="240" w:lineRule="auto"/>
                    <w:ind w:firstLine="0" w:firstLineChars="0"/>
                    <w:rPr>
                      <w:rFonts w:ascii="Times New Roman"/>
                      <w:color w:val="auto"/>
                      <w:szCs w:val="21"/>
                    </w:rPr>
                  </w:pPr>
                  <w:r>
                    <w:rPr>
                      <w:rFonts w:hint="eastAsia" w:ascii="Times New Roman"/>
                      <w:color w:val="auto"/>
                      <w:szCs w:val="21"/>
                    </w:rPr>
                    <w:t>外加剂</w:t>
                  </w:r>
                </w:p>
              </w:tc>
              <w:tc>
                <w:tcPr>
                  <w:tcW w:w="651" w:type="pct"/>
                  <w:tcBorders>
                    <w:tl2br w:val="nil"/>
                    <w:tr2bl w:val="nil"/>
                  </w:tcBorders>
                  <w:vAlign w:val="center"/>
                </w:tcPr>
                <w:p w14:paraId="67CA35D0">
                  <w:pPr>
                    <w:pStyle w:val="53"/>
                    <w:spacing w:beforeLines="0" w:afterLines="0" w:line="240" w:lineRule="auto"/>
                    <w:ind w:firstLine="0" w:firstLineChars="0"/>
                    <w:rPr>
                      <w:rFonts w:ascii="Times New Roman"/>
                      <w:color w:val="auto"/>
                      <w:szCs w:val="21"/>
                    </w:rPr>
                  </w:pPr>
                  <w:r>
                    <w:rPr>
                      <w:rFonts w:hint="eastAsia" w:ascii="Times New Roman"/>
                      <w:color w:val="auto"/>
                      <w:szCs w:val="21"/>
                    </w:rPr>
                    <w:t>50</w:t>
                  </w:r>
                </w:p>
              </w:tc>
              <w:tc>
                <w:tcPr>
                  <w:tcW w:w="398" w:type="pct"/>
                  <w:tcBorders>
                    <w:tl2br w:val="nil"/>
                    <w:tr2bl w:val="nil"/>
                  </w:tcBorders>
                  <w:vAlign w:val="center"/>
                </w:tcPr>
                <w:p w14:paraId="0D73F76D">
                  <w:pPr>
                    <w:pStyle w:val="53"/>
                    <w:spacing w:beforeLines="0" w:afterLines="0" w:line="240" w:lineRule="auto"/>
                    <w:ind w:firstLine="0" w:firstLineChars="0"/>
                    <w:rPr>
                      <w:rFonts w:ascii="Times New Roman"/>
                      <w:color w:val="auto"/>
                      <w:szCs w:val="21"/>
                    </w:rPr>
                  </w:pPr>
                  <w:r>
                    <w:rPr>
                      <w:rFonts w:ascii="Times New Roman"/>
                      <w:color w:val="auto"/>
                      <w:szCs w:val="21"/>
                    </w:rPr>
                    <w:t>外购</w:t>
                  </w:r>
                </w:p>
              </w:tc>
              <w:tc>
                <w:tcPr>
                  <w:tcW w:w="1703" w:type="pct"/>
                  <w:tcBorders>
                    <w:tl2br w:val="nil"/>
                    <w:tr2bl w:val="nil"/>
                  </w:tcBorders>
                  <w:vAlign w:val="center"/>
                </w:tcPr>
                <w:p w14:paraId="7720C7E9">
                  <w:pPr>
                    <w:pStyle w:val="53"/>
                    <w:spacing w:beforeLines="0" w:afterLines="0" w:line="240" w:lineRule="auto"/>
                    <w:ind w:firstLine="0" w:firstLineChars="0"/>
                    <w:rPr>
                      <w:rFonts w:ascii="Times New Roman"/>
                      <w:color w:val="auto"/>
                    </w:rPr>
                  </w:pPr>
                  <w:r>
                    <w:rPr>
                      <w:rFonts w:hint="eastAsia" w:ascii="Times New Roman"/>
                      <w:color w:val="auto"/>
                    </w:rPr>
                    <w:t>/</w:t>
                  </w:r>
                </w:p>
              </w:tc>
              <w:tc>
                <w:tcPr>
                  <w:tcW w:w="710" w:type="pct"/>
                  <w:tcBorders>
                    <w:tl2br w:val="nil"/>
                    <w:tr2bl w:val="nil"/>
                  </w:tcBorders>
                  <w:vAlign w:val="center"/>
                </w:tcPr>
                <w:p w14:paraId="7019F155">
                  <w:pPr>
                    <w:pStyle w:val="53"/>
                    <w:spacing w:beforeLines="0" w:afterLines="0" w:line="240" w:lineRule="auto"/>
                    <w:ind w:firstLine="0" w:firstLineChars="0"/>
                    <w:rPr>
                      <w:rFonts w:ascii="Times New Roman"/>
                      <w:color w:val="auto"/>
                      <w:szCs w:val="21"/>
                    </w:rPr>
                  </w:pPr>
                  <w:r>
                    <w:rPr>
                      <w:rFonts w:hint="eastAsia" w:ascii="Times New Roman"/>
                      <w:color w:val="auto"/>
                      <w:szCs w:val="21"/>
                    </w:rPr>
                    <w:t>外加剂存放桶</w:t>
                  </w:r>
                </w:p>
              </w:tc>
              <w:tc>
                <w:tcPr>
                  <w:tcW w:w="710" w:type="pct"/>
                  <w:tcBorders>
                    <w:tl2br w:val="nil"/>
                    <w:tr2bl w:val="nil"/>
                  </w:tcBorders>
                  <w:vAlign w:val="center"/>
                </w:tcPr>
                <w:p w14:paraId="767CB3A3">
                  <w:pPr>
                    <w:ind w:firstLine="0" w:firstLineChars="0"/>
                    <w:rPr>
                      <w:color w:val="auto"/>
                      <w:szCs w:val="21"/>
                    </w:rPr>
                  </w:pPr>
                  <w:r>
                    <w:rPr>
                      <w:rFonts w:hint="eastAsia"/>
                      <w:color w:val="auto"/>
                      <w:szCs w:val="21"/>
                    </w:rPr>
                    <w:t>10t塑料桶装</w:t>
                  </w:r>
                </w:p>
              </w:tc>
            </w:tr>
          </w:tbl>
          <w:p w14:paraId="1F5AB8B4">
            <w:pPr>
              <w:pStyle w:val="89"/>
              <w:spacing w:line="360" w:lineRule="auto"/>
              <w:ind w:firstLine="482"/>
              <w:rPr>
                <w:b/>
                <w:color w:val="auto"/>
              </w:rPr>
            </w:pPr>
          </w:p>
          <w:p w14:paraId="3AB3C43B">
            <w:pPr>
              <w:ind w:firstLine="422"/>
              <w:jc w:val="center"/>
              <w:rPr>
                <w:b/>
                <w:bCs/>
                <w:color w:val="auto"/>
                <w:szCs w:val="21"/>
              </w:rPr>
            </w:pPr>
            <w:r>
              <w:rPr>
                <w:b/>
                <w:bCs/>
                <w:color w:val="auto"/>
                <w:szCs w:val="21"/>
              </w:rPr>
              <w:t>表2-</w:t>
            </w:r>
            <w:r>
              <w:rPr>
                <w:rFonts w:hint="eastAsia"/>
                <w:b/>
                <w:bCs/>
                <w:color w:val="auto"/>
                <w:szCs w:val="21"/>
              </w:rPr>
              <w:t>4</w:t>
            </w:r>
            <w:r>
              <w:rPr>
                <w:b/>
                <w:bCs/>
                <w:color w:val="auto"/>
                <w:szCs w:val="21"/>
              </w:rPr>
              <w:t xml:space="preserve"> </w:t>
            </w:r>
            <w:r>
              <w:rPr>
                <w:rFonts w:hint="eastAsia"/>
                <w:b/>
                <w:bCs/>
                <w:color w:val="auto"/>
                <w:szCs w:val="21"/>
              </w:rPr>
              <w:t>扩建前后</w:t>
            </w:r>
            <w:r>
              <w:rPr>
                <w:b/>
                <w:bCs/>
                <w:color w:val="auto"/>
                <w:szCs w:val="21"/>
              </w:rPr>
              <w:t>主要原辅材料</w:t>
            </w:r>
            <w:r>
              <w:rPr>
                <w:rFonts w:hint="eastAsia"/>
                <w:b/>
                <w:bCs/>
                <w:color w:val="auto"/>
                <w:szCs w:val="21"/>
              </w:rPr>
              <w:t>变化</w:t>
            </w:r>
            <w:r>
              <w:rPr>
                <w:b/>
                <w:bCs/>
                <w:color w:val="auto"/>
                <w:szCs w:val="21"/>
              </w:rPr>
              <w:t>表</w:t>
            </w:r>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593"/>
              <w:gridCol w:w="1439"/>
              <w:gridCol w:w="1824"/>
              <w:gridCol w:w="1842"/>
            </w:tblGrid>
            <w:tr w14:paraId="220B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1792" w:type="pct"/>
                  <w:gridSpan w:val="2"/>
                  <w:vAlign w:val="center"/>
                </w:tcPr>
                <w:p w14:paraId="566CC582">
                  <w:pPr>
                    <w:ind w:firstLine="0" w:firstLineChars="0"/>
                    <w:jc w:val="center"/>
                    <w:rPr>
                      <w:b/>
                      <w:bCs/>
                      <w:color w:val="auto"/>
                      <w:szCs w:val="21"/>
                    </w:rPr>
                  </w:pPr>
                  <w:r>
                    <w:rPr>
                      <w:rFonts w:hint="eastAsia"/>
                      <w:b/>
                      <w:bCs/>
                      <w:color w:val="auto"/>
                      <w:szCs w:val="21"/>
                    </w:rPr>
                    <w:t>现有项目主要原辅材料</w:t>
                  </w:r>
                </w:p>
              </w:tc>
              <w:tc>
                <w:tcPr>
                  <w:tcW w:w="2050" w:type="pct"/>
                  <w:gridSpan w:val="2"/>
                  <w:vAlign w:val="center"/>
                </w:tcPr>
                <w:p w14:paraId="74BAAF63">
                  <w:pPr>
                    <w:ind w:firstLine="0" w:firstLineChars="0"/>
                    <w:jc w:val="center"/>
                    <w:rPr>
                      <w:b/>
                      <w:bCs/>
                      <w:color w:val="auto"/>
                      <w:szCs w:val="21"/>
                    </w:rPr>
                  </w:pPr>
                  <w:r>
                    <w:rPr>
                      <w:rFonts w:hint="eastAsia"/>
                      <w:b/>
                      <w:bCs/>
                      <w:color w:val="auto"/>
                      <w:szCs w:val="21"/>
                    </w:rPr>
                    <w:t>本次扩建项目主要原辅材料</w:t>
                  </w:r>
                </w:p>
              </w:tc>
              <w:tc>
                <w:tcPr>
                  <w:tcW w:w="1157" w:type="pct"/>
                  <w:vMerge w:val="restart"/>
                  <w:vAlign w:val="center"/>
                </w:tcPr>
                <w:p w14:paraId="42098ACA">
                  <w:pPr>
                    <w:ind w:firstLine="0" w:firstLineChars="0"/>
                    <w:jc w:val="center"/>
                    <w:rPr>
                      <w:b/>
                      <w:bCs/>
                      <w:color w:val="auto"/>
                      <w:szCs w:val="21"/>
                    </w:rPr>
                  </w:pPr>
                  <w:r>
                    <w:rPr>
                      <w:rFonts w:hint="eastAsia"/>
                      <w:b/>
                      <w:bCs/>
                      <w:color w:val="auto"/>
                      <w:szCs w:val="21"/>
                    </w:rPr>
                    <w:t>变化情况（t）</w:t>
                  </w:r>
                </w:p>
              </w:tc>
            </w:tr>
            <w:tr w14:paraId="2198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Align w:val="center"/>
                </w:tcPr>
                <w:p w14:paraId="32671092">
                  <w:pPr>
                    <w:ind w:firstLine="0" w:firstLineChars="0"/>
                    <w:jc w:val="center"/>
                    <w:rPr>
                      <w:b/>
                      <w:bCs/>
                      <w:color w:val="auto"/>
                      <w:szCs w:val="21"/>
                    </w:rPr>
                  </w:pPr>
                  <w:r>
                    <w:rPr>
                      <w:b/>
                      <w:bCs/>
                      <w:color w:val="auto"/>
                      <w:szCs w:val="21"/>
                    </w:rPr>
                    <w:t>原料名称</w:t>
                  </w:r>
                </w:p>
              </w:tc>
              <w:tc>
                <w:tcPr>
                  <w:tcW w:w="1001" w:type="pct"/>
                  <w:vAlign w:val="center"/>
                </w:tcPr>
                <w:p w14:paraId="086C50B1">
                  <w:pPr>
                    <w:ind w:firstLine="0" w:firstLineChars="0"/>
                    <w:jc w:val="center"/>
                    <w:rPr>
                      <w:b/>
                      <w:bCs/>
                      <w:color w:val="auto"/>
                      <w:szCs w:val="21"/>
                    </w:rPr>
                  </w:pPr>
                  <w:r>
                    <w:rPr>
                      <w:b/>
                      <w:bCs/>
                      <w:color w:val="auto"/>
                      <w:szCs w:val="21"/>
                    </w:rPr>
                    <w:t>年用量（t）</w:t>
                  </w:r>
                </w:p>
              </w:tc>
              <w:tc>
                <w:tcPr>
                  <w:tcW w:w="904" w:type="pct"/>
                  <w:vAlign w:val="center"/>
                </w:tcPr>
                <w:p w14:paraId="320CBFFC">
                  <w:pPr>
                    <w:ind w:firstLine="0" w:firstLineChars="0"/>
                    <w:jc w:val="center"/>
                    <w:rPr>
                      <w:b/>
                      <w:bCs/>
                      <w:color w:val="auto"/>
                      <w:szCs w:val="21"/>
                    </w:rPr>
                  </w:pPr>
                  <w:r>
                    <w:rPr>
                      <w:rFonts w:hint="eastAsia"/>
                      <w:b/>
                      <w:bCs/>
                      <w:color w:val="auto"/>
                      <w:szCs w:val="21"/>
                    </w:rPr>
                    <w:t>原料名称</w:t>
                  </w:r>
                </w:p>
              </w:tc>
              <w:tc>
                <w:tcPr>
                  <w:tcW w:w="1145" w:type="pct"/>
                  <w:vAlign w:val="center"/>
                </w:tcPr>
                <w:p w14:paraId="65309BEF">
                  <w:pPr>
                    <w:ind w:firstLine="0" w:firstLineChars="0"/>
                    <w:jc w:val="center"/>
                    <w:rPr>
                      <w:b/>
                      <w:bCs/>
                      <w:color w:val="auto"/>
                      <w:szCs w:val="21"/>
                    </w:rPr>
                  </w:pPr>
                  <w:r>
                    <w:rPr>
                      <w:b/>
                      <w:bCs/>
                      <w:color w:val="auto"/>
                      <w:szCs w:val="21"/>
                    </w:rPr>
                    <w:t>年用量（t）</w:t>
                  </w:r>
                </w:p>
              </w:tc>
              <w:tc>
                <w:tcPr>
                  <w:tcW w:w="1157" w:type="pct"/>
                  <w:vMerge w:val="continue"/>
                  <w:vAlign w:val="center"/>
                </w:tcPr>
                <w:p w14:paraId="75717D29">
                  <w:pPr>
                    <w:ind w:firstLine="0" w:firstLineChars="0"/>
                    <w:jc w:val="center"/>
                    <w:rPr>
                      <w:b/>
                      <w:bCs/>
                      <w:color w:val="auto"/>
                      <w:szCs w:val="21"/>
                    </w:rPr>
                  </w:pPr>
                </w:p>
              </w:tc>
            </w:tr>
            <w:tr w14:paraId="5B7A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pct"/>
                  <w:vAlign w:val="center"/>
                </w:tcPr>
                <w:p w14:paraId="23705E9C">
                  <w:pPr>
                    <w:pStyle w:val="53"/>
                    <w:spacing w:beforeLines="0" w:afterLines="0" w:line="240" w:lineRule="auto"/>
                    <w:ind w:firstLine="0" w:firstLineChars="0"/>
                    <w:rPr>
                      <w:rFonts w:ascii="Times New Roman"/>
                      <w:color w:val="auto"/>
                      <w:szCs w:val="21"/>
                    </w:rPr>
                  </w:pPr>
                  <w:r>
                    <w:rPr>
                      <w:rFonts w:ascii="Times New Roman"/>
                      <w:color w:val="auto"/>
                      <w:szCs w:val="21"/>
                    </w:rPr>
                    <w:t>碎石</w:t>
                  </w:r>
                </w:p>
              </w:tc>
              <w:tc>
                <w:tcPr>
                  <w:tcW w:w="1001" w:type="pct"/>
                  <w:vAlign w:val="center"/>
                </w:tcPr>
                <w:p w14:paraId="1F4D8858">
                  <w:pPr>
                    <w:pStyle w:val="53"/>
                    <w:spacing w:beforeLines="0" w:afterLines="0" w:line="240" w:lineRule="auto"/>
                    <w:ind w:firstLine="0" w:firstLineChars="0"/>
                    <w:rPr>
                      <w:rFonts w:ascii="Times New Roman"/>
                      <w:color w:val="auto"/>
                      <w:szCs w:val="21"/>
                    </w:rPr>
                  </w:pPr>
                  <w:r>
                    <w:rPr>
                      <w:rFonts w:ascii="Times New Roman"/>
                      <w:color w:val="auto"/>
                      <w:szCs w:val="21"/>
                    </w:rPr>
                    <w:t>125000</w:t>
                  </w:r>
                </w:p>
              </w:tc>
              <w:tc>
                <w:tcPr>
                  <w:tcW w:w="904" w:type="pct"/>
                  <w:vAlign w:val="center"/>
                </w:tcPr>
                <w:p w14:paraId="4D3FCA3D">
                  <w:pPr>
                    <w:pStyle w:val="53"/>
                    <w:spacing w:beforeLines="0" w:afterLines="0" w:line="240" w:lineRule="auto"/>
                    <w:ind w:firstLine="0" w:firstLineChars="0"/>
                    <w:rPr>
                      <w:rFonts w:ascii="Times New Roman"/>
                      <w:color w:val="auto"/>
                      <w:szCs w:val="21"/>
                    </w:rPr>
                  </w:pPr>
                  <w:r>
                    <w:rPr>
                      <w:rFonts w:ascii="Times New Roman"/>
                      <w:color w:val="auto"/>
                      <w:szCs w:val="21"/>
                    </w:rPr>
                    <w:t>碎石</w:t>
                  </w:r>
                </w:p>
              </w:tc>
              <w:tc>
                <w:tcPr>
                  <w:tcW w:w="1145" w:type="pct"/>
                  <w:vAlign w:val="center"/>
                </w:tcPr>
                <w:p w14:paraId="095C95A8">
                  <w:pPr>
                    <w:ind w:firstLine="0" w:firstLineChars="0"/>
                    <w:jc w:val="center"/>
                    <w:rPr>
                      <w:color w:val="auto"/>
                      <w:szCs w:val="21"/>
                    </w:rPr>
                  </w:pPr>
                  <w:r>
                    <w:rPr>
                      <w:rFonts w:hint="eastAsia"/>
                      <w:color w:val="auto"/>
                      <w:szCs w:val="21"/>
                    </w:rPr>
                    <w:t>83262.748</w:t>
                  </w:r>
                </w:p>
              </w:tc>
              <w:tc>
                <w:tcPr>
                  <w:tcW w:w="1157" w:type="pct"/>
                  <w:vAlign w:val="center"/>
                </w:tcPr>
                <w:p w14:paraId="7369990A">
                  <w:pPr>
                    <w:ind w:firstLine="0" w:firstLineChars="0"/>
                    <w:jc w:val="center"/>
                    <w:rPr>
                      <w:color w:val="auto"/>
                      <w:szCs w:val="21"/>
                    </w:rPr>
                  </w:pPr>
                  <w:r>
                    <w:rPr>
                      <w:rFonts w:hint="eastAsia"/>
                      <w:color w:val="auto"/>
                      <w:szCs w:val="21"/>
                    </w:rPr>
                    <w:t>+83262.748</w:t>
                  </w:r>
                </w:p>
              </w:tc>
            </w:tr>
            <w:tr w14:paraId="3772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Align w:val="center"/>
                </w:tcPr>
                <w:p w14:paraId="6C04205B">
                  <w:pPr>
                    <w:pStyle w:val="53"/>
                    <w:spacing w:beforeLines="0" w:afterLines="0" w:line="240" w:lineRule="auto"/>
                    <w:ind w:firstLine="0" w:firstLineChars="0"/>
                    <w:rPr>
                      <w:rFonts w:ascii="Times New Roman"/>
                      <w:color w:val="auto"/>
                      <w:szCs w:val="21"/>
                    </w:rPr>
                  </w:pPr>
                  <w:r>
                    <w:rPr>
                      <w:rFonts w:ascii="Times New Roman"/>
                      <w:color w:val="auto"/>
                      <w:szCs w:val="21"/>
                    </w:rPr>
                    <w:t>机制砂</w:t>
                  </w:r>
                </w:p>
              </w:tc>
              <w:tc>
                <w:tcPr>
                  <w:tcW w:w="1001" w:type="pct"/>
                  <w:vAlign w:val="center"/>
                </w:tcPr>
                <w:p w14:paraId="6A8B7A36">
                  <w:pPr>
                    <w:pStyle w:val="53"/>
                    <w:spacing w:beforeLines="0" w:afterLines="0" w:line="240" w:lineRule="auto"/>
                    <w:ind w:firstLine="0" w:firstLineChars="0"/>
                    <w:rPr>
                      <w:rFonts w:ascii="Times New Roman"/>
                      <w:color w:val="auto"/>
                      <w:szCs w:val="21"/>
                    </w:rPr>
                  </w:pPr>
                  <w:r>
                    <w:rPr>
                      <w:rFonts w:ascii="Times New Roman"/>
                      <w:color w:val="auto"/>
                      <w:szCs w:val="21"/>
                    </w:rPr>
                    <w:t>83000</w:t>
                  </w:r>
                </w:p>
              </w:tc>
              <w:tc>
                <w:tcPr>
                  <w:tcW w:w="904" w:type="pct"/>
                  <w:vAlign w:val="center"/>
                </w:tcPr>
                <w:p w14:paraId="36D50302">
                  <w:pPr>
                    <w:pStyle w:val="53"/>
                    <w:spacing w:beforeLines="0" w:afterLines="0" w:line="240" w:lineRule="auto"/>
                    <w:ind w:firstLine="0" w:firstLineChars="0"/>
                    <w:rPr>
                      <w:rFonts w:ascii="Times New Roman"/>
                      <w:color w:val="auto"/>
                      <w:szCs w:val="21"/>
                    </w:rPr>
                  </w:pPr>
                  <w:r>
                    <w:rPr>
                      <w:rFonts w:ascii="Times New Roman"/>
                      <w:color w:val="auto"/>
                      <w:szCs w:val="21"/>
                    </w:rPr>
                    <w:t>机制砂</w:t>
                  </w:r>
                </w:p>
              </w:tc>
              <w:tc>
                <w:tcPr>
                  <w:tcW w:w="1145" w:type="pct"/>
                  <w:vAlign w:val="center"/>
                </w:tcPr>
                <w:p w14:paraId="265898BA">
                  <w:pPr>
                    <w:ind w:firstLine="0" w:firstLineChars="0"/>
                    <w:jc w:val="center"/>
                    <w:rPr>
                      <w:color w:val="auto"/>
                      <w:szCs w:val="21"/>
                    </w:rPr>
                  </w:pPr>
                  <w:r>
                    <w:rPr>
                      <w:color w:val="auto"/>
                      <w:szCs w:val="21"/>
                    </w:rPr>
                    <w:t>33200</w:t>
                  </w:r>
                </w:p>
              </w:tc>
              <w:tc>
                <w:tcPr>
                  <w:tcW w:w="1157" w:type="pct"/>
                  <w:vAlign w:val="center"/>
                </w:tcPr>
                <w:p w14:paraId="4E588F23">
                  <w:pPr>
                    <w:ind w:firstLine="0" w:firstLineChars="0"/>
                    <w:jc w:val="center"/>
                    <w:rPr>
                      <w:color w:val="auto"/>
                      <w:szCs w:val="21"/>
                    </w:rPr>
                  </w:pPr>
                  <w:r>
                    <w:rPr>
                      <w:rFonts w:hint="eastAsia"/>
                      <w:color w:val="auto"/>
                      <w:szCs w:val="21"/>
                    </w:rPr>
                    <w:t>+</w:t>
                  </w:r>
                  <w:r>
                    <w:rPr>
                      <w:color w:val="auto"/>
                      <w:szCs w:val="21"/>
                    </w:rPr>
                    <w:t>33200</w:t>
                  </w:r>
                </w:p>
              </w:tc>
            </w:tr>
            <w:tr w14:paraId="1907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Align w:val="center"/>
                </w:tcPr>
                <w:p w14:paraId="5593F760">
                  <w:pPr>
                    <w:pStyle w:val="53"/>
                    <w:spacing w:beforeLines="0" w:afterLines="0" w:line="240" w:lineRule="auto"/>
                    <w:ind w:firstLine="0" w:firstLineChars="0"/>
                    <w:rPr>
                      <w:rFonts w:ascii="Times New Roman"/>
                      <w:color w:val="auto"/>
                      <w:szCs w:val="21"/>
                    </w:rPr>
                  </w:pPr>
                  <w:r>
                    <w:rPr>
                      <w:rFonts w:ascii="Times New Roman"/>
                      <w:color w:val="auto"/>
                      <w:szCs w:val="21"/>
                    </w:rPr>
                    <w:t>水泥</w:t>
                  </w:r>
                </w:p>
              </w:tc>
              <w:tc>
                <w:tcPr>
                  <w:tcW w:w="1001" w:type="pct"/>
                  <w:vAlign w:val="center"/>
                </w:tcPr>
                <w:p w14:paraId="69CDDCD4">
                  <w:pPr>
                    <w:pStyle w:val="53"/>
                    <w:spacing w:beforeLines="0" w:afterLines="0" w:line="240" w:lineRule="auto"/>
                    <w:ind w:firstLine="0" w:firstLineChars="0"/>
                    <w:rPr>
                      <w:rFonts w:ascii="Times New Roman"/>
                      <w:color w:val="auto"/>
                      <w:szCs w:val="21"/>
                    </w:rPr>
                  </w:pPr>
                  <w:r>
                    <w:rPr>
                      <w:rFonts w:ascii="Times New Roman"/>
                      <w:color w:val="auto"/>
                      <w:szCs w:val="21"/>
                    </w:rPr>
                    <w:t>31000</w:t>
                  </w:r>
                </w:p>
              </w:tc>
              <w:tc>
                <w:tcPr>
                  <w:tcW w:w="904" w:type="pct"/>
                  <w:vAlign w:val="center"/>
                </w:tcPr>
                <w:p w14:paraId="7429CE46">
                  <w:pPr>
                    <w:pStyle w:val="53"/>
                    <w:spacing w:beforeLines="0" w:afterLines="0" w:line="240" w:lineRule="auto"/>
                    <w:ind w:firstLine="0" w:firstLineChars="0"/>
                    <w:rPr>
                      <w:rFonts w:ascii="Times New Roman"/>
                      <w:color w:val="auto"/>
                      <w:szCs w:val="21"/>
                    </w:rPr>
                  </w:pPr>
                  <w:r>
                    <w:rPr>
                      <w:rFonts w:ascii="Times New Roman"/>
                      <w:color w:val="auto"/>
                      <w:szCs w:val="21"/>
                    </w:rPr>
                    <w:t>水泥</w:t>
                  </w:r>
                </w:p>
              </w:tc>
              <w:tc>
                <w:tcPr>
                  <w:tcW w:w="1145" w:type="pct"/>
                  <w:vAlign w:val="center"/>
                </w:tcPr>
                <w:p w14:paraId="11A1533A">
                  <w:pPr>
                    <w:pStyle w:val="53"/>
                    <w:spacing w:beforeLines="0" w:afterLines="0" w:line="240" w:lineRule="auto"/>
                    <w:ind w:firstLine="0" w:firstLineChars="0"/>
                    <w:rPr>
                      <w:rFonts w:ascii="Times New Roman"/>
                      <w:color w:val="auto"/>
                      <w:szCs w:val="21"/>
                    </w:rPr>
                  </w:pPr>
                  <w:r>
                    <w:rPr>
                      <w:rFonts w:ascii="Times New Roman"/>
                      <w:color w:val="auto"/>
                      <w:szCs w:val="21"/>
                    </w:rPr>
                    <w:t>12400</w:t>
                  </w:r>
                </w:p>
              </w:tc>
              <w:tc>
                <w:tcPr>
                  <w:tcW w:w="1157" w:type="pct"/>
                  <w:vAlign w:val="center"/>
                </w:tcPr>
                <w:p w14:paraId="4478E1CC">
                  <w:pPr>
                    <w:pStyle w:val="53"/>
                    <w:spacing w:beforeLines="0" w:afterLines="0" w:line="240" w:lineRule="auto"/>
                    <w:ind w:firstLine="0" w:firstLineChars="0"/>
                    <w:rPr>
                      <w:rFonts w:ascii="Times New Roman"/>
                      <w:color w:val="auto"/>
                      <w:szCs w:val="21"/>
                    </w:rPr>
                  </w:pPr>
                  <w:r>
                    <w:rPr>
                      <w:rFonts w:hint="eastAsia" w:ascii="Times New Roman"/>
                      <w:color w:val="auto"/>
                      <w:szCs w:val="21"/>
                    </w:rPr>
                    <w:t>+</w:t>
                  </w:r>
                  <w:r>
                    <w:rPr>
                      <w:rFonts w:ascii="Times New Roman"/>
                      <w:color w:val="auto"/>
                      <w:szCs w:val="21"/>
                    </w:rPr>
                    <w:t>12400</w:t>
                  </w:r>
                </w:p>
              </w:tc>
            </w:tr>
            <w:tr w14:paraId="2CF1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Align w:val="center"/>
                </w:tcPr>
                <w:p w14:paraId="5B98BEED">
                  <w:pPr>
                    <w:pStyle w:val="53"/>
                    <w:spacing w:beforeLines="0" w:afterLines="0" w:line="240" w:lineRule="auto"/>
                    <w:ind w:firstLine="0" w:firstLineChars="0"/>
                    <w:rPr>
                      <w:rFonts w:ascii="Times New Roman"/>
                      <w:color w:val="auto"/>
                      <w:szCs w:val="21"/>
                    </w:rPr>
                  </w:pPr>
                  <w:r>
                    <w:rPr>
                      <w:rFonts w:ascii="Times New Roman"/>
                      <w:color w:val="auto"/>
                      <w:szCs w:val="21"/>
                    </w:rPr>
                    <w:t>粉煤灰</w:t>
                  </w:r>
                </w:p>
              </w:tc>
              <w:tc>
                <w:tcPr>
                  <w:tcW w:w="1001" w:type="pct"/>
                  <w:vAlign w:val="center"/>
                </w:tcPr>
                <w:p w14:paraId="4682226F">
                  <w:pPr>
                    <w:pStyle w:val="53"/>
                    <w:spacing w:beforeLines="0" w:afterLines="0" w:line="240" w:lineRule="auto"/>
                    <w:ind w:firstLine="0" w:firstLineChars="0"/>
                    <w:rPr>
                      <w:rFonts w:ascii="Times New Roman"/>
                      <w:color w:val="auto"/>
                      <w:szCs w:val="21"/>
                    </w:rPr>
                  </w:pPr>
                  <w:r>
                    <w:rPr>
                      <w:rFonts w:ascii="Times New Roman"/>
                      <w:color w:val="auto"/>
                      <w:szCs w:val="21"/>
                    </w:rPr>
                    <w:t>8250</w:t>
                  </w:r>
                </w:p>
              </w:tc>
              <w:tc>
                <w:tcPr>
                  <w:tcW w:w="904" w:type="pct"/>
                  <w:vAlign w:val="center"/>
                </w:tcPr>
                <w:p w14:paraId="29FD290E">
                  <w:pPr>
                    <w:pStyle w:val="53"/>
                    <w:spacing w:beforeLines="0" w:afterLines="0" w:line="240" w:lineRule="auto"/>
                    <w:ind w:firstLine="0" w:firstLineChars="0"/>
                    <w:rPr>
                      <w:rFonts w:ascii="Times New Roman"/>
                      <w:color w:val="auto"/>
                      <w:szCs w:val="21"/>
                    </w:rPr>
                  </w:pPr>
                  <w:r>
                    <w:rPr>
                      <w:rFonts w:ascii="Times New Roman"/>
                      <w:color w:val="auto"/>
                      <w:szCs w:val="21"/>
                    </w:rPr>
                    <w:t>粉煤灰</w:t>
                  </w:r>
                </w:p>
              </w:tc>
              <w:tc>
                <w:tcPr>
                  <w:tcW w:w="1145" w:type="pct"/>
                  <w:vAlign w:val="center"/>
                </w:tcPr>
                <w:p w14:paraId="216EFDE3">
                  <w:pPr>
                    <w:pStyle w:val="53"/>
                    <w:spacing w:beforeLines="0" w:afterLines="0" w:line="240" w:lineRule="auto"/>
                    <w:ind w:firstLine="0" w:firstLineChars="0"/>
                    <w:rPr>
                      <w:rFonts w:ascii="Times New Roman"/>
                      <w:color w:val="auto"/>
                      <w:szCs w:val="21"/>
                    </w:rPr>
                  </w:pPr>
                  <w:r>
                    <w:rPr>
                      <w:rFonts w:ascii="Times New Roman"/>
                      <w:color w:val="auto"/>
                      <w:szCs w:val="21"/>
                    </w:rPr>
                    <w:t>3300</w:t>
                  </w:r>
                </w:p>
              </w:tc>
              <w:tc>
                <w:tcPr>
                  <w:tcW w:w="1157" w:type="pct"/>
                  <w:vAlign w:val="center"/>
                </w:tcPr>
                <w:p w14:paraId="062CA926">
                  <w:pPr>
                    <w:pStyle w:val="53"/>
                    <w:spacing w:beforeLines="0" w:afterLines="0" w:line="240" w:lineRule="auto"/>
                    <w:ind w:firstLine="0" w:firstLineChars="0"/>
                    <w:rPr>
                      <w:rFonts w:ascii="Times New Roman"/>
                      <w:color w:val="auto"/>
                      <w:szCs w:val="21"/>
                    </w:rPr>
                  </w:pPr>
                  <w:r>
                    <w:rPr>
                      <w:rFonts w:hint="eastAsia" w:ascii="Times New Roman"/>
                      <w:color w:val="auto"/>
                      <w:szCs w:val="21"/>
                    </w:rPr>
                    <w:t>+</w:t>
                  </w:r>
                  <w:r>
                    <w:rPr>
                      <w:rFonts w:ascii="Times New Roman"/>
                      <w:color w:val="auto"/>
                      <w:szCs w:val="21"/>
                    </w:rPr>
                    <w:t>3300</w:t>
                  </w:r>
                </w:p>
              </w:tc>
            </w:tr>
            <w:tr w14:paraId="0072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Align w:val="center"/>
                </w:tcPr>
                <w:p w14:paraId="7A9D3C3F">
                  <w:pPr>
                    <w:pStyle w:val="53"/>
                    <w:spacing w:beforeLines="0" w:afterLines="0" w:line="240" w:lineRule="auto"/>
                    <w:ind w:firstLine="0" w:firstLineChars="0"/>
                    <w:rPr>
                      <w:rFonts w:ascii="Times New Roman"/>
                      <w:color w:val="auto"/>
                      <w:szCs w:val="21"/>
                    </w:rPr>
                  </w:pPr>
                  <w:r>
                    <w:rPr>
                      <w:rFonts w:ascii="Times New Roman"/>
                      <w:color w:val="auto"/>
                      <w:szCs w:val="21"/>
                    </w:rPr>
                    <w:t>矿粉</w:t>
                  </w:r>
                </w:p>
              </w:tc>
              <w:tc>
                <w:tcPr>
                  <w:tcW w:w="1001" w:type="pct"/>
                  <w:vAlign w:val="center"/>
                </w:tcPr>
                <w:p w14:paraId="36821292">
                  <w:pPr>
                    <w:pStyle w:val="53"/>
                    <w:spacing w:beforeLines="0" w:afterLines="0" w:line="240" w:lineRule="auto"/>
                    <w:ind w:firstLine="0" w:firstLineChars="0"/>
                    <w:rPr>
                      <w:rFonts w:ascii="Times New Roman"/>
                      <w:color w:val="auto"/>
                      <w:szCs w:val="21"/>
                    </w:rPr>
                  </w:pPr>
                  <w:r>
                    <w:rPr>
                      <w:rFonts w:ascii="Times New Roman"/>
                      <w:color w:val="auto"/>
                      <w:szCs w:val="21"/>
                    </w:rPr>
                    <w:t>2750</w:t>
                  </w:r>
                </w:p>
              </w:tc>
              <w:tc>
                <w:tcPr>
                  <w:tcW w:w="904" w:type="pct"/>
                  <w:vAlign w:val="center"/>
                </w:tcPr>
                <w:p w14:paraId="73CD608E">
                  <w:pPr>
                    <w:pStyle w:val="53"/>
                    <w:spacing w:beforeLines="0" w:afterLines="0" w:line="240" w:lineRule="auto"/>
                    <w:ind w:firstLine="0" w:firstLineChars="0"/>
                    <w:rPr>
                      <w:rFonts w:ascii="Times New Roman"/>
                      <w:color w:val="auto"/>
                      <w:szCs w:val="21"/>
                    </w:rPr>
                  </w:pPr>
                  <w:r>
                    <w:rPr>
                      <w:rFonts w:ascii="Times New Roman"/>
                      <w:color w:val="auto"/>
                      <w:szCs w:val="21"/>
                    </w:rPr>
                    <w:t>矿粉</w:t>
                  </w:r>
                </w:p>
              </w:tc>
              <w:tc>
                <w:tcPr>
                  <w:tcW w:w="1145" w:type="pct"/>
                  <w:vAlign w:val="center"/>
                </w:tcPr>
                <w:p w14:paraId="746D2915">
                  <w:pPr>
                    <w:pStyle w:val="53"/>
                    <w:spacing w:beforeLines="0" w:afterLines="0" w:line="240" w:lineRule="auto"/>
                    <w:ind w:firstLine="0" w:firstLineChars="0"/>
                    <w:rPr>
                      <w:rFonts w:ascii="Times New Roman"/>
                      <w:color w:val="auto"/>
                      <w:szCs w:val="21"/>
                    </w:rPr>
                  </w:pPr>
                  <w:r>
                    <w:rPr>
                      <w:rFonts w:ascii="Times New Roman"/>
                      <w:color w:val="auto"/>
                      <w:szCs w:val="21"/>
                    </w:rPr>
                    <w:t>1100</w:t>
                  </w:r>
                </w:p>
              </w:tc>
              <w:tc>
                <w:tcPr>
                  <w:tcW w:w="1157" w:type="pct"/>
                  <w:vAlign w:val="center"/>
                </w:tcPr>
                <w:p w14:paraId="3927C3F9">
                  <w:pPr>
                    <w:pStyle w:val="53"/>
                    <w:spacing w:beforeLines="0" w:afterLines="0" w:line="240" w:lineRule="auto"/>
                    <w:ind w:firstLine="0" w:firstLineChars="0"/>
                    <w:rPr>
                      <w:rFonts w:ascii="Times New Roman"/>
                      <w:color w:val="auto"/>
                      <w:szCs w:val="21"/>
                    </w:rPr>
                  </w:pPr>
                  <w:r>
                    <w:rPr>
                      <w:rFonts w:hint="eastAsia" w:ascii="Times New Roman"/>
                      <w:color w:val="auto"/>
                      <w:szCs w:val="21"/>
                    </w:rPr>
                    <w:t>+</w:t>
                  </w:r>
                  <w:r>
                    <w:rPr>
                      <w:rFonts w:ascii="Times New Roman"/>
                      <w:color w:val="auto"/>
                      <w:szCs w:val="21"/>
                    </w:rPr>
                    <w:t>1100</w:t>
                  </w:r>
                </w:p>
              </w:tc>
            </w:tr>
            <w:tr w14:paraId="2877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pct"/>
                  <w:vAlign w:val="center"/>
                </w:tcPr>
                <w:p w14:paraId="171A9F01">
                  <w:pPr>
                    <w:pStyle w:val="53"/>
                    <w:spacing w:beforeLines="0" w:afterLines="0" w:line="240" w:lineRule="auto"/>
                    <w:ind w:firstLine="0" w:firstLineChars="0"/>
                    <w:rPr>
                      <w:rFonts w:ascii="Times New Roman"/>
                      <w:color w:val="auto"/>
                      <w:szCs w:val="21"/>
                    </w:rPr>
                  </w:pPr>
                  <w:r>
                    <w:rPr>
                      <w:rFonts w:hint="eastAsia" w:ascii="Times New Roman"/>
                      <w:color w:val="auto"/>
                      <w:szCs w:val="21"/>
                    </w:rPr>
                    <w:t>外加剂</w:t>
                  </w:r>
                </w:p>
              </w:tc>
              <w:tc>
                <w:tcPr>
                  <w:tcW w:w="1001" w:type="pct"/>
                  <w:vAlign w:val="center"/>
                </w:tcPr>
                <w:p w14:paraId="7583589D">
                  <w:pPr>
                    <w:pStyle w:val="53"/>
                    <w:spacing w:beforeLines="0" w:afterLines="0" w:line="240" w:lineRule="auto"/>
                    <w:ind w:firstLine="0" w:firstLineChars="0"/>
                    <w:rPr>
                      <w:rFonts w:ascii="Times New Roman"/>
                      <w:color w:val="auto"/>
                      <w:szCs w:val="21"/>
                    </w:rPr>
                  </w:pPr>
                  <w:r>
                    <w:rPr>
                      <w:rFonts w:hint="eastAsia" w:ascii="Times New Roman"/>
                      <w:color w:val="auto"/>
                      <w:szCs w:val="21"/>
                    </w:rPr>
                    <w:t>35</w:t>
                  </w:r>
                </w:p>
              </w:tc>
              <w:tc>
                <w:tcPr>
                  <w:tcW w:w="904" w:type="pct"/>
                  <w:vAlign w:val="center"/>
                </w:tcPr>
                <w:p w14:paraId="7C029A4D">
                  <w:pPr>
                    <w:pStyle w:val="53"/>
                    <w:spacing w:beforeLines="0" w:afterLines="0" w:line="240" w:lineRule="auto"/>
                    <w:ind w:firstLine="0" w:firstLineChars="0"/>
                    <w:rPr>
                      <w:rFonts w:ascii="Times New Roman"/>
                      <w:color w:val="auto"/>
                      <w:szCs w:val="21"/>
                    </w:rPr>
                  </w:pPr>
                  <w:r>
                    <w:rPr>
                      <w:rFonts w:hint="eastAsia" w:ascii="Times New Roman"/>
                      <w:color w:val="auto"/>
                      <w:szCs w:val="21"/>
                    </w:rPr>
                    <w:t>外加剂</w:t>
                  </w:r>
                </w:p>
              </w:tc>
              <w:tc>
                <w:tcPr>
                  <w:tcW w:w="1145" w:type="pct"/>
                  <w:vAlign w:val="center"/>
                </w:tcPr>
                <w:p w14:paraId="71EF46A1">
                  <w:pPr>
                    <w:pStyle w:val="53"/>
                    <w:spacing w:beforeLines="0" w:afterLines="0" w:line="240" w:lineRule="auto"/>
                    <w:ind w:firstLine="0" w:firstLineChars="0"/>
                    <w:rPr>
                      <w:rFonts w:ascii="Times New Roman"/>
                      <w:color w:val="auto"/>
                      <w:szCs w:val="21"/>
                    </w:rPr>
                  </w:pPr>
                  <w:r>
                    <w:rPr>
                      <w:rFonts w:hint="eastAsia" w:ascii="Times New Roman"/>
                      <w:color w:val="auto"/>
                      <w:szCs w:val="21"/>
                    </w:rPr>
                    <w:t>15</w:t>
                  </w:r>
                </w:p>
              </w:tc>
              <w:tc>
                <w:tcPr>
                  <w:tcW w:w="1157" w:type="pct"/>
                  <w:vAlign w:val="center"/>
                </w:tcPr>
                <w:p w14:paraId="7AF2CFB9">
                  <w:pPr>
                    <w:pStyle w:val="53"/>
                    <w:spacing w:beforeLines="0" w:afterLines="0" w:line="240" w:lineRule="auto"/>
                    <w:ind w:firstLine="0" w:firstLineChars="0"/>
                    <w:rPr>
                      <w:rFonts w:ascii="Times New Roman"/>
                      <w:color w:val="auto"/>
                      <w:szCs w:val="21"/>
                    </w:rPr>
                  </w:pPr>
                  <w:r>
                    <w:rPr>
                      <w:rFonts w:hint="eastAsia" w:ascii="Times New Roman"/>
                      <w:color w:val="auto"/>
                      <w:szCs w:val="21"/>
                    </w:rPr>
                    <w:t>+15</w:t>
                  </w:r>
                </w:p>
              </w:tc>
            </w:tr>
          </w:tbl>
          <w:p w14:paraId="5870395F">
            <w:pPr>
              <w:pStyle w:val="89"/>
              <w:spacing w:line="360" w:lineRule="auto"/>
              <w:ind w:firstLine="482"/>
              <w:rPr>
                <w:b/>
                <w:color w:val="auto"/>
              </w:rPr>
            </w:pPr>
            <w:r>
              <w:rPr>
                <w:b/>
                <w:color w:val="auto"/>
              </w:rPr>
              <w:t>（2）原辅料理化性质</w:t>
            </w:r>
          </w:p>
          <w:p w14:paraId="4E7CDF9C">
            <w:pPr>
              <w:adjustRightInd w:val="0"/>
              <w:snapToGrid w:val="0"/>
              <w:spacing w:line="360" w:lineRule="auto"/>
              <w:ind w:firstLine="480"/>
              <w:rPr>
                <w:color w:val="auto"/>
                <w:sz w:val="24"/>
              </w:rPr>
            </w:pPr>
            <w:r>
              <w:rPr>
                <w:color w:val="auto"/>
                <w:sz w:val="24"/>
              </w:rPr>
              <w:t>本次扩建项目主要原辅</w:t>
            </w:r>
            <w:r>
              <w:rPr>
                <w:rFonts w:hint="eastAsia"/>
                <w:color w:val="auto"/>
                <w:sz w:val="24"/>
              </w:rPr>
              <w:t xml:space="preserve"> </w:t>
            </w:r>
            <w:r>
              <w:rPr>
                <w:color w:val="auto"/>
                <w:sz w:val="24"/>
              </w:rPr>
              <w:t>料理化性质见表2-</w:t>
            </w:r>
            <w:r>
              <w:rPr>
                <w:rFonts w:hint="eastAsia"/>
                <w:color w:val="auto"/>
                <w:sz w:val="24"/>
              </w:rPr>
              <w:t>5</w:t>
            </w:r>
            <w:r>
              <w:rPr>
                <w:color w:val="auto"/>
                <w:sz w:val="24"/>
              </w:rPr>
              <w:t>。</w:t>
            </w:r>
          </w:p>
          <w:p w14:paraId="68D9AF5F">
            <w:pPr>
              <w:ind w:firstLine="422"/>
              <w:jc w:val="center"/>
              <w:rPr>
                <w:b/>
                <w:bCs/>
                <w:color w:val="auto"/>
                <w:szCs w:val="21"/>
              </w:rPr>
            </w:pPr>
            <w:r>
              <w:rPr>
                <w:b/>
                <w:bCs/>
                <w:color w:val="auto"/>
                <w:szCs w:val="21"/>
              </w:rPr>
              <w:t>表2-</w:t>
            </w:r>
            <w:r>
              <w:rPr>
                <w:rFonts w:hint="eastAsia"/>
                <w:b/>
                <w:bCs/>
                <w:color w:val="auto"/>
                <w:szCs w:val="21"/>
              </w:rPr>
              <w:t>5</w:t>
            </w:r>
            <w:r>
              <w:rPr>
                <w:b/>
                <w:bCs/>
                <w:color w:val="auto"/>
                <w:szCs w:val="21"/>
              </w:rPr>
              <w:t xml:space="preserve">   本次扩建项目主要原辅材料理化性质一览表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54"/>
              <w:gridCol w:w="6802"/>
            </w:tblGrid>
            <w:tr w14:paraId="270F7C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5" w:type="pct"/>
                  <w:tcBorders>
                    <w:tl2br w:val="nil"/>
                    <w:tr2bl w:val="nil"/>
                  </w:tcBorders>
                  <w:vAlign w:val="center"/>
                </w:tcPr>
                <w:p w14:paraId="0357B3DB">
                  <w:pPr>
                    <w:tabs>
                      <w:tab w:val="left" w:pos="540"/>
                    </w:tabs>
                    <w:adjustRightInd w:val="0"/>
                    <w:snapToGrid w:val="0"/>
                    <w:ind w:firstLine="0" w:firstLineChars="0"/>
                    <w:jc w:val="center"/>
                    <w:rPr>
                      <w:b/>
                      <w:color w:val="auto"/>
                      <w:szCs w:val="21"/>
                    </w:rPr>
                  </w:pPr>
                  <w:r>
                    <w:rPr>
                      <w:b/>
                      <w:color w:val="auto"/>
                      <w:szCs w:val="21"/>
                    </w:rPr>
                    <w:t>物料名称</w:t>
                  </w:r>
                </w:p>
              </w:tc>
              <w:tc>
                <w:tcPr>
                  <w:tcW w:w="4274" w:type="pct"/>
                  <w:tcBorders>
                    <w:tl2br w:val="nil"/>
                    <w:tr2bl w:val="nil"/>
                  </w:tcBorders>
                  <w:vAlign w:val="center"/>
                </w:tcPr>
                <w:p w14:paraId="0A16DA71">
                  <w:pPr>
                    <w:tabs>
                      <w:tab w:val="left" w:pos="540"/>
                    </w:tabs>
                    <w:adjustRightInd w:val="0"/>
                    <w:snapToGrid w:val="0"/>
                    <w:ind w:firstLine="0" w:firstLineChars="0"/>
                    <w:jc w:val="center"/>
                    <w:rPr>
                      <w:b/>
                      <w:color w:val="auto"/>
                      <w:szCs w:val="21"/>
                    </w:rPr>
                  </w:pPr>
                  <w:r>
                    <w:rPr>
                      <w:b/>
                      <w:color w:val="auto"/>
                      <w:szCs w:val="21"/>
                    </w:rPr>
                    <w:t>理化性质</w:t>
                  </w:r>
                </w:p>
              </w:tc>
            </w:tr>
            <w:tr w14:paraId="7B71FC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267" w:type="dxa"/>
                  <w:tcBorders>
                    <w:tl2br w:val="nil"/>
                    <w:tr2bl w:val="nil"/>
                  </w:tcBorders>
                  <w:vAlign w:val="center"/>
                </w:tcPr>
                <w:p w14:paraId="063461B2">
                  <w:pPr>
                    <w:pStyle w:val="53"/>
                    <w:spacing w:beforeLines="0" w:afterLines="0" w:line="240" w:lineRule="auto"/>
                    <w:ind w:firstLine="0" w:firstLineChars="0"/>
                    <w:rPr>
                      <w:rFonts w:ascii="Times New Roman"/>
                      <w:color w:val="auto"/>
                      <w:szCs w:val="21"/>
                    </w:rPr>
                  </w:pPr>
                  <w:r>
                    <w:rPr>
                      <w:rFonts w:ascii="Times New Roman"/>
                      <w:color w:val="auto"/>
                      <w:szCs w:val="21"/>
                    </w:rPr>
                    <w:t>碎石</w:t>
                  </w:r>
                </w:p>
              </w:tc>
              <w:tc>
                <w:tcPr>
                  <w:tcW w:w="4274" w:type="pct"/>
                  <w:tcBorders>
                    <w:tl2br w:val="nil"/>
                    <w:tr2bl w:val="nil"/>
                  </w:tcBorders>
                  <w:vAlign w:val="center"/>
                </w:tcPr>
                <w:p w14:paraId="081418EF">
                  <w:pPr>
                    <w:adjustRightInd w:val="0"/>
                    <w:snapToGrid w:val="0"/>
                    <w:ind w:firstLine="420"/>
                    <w:rPr>
                      <w:color w:val="auto"/>
                      <w:szCs w:val="21"/>
                      <w:lang w:bidi="ar"/>
                    </w:rPr>
                  </w:pPr>
                  <w:r>
                    <w:rPr>
                      <w:color w:val="auto"/>
                      <w:szCs w:val="21"/>
                      <w:lang w:bidi="ar"/>
                    </w:rPr>
                    <w:t>破碎的小块岩石，它的大小、形状、及纹理都呈现不规则状态。</w:t>
                  </w:r>
                </w:p>
              </w:tc>
            </w:tr>
            <w:tr w14:paraId="081822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267" w:type="dxa"/>
                  <w:tcBorders>
                    <w:tl2br w:val="nil"/>
                    <w:tr2bl w:val="nil"/>
                  </w:tcBorders>
                  <w:vAlign w:val="center"/>
                </w:tcPr>
                <w:p w14:paraId="03E6FF37">
                  <w:pPr>
                    <w:pStyle w:val="53"/>
                    <w:spacing w:beforeLines="0" w:afterLines="0" w:line="240" w:lineRule="auto"/>
                    <w:ind w:firstLine="0" w:firstLineChars="0"/>
                    <w:rPr>
                      <w:rFonts w:ascii="Times New Roman"/>
                      <w:color w:val="auto"/>
                      <w:szCs w:val="21"/>
                      <w:shd w:val="clear" w:color="auto" w:fill="FFFFFF"/>
                    </w:rPr>
                  </w:pPr>
                  <w:r>
                    <w:rPr>
                      <w:rFonts w:ascii="Times New Roman"/>
                      <w:color w:val="auto"/>
                      <w:szCs w:val="21"/>
                    </w:rPr>
                    <w:t>机制砂</w:t>
                  </w:r>
                </w:p>
              </w:tc>
              <w:tc>
                <w:tcPr>
                  <w:tcW w:w="4274" w:type="pct"/>
                  <w:tcBorders>
                    <w:tl2br w:val="nil"/>
                    <w:tr2bl w:val="nil"/>
                  </w:tcBorders>
                  <w:vAlign w:val="center"/>
                </w:tcPr>
                <w:p w14:paraId="79F4F5B8">
                  <w:pPr>
                    <w:adjustRightInd w:val="0"/>
                    <w:snapToGrid w:val="0"/>
                    <w:ind w:firstLine="420"/>
                    <w:rPr>
                      <w:color w:val="auto"/>
                      <w:szCs w:val="21"/>
                      <w:shd w:val="clear" w:color="auto" w:fill="FFFFFF"/>
                    </w:rPr>
                  </w:pPr>
                  <w:r>
                    <w:rPr>
                      <w:color w:val="auto"/>
                      <w:szCs w:val="21"/>
                      <w:shd w:val="clear" w:color="auto" w:fill="FFFFFF"/>
                    </w:rPr>
                    <w:t>是指通过制砂机和其它附属设备加工而成的砂子。</w:t>
                  </w:r>
                </w:p>
              </w:tc>
            </w:tr>
            <w:tr w14:paraId="70693D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267" w:type="dxa"/>
                  <w:tcBorders>
                    <w:tl2br w:val="nil"/>
                    <w:tr2bl w:val="nil"/>
                  </w:tcBorders>
                  <w:vAlign w:val="center"/>
                </w:tcPr>
                <w:p w14:paraId="38350E45">
                  <w:pPr>
                    <w:pStyle w:val="53"/>
                    <w:spacing w:beforeLines="0" w:afterLines="0" w:line="240" w:lineRule="auto"/>
                    <w:ind w:firstLine="0" w:firstLineChars="0"/>
                    <w:rPr>
                      <w:rFonts w:ascii="Times New Roman"/>
                      <w:color w:val="auto"/>
                    </w:rPr>
                  </w:pPr>
                  <w:r>
                    <w:rPr>
                      <w:rFonts w:ascii="Times New Roman"/>
                      <w:color w:val="auto"/>
                      <w:szCs w:val="21"/>
                    </w:rPr>
                    <w:t>水泥</w:t>
                  </w:r>
                </w:p>
              </w:tc>
              <w:tc>
                <w:tcPr>
                  <w:tcW w:w="4274" w:type="pct"/>
                  <w:tcBorders>
                    <w:tl2br w:val="nil"/>
                    <w:tr2bl w:val="nil"/>
                  </w:tcBorders>
                  <w:vAlign w:val="center"/>
                </w:tcPr>
                <w:p w14:paraId="049C1769">
                  <w:pPr>
                    <w:adjustRightInd w:val="0"/>
                    <w:snapToGrid w:val="0"/>
                    <w:ind w:firstLine="420"/>
                    <w:rPr>
                      <w:color w:val="auto"/>
                      <w:szCs w:val="21"/>
                      <w:shd w:val="clear" w:color="auto" w:fill="FFFFFF"/>
                    </w:rPr>
                  </w:pPr>
                  <w:r>
                    <w:rPr>
                      <w:color w:val="auto"/>
                      <w:szCs w:val="21"/>
                      <w:shd w:val="clear" w:color="auto" w:fill="FFFFFF"/>
                    </w:rPr>
                    <w:t>硅酸盐水泥的主要化学成分为氧化钙CaO，二氧化硅SiO</w:t>
                  </w:r>
                  <w:r>
                    <w:rPr>
                      <w:color w:val="auto"/>
                      <w:szCs w:val="21"/>
                      <w:shd w:val="clear" w:color="auto" w:fill="FFFFFF"/>
                      <w:vertAlign w:val="subscript"/>
                    </w:rPr>
                    <w:t>2</w:t>
                  </w:r>
                  <w:r>
                    <w:rPr>
                      <w:color w:val="auto"/>
                      <w:szCs w:val="21"/>
                      <w:shd w:val="clear" w:color="auto" w:fill="FFFFFF"/>
                    </w:rPr>
                    <w:t>，三氧化二铁Fe</w:t>
                  </w:r>
                  <w:r>
                    <w:rPr>
                      <w:color w:val="auto"/>
                      <w:szCs w:val="21"/>
                      <w:shd w:val="clear" w:color="auto" w:fill="FFFFFF"/>
                      <w:vertAlign w:val="subscript"/>
                    </w:rPr>
                    <w:t>2</w:t>
                  </w:r>
                  <w:r>
                    <w:rPr>
                      <w:color w:val="auto"/>
                      <w:szCs w:val="21"/>
                      <w:shd w:val="clear" w:color="auto" w:fill="FFFFFF"/>
                    </w:rPr>
                    <w:t>O</w:t>
                  </w:r>
                  <w:r>
                    <w:rPr>
                      <w:color w:val="auto"/>
                      <w:szCs w:val="21"/>
                      <w:shd w:val="clear" w:color="auto" w:fill="FFFFFF"/>
                      <w:vertAlign w:val="subscript"/>
                    </w:rPr>
                    <w:t>3</w:t>
                  </w:r>
                  <w:r>
                    <w:rPr>
                      <w:color w:val="auto"/>
                      <w:szCs w:val="21"/>
                      <w:shd w:val="clear" w:color="auto" w:fill="FFFFFF"/>
                    </w:rPr>
                    <w:t>，三氧化二铝Al</w:t>
                  </w:r>
                  <w:r>
                    <w:rPr>
                      <w:color w:val="auto"/>
                      <w:szCs w:val="21"/>
                      <w:shd w:val="clear" w:color="auto" w:fill="FFFFFF"/>
                      <w:vertAlign w:val="subscript"/>
                    </w:rPr>
                    <w:t>2</w:t>
                  </w:r>
                  <w:r>
                    <w:rPr>
                      <w:color w:val="auto"/>
                      <w:szCs w:val="21"/>
                      <w:shd w:val="clear" w:color="auto" w:fill="FFFFFF"/>
                    </w:rPr>
                    <w:t>O</w:t>
                  </w:r>
                  <w:r>
                    <w:rPr>
                      <w:color w:val="auto"/>
                      <w:szCs w:val="21"/>
                      <w:shd w:val="clear" w:color="auto" w:fill="FFFFFF"/>
                      <w:vertAlign w:val="subscript"/>
                    </w:rPr>
                    <w:t>3</w:t>
                  </w:r>
                  <w:r>
                    <w:rPr>
                      <w:color w:val="auto"/>
                      <w:szCs w:val="21"/>
                      <w:shd w:val="clear" w:color="auto" w:fill="FFFFFF"/>
                    </w:rPr>
                    <w:t>。</w:t>
                  </w:r>
                </w:p>
              </w:tc>
            </w:tr>
            <w:tr w14:paraId="4D91F7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267" w:type="dxa"/>
                  <w:tcBorders>
                    <w:tl2br w:val="nil"/>
                    <w:tr2bl w:val="nil"/>
                  </w:tcBorders>
                  <w:vAlign w:val="center"/>
                </w:tcPr>
                <w:p w14:paraId="78EED057">
                  <w:pPr>
                    <w:pStyle w:val="53"/>
                    <w:spacing w:beforeLines="0" w:afterLines="0" w:line="240" w:lineRule="auto"/>
                    <w:ind w:firstLine="0" w:firstLineChars="0"/>
                    <w:rPr>
                      <w:rFonts w:ascii="Times New Roman"/>
                      <w:color w:val="auto"/>
                      <w:szCs w:val="21"/>
                    </w:rPr>
                  </w:pPr>
                  <w:r>
                    <w:rPr>
                      <w:rFonts w:ascii="Times New Roman"/>
                      <w:color w:val="auto"/>
                      <w:szCs w:val="21"/>
                    </w:rPr>
                    <w:t>粉煤灰</w:t>
                  </w:r>
                </w:p>
              </w:tc>
              <w:tc>
                <w:tcPr>
                  <w:tcW w:w="4274" w:type="pct"/>
                  <w:tcBorders>
                    <w:tl2br w:val="nil"/>
                    <w:tr2bl w:val="nil"/>
                  </w:tcBorders>
                  <w:vAlign w:val="center"/>
                </w:tcPr>
                <w:p w14:paraId="31F5F3D3">
                  <w:pPr>
                    <w:ind w:firstLine="420"/>
                    <w:rPr>
                      <w:color w:val="auto"/>
                      <w:szCs w:val="21"/>
                      <w:shd w:val="clear" w:color="auto" w:fill="FFFFFF"/>
                    </w:rPr>
                  </w:pPr>
                  <w:r>
                    <w:rPr>
                      <w:color w:val="auto"/>
                      <w:szCs w:val="21"/>
                      <w:shd w:val="clear" w:color="auto" w:fill="FFFFFF"/>
                    </w:rPr>
                    <w:t>又称飞灰，是由燃烧煤粉的锅炉烟气中收集到的细粉末，一般含有70%的球形玻璃体颗粒，表面光滑，其平均粒径分布约为8～20μm，比表面积为300～600</w:t>
                  </w:r>
                  <w:r>
                    <w:rPr>
                      <w:rFonts w:eastAsia="Times New Roman"/>
                      <w:color w:val="auto"/>
                      <w:szCs w:val="21"/>
                    </w:rPr>
                    <w:t>m</w:t>
                  </w:r>
                  <w:r>
                    <w:rPr>
                      <w:rFonts w:eastAsia="Times New Roman"/>
                      <w:color w:val="auto"/>
                      <w:szCs w:val="21"/>
                      <w:vertAlign w:val="superscript"/>
                    </w:rPr>
                    <w:t>2</w:t>
                  </w:r>
                  <w:r>
                    <w:rPr>
                      <w:color w:val="auto"/>
                      <w:szCs w:val="21"/>
                      <w:shd w:val="clear" w:color="auto" w:fill="FFFFFF"/>
                    </w:rPr>
                    <w:t>/kg，主要成分为SiO</w:t>
                  </w:r>
                  <w:r>
                    <w:rPr>
                      <w:color w:val="auto"/>
                      <w:szCs w:val="21"/>
                      <w:shd w:val="clear" w:color="auto" w:fill="FFFFFF"/>
                      <w:vertAlign w:val="subscript"/>
                    </w:rPr>
                    <w:t>2</w:t>
                  </w:r>
                  <w:r>
                    <w:rPr>
                      <w:color w:val="auto"/>
                      <w:szCs w:val="21"/>
                      <w:shd w:val="clear" w:color="auto" w:fill="FFFFFF"/>
                    </w:rPr>
                    <w:t>与Al</w:t>
                  </w:r>
                  <w:r>
                    <w:rPr>
                      <w:color w:val="auto"/>
                      <w:szCs w:val="21"/>
                      <w:shd w:val="clear" w:color="auto" w:fill="FFFFFF"/>
                      <w:vertAlign w:val="subscript"/>
                    </w:rPr>
                    <w:t>2</w:t>
                  </w:r>
                  <w:r>
                    <w:rPr>
                      <w:color w:val="auto"/>
                      <w:szCs w:val="21"/>
                      <w:shd w:val="clear" w:color="auto" w:fill="FFFFFF"/>
                    </w:rPr>
                    <w:t>O</w:t>
                  </w:r>
                  <w:r>
                    <w:rPr>
                      <w:color w:val="auto"/>
                      <w:szCs w:val="21"/>
                      <w:shd w:val="clear" w:color="auto" w:fill="FFFFFF"/>
                      <w:vertAlign w:val="subscript"/>
                    </w:rPr>
                    <w:t>3</w:t>
                  </w:r>
                  <w:r>
                    <w:rPr>
                      <w:color w:val="auto"/>
                      <w:szCs w:val="21"/>
                      <w:shd w:val="clear" w:color="auto" w:fill="FFFFFF"/>
                    </w:rPr>
                    <w:t>。粉煤灰具有一定含量的玻璃微珠颗粒，这些玻璃微珠颗粒均匀分散在混凝土浆体中，起“润滑”作用，降低颗粒之间的摩擦力，改善混凝土拌合物工作性。</w:t>
                  </w:r>
                </w:p>
              </w:tc>
            </w:tr>
            <w:tr w14:paraId="4574D9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267" w:type="dxa"/>
                  <w:tcBorders>
                    <w:tl2br w:val="nil"/>
                    <w:tr2bl w:val="nil"/>
                  </w:tcBorders>
                  <w:vAlign w:val="center"/>
                </w:tcPr>
                <w:p w14:paraId="6B94ED41">
                  <w:pPr>
                    <w:pStyle w:val="53"/>
                    <w:spacing w:beforeLines="0" w:afterLines="0" w:line="240" w:lineRule="auto"/>
                    <w:ind w:firstLine="0" w:firstLineChars="0"/>
                    <w:rPr>
                      <w:rFonts w:ascii="Times New Roman"/>
                      <w:color w:val="auto"/>
                      <w:szCs w:val="21"/>
                    </w:rPr>
                  </w:pPr>
                  <w:r>
                    <w:rPr>
                      <w:rFonts w:ascii="Times New Roman"/>
                      <w:color w:val="auto"/>
                      <w:szCs w:val="21"/>
                    </w:rPr>
                    <w:t>矿粉</w:t>
                  </w:r>
                </w:p>
              </w:tc>
              <w:tc>
                <w:tcPr>
                  <w:tcW w:w="4274" w:type="pct"/>
                  <w:tcBorders>
                    <w:tl2br w:val="nil"/>
                    <w:tr2bl w:val="nil"/>
                  </w:tcBorders>
                  <w:vAlign w:val="center"/>
                </w:tcPr>
                <w:p w14:paraId="113E0A9B">
                  <w:pPr>
                    <w:ind w:firstLine="420"/>
                    <w:rPr>
                      <w:color w:val="auto"/>
                      <w:szCs w:val="21"/>
                    </w:rPr>
                  </w:pPr>
                  <w:r>
                    <w:rPr>
                      <w:color w:val="auto"/>
                      <w:szCs w:val="21"/>
                    </w:rPr>
                    <w:t>矿粉一般是指将开采出来的矿石进行粉碎加工后所得到的料粉，如铁矿粉，是指将不同类型含铁矿如褐铁矿，磁铁矿等粉碎球磨磁选后，所得的不同含铁量的矿粉，普矿粉含铁为60-68%，超精矿粉为70-72%。</w:t>
                  </w:r>
                </w:p>
              </w:tc>
            </w:tr>
            <w:tr w14:paraId="3525DC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267" w:type="dxa"/>
                  <w:tcBorders>
                    <w:tl2br w:val="nil"/>
                    <w:tr2bl w:val="nil"/>
                  </w:tcBorders>
                  <w:vAlign w:val="center"/>
                </w:tcPr>
                <w:p w14:paraId="4733098E">
                  <w:pPr>
                    <w:pStyle w:val="53"/>
                    <w:spacing w:beforeLines="0" w:afterLines="0" w:line="240" w:lineRule="auto"/>
                    <w:ind w:firstLine="0" w:firstLineChars="0"/>
                    <w:rPr>
                      <w:rFonts w:ascii="Times New Roman"/>
                      <w:color w:val="auto"/>
                      <w:szCs w:val="21"/>
                    </w:rPr>
                  </w:pPr>
                  <w:r>
                    <w:rPr>
                      <w:rFonts w:hint="eastAsia" w:ascii="Times New Roman"/>
                      <w:color w:val="auto"/>
                      <w:szCs w:val="21"/>
                    </w:rPr>
                    <w:t>外加剂</w:t>
                  </w:r>
                </w:p>
              </w:tc>
              <w:tc>
                <w:tcPr>
                  <w:tcW w:w="4274" w:type="pct"/>
                  <w:tcBorders>
                    <w:tl2br w:val="nil"/>
                    <w:tr2bl w:val="nil"/>
                  </w:tcBorders>
                  <w:vAlign w:val="center"/>
                </w:tcPr>
                <w:p w14:paraId="4965903A">
                  <w:pPr>
                    <w:ind w:firstLine="420"/>
                    <w:rPr>
                      <w:color w:val="auto"/>
                      <w:szCs w:val="21"/>
                    </w:rPr>
                  </w:pPr>
                  <w:r>
                    <w:rPr>
                      <w:rFonts w:hint="default" w:ascii="Times New Roman" w:hAnsi="Times New Roman" w:cs="Times New Roman"/>
                      <w:color w:val="auto"/>
                      <w:szCs w:val="21"/>
                    </w:rPr>
                    <w:t>外加剂（减水剂）：是指在混凝土和易性及水泥用量不变条件下，能减少拌和用水量、提高混凝土流动性；或在和易性及强度不变条件下，节约水泥用量的外加剂。本项目采用的是液体聚羧酸系高性能减水剂，外观为浅棕至深棕色微黏液体，减水率≥25%，密度1.05±0.05g/c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，固含量13.0±1.5%，水泥净浆流动度≥200mm，pH6.5±1.5，氯离子含量≤0.2%，总碱量≤2.0%。</w:t>
                  </w:r>
                </w:p>
              </w:tc>
            </w:tr>
            <w:tr w14:paraId="42B31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2"/>
                  <w:tcBorders>
                    <w:tl2br w:val="nil"/>
                    <w:tr2bl w:val="nil"/>
                  </w:tcBorders>
                </w:tcPr>
                <w:p w14:paraId="690EFA77">
                  <w:pPr>
                    <w:adjustRightInd w:val="0"/>
                    <w:snapToGrid w:val="0"/>
                    <w:ind w:firstLine="0" w:firstLineChars="0"/>
                    <w:rPr>
                      <w:rFonts w:hint="default" w:eastAsia="宋体"/>
                      <w:color w:val="auto"/>
                      <w:szCs w:val="21"/>
                      <w:lang w:val="en-US" w:eastAsia="zh-CN"/>
                    </w:rPr>
                  </w:pPr>
                  <w:r>
                    <w:rPr>
                      <w:color w:val="auto"/>
                      <w:szCs w:val="21"/>
                    </w:rPr>
                    <w:t>备注：</w:t>
                  </w:r>
                  <w:r>
                    <w:rPr>
                      <w:color w:val="auto"/>
                    </w:rPr>
                    <w:t>本项目生产过程中外加剂等物料，其作用只是改变混凝土的物理性质，没有化学反应</w:t>
                  </w:r>
                  <w:r>
                    <w:rPr>
                      <w:rFonts w:hint="eastAsia"/>
                      <w:color w:val="auto"/>
                      <w:lang w:eastAsia="zh-CN"/>
                    </w:rPr>
                    <w:t>，</w:t>
                  </w:r>
                  <w:r>
                    <w:rPr>
                      <w:rFonts w:hint="eastAsia"/>
                      <w:color w:val="auto"/>
                      <w:lang w:val="en-US" w:eastAsia="zh-CN"/>
                    </w:rPr>
                    <w:t>对照</w:t>
                  </w:r>
                  <w:r>
                    <w:rPr>
                      <w:color w:val="auto"/>
                    </w:rPr>
                    <w:t>《国家危险废物名录》（202</w:t>
                  </w:r>
                  <w:r>
                    <w:rPr>
                      <w:rFonts w:hint="eastAsia"/>
                      <w:color w:val="auto"/>
                      <w:lang w:val="en-US" w:eastAsia="zh-CN"/>
                    </w:rPr>
                    <w:t>5</w:t>
                  </w:r>
                  <w:r>
                    <w:rPr>
                      <w:color w:val="auto"/>
                    </w:rPr>
                    <w:t>年版）</w:t>
                  </w:r>
                  <w:r>
                    <w:rPr>
                      <w:rFonts w:hint="eastAsia"/>
                      <w:color w:val="auto"/>
                      <w:lang w:val="en-US" w:eastAsia="zh-CN"/>
                    </w:rPr>
                    <w:t>不属于危险废物，储存于原料库，生产过程外加剂全部使用，仅产生包装固废；</w:t>
                  </w:r>
                </w:p>
              </w:tc>
            </w:tr>
          </w:tbl>
          <w:p w14:paraId="6E2A61E9">
            <w:pPr>
              <w:pStyle w:val="26"/>
              <w:adjustRightInd w:val="0"/>
              <w:snapToGrid w:val="0"/>
              <w:spacing w:line="360" w:lineRule="auto"/>
              <w:ind w:firstLine="482"/>
              <w:rPr>
                <w:rFonts w:ascii="Times New Roman" w:hAnsi="Times New Roman"/>
                <w:b/>
                <w:color w:val="auto"/>
                <w:sz w:val="24"/>
              </w:rPr>
            </w:pPr>
            <w:r>
              <w:rPr>
                <w:rFonts w:ascii="Times New Roman" w:hAnsi="Times New Roman"/>
                <w:b/>
                <w:color w:val="auto"/>
                <w:sz w:val="24"/>
              </w:rPr>
              <w:t>4、主要设备</w:t>
            </w:r>
            <w:bookmarkEnd w:id="14"/>
          </w:p>
          <w:p w14:paraId="264C7320">
            <w:pPr>
              <w:adjustRightInd w:val="0"/>
              <w:snapToGrid w:val="0"/>
              <w:spacing w:line="360" w:lineRule="auto"/>
              <w:ind w:firstLine="480"/>
              <w:rPr>
                <w:b/>
                <w:bCs/>
                <w:color w:val="auto"/>
                <w:szCs w:val="21"/>
              </w:rPr>
            </w:pPr>
            <w:bookmarkStart w:id="15" w:name="_Toc22683"/>
            <w:r>
              <w:rPr>
                <w:rFonts w:hint="eastAsia"/>
                <w:color w:val="auto"/>
                <w:sz w:val="24"/>
              </w:rPr>
              <w:t>扩建完成后项目</w:t>
            </w:r>
            <w:r>
              <w:rPr>
                <w:color w:val="auto"/>
                <w:sz w:val="24"/>
              </w:rPr>
              <w:t>主要设备详见表2-</w:t>
            </w:r>
            <w:r>
              <w:rPr>
                <w:rFonts w:hint="eastAsia"/>
                <w:color w:val="auto"/>
                <w:sz w:val="24"/>
              </w:rPr>
              <w:t>6</w:t>
            </w:r>
            <w:r>
              <w:rPr>
                <w:color w:val="auto"/>
                <w:sz w:val="24"/>
              </w:rPr>
              <w:t>。</w:t>
            </w:r>
            <w:bookmarkEnd w:id="15"/>
          </w:p>
          <w:p w14:paraId="224BAE11">
            <w:pPr>
              <w:ind w:firstLine="422"/>
              <w:jc w:val="center"/>
              <w:rPr>
                <w:b/>
                <w:color w:val="auto"/>
                <w:szCs w:val="21"/>
              </w:rPr>
            </w:pPr>
            <w:r>
              <w:rPr>
                <w:b/>
                <w:color w:val="auto"/>
                <w:szCs w:val="21"/>
              </w:rPr>
              <w:t>表2-</w:t>
            </w:r>
            <w:r>
              <w:rPr>
                <w:rFonts w:hint="eastAsia"/>
                <w:b/>
                <w:color w:val="auto"/>
                <w:szCs w:val="21"/>
              </w:rPr>
              <w:t>6</w:t>
            </w:r>
            <w:r>
              <w:rPr>
                <w:b/>
                <w:color w:val="auto"/>
                <w:szCs w:val="21"/>
              </w:rPr>
              <w:t xml:space="preserve">   项目主要设备一览表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1"/>
              <w:gridCol w:w="2654"/>
              <w:gridCol w:w="2654"/>
            </w:tblGrid>
            <w:tr w14:paraId="1AF2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61C22302">
                  <w:pPr>
                    <w:pStyle w:val="53"/>
                    <w:spacing w:beforeLines="0" w:afterLines="0" w:line="240" w:lineRule="auto"/>
                    <w:ind w:firstLine="0" w:firstLineChars="0"/>
                    <w:rPr>
                      <w:rFonts w:ascii="Times New Roman"/>
                      <w:b/>
                      <w:color w:val="auto"/>
                      <w:szCs w:val="21"/>
                    </w:rPr>
                  </w:pPr>
                  <w:r>
                    <w:rPr>
                      <w:rFonts w:ascii="Times New Roman"/>
                      <w:color w:val="auto"/>
                      <w:szCs w:val="21"/>
                    </w:rPr>
                    <w:t>设备</w:t>
                  </w:r>
                </w:p>
              </w:tc>
              <w:tc>
                <w:tcPr>
                  <w:tcW w:w="3279" w:type="dxa"/>
                  <w:vAlign w:val="center"/>
                </w:tcPr>
                <w:p w14:paraId="293A279C">
                  <w:pPr>
                    <w:pStyle w:val="53"/>
                    <w:spacing w:beforeLines="0" w:afterLines="0" w:line="240" w:lineRule="auto"/>
                    <w:ind w:firstLine="0" w:firstLineChars="0"/>
                    <w:rPr>
                      <w:rFonts w:ascii="Times New Roman"/>
                      <w:b/>
                      <w:color w:val="auto"/>
                      <w:szCs w:val="21"/>
                    </w:rPr>
                  </w:pPr>
                  <w:r>
                    <w:rPr>
                      <w:rFonts w:ascii="Times New Roman"/>
                      <w:color w:val="auto"/>
                      <w:szCs w:val="21"/>
                    </w:rPr>
                    <w:t>规格</w:t>
                  </w:r>
                </w:p>
              </w:tc>
              <w:tc>
                <w:tcPr>
                  <w:tcW w:w="3279" w:type="dxa"/>
                  <w:vAlign w:val="center"/>
                </w:tcPr>
                <w:p w14:paraId="74AC6533">
                  <w:pPr>
                    <w:pStyle w:val="53"/>
                    <w:spacing w:beforeLines="0" w:afterLines="0" w:line="240" w:lineRule="auto"/>
                    <w:ind w:firstLine="0" w:firstLineChars="0"/>
                    <w:rPr>
                      <w:rFonts w:ascii="Times New Roman"/>
                      <w:b/>
                      <w:color w:val="auto"/>
                      <w:szCs w:val="21"/>
                    </w:rPr>
                  </w:pPr>
                  <w:r>
                    <w:rPr>
                      <w:rFonts w:ascii="Times New Roman"/>
                      <w:color w:val="auto"/>
                      <w:szCs w:val="21"/>
                    </w:rPr>
                    <w:t>数量</w:t>
                  </w:r>
                </w:p>
              </w:tc>
            </w:tr>
            <w:tr w14:paraId="3AE1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35" w:type="dxa"/>
                  <w:gridSpan w:val="3"/>
                  <w:vAlign w:val="center"/>
                </w:tcPr>
                <w:p w14:paraId="751486D6">
                  <w:pPr>
                    <w:ind w:firstLine="422"/>
                    <w:jc w:val="center"/>
                    <w:rPr>
                      <w:b/>
                      <w:color w:val="auto"/>
                      <w:szCs w:val="21"/>
                    </w:rPr>
                  </w:pPr>
                  <w:r>
                    <w:rPr>
                      <w:rFonts w:hint="eastAsia"/>
                      <w:b/>
                      <w:bCs/>
                      <w:color w:val="auto"/>
                      <w:szCs w:val="21"/>
                    </w:rPr>
                    <w:t>现有项目主要设备</w:t>
                  </w:r>
                </w:p>
              </w:tc>
            </w:tr>
            <w:tr w14:paraId="7E3D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427A6869">
                  <w:pPr>
                    <w:pStyle w:val="53"/>
                    <w:spacing w:beforeLines="0" w:afterLines="0" w:line="240" w:lineRule="auto"/>
                    <w:ind w:firstLine="0" w:firstLineChars="0"/>
                    <w:rPr>
                      <w:rFonts w:ascii="Times New Roman"/>
                      <w:b/>
                      <w:color w:val="auto"/>
                      <w:szCs w:val="21"/>
                    </w:rPr>
                  </w:pPr>
                  <w:r>
                    <w:rPr>
                      <w:rFonts w:ascii="Times New Roman"/>
                      <w:color w:val="auto"/>
                      <w:szCs w:val="21"/>
                    </w:rPr>
                    <w:t>设备</w:t>
                  </w:r>
                </w:p>
              </w:tc>
              <w:tc>
                <w:tcPr>
                  <w:tcW w:w="3279" w:type="dxa"/>
                  <w:vAlign w:val="center"/>
                </w:tcPr>
                <w:p w14:paraId="4D448C45">
                  <w:pPr>
                    <w:pStyle w:val="53"/>
                    <w:spacing w:beforeLines="0" w:afterLines="0" w:line="240" w:lineRule="auto"/>
                    <w:ind w:firstLine="0" w:firstLineChars="0"/>
                    <w:rPr>
                      <w:rFonts w:ascii="Times New Roman"/>
                      <w:b/>
                      <w:color w:val="auto"/>
                      <w:szCs w:val="21"/>
                    </w:rPr>
                  </w:pPr>
                  <w:r>
                    <w:rPr>
                      <w:rFonts w:ascii="Times New Roman"/>
                      <w:color w:val="auto"/>
                      <w:szCs w:val="21"/>
                    </w:rPr>
                    <w:t>规格</w:t>
                  </w:r>
                </w:p>
              </w:tc>
              <w:tc>
                <w:tcPr>
                  <w:tcW w:w="3279" w:type="dxa"/>
                  <w:vAlign w:val="center"/>
                </w:tcPr>
                <w:p w14:paraId="4196ED5F">
                  <w:pPr>
                    <w:pStyle w:val="53"/>
                    <w:spacing w:beforeLines="0" w:afterLines="0" w:line="240" w:lineRule="auto"/>
                    <w:ind w:firstLine="0" w:firstLineChars="0"/>
                    <w:rPr>
                      <w:rFonts w:ascii="Times New Roman"/>
                      <w:b/>
                      <w:color w:val="auto"/>
                      <w:szCs w:val="21"/>
                    </w:rPr>
                  </w:pPr>
                  <w:r>
                    <w:rPr>
                      <w:rFonts w:ascii="Times New Roman"/>
                      <w:color w:val="auto"/>
                      <w:szCs w:val="21"/>
                    </w:rPr>
                    <w:t>数量</w:t>
                  </w:r>
                </w:p>
              </w:tc>
            </w:tr>
            <w:tr w14:paraId="7152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1E6B3AE7">
                  <w:pPr>
                    <w:ind w:firstLine="0" w:firstLineChars="0"/>
                    <w:jc w:val="center"/>
                    <w:rPr>
                      <w:b/>
                      <w:color w:val="auto"/>
                      <w:szCs w:val="21"/>
                    </w:rPr>
                  </w:pPr>
                  <w:r>
                    <w:rPr>
                      <w:rFonts w:hint="eastAsia" w:eastAsiaTheme="minorEastAsia"/>
                      <w:color w:val="auto"/>
                      <w:szCs w:val="21"/>
                    </w:rPr>
                    <w:t>混凝土</w:t>
                  </w:r>
                  <w:r>
                    <w:rPr>
                      <w:rFonts w:eastAsiaTheme="minorEastAsia"/>
                      <w:color w:val="auto"/>
                      <w:szCs w:val="21"/>
                    </w:rPr>
                    <w:t>运输车</w:t>
                  </w:r>
                </w:p>
              </w:tc>
              <w:tc>
                <w:tcPr>
                  <w:tcW w:w="3279" w:type="dxa"/>
                  <w:vAlign w:val="center"/>
                </w:tcPr>
                <w:p w14:paraId="38319CC3">
                  <w:pPr>
                    <w:pStyle w:val="53"/>
                    <w:spacing w:beforeLines="0" w:afterLines="0" w:line="240" w:lineRule="auto"/>
                    <w:ind w:firstLine="0" w:firstLineChars="0"/>
                    <w:rPr>
                      <w:rFonts w:ascii="Times New Roman"/>
                      <w:b/>
                      <w:color w:val="auto"/>
                      <w:szCs w:val="21"/>
                    </w:rPr>
                  </w:pPr>
                  <w:r>
                    <w:rPr>
                      <w:rFonts w:ascii="Times New Roman"/>
                      <w:color w:val="auto"/>
                      <w:szCs w:val="21"/>
                    </w:rPr>
                    <w:t>10m³</w:t>
                  </w:r>
                </w:p>
              </w:tc>
              <w:tc>
                <w:tcPr>
                  <w:tcW w:w="3279" w:type="dxa"/>
                  <w:vAlign w:val="center"/>
                </w:tcPr>
                <w:p w14:paraId="3762FB99">
                  <w:pPr>
                    <w:ind w:firstLine="0" w:firstLineChars="0"/>
                    <w:jc w:val="center"/>
                    <w:rPr>
                      <w:b/>
                      <w:color w:val="auto"/>
                      <w:szCs w:val="21"/>
                    </w:rPr>
                  </w:pPr>
                  <w:r>
                    <w:rPr>
                      <w:color w:val="auto"/>
                      <w:szCs w:val="21"/>
                    </w:rPr>
                    <w:t>12辆</w:t>
                  </w:r>
                </w:p>
              </w:tc>
            </w:tr>
            <w:tr w14:paraId="4EE8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3EB97B49">
                  <w:pPr>
                    <w:ind w:firstLine="0" w:firstLineChars="0"/>
                    <w:jc w:val="center"/>
                    <w:rPr>
                      <w:b/>
                      <w:color w:val="auto"/>
                      <w:szCs w:val="21"/>
                    </w:rPr>
                  </w:pPr>
                  <w:r>
                    <w:rPr>
                      <w:rFonts w:eastAsiaTheme="minorEastAsia"/>
                      <w:color w:val="auto"/>
                      <w:szCs w:val="21"/>
                    </w:rPr>
                    <w:t>泵车</w:t>
                  </w:r>
                </w:p>
              </w:tc>
              <w:tc>
                <w:tcPr>
                  <w:tcW w:w="3279" w:type="dxa"/>
                  <w:vAlign w:val="center"/>
                </w:tcPr>
                <w:p w14:paraId="745F88C5">
                  <w:pPr>
                    <w:pStyle w:val="53"/>
                    <w:spacing w:beforeLines="0" w:afterLines="0" w:line="240" w:lineRule="auto"/>
                    <w:ind w:firstLine="0" w:firstLineChars="0"/>
                    <w:rPr>
                      <w:rFonts w:ascii="Times New Roman"/>
                      <w:b/>
                      <w:color w:val="auto"/>
                      <w:szCs w:val="21"/>
                    </w:rPr>
                  </w:pPr>
                  <w:r>
                    <w:rPr>
                      <w:rFonts w:ascii="Times New Roman"/>
                      <w:color w:val="auto"/>
                      <w:szCs w:val="21"/>
                    </w:rPr>
                    <w:t>37m</w:t>
                  </w:r>
                </w:p>
              </w:tc>
              <w:tc>
                <w:tcPr>
                  <w:tcW w:w="3279" w:type="dxa"/>
                  <w:vAlign w:val="center"/>
                </w:tcPr>
                <w:p w14:paraId="1FBE7D98">
                  <w:pPr>
                    <w:ind w:firstLine="0" w:firstLineChars="0"/>
                    <w:jc w:val="center"/>
                    <w:rPr>
                      <w:b/>
                      <w:color w:val="auto"/>
                      <w:szCs w:val="21"/>
                    </w:rPr>
                  </w:pPr>
                  <w:r>
                    <w:rPr>
                      <w:color w:val="auto"/>
                      <w:szCs w:val="21"/>
                    </w:rPr>
                    <w:t>2台</w:t>
                  </w:r>
                </w:p>
              </w:tc>
            </w:tr>
            <w:tr w14:paraId="0FCB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73437DCD">
                  <w:pPr>
                    <w:ind w:firstLine="0" w:firstLineChars="0"/>
                    <w:jc w:val="center"/>
                    <w:rPr>
                      <w:b/>
                      <w:color w:val="auto"/>
                      <w:szCs w:val="21"/>
                    </w:rPr>
                  </w:pPr>
                  <w:r>
                    <w:rPr>
                      <w:rFonts w:eastAsiaTheme="minorEastAsia"/>
                      <w:color w:val="auto"/>
                      <w:szCs w:val="21"/>
                    </w:rPr>
                    <w:t>地磅</w:t>
                  </w:r>
                </w:p>
              </w:tc>
              <w:tc>
                <w:tcPr>
                  <w:tcW w:w="3279" w:type="dxa"/>
                  <w:vAlign w:val="center"/>
                </w:tcPr>
                <w:p w14:paraId="61F70628">
                  <w:pPr>
                    <w:ind w:firstLine="0" w:firstLineChars="0"/>
                    <w:jc w:val="center"/>
                    <w:rPr>
                      <w:b/>
                      <w:color w:val="auto"/>
                      <w:szCs w:val="21"/>
                    </w:rPr>
                  </w:pPr>
                  <w:r>
                    <w:rPr>
                      <w:color w:val="auto"/>
                      <w:szCs w:val="21"/>
                    </w:rPr>
                    <w:t>80吨</w:t>
                  </w:r>
                </w:p>
              </w:tc>
              <w:tc>
                <w:tcPr>
                  <w:tcW w:w="3279" w:type="dxa"/>
                  <w:vAlign w:val="center"/>
                </w:tcPr>
                <w:p w14:paraId="4DD35531">
                  <w:pPr>
                    <w:ind w:firstLine="0" w:firstLineChars="0"/>
                    <w:jc w:val="center"/>
                    <w:rPr>
                      <w:b/>
                      <w:color w:val="auto"/>
                      <w:szCs w:val="21"/>
                    </w:rPr>
                  </w:pPr>
                  <w:r>
                    <w:rPr>
                      <w:color w:val="auto"/>
                      <w:szCs w:val="21"/>
                    </w:rPr>
                    <w:t>1套</w:t>
                  </w:r>
                </w:p>
              </w:tc>
            </w:tr>
            <w:tr w14:paraId="0F9F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052167DC">
                  <w:pPr>
                    <w:ind w:firstLine="0" w:firstLineChars="0"/>
                    <w:jc w:val="center"/>
                    <w:rPr>
                      <w:b/>
                      <w:color w:val="auto"/>
                      <w:szCs w:val="21"/>
                    </w:rPr>
                  </w:pPr>
                  <w:r>
                    <w:rPr>
                      <w:rFonts w:eastAsiaTheme="minorEastAsia"/>
                      <w:color w:val="auto"/>
                      <w:szCs w:val="21"/>
                    </w:rPr>
                    <w:t>装载机</w:t>
                  </w:r>
                </w:p>
              </w:tc>
              <w:tc>
                <w:tcPr>
                  <w:tcW w:w="3279" w:type="dxa"/>
                  <w:vAlign w:val="center"/>
                </w:tcPr>
                <w:p w14:paraId="13ABFBE5">
                  <w:pPr>
                    <w:ind w:firstLine="0" w:firstLineChars="0"/>
                    <w:jc w:val="center"/>
                    <w:rPr>
                      <w:b/>
                      <w:color w:val="auto"/>
                      <w:szCs w:val="21"/>
                    </w:rPr>
                  </w:pPr>
                  <w:r>
                    <w:rPr>
                      <w:rFonts w:eastAsiaTheme="minorEastAsia"/>
                      <w:color w:val="auto"/>
                      <w:szCs w:val="21"/>
                    </w:rPr>
                    <w:t>ZL50</w:t>
                  </w:r>
                </w:p>
              </w:tc>
              <w:tc>
                <w:tcPr>
                  <w:tcW w:w="3279" w:type="dxa"/>
                  <w:vAlign w:val="center"/>
                </w:tcPr>
                <w:p w14:paraId="59619A7C">
                  <w:pPr>
                    <w:ind w:firstLine="0" w:firstLineChars="0"/>
                    <w:jc w:val="center"/>
                    <w:rPr>
                      <w:b/>
                      <w:color w:val="auto"/>
                      <w:szCs w:val="21"/>
                    </w:rPr>
                  </w:pPr>
                  <w:r>
                    <w:rPr>
                      <w:rFonts w:eastAsiaTheme="minorEastAsia"/>
                      <w:color w:val="auto"/>
                      <w:szCs w:val="21"/>
                    </w:rPr>
                    <w:t>2台</w:t>
                  </w:r>
                </w:p>
              </w:tc>
            </w:tr>
            <w:tr w14:paraId="3999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47A8AD23">
                  <w:pPr>
                    <w:ind w:firstLine="0" w:firstLineChars="0"/>
                    <w:jc w:val="center"/>
                    <w:rPr>
                      <w:b/>
                      <w:color w:val="auto"/>
                      <w:szCs w:val="21"/>
                    </w:rPr>
                  </w:pPr>
                  <w:r>
                    <w:rPr>
                      <w:rFonts w:hint="eastAsia" w:eastAsiaTheme="minorEastAsia"/>
                      <w:color w:val="auto"/>
                      <w:szCs w:val="21"/>
                    </w:rPr>
                    <w:t>混凝土</w:t>
                  </w:r>
                  <w:r>
                    <w:rPr>
                      <w:rFonts w:eastAsiaTheme="minorEastAsia"/>
                      <w:color w:val="auto"/>
                      <w:szCs w:val="21"/>
                    </w:rPr>
                    <w:t>运输泵</w:t>
                  </w:r>
                </w:p>
              </w:tc>
              <w:tc>
                <w:tcPr>
                  <w:tcW w:w="3279" w:type="dxa"/>
                  <w:vAlign w:val="center"/>
                </w:tcPr>
                <w:p w14:paraId="4ABA6CE3">
                  <w:pPr>
                    <w:ind w:firstLine="0" w:firstLineChars="0"/>
                    <w:jc w:val="center"/>
                    <w:rPr>
                      <w:b/>
                      <w:color w:val="auto"/>
                      <w:szCs w:val="21"/>
                    </w:rPr>
                  </w:pPr>
                  <w:r>
                    <w:rPr>
                      <w:rFonts w:eastAsiaTheme="minorEastAsia"/>
                      <w:color w:val="auto"/>
                      <w:szCs w:val="21"/>
                    </w:rPr>
                    <w:t>HBT</w:t>
                  </w:r>
                </w:p>
              </w:tc>
              <w:tc>
                <w:tcPr>
                  <w:tcW w:w="3279" w:type="dxa"/>
                  <w:vAlign w:val="center"/>
                </w:tcPr>
                <w:p w14:paraId="29EAD441">
                  <w:pPr>
                    <w:ind w:firstLine="0" w:firstLineChars="0"/>
                    <w:jc w:val="center"/>
                    <w:rPr>
                      <w:b/>
                      <w:color w:val="auto"/>
                      <w:szCs w:val="21"/>
                    </w:rPr>
                  </w:pPr>
                  <w:r>
                    <w:rPr>
                      <w:rFonts w:eastAsiaTheme="minorEastAsia"/>
                      <w:color w:val="auto"/>
                      <w:szCs w:val="21"/>
                    </w:rPr>
                    <w:t>2台</w:t>
                  </w:r>
                </w:p>
              </w:tc>
            </w:tr>
            <w:tr w14:paraId="4A0D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41B55007">
                  <w:pPr>
                    <w:ind w:firstLine="0" w:firstLineChars="0"/>
                    <w:jc w:val="center"/>
                    <w:rPr>
                      <w:b/>
                      <w:color w:val="auto"/>
                      <w:szCs w:val="21"/>
                    </w:rPr>
                  </w:pPr>
                  <w:r>
                    <w:rPr>
                      <w:rFonts w:eastAsiaTheme="minorEastAsia"/>
                      <w:color w:val="auto"/>
                      <w:szCs w:val="21"/>
                    </w:rPr>
                    <w:t>电子秤</w:t>
                  </w:r>
                </w:p>
              </w:tc>
              <w:tc>
                <w:tcPr>
                  <w:tcW w:w="3279" w:type="dxa"/>
                  <w:vAlign w:val="center"/>
                </w:tcPr>
                <w:p w14:paraId="7A3B7240">
                  <w:pPr>
                    <w:ind w:firstLine="0" w:firstLineChars="0"/>
                    <w:jc w:val="center"/>
                    <w:rPr>
                      <w:b/>
                      <w:color w:val="auto"/>
                      <w:szCs w:val="21"/>
                    </w:rPr>
                  </w:pPr>
                  <w:r>
                    <w:rPr>
                      <w:rFonts w:hint="eastAsia"/>
                      <w:color w:val="auto"/>
                      <w:szCs w:val="21"/>
                    </w:rPr>
                    <w:t>/</w:t>
                  </w:r>
                </w:p>
              </w:tc>
              <w:tc>
                <w:tcPr>
                  <w:tcW w:w="3279" w:type="dxa"/>
                  <w:vAlign w:val="center"/>
                </w:tcPr>
                <w:p w14:paraId="2863E564">
                  <w:pPr>
                    <w:ind w:firstLine="0" w:firstLineChars="0"/>
                    <w:jc w:val="center"/>
                    <w:rPr>
                      <w:b/>
                      <w:color w:val="auto"/>
                      <w:szCs w:val="21"/>
                    </w:rPr>
                  </w:pPr>
                  <w:r>
                    <w:rPr>
                      <w:rFonts w:eastAsiaTheme="minorEastAsia"/>
                      <w:color w:val="auto"/>
                      <w:szCs w:val="21"/>
                    </w:rPr>
                    <w:t>1</w:t>
                  </w:r>
                  <w:r>
                    <w:rPr>
                      <w:rFonts w:hint="eastAsia" w:eastAsiaTheme="minorEastAsia"/>
                      <w:color w:val="auto"/>
                      <w:szCs w:val="21"/>
                    </w:rPr>
                    <w:t>个</w:t>
                  </w:r>
                </w:p>
              </w:tc>
            </w:tr>
            <w:tr w14:paraId="41CA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5ADC094F">
                  <w:pPr>
                    <w:ind w:firstLine="0" w:firstLineChars="0"/>
                    <w:jc w:val="center"/>
                    <w:rPr>
                      <w:rFonts w:hint="eastAsia" w:eastAsiaTheme="minorEastAsia"/>
                      <w:b/>
                      <w:color w:val="auto"/>
                      <w:szCs w:val="21"/>
                      <w:lang w:val="en-US" w:eastAsia="zh-CN"/>
                    </w:rPr>
                  </w:pPr>
                  <w:r>
                    <w:rPr>
                      <w:rFonts w:eastAsiaTheme="minorEastAsia"/>
                      <w:color w:val="auto"/>
                      <w:szCs w:val="21"/>
                    </w:rPr>
                    <w:t>搅拌</w:t>
                  </w:r>
                  <w:r>
                    <w:rPr>
                      <w:rFonts w:hint="eastAsia" w:eastAsiaTheme="minorEastAsia"/>
                      <w:color w:val="auto"/>
                      <w:szCs w:val="21"/>
                      <w:lang w:val="en-US" w:eastAsia="zh-CN"/>
                    </w:rPr>
                    <w:t>设备</w:t>
                  </w:r>
                </w:p>
              </w:tc>
              <w:tc>
                <w:tcPr>
                  <w:tcW w:w="3279" w:type="dxa"/>
                  <w:vAlign w:val="center"/>
                </w:tcPr>
                <w:p w14:paraId="28571479">
                  <w:pPr>
                    <w:ind w:firstLine="0" w:firstLineChars="0"/>
                    <w:jc w:val="center"/>
                    <w:rPr>
                      <w:rFonts w:hint="default" w:eastAsiaTheme="minorEastAsia"/>
                      <w:b/>
                      <w:color w:val="auto"/>
                      <w:szCs w:val="21"/>
                      <w:lang w:val="en-US" w:eastAsia="zh-CN"/>
                    </w:rPr>
                  </w:pPr>
                  <w:r>
                    <w:rPr>
                      <w:rFonts w:eastAsiaTheme="minorEastAsia"/>
                      <w:color w:val="auto"/>
                      <w:szCs w:val="21"/>
                    </w:rPr>
                    <w:t>HZS</w:t>
                  </w:r>
                  <w:r>
                    <w:rPr>
                      <w:rFonts w:hint="eastAsia" w:eastAsiaTheme="minorEastAsia"/>
                      <w:color w:val="auto"/>
                      <w:szCs w:val="21"/>
                      <w:lang w:val="en-US" w:eastAsia="zh-CN"/>
                    </w:rPr>
                    <w:t>180</w:t>
                  </w:r>
                </w:p>
              </w:tc>
              <w:tc>
                <w:tcPr>
                  <w:tcW w:w="3279" w:type="dxa"/>
                  <w:vAlign w:val="center"/>
                </w:tcPr>
                <w:p w14:paraId="0CCD9698">
                  <w:pPr>
                    <w:ind w:firstLine="0" w:firstLineChars="0"/>
                    <w:jc w:val="center"/>
                    <w:rPr>
                      <w:rFonts w:hint="eastAsia" w:eastAsiaTheme="minorEastAsia"/>
                      <w:b/>
                      <w:color w:val="auto"/>
                      <w:szCs w:val="21"/>
                      <w:lang w:eastAsia="zh-CN"/>
                    </w:rPr>
                  </w:pPr>
                  <w:r>
                    <w:rPr>
                      <w:rFonts w:eastAsiaTheme="minorEastAsia"/>
                      <w:color w:val="auto"/>
                      <w:szCs w:val="21"/>
                    </w:rPr>
                    <w:t>2</w:t>
                  </w:r>
                  <w:r>
                    <w:rPr>
                      <w:rFonts w:hint="eastAsia" w:eastAsiaTheme="minorEastAsia"/>
                      <w:color w:val="auto"/>
                      <w:szCs w:val="21"/>
                      <w:lang w:val="en-US" w:eastAsia="zh-CN"/>
                    </w:rPr>
                    <w:t>台</w:t>
                  </w:r>
                </w:p>
              </w:tc>
            </w:tr>
            <w:tr w14:paraId="2DEE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499CCEF8">
                  <w:pPr>
                    <w:ind w:firstLine="0" w:firstLineChars="0"/>
                    <w:jc w:val="center"/>
                    <w:rPr>
                      <w:b/>
                      <w:color w:val="auto"/>
                      <w:szCs w:val="21"/>
                    </w:rPr>
                  </w:pPr>
                  <w:r>
                    <w:rPr>
                      <w:rFonts w:hint="eastAsia" w:eastAsiaTheme="minorEastAsia"/>
                      <w:color w:val="auto"/>
                      <w:szCs w:val="21"/>
                    </w:rPr>
                    <w:t>输送皮带</w:t>
                  </w:r>
                </w:p>
              </w:tc>
              <w:tc>
                <w:tcPr>
                  <w:tcW w:w="3279" w:type="dxa"/>
                  <w:vAlign w:val="center"/>
                </w:tcPr>
                <w:p w14:paraId="18CC4D0F">
                  <w:pPr>
                    <w:ind w:firstLine="0" w:firstLineChars="0"/>
                    <w:jc w:val="center"/>
                    <w:rPr>
                      <w:b/>
                      <w:color w:val="auto"/>
                      <w:szCs w:val="21"/>
                    </w:rPr>
                  </w:pPr>
                  <w:r>
                    <w:rPr>
                      <w:rFonts w:hint="eastAsia"/>
                      <w:color w:val="auto"/>
                      <w:szCs w:val="21"/>
                    </w:rPr>
                    <w:t>/</w:t>
                  </w:r>
                </w:p>
              </w:tc>
              <w:tc>
                <w:tcPr>
                  <w:tcW w:w="3279" w:type="dxa"/>
                  <w:vAlign w:val="center"/>
                </w:tcPr>
                <w:p w14:paraId="6A42878A">
                  <w:pPr>
                    <w:ind w:firstLine="0" w:firstLineChars="0"/>
                    <w:jc w:val="center"/>
                    <w:rPr>
                      <w:b/>
                      <w:color w:val="auto"/>
                      <w:szCs w:val="21"/>
                    </w:rPr>
                  </w:pPr>
                  <w:r>
                    <w:rPr>
                      <w:rFonts w:hint="eastAsia" w:eastAsiaTheme="minorEastAsia"/>
                      <w:color w:val="auto"/>
                      <w:szCs w:val="21"/>
                    </w:rPr>
                    <w:t>2</w:t>
                  </w:r>
                  <w:r>
                    <w:rPr>
                      <w:rFonts w:eastAsiaTheme="minorEastAsia"/>
                      <w:color w:val="auto"/>
                      <w:szCs w:val="21"/>
                    </w:rPr>
                    <w:t>套</w:t>
                  </w:r>
                </w:p>
              </w:tc>
            </w:tr>
            <w:tr w14:paraId="1173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54BE6B25">
                  <w:pPr>
                    <w:ind w:firstLine="0" w:firstLineChars="0"/>
                    <w:jc w:val="center"/>
                    <w:rPr>
                      <w:b/>
                      <w:color w:val="auto"/>
                      <w:szCs w:val="21"/>
                    </w:rPr>
                  </w:pPr>
                  <w:r>
                    <w:rPr>
                      <w:rFonts w:eastAsiaTheme="minorEastAsia"/>
                      <w:color w:val="auto"/>
                      <w:szCs w:val="21"/>
                    </w:rPr>
                    <w:t>进料系统</w:t>
                  </w:r>
                </w:p>
              </w:tc>
              <w:tc>
                <w:tcPr>
                  <w:tcW w:w="3279" w:type="dxa"/>
                  <w:vAlign w:val="center"/>
                </w:tcPr>
                <w:p w14:paraId="47AECB1B">
                  <w:pPr>
                    <w:ind w:firstLine="0" w:firstLineChars="0"/>
                    <w:jc w:val="center"/>
                    <w:rPr>
                      <w:b/>
                      <w:color w:val="auto"/>
                      <w:szCs w:val="21"/>
                    </w:rPr>
                  </w:pPr>
                  <w:r>
                    <w:rPr>
                      <w:rFonts w:hint="eastAsia"/>
                      <w:color w:val="auto"/>
                      <w:szCs w:val="21"/>
                    </w:rPr>
                    <w:t>/</w:t>
                  </w:r>
                </w:p>
              </w:tc>
              <w:tc>
                <w:tcPr>
                  <w:tcW w:w="3279" w:type="dxa"/>
                  <w:vAlign w:val="center"/>
                </w:tcPr>
                <w:p w14:paraId="0CB6032D">
                  <w:pPr>
                    <w:ind w:firstLine="0" w:firstLineChars="0"/>
                    <w:jc w:val="center"/>
                    <w:rPr>
                      <w:b/>
                      <w:color w:val="auto"/>
                      <w:szCs w:val="21"/>
                    </w:rPr>
                  </w:pPr>
                  <w:r>
                    <w:rPr>
                      <w:rFonts w:eastAsiaTheme="minorEastAsia"/>
                      <w:color w:val="auto"/>
                      <w:szCs w:val="21"/>
                    </w:rPr>
                    <w:t>1套</w:t>
                  </w:r>
                </w:p>
              </w:tc>
            </w:tr>
            <w:tr w14:paraId="4160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30700BB0">
                  <w:pPr>
                    <w:ind w:firstLine="0" w:firstLineChars="0"/>
                    <w:jc w:val="center"/>
                    <w:rPr>
                      <w:b/>
                      <w:color w:val="auto"/>
                      <w:szCs w:val="21"/>
                    </w:rPr>
                  </w:pPr>
                  <w:r>
                    <w:rPr>
                      <w:color w:val="auto"/>
                      <w:szCs w:val="21"/>
                    </w:rPr>
                    <w:t>筒仓</w:t>
                  </w:r>
                </w:p>
              </w:tc>
              <w:tc>
                <w:tcPr>
                  <w:tcW w:w="3279" w:type="dxa"/>
                  <w:vAlign w:val="center"/>
                </w:tcPr>
                <w:p w14:paraId="62EE7252">
                  <w:pPr>
                    <w:ind w:firstLine="0" w:firstLineChars="0"/>
                    <w:jc w:val="center"/>
                    <w:rPr>
                      <w:b/>
                      <w:color w:val="auto"/>
                      <w:szCs w:val="21"/>
                    </w:rPr>
                  </w:pPr>
                  <w:r>
                    <w:rPr>
                      <w:rFonts w:hint="eastAsia"/>
                      <w:color w:val="auto"/>
                      <w:szCs w:val="21"/>
                    </w:rPr>
                    <w:t>/</w:t>
                  </w:r>
                </w:p>
              </w:tc>
              <w:tc>
                <w:tcPr>
                  <w:tcW w:w="3279" w:type="dxa"/>
                  <w:vAlign w:val="center"/>
                </w:tcPr>
                <w:p w14:paraId="2E39D95C">
                  <w:pPr>
                    <w:ind w:firstLine="0" w:firstLineChars="0"/>
                    <w:jc w:val="center"/>
                    <w:rPr>
                      <w:b/>
                      <w:color w:val="auto"/>
                      <w:szCs w:val="21"/>
                    </w:rPr>
                  </w:pPr>
                  <w:r>
                    <w:rPr>
                      <w:rFonts w:eastAsiaTheme="minorEastAsia"/>
                      <w:color w:val="auto"/>
                      <w:szCs w:val="21"/>
                    </w:rPr>
                    <w:t>4</w:t>
                  </w:r>
                  <w:r>
                    <w:rPr>
                      <w:rFonts w:hint="eastAsia" w:eastAsiaTheme="minorEastAsia"/>
                      <w:color w:val="auto"/>
                      <w:szCs w:val="21"/>
                    </w:rPr>
                    <w:t>个</w:t>
                  </w:r>
                </w:p>
              </w:tc>
            </w:tr>
            <w:tr w14:paraId="5A8E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40FF4CF3">
                  <w:pPr>
                    <w:ind w:firstLine="0" w:firstLineChars="0"/>
                    <w:jc w:val="center"/>
                    <w:rPr>
                      <w:b/>
                      <w:color w:val="auto"/>
                      <w:szCs w:val="21"/>
                    </w:rPr>
                  </w:pPr>
                  <w:r>
                    <w:rPr>
                      <w:rFonts w:eastAsiaTheme="minorEastAsia"/>
                      <w:color w:val="auto"/>
                      <w:szCs w:val="21"/>
                    </w:rPr>
                    <w:t>水泥运输车</w:t>
                  </w:r>
                </w:p>
              </w:tc>
              <w:tc>
                <w:tcPr>
                  <w:tcW w:w="3279" w:type="dxa"/>
                  <w:vAlign w:val="center"/>
                </w:tcPr>
                <w:p w14:paraId="233864A2">
                  <w:pPr>
                    <w:ind w:firstLine="0" w:firstLineChars="0"/>
                    <w:jc w:val="center"/>
                    <w:rPr>
                      <w:b/>
                      <w:color w:val="auto"/>
                      <w:szCs w:val="21"/>
                    </w:rPr>
                  </w:pPr>
                  <w:r>
                    <w:rPr>
                      <w:rFonts w:hint="eastAsia"/>
                      <w:color w:val="auto"/>
                      <w:szCs w:val="21"/>
                    </w:rPr>
                    <w:t>/</w:t>
                  </w:r>
                </w:p>
              </w:tc>
              <w:tc>
                <w:tcPr>
                  <w:tcW w:w="3279" w:type="dxa"/>
                  <w:vAlign w:val="center"/>
                </w:tcPr>
                <w:p w14:paraId="12DF62CF">
                  <w:pPr>
                    <w:ind w:firstLine="0" w:firstLineChars="0"/>
                    <w:jc w:val="center"/>
                    <w:rPr>
                      <w:b/>
                      <w:color w:val="auto"/>
                      <w:szCs w:val="21"/>
                    </w:rPr>
                  </w:pPr>
                  <w:r>
                    <w:rPr>
                      <w:rFonts w:eastAsiaTheme="minorEastAsia"/>
                      <w:color w:val="auto"/>
                      <w:szCs w:val="21"/>
                    </w:rPr>
                    <w:t>2辆</w:t>
                  </w:r>
                </w:p>
              </w:tc>
            </w:tr>
            <w:tr w14:paraId="27DC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35" w:type="dxa"/>
                  <w:gridSpan w:val="3"/>
                  <w:vAlign w:val="center"/>
                </w:tcPr>
                <w:p w14:paraId="77C047B1">
                  <w:pPr>
                    <w:pStyle w:val="53"/>
                    <w:spacing w:beforeLines="0" w:afterLines="0" w:line="240" w:lineRule="auto"/>
                    <w:ind w:firstLine="0" w:firstLineChars="0"/>
                    <w:rPr>
                      <w:rFonts w:ascii="Times New Roman"/>
                      <w:b/>
                      <w:color w:val="auto"/>
                      <w:szCs w:val="21"/>
                    </w:rPr>
                  </w:pPr>
                  <w:r>
                    <w:rPr>
                      <w:rFonts w:hint="eastAsia" w:ascii="Times New Roman"/>
                      <w:b/>
                      <w:bCs/>
                      <w:color w:val="auto"/>
                      <w:szCs w:val="21"/>
                    </w:rPr>
                    <w:t>本次扩建项目新增主要</w:t>
                  </w:r>
                  <w:r>
                    <w:rPr>
                      <w:rFonts w:hint="eastAsia"/>
                      <w:b/>
                      <w:bCs/>
                      <w:color w:val="auto"/>
                      <w:szCs w:val="21"/>
                    </w:rPr>
                    <w:t>设备</w:t>
                  </w:r>
                </w:p>
              </w:tc>
            </w:tr>
            <w:tr w14:paraId="2395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14F7CA15">
                  <w:pPr>
                    <w:pStyle w:val="53"/>
                    <w:spacing w:beforeLines="0" w:afterLines="0" w:line="240" w:lineRule="auto"/>
                    <w:ind w:firstLine="0" w:firstLineChars="0"/>
                    <w:rPr>
                      <w:rFonts w:ascii="Times New Roman"/>
                      <w:b/>
                      <w:color w:val="auto"/>
                      <w:szCs w:val="21"/>
                    </w:rPr>
                  </w:pPr>
                  <w:r>
                    <w:rPr>
                      <w:rFonts w:ascii="Times New Roman"/>
                      <w:color w:val="auto"/>
                      <w:szCs w:val="21"/>
                    </w:rPr>
                    <w:t>混凝土搅拌机</w:t>
                  </w:r>
                </w:p>
              </w:tc>
              <w:tc>
                <w:tcPr>
                  <w:tcW w:w="3279" w:type="dxa"/>
                  <w:vAlign w:val="center"/>
                </w:tcPr>
                <w:p w14:paraId="004DC075">
                  <w:pPr>
                    <w:pStyle w:val="53"/>
                    <w:spacing w:beforeLines="0" w:afterLines="0" w:line="240" w:lineRule="auto"/>
                    <w:ind w:firstLine="0" w:firstLineChars="0"/>
                    <w:rPr>
                      <w:rFonts w:hint="default" w:ascii="Times New Roman" w:eastAsia="宋体"/>
                      <w:b/>
                      <w:color w:val="auto"/>
                      <w:szCs w:val="21"/>
                      <w:lang w:val="en-US" w:eastAsia="zh-CN"/>
                    </w:rPr>
                  </w:pPr>
                  <w:r>
                    <w:rPr>
                      <w:rFonts w:ascii="Times New Roman"/>
                      <w:color w:val="auto"/>
                      <w:szCs w:val="21"/>
                    </w:rPr>
                    <w:t>HZS</w:t>
                  </w:r>
                  <w:r>
                    <w:rPr>
                      <w:rFonts w:hint="eastAsia" w:ascii="Times New Roman"/>
                      <w:color w:val="auto"/>
                      <w:szCs w:val="21"/>
                      <w:lang w:val="en-US" w:eastAsia="zh-CN"/>
                    </w:rPr>
                    <w:t>120</w:t>
                  </w:r>
                </w:p>
              </w:tc>
              <w:tc>
                <w:tcPr>
                  <w:tcW w:w="3279" w:type="dxa"/>
                  <w:vAlign w:val="center"/>
                </w:tcPr>
                <w:p w14:paraId="07B98AD1">
                  <w:pPr>
                    <w:pStyle w:val="53"/>
                    <w:spacing w:beforeLines="0" w:afterLines="0" w:line="240" w:lineRule="auto"/>
                    <w:ind w:firstLine="0" w:firstLineChars="0"/>
                    <w:rPr>
                      <w:rFonts w:ascii="Times New Roman"/>
                      <w:b/>
                      <w:color w:val="auto"/>
                      <w:szCs w:val="21"/>
                    </w:rPr>
                  </w:pPr>
                  <w:r>
                    <w:rPr>
                      <w:rFonts w:ascii="Times New Roman"/>
                      <w:color w:val="auto"/>
                      <w:szCs w:val="21"/>
                    </w:rPr>
                    <w:t>1台</w:t>
                  </w:r>
                </w:p>
              </w:tc>
            </w:tr>
            <w:tr w14:paraId="4E17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0E5FBB79">
                  <w:pPr>
                    <w:pStyle w:val="53"/>
                    <w:spacing w:beforeLines="0" w:afterLines="0" w:line="240" w:lineRule="auto"/>
                    <w:ind w:firstLine="0" w:firstLineChars="0"/>
                    <w:rPr>
                      <w:rFonts w:ascii="Times New Roman"/>
                      <w:b/>
                      <w:color w:val="auto"/>
                      <w:szCs w:val="21"/>
                    </w:rPr>
                  </w:pPr>
                  <w:r>
                    <w:rPr>
                      <w:rFonts w:ascii="Times New Roman"/>
                      <w:color w:val="auto"/>
                      <w:szCs w:val="21"/>
                    </w:rPr>
                    <w:t>三仓混凝土配料机</w:t>
                  </w:r>
                </w:p>
              </w:tc>
              <w:tc>
                <w:tcPr>
                  <w:tcW w:w="3279" w:type="dxa"/>
                  <w:vAlign w:val="center"/>
                </w:tcPr>
                <w:p w14:paraId="30B93D30">
                  <w:pPr>
                    <w:pStyle w:val="53"/>
                    <w:spacing w:beforeLines="0" w:afterLines="0" w:line="240" w:lineRule="auto"/>
                    <w:ind w:firstLine="0" w:firstLineChars="0"/>
                    <w:rPr>
                      <w:rFonts w:ascii="Times New Roman"/>
                      <w:b/>
                      <w:color w:val="auto"/>
                      <w:szCs w:val="21"/>
                    </w:rPr>
                  </w:pPr>
                  <w:r>
                    <w:rPr>
                      <w:rFonts w:ascii="Times New Roman"/>
                      <w:color w:val="auto"/>
                      <w:szCs w:val="21"/>
                    </w:rPr>
                    <w:t>PL2400</w:t>
                  </w:r>
                </w:p>
              </w:tc>
              <w:tc>
                <w:tcPr>
                  <w:tcW w:w="3279" w:type="dxa"/>
                  <w:vAlign w:val="center"/>
                </w:tcPr>
                <w:p w14:paraId="5DC173D0">
                  <w:pPr>
                    <w:pStyle w:val="53"/>
                    <w:spacing w:beforeLines="0" w:afterLines="0" w:line="240" w:lineRule="auto"/>
                    <w:ind w:firstLine="0" w:firstLineChars="0"/>
                    <w:rPr>
                      <w:rFonts w:ascii="Times New Roman"/>
                      <w:b/>
                      <w:color w:val="auto"/>
                      <w:szCs w:val="21"/>
                    </w:rPr>
                  </w:pPr>
                  <w:r>
                    <w:rPr>
                      <w:rFonts w:ascii="Times New Roman"/>
                      <w:color w:val="auto"/>
                      <w:szCs w:val="21"/>
                    </w:rPr>
                    <w:t>1</w:t>
                  </w:r>
                  <w:r>
                    <w:rPr>
                      <w:rFonts w:hint="eastAsia" w:ascii="Times New Roman"/>
                      <w:color w:val="auto"/>
                      <w:szCs w:val="21"/>
                    </w:rPr>
                    <w:t>台</w:t>
                  </w:r>
                </w:p>
              </w:tc>
            </w:tr>
            <w:tr w14:paraId="12EC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30407B6F">
                  <w:pPr>
                    <w:pStyle w:val="53"/>
                    <w:spacing w:beforeLines="0" w:afterLines="0" w:line="240" w:lineRule="auto"/>
                    <w:ind w:firstLine="0" w:firstLineChars="0"/>
                    <w:rPr>
                      <w:rFonts w:ascii="Times New Roman"/>
                      <w:b/>
                      <w:color w:val="auto"/>
                      <w:szCs w:val="21"/>
                    </w:rPr>
                  </w:pPr>
                  <w:r>
                    <w:rPr>
                      <w:rFonts w:ascii="Times New Roman"/>
                      <w:color w:val="auto"/>
                      <w:szCs w:val="21"/>
                    </w:rPr>
                    <w:t>皮带输送系统</w:t>
                  </w:r>
                </w:p>
              </w:tc>
              <w:tc>
                <w:tcPr>
                  <w:tcW w:w="3279" w:type="dxa"/>
                  <w:vAlign w:val="center"/>
                </w:tcPr>
                <w:p w14:paraId="16A428BE">
                  <w:pPr>
                    <w:pStyle w:val="53"/>
                    <w:spacing w:beforeLines="0" w:afterLines="0" w:line="240" w:lineRule="auto"/>
                    <w:ind w:firstLine="0" w:firstLineChars="0"/>
                    <w:rPr>
                      <w:rFonts w:ascii="Times New Roman"/>
                      <w:b/>
                      <w:color w:val="auto"/>
                      <w:szCs w:val="21"/>
                    </w:rPr>
                  </w:pPr>
                  <w:r>
                    <w:rPr>
                      <w:rFonts w:ascii="Times New Roman"/>
                      <w:color w:val="auto"/>
                      <w:szCs w:val="21"/>
                    </w:rPr>
                    <w:t>/</w:t>
                  </w:r>
                </w:p>
              </w:tc>
              <w:tc>
                <w:tcPr>
                  <w:tcW w:w="3279" w:type="dxa"/>
                  <w:vAlign w:val="center"/>
                </w:tcPr>
                <w:p w14:paraId="69E2D7BF">
                  <w:pPr>
                    <w:pStyle w:val="53"/>
                    <w:spacing w:beforeLines="0" w:afterLines="0" w:line="240" w:lineRule="auto"/>
                    <w:ind w:firstLine="0" w:firstLineChars="0"/>
                    <w:rPr>
                      <w:rFonts w:ascii="Times New Roman"/>
                      <w:b/>
                      <w:color w:val="auto"/>
                      <w:szCs w:val="21"/>
                    </w:rPr>
                  </w:pPr>
                  <w:r>
                    <w:rPr>
                      <w:rFonts w:hint="eastAsia" w:ascii="Times New Roman"/>
                      <w:color w:val="auto"/>
                      <w:szCs w:val="21"/>
                    </w:rPr>
                    <w:t>2</w:t>
                  </w:r>
                  <w:r>
                    <w:rPr>
                      <w:rFonts w:ascii="Times New Roman"/>
                      <w:color w:val="auto"/>
                      <w:szCs w:val="21"/>
                    </w:rPr>
                    <w:t>套</w:t>
                  </w:r>
                </w:p>
              </w:tc>
            </w:tr>
            <w:tr w14:paraId="043E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3652E9B3">
                  <w:pPr>
                    <w:pStyle w:val="53"/>
                    <w:spacing w:beforeLines="0" w:afterLines="0" w:line="240" w:lineRule="auto"/>
                    <w:ind w:firstLine="0" w:firstLineChars="0"/>
                    <w:rPr>
                      <w:rFonts w:ascii="Times New Roman"/>
                      <w:b/>
                      <w:color w:val="auto"/>
                      <w:szCs w:val="21"/>
                    </w:rPr>
                  </w:pPr>
                  <w:r>
                    <w:rPr>
                      <w:rFonts w:ascii="Times New Roman"/>
                      <w:color w:val="auto"/>
                      <w:szCs w:val="21"/>
                    </w:rPr>
                    <w:t>混凝土罐车</w:t>
                  </w:r>
                </w:p>
              </w:tc>
              <w:tc>
                <w:tcPr>
                  <w:tcW w:w="3279" w:type="dxa"/>
                  <w:vAlign w:val="center"/>
                </w:tcPr>
                <w:p w14:paraId="5A9FB8F7">
                  <w:pPr>
                    <w:pStyle w:val="53"/>
                    <w:spacing w:beforeLines="0" w:afterLines="0" w:line="240" w:lineRule="auto"/>
                    <w:ind w:firstLine="0" w:firstLineChars="0"/>
                    <w:rPr>
                      <w:rFonts w:ascii="Times New Roman"/>
                      <w:b/>
                      <w:color w:val="auto"/>
                      <w:szCs w:val="21"/>
                    </w:rPr>
                  </w:pPr>
                  <w:r>
                    <w:rPr>
                      <w:rFonts w:ascii="Times New Roman"/>
                      <w:color w:val="auto"/>
                      <w:szCs w:val="21"/>
                    </w:rPr>
                    <w:t>HNJ5261THB</w:t>
                  </w:r>
                </w:p>
              </w:tc>
              <w:tc>
                <w:tcPr>
                  <w:tcW w:w="3279" w:type="dxa"/>
                  <w:vAlign w:val="center"/>
                </w:tcPr>
                <w:p w14:paraId="0B5EC0DB">
                  <w:pPr>
                    <w:pStyle w:val="53"/>
                    <w:spacing w:beforeLines="0" w:afterLines="0" w:line="240" w:lineRule="auto"/>
                    <w:ind w:firstLine="0" w:firstLineChars="0"/>
                    <w:rPr>
                      <w:rFonts w:ascii="Times New Roman"/>
                      <w:b/>
                      <w:color w:val="auto"/>
                      <w:szCs w:val="21"/>
                    </w:rPr>
                  </w:pPr>
                  <w:r>
                    <w:rPr>
                      <w:rFonts w:ascii="Times New Roman"/>
                      <w:color w:val="auto"/>
                      <w:szCs w:val="21"/>
                    </w:rPr>
                    <w:t>10辆</w:t>
                  </w:r>
                </w:p>
              </w:tc>
            </w:tr>
            <w:tr w14:paraId="0E45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2139EFC7">
                  <w:pPr>
                    <w:pStyle w:val="53"/>
                    <w:spacing w:beforeLines="0" w:afterLines="0" w:line="240" w:lineRule="auto"/>
                    <w:ind w:firstLine="0" w:firstLineChars="0"/>
                    <w:rPr>
                      <w:rFonts w:ascii="Times New Roman"/>
                      <w:b/>
                      <w:color w:val="auto"/>
                      <w:szCs w:val="21"/>
                    </w:rPr>
                  </w:pPr>
                  <w:r>
                    <w:rPr>
                      <w:rFonts w:ascii="Times New Roman"/>
                      <w:color w:val="auto"/>
                      <w:szCs w:val="21"/>
                    </w:rPr>
                    <w:t>混凝土泵车</w:t>
                  </w:r>
                </w:p>
              </w:tc>
              <w:tc>
                <w:tcPr>
                  <w:tcW w:w="3279" w:type="dxa"/>
                  <w:vAlign w:val="center"/>
                </w:tcPr>
                <w:p w14:paraId="5DA313B1">
                  <w:pPr>
                    <w:pStyle w:val="53"/>
                    <w:spacing w:beforeLines="0" w:afterLines="0" w:line="240" w:lineRule="auto"/>
                    <w:ind w:firstLine="0" w:firstLineChars="0"/>
                    <w:rPr>
                      <w:rFonts w:ascii="Times New Roman"/>
                      <w:b/>
                      <w:color w:val="auto"/>
                      <w:szCs w:val="21"/>
                    </w:rPr>
                  </w:pPr>
                  <w:r>
                    <w:rPr>
                      <w:rFonts w:ascii="Times New Roman"/>
                      <w:color w:val="auto"/>
                      <w:szCs w:val="21"/>
                    </w:rPr>
                    <w:t>/</w:t>
                  </w:r>
                </w:p>
              </w:tc>
              <w:tc>
                <w:tcPr>
                  <w:tcW w:w="3279" w:type="dxa"/>
                  <w:vAlign w:val="center"/>
                </w:tcPr>
                <w:p w14:paraId="24A29093">
                  <w:pPr>
                    <w:pStyle w:val="53"/>
                    <w:spacing w:beforeLines="0" w:afterLines="0" w:line="240" w:lineRule="auto"/>
                    <w:ind w:firstLine="0" w:firstLineChars="0"/>
                    <w:rPr>
                      <w:rFonts w:ascii="Times New Roman"/>
                      <w:b/>
                      <w:color w:val="auto"/>
                      <w:szCs w:val="21"/>
                    </w:rPr>
                  </w:pPr>
                  <w:r>
                    <w:rPr>
                      <w:rFonts w:ascii="Times New Roman"/>
                      <w:color w:val="auto"/>
                      <w:szCs w:val="21"/>
                    </w:rPr>
                    <w:t>2辆</w:t>
                  </w:r>
                </w:p>
              </w:tc>
            </w:tr>
            <w:tr w14:paraId="3990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3F6B2670">
                  <w:pPr>
                    <w:pStyle w:val="53"/>
                    <w:spacing w:beforeLines="0" w:afterLines="0" w:line="240" w:lineRule="auto"/>
                    <w:ind w:firstLine="0" w:firstLineChars="0"/>
                    <w:rPr>
                      <w:rFonts w:ascii="Times New Roman"/>
                      <w:b/>
                      <w:color w:val="auto"/>
                      <w:szCs w:val="21"/>
                    </w:rPr>
                  </w:pPr>
                  <w:r>
                    <w:rPr>
                      <w:rFonts w:ascii="Times New Roman"/>
                      <w:color w:val="auto"/>
                      <w:szCs w:val="21"/>
                    </w:rPr>
                    <w:t>装载机</w:t>
                  </w:r>
                </w:p>
              </w:tc>
              <w:tc>
                <w:tcPr>
                  <w:tcW w:w="3279" w:type="dxa"/>
                  <w:vAlign w:val="center"/>
                </w:tcPr>
                <w:p w14:paraId="751930BE">
                  <w:pPr>
                    <w:pStyle w:val="53"/>
                    <w:spacing w:beforeLines="0" w:afterLines="0" w:line="240" w:lineRule="auto"/>
                    <w:ind w:firstLine="0" w:firstLineChars="0"/>
                    <w:rPr>
                      <w:rFonts w:ascii="Times New Roman"/>
                      <w:b/>
                      <w:color w:val="auto"/>
                      <w:szCs w:val="21"/>
                    </w:rPr>
                  </w:pPr>
                  <w:r>
                    <w:rPr>
                      <w:rFonts w:ascii="Times New Roman"/>
                      <w:color w:val="auto"/>
                      <w:szCs w:val="21"/>
                    </w:rPr>
                    <w:t>ZJ50</w:t>
                  </w:r>
                </w:p>
              </w:tc>
              <w:tc>
                <w:tcPr>
                  <w:tcW w:w="3279" w:type="dxa"/>
                  <w:vAlign w:val="center"/>
                </w:tcPr>
                <w:p w14:paraId="0166A236">
                  <w:pPr>
                    <w:pStyle w:val="53"/>
                    <w:spacing w:beforeLines="0" w:afterLines="0" w:line="240" w:lineRule="auto"/>
                    <w:ind w:firstLine="0" w:firstLineChars="0"/>
                    <w:rPr>
                      <w:rFonts w:ascii="Times New Roman"/>
                      <w:b/>
                      <w:color w:val="auto"/>
                      <w:szCs w:val="21"/>
                    </w:rPr>
                  </w:pPr>
                  <w:r>
                    <w:rPr>
                      <w:rFonts w:ascii="Times New Roman"/>
                      <w:color w:val="auto"/>
                      <w:szCs w:val="21"/>
                    </w:rPr>
                    <w:t>2台</w:t>
                  </w:r>
                </w:p>
              </w:tc>
            </w:tr>
            <w:tr w14:paraId="38BA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63A8F1D6">
                  <w:pPr>
                    <w:pStyle w:val="53"/>
                    <w:spacing w:beforeLines="0" w:afterLines="0" w:line="240" w:lineRule="auto"/>
                    <w:ind w:firstLine="0" w:firstLineChars="0"/>
                    <w:rPr>
                      <w:rFonts w:ascii="Times New Roman"/>
                      <w:b/>
                      <w:color w:val="auto"/>
                      <w:szCs w:val="21"/>
                    </w:rPr>
                  </w:pPr>
                  <w:r>
                    <w:rPr>
                      <w:rFonts w:ascii="Times New Roman"/>
                      <w:color w:val="auto"/>
                      <w:szCs w:val="21"/>
                    </w:rPr>
                    <w:t>水泥筒仓</w:t>
                  </w:r>
                </w:p>
              </w:tc>
              <w:tc>
                <w:tcPr>
                  <w:tcW w:w="3279" w:type="dxa"/>
                  <w:vAlign w:val="center"/>
                </w:tcPr>
                <w:p w14:paraId="34FE344D">
                  <w:pPr>
                    <w:pStyle w:val="53"/>
                    <w:spacing w:beforeLines="0" w:afterLines="0" w:line="240" w:lineRule="auto"/>
                    <w:ind w:firstLine="0" w:firstLineChars="0"/>
                    <w:rPr>
                      <w:rFonts w:ascii="Times New Roman"/>
                      <w:b/>
                      <w:color w:val="auto"/>
                      <w:szCs w:val="21"/>
                    </w:rPr>
                  </w:pPr>
                  <w:r>
                    <w:rPr>
                      <w:rFonts w:ascii="Times New Roman"/>
                      <w:color w:val="auto"/>
                      <w:szCs w:val="21"/>
                    </w:rPr>
                    <w:t>200t</w:t>
                  </w:r>
                </w:p>
              </w:tc>
              <w:tc>
                <w:tcPr>
                  <w:tcW w:w="3279" w:type="dxa"/>
                  <w:vAlign w:val="center"/>
                </w:tcPr>
                <w:p w14:paraId="58FCD554">
                  <w:pPr>
                    <w:pStyle w:val="53"/>
                    <w:spacing w:beforeLines="0" w:afterLines="0" w:line="240" w:lineRule="auto"/>
                    <w:ind w:firstLine="0" w:firstLineChars="0"/>
                    <w:rPr>
                      <w:rFonts w:ascii="Times New Roman"/>
                      <w:b/>
                      <w:color w:val="auto"/>
                      <w:szCs w:val="21"/>
                    </w:rPr>
                  </w:pPr>
                  <w:r>
                    <w:rPr>
                      <w:rFonts w:ascii="Times New Roman"/>
                      <w:color w:val="auto"/>
                      <w:szCs w:val="21"/>
                    </w:rPr>
                    <w:t>2个</w:t>
                  </w:r>
                </w:p>
              </w:tc>
            </w:tr>
            <w:tr w14:paraId="6540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789495AE">
                  <w:pPr>
                    <w:pStyle w:val="53"/>
                    <w:spacing w:beforeLines="0" w:afterLines="0" w:line="240" w:lineRule="auto"/>
                    <w:ind w:firstLine="0" w:firstLineChars="0"/>
                    <w:rPr>
                      <w:rFonts w:ascii="Times New Roman"/>
                      <w:b/>
                      <w:color w:val="auto"/>
                      <w:szCs w:val="21"/>
                    </w:rPr>
                  </w:pPr>
                  <w:r>
                    <w:rPr>
                      <w:rFonts w:ascii="Times New Roman"/>
                      <w:color w:val="auto"/>
                      <w:szCs w:val="21"/>
                    </w:rPr>
                    <w:t>矿粉筒仓</w:t>
                  </w:r>
                </w:p>
              </w:tc>
              <w:tc>
                <w:tcPr>
                  <w:tcW w:w="3279" w:type="dxa"/>
                  <w:vAlign w:val="center"/>
                </w:tcPr>
                <w:p w14:paraId="46DE7782">
                  <w:pPr>
                    <w:pStyle w:val="53"/>
                    <w:spacing w:beforeLines="0" w:afterLines="0" w:line="240" w:lineRule="auto"/>
                    <w:ind w:firstLine="0" w:firstLineChars="0"/>
                    <w:rPr>
                      <w:rFonts w:ascii="Times New Roman"/>
                      <w:b/>
                      <w:color w:val="auto"/>
                      <w:szCs w:val="21"/>
                    </w:rPr>
                  </w:pPr>
                  <w:r>
                    <w:rPr>
                      <w:rFonts w:ascii="Times New Roman"/>
                      <w:color w:val="auto"/>
                      <w:szCs w:val="21"/>
                    </w:rPr>
                    <w:t>200t</w:t>
                  </w:r>
                </w:p>
              </w:tc>
              <w:tc>
                <w:tcPr>
                  <w:tcW w:w="3279" w:type="dxa"/>
                  <w:vAlign w:val="center"/>
                </w:tcPr>
                <w:p w14:paraId="1195D585">
                  <w:pPr>
                    <w:pStyle w:val="53"/>
                    <w:spacing w:beforeLines="0" w:afterLines="0" w:line="240" w:lineRule="auto"/>
                    <w:ind w:firstLine="0" w:firstLineChars="0"/>
                    <w:rPr>
                      <w:rFonts w:ascii="Times New Roman"/>
                      <w:b/>
                      <w:color w:val="auto"/>
                      <w:szCs w:val="21"/>
                    </w:rPr>
                  </w:pPr>
                  <w:r>
                    <w:rPr>
                      <w:rFonts w:ascii="Times New Roman"/>
                      <w:color w:val="auto"/>
                      <w:szCs w:val="21"/>
                    </w:rPr>
                    <w:t>1个</w:t>
                  </w:r>
                </w:p>
              </w:tc>
            </w:tr>
            <w:tr w14:paraId="6078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1562488C">
                  <w:pPr>
                    <w:pStyle w:val="53"/>
                    <w:spacing w:beforeLines="0" w:afterLines="0" w:line="240" w:lineRule="auto"/>
                    <w:ind w:firstLine="0" w:firstLineChars="0"/>
                    <w:rPr>
                      <w:rFonts w:ascii="Times New Roman"/>
                      <w:b/>
                      <w:color w:val="auto"/>
                      <w:szCs w:val="21"/>
                    </w:rPr>
                  </w:pPr>
                  <w:r>
                    <w:rPr>
                      <w:rFonts w:ascii="Times New Roman"/>
                      <w:color w:val="auto"/>
                      <w:szCs w:val="21"/>
                    </w:rPr>
                    <w:t>粉煤灰筒仓</w:t>
                  </w:r>
                </w:p>
              </w:tc>
              <w:tc>
                <w:tcPr>
                  <w:tcW w:w="3279" w:type="dxa"/>
                  <w:vAlign w:val="center"/>
                </w:tcPr>
                <w:p w14:paraId="59D6CFFD">
                  <w:pPr>
                    <w:pStyle w:val="53"/>
                    <w:spacing w:beforeLines="0" w:afterLines="0" w:line="240" w:lineRule="auto"/>
                    <w:ind w:firstLine="0" w:firstLineChars="0"/>
                    <w:rPr>
                      <w:rFonts w:ascii="Times New Roman"/>
                      <w:b/>
                      <w:color w:val="auto"/>
                      <w:szCs w:val="21"/>
                    </w:rPr>
                  </w:pPr>
                  <w:r>
                    <w:rPr>
                      <w:rFonts w:ascii="Times New Roman"/>
                      <w:color w:val="auto"/>
                      <w:szCs w:val="21"/>
                    </w:rPr>
                    <w:t>200t</w:t>
                  </w:r>
                </w:p>
              </w:tc>
              <w:tc>
                <w:tcPr>
                  <w:tcW w:w="3279" w:type="dxa"/>
                  <w:vAlign w:val="center"/>
                </w:tcPr>
                <w:p w14:paraId="27A618FD">
                  <w:pPr>
                    <w:pStyle w:val="53"/>
                    <w:spacing w:beforeLines="0" w:afterLines="0" w:line="240" w:lineRule="auto"/>
                    <w:ind w:firstLine="0" w:firstLineChars="0"/>
                    <w:rPr>
                      <w:rFonts w:ascii="Times New Roman"/>
                      <w:b/>
                      <w:color w:val="auto"/>
                      <w:szCs w:val="21"/>
                    </w:rPr>
                  </w:pPr>
                  <w:r>
                    <w:rPr>
                      <w:rFonts w:ascii="Times New Roman"/>
                      <w:color w:val="auto"/>
                      <w:szCs w:val="21"/>
                    </w:rPr>
                    <w:t>1个</w:t>
                  </w:r>
                </w:p>
              </w:tc>
            </w:tr>
            <w:tr w14:paraId="2CD5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17956A8D">
                  <w:pPr>
                    <w:pStyle w:val="53"/>
                    <w:spacing w:beforeLines="0" w:afterLines="0" w:line="240" w:lineRule="auto"/>
                    <w:ind w:firstLine="0" w:firstLineChars="0"/>
                    <w:rPr>
                      <w:rFonts w:ascii="Times New Roman"/>
                      <w:b/>
                      <w:color w:val="auto"/>
                      <w:szCs w:val="21"/>
                    </w:rPr>
                  </w:pPr>
                  <w:r>
                    <w:rPr>
                      <w:rFonts w:hint="eastAsia" w:ascii="Times New Roman"/>
                      <w:color w:val="auto"/>
                      <w:szCs w:val="21"/>
                    </w:rPr>
                    <w:t>打砂机</w:t>
                  </w:r>
                </w:p>
              </w:tc>
              <w:tc>
                <w:tcPr>
                  <w:tcW w:w="3279" w:type="dxa"/>
                  <w:vAlign w:val="center"/>
                </w:tcPr>
                <w:p w14:paraId="100E5995">
                  <w:pPr>
                    <w:pStyle w:val="53"/>
                    <w:spacing w:beforeLines="0" w:afterLines="0" w:line="240" w:lineRule="auto"/>
                    <w:ind w:firstLine="0" w:firstLineChars="0"/>
                    <w:rPr>
                      <w:rFonts w:ascii="Times New Roman"/>
                      <w:b/>
                      <w:color w:val="auto"/>
                      <w:szCs w:val="21"/>
                    </w:rPr>
                  </w:pPr>
                  <w:r>
                    <w:rPr>
                      <w:rFonts w:hint="eastAsia" w:ascii="Times New Roman"/>
                      <w:color w:val="auto"/>
                      <w:szCs w:val="21"/>
                    </w:rPr>
                    <w:t>/</w:t>
                  </w:r>
                </w:p>
              </w:tc>
              <w:tc>
                <w:tcPr>
                  <w:tcW w:w="3279" w:type="dxa"/>
                  <w:vAlign w:val="center"/>
                </w:tcPr>
                <w:p w14:paraId="760622F9">
                  <w:pPr>
                    <w:pStyle w:val="53"/>
                    <w:spacing w:beforeLines="0" w:afterLines="0" w:line="240" w:lineRule="auto"/>
                    <w:ind w:firstLine="0" w:firstLineChars="0"/>
                    <w:rPr>
                      <w:rFonts w:ascii="Times New Roman"/>
                      <w:b/>
                      <w:color w:val="auto"/>
                      <w:szCs w:val="21"/>
                    </w:rPr>
                  </w:pPr>
                  <w:r>
                    <w:rPr>
                      <w:rFonts w:ascii="Times New Roman"/>
                      <w:color w:val="auto"/>
                      <w:szCs w:val="21"/>
                    </w:rPr>
                    <w:t>1台</w:t>
                  </w:r>
                </w:p>
              </w:tc>
            </w:tr>
            <w:tr w14:paraId="6E11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77F8C8C0">
                  <w:pPr>
                    <w:pStyle w:val="53"/>
                    <w:spacing w:beforeLines="0" w:afterLines="0" w:line="240" w:lineRule="auto"/>
                    <w:ind w:firstLine="0" w:firstLineChars="0"/>
                    <w:rPr>
                      <w:rFonts w:ascii="Times New Roman"/>
                      <w:b/>
                      <w:color w:val="auto"/>
                      <w:szCs w:val="21"/>
                    </w:rPr>
                  </w:pPr>
                  <w:r>
                    <w:rPr>
                      <w:rFonts w:ascii="Times New Roman"/>
                      <w:color w:val="auto"/>
                      <w:szCs w:val="21"/>
                    </w:rPr>
                    <w:t>振动筛</w:t>
                  </w:r>
                </w:p>
              </w:tc>
              <w:tc>
                <w:tcPr>
                  <w:tcW w:w="3279" w:type="dxa"/>
                  <w:vAlign w:val="center"/>
                </w:tcPr>
                <w:p w14:paraId="5AD53CD9">
                  <w:pPr>
                    <w:pStyle w:val="53"/>
                    <w:spacing w:beforeLines="0" w:afterLines="0" w:line="240" w:lineRule="auto"/>
                    <w:ind w:firstLine="0" w:firstLineChars="0"/>
                    <w:rPr>
                      <w:rFonts w:ascii="Times New Roman"/>
                      <w:b/>
                      <w:color w:val="auto"/>
                      <w:szCs w:val="21"/>
                    </w:rPr>
                  </w:pPr>
                  <w:r>
                    <w:rPr>
                      <w:rFonts w:hint="eastAsia" w:ascii="Times New Roman"/>
                      <w:color w:val="auto"/>
                      <w:szCs w:val="21"/>
                    </w:rPr>
                    <w:t>/</w:t>
                  </w:r>
                </w:p>
              </w:tc>
              <w:tc>
                <w:tcPr>
                  <w:tcW w:w="3279" w:type="dxa"/>
                  <w:vAlign w:val="center"/>
                </w:tcPr>
                <w:p w14:paraId="70D96872">
                  <w:pPr>
                    <w:pStyle w:val="53"/>
                    <w:spacing w:beforeLines="0" w:afterLines="0" w:line="240" w:lineRule="auto"/>
                    <w:ind w:firstLine="0" w:firstLineChars="0"/>
                    <w:rPr>
                      <w:rFonts w:ascii="Times New Roman"/>
                      <w:b/>
                      <w:color w:val="auto"/>
                      <w:szCs w:val="21"/>
                    </w:rPr>
                  </w:pPr>
                  <w:r>
                    <w:rPr>
                      <w:rFonts w:ascii="Times New Roman"/>
                      <w:color w:val="auto"/>
                      <w:szCs w:val="21"/>
                    </w:rPr>
                    <w:t>1台</w:t>
                  </w:r>
                </w:p>
              </w:tc>
            </w:tr>
            <w:tr w14:paraId="27B9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3B234030">
                  <w:pPr>
                    <w:pStyle w:val="53"/>
                    <w:spacing w:beforeLines="0" w:afterLines="0" w:line="240" w:lineRule="auto"/>
                    <w:ind w:firstLine="0" w:firstLineChars="0"/>
                    <w:rPr>
                      <w:rFonts w:ascii="Times New Roman"/>
                      <w:b/>
                      <w:color w:val="auto"/>
                      <w:szCs w:val="21"/>
                    </w:rPr>
                  </w:pPr>
                  <w:r>
                    <w:rPr>
                      <w:rFonts w:ascii="Times New Roman"/>
                      <w:color w:val="auto"/>
                      <w:szCs w:val="21"/>
                    </w:rPr>
                    <w:t>称量系统</w:t>
                  </w:r>
                </w:p>
              </w:tc>
              <w:tc>
                <w:tcPr>
                  <w:tcW w:w="3279" w:type="dxa"/>
                  <w:vAlign w:val="center"/>
                </w:tcPr>
                <w:p w14:paraId="01BDB963">
                  <w:pPr>
                    <w:pStyle w:val="53"/>
                    <w:spacing w:beforeLines="0" w:afterLines="0" w:line="240" w:lineRule="auto"/>
                    <w:ind w:firstLine="0" w:firstLineChars="0"/>
                    <w:rPr>
                      <w:rFonts w:ascii="Times New Roman"/>
                      <w:b/>
                      <w:color w:val="auto"/>
                      <w:szCs w:val="21"/>
                    </w:rPr>
                  </w:pPr>
                  <w:r>
                    <w:rPr>
                      <w:rFonts w:ascii="Times New Roman"/>
                      <w:color w:val="auto"/>
                      <w:szCs w:val="21"/>
                    </w:rPr>
                    <w:t>100t</w:t>
                  </w:r>
                </w:p>
              </w:tc>
              <w:tc>
                <w:tcPr>
                  <w:tcW w:w="3279" w:type="dxa"/>
                  <w:vAlign w:val="center"/>
                </w:tcPr>
                <w:p w14:paraId="22B4B9F8">
                  <w:pPr>
                    <w:pStyle w:val="53"/>
                    <w:spacing w:beforeLines="0" w:afterLines="0" w:line="240" w:lineRule="auto"/>
                    <w:ind w:firstLine="0" w:firstLineChars="0"/>
                    <w:rPr>
                      <w:rFonts w:ascii="Times New Roman"/>
                      <w:b/>
                      <w:color w:val="auto"/>
                      <w:szCs w:val="21"/>
                    </w:rPr>
                  </w:pPr>
                  <w:r>
                    <w:rPr>
                      <w:rFonts w:ascii="Times New Roman"/>
                      <w:color w:val="auto"/>
                      <w:szCs w:val="21"/>
                    </w:rPr>
                    <w:t>1套</w:t>
                  </w:r>
                </w:p>
              </w:tc>
            </w:tr>
            <w:tr w14:paraId="6870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35" w:type="dxa"/>
                  <w:gridSpan w:val="3"/>
                  <w:vAlign w:val="center"/>
                </w:tcPr>
                <w:p w14:paraId="26897250">
                  <w:pPr>
                    <w:pStyle w:val="53"/>
                    <w:spacing w:beforeLines="0" w:afterLines="0" w:line="240" w:lineRule="auto"/>
                    <w:ind w:firstLine="0" w:firstLineChars="0"/>
                    <w:rPr>
                      <w:rFonts w:ascii="Times New Roman"/>
                      <w:b/>
                      <w:color w:val="auto"/>
                      <w:szCs w:val="21"/>
                    </w:rPr>
                  </w:pPr>
                  <w:r>
                    <w:rPr>
                      <w:rFonts w:ascii="Times New Roman"/>
                      <w:b/>
                      <w:bCs/>
                      <w:color w:val="auto"/>
                      <w:szCs w:val="21"/>
                    </w:rPr>
                    <w:t>扩建完成后全厂</w:t>
                  </w:r>
                  <w:r>
                    <w:rPr>
                      <w:rFonts w:hint="eastAsia" w:ascii="Times New Roman"/>
                      <w:b/>
                      <w:bCs/>
                      <w:color w:val="auto"/>
                      <w:szCs w:val="21"/>
                    </w:rPr>
                    <w:t>主要</w:t>
                  </w:r>
                  <w:r>
                    <w:rPr>
                      <w:rFonts w:hint="eastAsia"/>
                      <w:b/>
                      <w:bCs/>
                      <w:color w:val="auto"/>
                      <w:szCs w:val="21"/>
                    </w:rPr>
                    <w:t>设备</w:t>
                  </w:r>
                </w:p>
              </w:tc>
            </w:tr>
            <w:tr w14:paraId="1EFB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1FC5472E">
                  <w:pPr>
                    <w:ind w:firstLine="0" w:firstLineChars="0"/>
                    <w:jc w:val="center"/>
                    <w:rPr>
                      <w:b/>
                      <w:color w:val="auto"/>
                      <w:szCs w:val="21"/>
                    </w:rPr>
                  </w:pPr>
                  <w:r>
                    <w:rPr>
                      <w:rFonts w:hint="eastAsia" w:eastAsiaTheme="minorEastAsia"/>
                      <w:color w:val="auto"/>
                      <w:szCs w:val="21"/>
                    </w:rPr>
                    <w:t>混凝土</w:t>
                  </w:r>
                  <w:r>
                    <w:rPr>
                      <w:rFonts w:eastAsiaTheme="minorEastAsia"/>
                      <w:color w:val="auto"/>
                      <w:szCs w:val="21"/>
                    </w:rPr>
                    <w:t>运输车</w:t>
                  </w:r>
                </w:p>
              </w:tc>
              <w:tc>
                <w:tcPr>
                  <w:tcW w:w="3279" w:type="dxa"/>
                  <w:vAlign w:val="center"/>
                </w:tcPr>
                <w:p w14:paraId="266B3601">
                  <w:pPr>
                    <w:pStyle w:val="53"/>
                    <w:spacing w:beforeLines="0" w:afterLines="0" w:line="240" w:lineRule="auto"/>
                    <w:ind w:firstLine="0" w:firstLineChars="0"/>
                    <w:rPr>
                      <w:rFonts w:hint="default" w:ascii="Times New Roman" w:hAnsi="Times New Roman" w:cs="Times New Roman"/>
                      <w:b/>
                      <w:color w:val="auto"/>
                      <w:szCs w:val="21"/>
                    </w:rPr>
                  </w:pPr>
                  <w:r>
                    <w:rPr>
                      <w:rFonts w:hint="default" w:ascii="Times New Roman" w:hAnsi="Times New Roman" w:cs="Times New Roman" w:eastAsiaTheme="minorEastAsia"/>
                      <w:color w:val="auto"/>
                      <w:szCs w:val="21"/>
                    </w:rPr>
                    <w:t>10m³</w:t>
                  </w:r>
                </w:p>
              </w:tc>
              <w:tc>
                <w:tcPr>
                  <w:tcW w:w="3279" w:type="dxa"/>
                  <w:vAlign w:val="center"/>
                </w:tcPr>
                <w:p w14:paraId="50B08D5B">
                  <w:pPr>
                    <w:ind w:firstLine="0" w:firstLineChars="0"/>
                    <w:jc w:val="center"/>
                    <w:rPr>
                      <w:rFonts w:hint="default" w:ascii="Times New Roman" w:hAnsi="Times New Roman" w:cs="Times New Roman"/>
                      <w:b/>
                      <w:color w:val="auto"/>
                      <w:szCs w:val="21"/>
                    </w:rPr>
                  </w:pPr>
                  <w:r>
                    <w:rPr>
                      <w:rFonts w:hint="default" w:ascii="Times New Roman" w:hAnsi="Times New Roman" w:cs="Times New Roman" w:eastAsiaTheme="minorEastAsia"/>
                      <w:color w:val="auto"/>
                      <w:szCs w:val="21"/>
                    </w:rPr>
                    <w:t>22辆</w:t>
                  </w:r>
                </w:p>
              </w:tc>
            </w:tr>
            <w:tr w14:paraId="4865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66657D9F">
                  <w:pPr>
                    <w:ind w:firstLine="0" w:firstLineChars="0"/>
                    <w:jc w:val="center"/>
                    <w:rPr>
                      <w:b/>
                      <w:color w:val="auto"/>
                      <w:szCs w:val="21"/>
                    </w:rPr>
                  </w:pPr>
                  <w:r>
                    <w:rPr>
                      <w:rFonts w:eastAsiaTheme="minorEastAsia"/>
                      <w:color w:val="auto"/>
                      <w:szCs w:val="21"/>
                    </w:rPr>
                    <w:t>泵车</w:t>
                  </w:r>
                </w:p>
              </w:tc>
              <w:tc>
                <w:tcPr>
                  <w:tcW w:w="3279" w:type="dxa"/>
                  <w:vAlign w:val="center"/>
                </w:tcPr>
                <w:p w14:paraId="697E3887">
                  <w:pPr>
                    <w:pStyle w:val="53"/>
                    <w:spacing w:beforeLines="0" w:afterLines="0" w:line="240" w:lineRule="auto"/>
                    <w:ind w:firstLine="0" w:firstLineChars="0"/>
                    <w:rPr>
                      <w:rFonts w:hint="default" w:ascii="Times New Roman" w:hAnsi="Times New Roman" w:cs="Times New Roman"/>
                      <w:b/>
                      <w:color w:val="auto"/>
                      <w:szCs w:val="21"/>
                    </w:rPr>
                  </w:pPr>
                  <w:r>
                    <w:rPr>
                      <w:rFonts w:hint="default" w:ascii="Times New Roman" w:hAnsi="Times New Roman" w:cs="Times New Roman" w:eastAsiaTheme="minorEastAsia"/>
                      <w:color w:val="auto"/>
                      <w:szCs w:val="21"/>
                    </w:rPr>
                    <w:t>37m</w:t>
                  </w:r>
                </w:p>
              </w:tc>
              <w:tc>
                <w:tcPr>
                  <w:tcW w:w="3279" w:type="dxa"/>
                  <w:vAlign w:val="center"/>
                </w:tcPr>
                <w:p w14:paraId="17D20C8D">
                  <w:pPr>
                    <w:ind w:firstLine="0" w:firstLineChars="0"/>
                    <w:jc w:val="center"/>
                    <w:rPr>
                      <w:rFonts w:hint="default" w:ascii="Times New Roman" w:hAnsi="Times New Roman" w:cs="Times New Roman"/>
                      <w:b/>
                      <w:color w:val="auto"/>
                      <w:szCs w:val="21"/>
                    </w:rPr>
                  </w:pPr>
                  <w:r>
                    <w:rPr>
                      <w:rFonts w:hint="default" w:ascii="Times New Roman" w:hAnsi="Times New Roman" w:cs="Times New Roman" w:eastAsiaTheme="minorEastAsia"/>
                      <w:color w:val="auto"/>
                      <w:szCs w:val="21"/>
                    </w:rPr>
                    <w:t>2台</w:t>
                  </w:r>
                </w:p>
              </w:tc>
            </w:tr>
            <w:tr w14:paraId="07E9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552B9C93">
                  <w:pPr>
                    <w:ind w:firstLine="0" w:firstLineChars="0"/>
                    <w:jc w:val="center"/>
                    <w:rPr>
                      <w:b/>
                      <w:color w:val="auto"/>
                      <w:szCs w:val="21"/>
                    </w:rPr>
                  </w:pPr>
                  <w:r>
                    <w:rPr>
                      <w:rFonts w:eastAsiaTheme="minorEastAsia"/>
                      <w:color w:val="auto"/>
                      <w:szCs w:val="21"/>
                    </w:rPr>
                    <w:t>地磅</w:t>
                  </w:r>
                </w:p>
              </w:tc>
              <w:tc>
                <w:tcPr>
                  <w:tcW w:w="3279" w:type="dxa"/>
                  <w:vAlign w:val="center"/>
                </w:tcPr>
                <w:p w14:paraId="01B5EF84">
                  <w:pPr>
                    <w:ind w:firstLine="0" w:firstLineChars="0"/>
                    <w:jc w:val="center"/>
                    <w:rPr>
                      <w:b/>
                      <w:color w:val="auto"/>
                      <w:szCs w:val="21"/>
                    </w:rPr>
                  </w:pPr>
                  <w:r>
                    <w:rPr>
                      <w:rFonts w:eastAsiaTheme="minorEastAsia"/>
                      <w:color w:val="auto"/>
                      <w:szCs w:val="21"/>
                    </w:rPr>
                    <w:t>80吨</w:t>
                  </w:r>
                </w:p>
              </w:tc>
              <w:tc>
                <w:tcPr>
                  <w:tcW w:w="3279" w:type="dxa"/>
                  <w:vAlign w:val="center"/>
                </w:tcPr>
                <w:p w14:paraId="4B0A4240">
                  <w:pPr>
                    <w:ind w:firstLine="0" w:firstLineChars="0"/>
                    <w:jc w:val="center"/>
                    <w:rPr>
                      <w:b/>
                      <w:color w:val="auto"/>
                      <w:szCs w:val="21"/>
                    </w:rPr>
                  </w:pPr>
                  <w:r>
                    <w:rPr>
                      <w:rFonts w:eastAsiaTheme="minorEastAsia"/>
                      <w:color w:val="auto"/>
                      <w:szCs w:val="21"/>
                    </w:rPr>
                    <w:t>1</w:t>
                  </w:r>
                  <w:r>
                    <w:rPr>
                      <w:rFonts w:hint="eastAsia" w:eastAsiaTheme="minorEastAsia"/>
                      <w:color w:val="auto"/>
                      <w:szCs w:val="21"/>
                    </w:rPr>
                    <w:t>套</w:t>
                  </w:r>
                </w:p>
              </w:tc>
            </w:tr>
            <w:tr w14:paraId="26EB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2FD03627">
                  <w:pPr>
                    <w:ind w:firstLine="0" w:firstLineChars="0"/>
                    <w:jc w:val="center"/>
                    <w:rPr>
                      <w:b/>
                      <w:color w:val="auto"/>
                      <w:szCs w:val="21"/>
                    </w:rPr>
                  </w:pPr>
                  <w:r>
                    <w:rPr>
                      <w:rFonts w:eastAsiaTheme="minorEastAsia"/>
                      <w:color w:val="auto"/>
                      <w:szCs w:val="21"/>
                    </w:rPr>
                    <w:t>装载机</w:t>
                  </w:r>
                </w:p>
              </w:tc>
              <w:tc>
                <w:tcPr>
                  <w:tcW w:w="3279" w:type="dxa"/>
                  <w:vAlign w:val="center"/>
                </w:tcPr>
                <w:p w14:paraId="53A3BE40">
                  <w:pPr>
                    <w:ind w:firstLine="0" w:firstLineChars="0"/>
                    <w:jc w:val="center"/>
                    <w:rPr>
                      <w:b/>
                      <w:color w:val="auto"/>
                      <w:szCs w:val="21"/>
                    </w:rPr>
                  </w:pPr>
                  <w:r>
                    <w:rPr>
                      <w:rFonts w:eastAsiaTheme="minorEastAsia"/>
                      <w:color w:val="auto"/>
                      <w:szCs w:val="21"/>
                    </w:rPr>
                    <w:t>ZL50</w:t>
                  </w:r>
                </w:p>
              </w:tc>
              <w:tc>
                <w:tcPr>
                  <w:tcW w:w="3279" w:type="dxa"/>
                  <w:vAlign w:val="center"/>
                </w:tcPr>
                <w:p w14:paraId="20D3311D">
                  <w:pPr>
                    <w:ind w:firstLine="0" w:firstLineChars="0"/>
                    <w:jc w:val="center"/>
                    <w:rPr>
                      <w:b/>
                      <w:color w:val="auto"/>
                      <w:szCs w:val="21"/>
                    </w:rPr>
                  </w:pPr>
                  <w:r>
                    <w:rPr>
                      <w:rFonts w:hint="eastAsia" w:eastAsiaTheme="minorEastAsia"/>
                      <w:color w:val="auto"/>
                      <w:szCs w:val="21"/>
                    </w:rPr>
                    <w:t>4</w:t>
                  </w:r>
                  <w:r>
                    <w:rPr>
                      <w:rFonts w:eastAsiaTheme="minorEastAsia"/>
                      <w:color w:val="auto"/>
                      <w:szCs w:val="21"/>
                    </w:rPr>
                    <w:t>台</w:t>
                  </w:r>
                </w:p>
              </w:tc>
            </w:tr>
            <w:tr w14:paraId="5E20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71AB33F7">
                  <w:pPr>
                    <w:ind w:firstLine="0" w:firstLineChars="0"/>
                    <w:jc w:val="center"/>
                    <w:rPr>
                      <w:b/>
                      <w:color w:val="auto"/>
                      <w:szCs w:val="21"/>
                    </w:rPr>
                  </w:pPr>
                  <w:r>
                    <w:rPr>
                      <w:rFonts w:eastAsiaTheme="minorEastAsia"/>
                      <w:color w:val="auto"/>
                      <w:szCs w:val="21"/>
                    </w:rPr>
                    <w:t>混泥土运输泵</w:t>
                  </w:r>
                </w:p>
              </w:tc>
              <w:tc>
                <w:tcPr>
                  <w:tcW w:w="3279" w:type="dxa"/>
                  <w:vAlign w:val="center"/>
                </w:tcPr>
                <w:p w14:paraId="12B954E5">
                  <w:pPr>
                    <w:ind w:firstLine="0" w:firstLineChars="0"/>
                    <w:jc w:val="center"/>
                    <w:rPr>
                      <w:b/>
                      <w:color w:val="auto"/>
                      <w:szCs w:val="21"/>
                    </w:rPr>
                  </w:pPr>
                  <w:r>
                    <w:rPr>
                      <w:rFonts w:eastAsiaTheme="minorEastAsia"/>
                      <w:color w:val="auto"/>
                      <w:szCs w:val="21"/>
                    </w:rPr>
                    <w:t>HBT</w:t>
                  </w:r>
                </w:p>
              </w:tc>
              <w:tc>
                <w:tcPr>
                  <w:tcW w:w="3279" w:type="dxa"/>
                  <w:vAlign w:val="center"/>
                </w:tcPr>
                <w:p w14:paraId="5A5DF751">
                  <w:pPr>
                    <w:ind w:firstLine="0" w:firstLineChars="0"/>
                    <w:jc w:val="center"/>
                    <w:rPr>
                      <w:b/>
                      <w:color w:val="auto"/>
                      <w:szCs w:val="21"/>
                    </w:rPr>
                  </w:pPr>
                  <w:r>
                    <w:rPr>
                      <w:rFonts w:eastAsiaTheme="minorEastAsia"/>
                      <w:color w:val="auto"/>
                      <w:szCs w:val="21"/>
                    </w:rPr>
                    <w:t>2台</w:t>
                  </w:r>
                </w:p>
              </w:tc>
            </w:tr>
            <w:tr w14:paraId="4B87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01A6CAF8">
                  <w:pPr>
                    <w:ind w:firstLine="0" w:firstLineChars="0"/>
                    <w:jc w:val="center"/>
                    <w:rPr>
                      <w:b/>
                      <w:color w:val="auto"/>
                      <w:szCs w:val="21"/>
                    </w:rPr>
                  </w:pPr>
                  <w:r>
                    <w:rPr>
                      <w:rFonts w:eastAsiaTheme="minorEastAsia"/>
                      <w:color w:val="auto"/>
                      <w:szCs w:val="21"/>
                    </w:rPr>
                    <w:t>电子秤</w:t>
                  </w:r>
                </w:p>
              </w:tc>
              <w:tc>
                <w:tcPr>
                  <w:tcW w:w="3279" w:type="dxa"/>
                  <w:vAlign w:val="center"/>
                </w:tcPr>
                <w:p w14:paraId="34C822DC">
                  <w:pPr>
                    <w:ind w:firstLine="0" w:firstLineChars="0"/>
                    <w:jc w:val="center"/>
                    <w:rPr>
                      <w:b/>
                      <w:color w:val="auto"/>
                      <w:szCs w:val="21"/>
                    </w:rPr>
                  </w:pPr>
                  <w:r>
                    <w:rPr>
                      <w:rFonts w:hint="eastAsia"/>
                      <w:color w:val="auto"/>
                      <w:szCs w:val="21"/>
                    </w:rPr>
                    <w:t>/</w:t>
                  </w:r>
                </w:p>
              </w:tc>
              <w:tc>
                <w:tcPr>
                  <w:tcW w:w="3279" w:type="dxa"/>
                  <w:vAlign w:val="center"/>
                </w:tcPr>
                <w:p w14:paraId="18925A19">
                  <w:pPr>
                    <w:ind w:firstLine="0" w:firstLineChars="0"/>
                    <w:jc w:val="center"/>
                    <w:rPr>
                      <w:b/>
                      <w:color w:val="auto"/>
                      <w:szCs w:val="21"/>
                    </w:rPr>
                  </w:pPr>
                  <w:r>
                    <w:rPr>
                      <w:rFonts w:eastAsiaTheme="minorEastAsia"/>
                      <w:color w:val="auto"/>
                      <w:szCs w:val="21"/>
                    </w:rPr>
                    <w:t>1</w:t>
                  </w:r>
                  <w:r>
                    <w:rPr>
                      <w:rFonts w:hint="eastAsia" w:eastAsiaTheme="minorEastAsia"/>
                      <w:color w:val="auto"/>
                      <w:szCs w:val="21"/>
                    </w:rPr>
                    <w:t>个</w:t>
                  </w:r>
                </w:p>
              </w:tc>
            </w:tr>
            <w:tr w14:paraId="1607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017CD46B">
                  <w:pPr>
                    <w:ind w:firstLine="0" w:firstLineChars="0"/>
                    <w:jc w:val="center"/>
                    <w:rPr>
                      <w:rFonts w:hint="eastAsia" w:eastAsiaTheme="minorEastAsia"/>
                      <w:b/>
                      <w:color w:val="auto"/>
                      <w:szCs w:val="21"/>
                      <w:lang w:eastAsia="zh-CN"/>
                    </w:rPr>
                  </w:pPr>
                  <w:r>
                    <w:rPr>
                      <w:rFonts w:eastAsiaTheme="minorEastAsia"/>
                      <w:color w:val="auto"/>
                      <w:szCs w:val="21"/>
                    </w:rPr>
                    <w:t>搅拌</w:t>
                  </w:r>
                  <w:r>
                    <w:rPr>
                      <w:rFonts w:hint="eastAsia" w:eastAsiaTheme="minorEastAsia"/>
                      <w:color w:val="auto"/>
                      <w:szCs w:val="21"/>
                      <w:lang w:val="en-US" w:eastAsia="zh-CN"/>
                    </w:rPr>
                    <w:t>设备</w:t>
                  </w:r>
                </w:p>
              </w:tc>
              <w:tc>
                <w:tcPr>
                  <w:tcW w:w="3279" w:type="dxa"/>
                  <w:vAlign w:val="center"/>
                </w:tcPr>
                <w:p w14:paraId="65E73DCC">
                  <w:pPr>
                    <w:ind w:firstLine="0" w:firstLineChars="0"/>
                    <w:jc w:val="center"/>
                    <w:rPr>
                      <w:rFonts w:hint="default" w:eastAsiaTheme="minorEastAsia"/>
                      <w:b/>
                      <w:color w:val="auto"/>
                      <w:szCs w:val="21"/>
                      <w:lang w:val="en-US" w:eastAsia="zh-CN"/>
                    </w:rPr>
                  </w:pPr>
                  <w:r>
                    <w:rPr>
                      <w:rFonts w:eastAsiaTheme="minorEastAsia"/>
                      <w:color w:val="auto"/>
                      <w:szCs w:val="21"/>
                    </w:rPr>
                    <w:t>HZS</w:t>
                  </w:r>
                  <w:r>
                    <w:rPr>
                      <w:rFonts w:hint="eastAsia" w:eastAsiaTheme="minorEastAsia"/>
                      <w:color w:val="auto"/>
                      <w:szCs w:val="21"/>
                      <w:lang w:val="en-US" w:eastAsia="zh-CN"/>
                    </w:rPr>
                    <w:t>180</w:t>
                  </w:r>
                </w:p>
              </w:tc>
              <w:tc>
                <w:tcPr>
                  <w:tcW w:w="3279" w:type="dxa"/>
                  <w:vAlign w:val="center"/>
                </w:tcPr>
                <w:p w14:paraId="5B22FA86">
                  <w:pPr>
                    <w:ind w:firstLine="0" w:firstLineChars="0"/>
                    <w:jc w:val="center"/>
                    <w:rPr>
                      <w:rFonts w:hint="eastAsia" w:eastAsiaTheme="minorEastAsia"/>
                      <w:b/>
                      <w:color w:val="auto"/>
                      <w:szCs w:val="21"/>
                      <w:lang w:eastAsia="zh-CN"/>
                    </w:rPr>
                  </w:pPr>
                  <w:r>
                    <w:rPr>
                      <w:rFonts w:eastAsiaTheme="minorEastAsia"/>
                      <w:color w:val="auto"/>
                      <w:szCs w:val="21"/>
                    </w:rPr>
                    <w:t>2</w:t>
                  </w:r>
                  <w:r>
                    <w:rPr>
                      <w:rFonts w:hint="eastAsia" w:eastAsiaTheme="minorEastAsia"/>
                      <w:color w:val="auto"/>
                      <w:szCs w:val="21"/>
                      <w:lang w:val="en-US" w:eastAsia="zh-CN"/>
                    </w:rPr>
                    <w:t>台</w:t>
                  </w:r>
                </w:p>
              </w:tc>
            </w:tr>
            <w:tr w14:paraId="6EDD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12E9597D">
                  <w:pPr>
                    <w:ind w:firstLine="0" w:firstLineChars="0"/>
                    <w:jc w:val="center"/>
                    <w:rPr>
                      <w:b/>
                      <w:color w:val="auto"/>
                      <w:szCs w:val="21"/>
                    </w:rPr>
                  </w:pPr>
                  <w:r>
                    <w:rPr>
                      <w:rFonts w:hint="eastAsia" w:eastAsiaTheme="minorEastAsia"/>
                      <w:color w:val="auto"/>
                      <w:szCs w:val="21"/>
                    </w:rPr>
                    <w:t>输送皮带</w:t>
                  </w:r>
                </w:p>
              </w:tc>
              <w:tc>
                <w:tcPr>
                  <w:tcW w:w="3279" w:type="dxa"/>
                  <w:vAlign w:val="center"/>
                </w:tcPr>
                <w:p w14:paraId="48878CDC">
                  <w:pPr>
                    <w:ind w:firstLine="0" w:firstLineChars="0"/>
                    <w:jc w:val="center"/>
                    <w:rPr>
                      <w:b/>
                      <w:color w:val="auto"/>
                      <w:szCs w:val="21"/>
                    </w:rPr>
                  </w:pPr>
                  <w:r>
                    <w:rPr>
                      <w:rFonts w:hint="eastAsia"/>
                      <w:color w:val="auto"/>
                      <w:szCs w:val="21"/>
                    </w:rPr>
                    <w:t>/</w:t>
                  </w:r>
                </w:p>
              </w:tc>
              <w:tc>
                <w:tcPr>
                  <w:tcW w:w="3279" w:type="dxa"/>
                  <w:vAlign w:val="center"/>
                </w:tcPr>
                <w:p w14:paraId="151E4F90">
                  <w:pPr>
                    <w:ind w:firstLine="0" w:firstLineChars="0"/>
                    <w:jc w:val="center"/>
                    <w:rPr>
                      <w:b/>
                      <w:color w:val="auto"/>
                      <w:szCs w:val="21"/>
                    </w:rPr>
                  </w:pPr>
                  <w:r>
                    <w:rPr>
                      <w:rFonts w:hint="eastAsia" w:eastAsiaTheme="minorEastAsia"/>
                      <w:color w:val="auto"/>
                      <w:szCs w:val="21"/>
                    </w:rPr>
                    <w:t>4</w:t>
                  </w:r>
                  <w:r>
                    <w:rPr>
                      <w:rFonts w:eastAsiaTheme="minorEastAsia"/>
                      <w:color w:val="auto"/>
                      <w:szCs w:val="21"/>
                    </w:rPr>
                    <w:t>套</w:t>
                  </w:r>
                </w:p>
              </w:tc>
            </w:tr>
            <w:tr w14:paraId="2749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09C726A0">
                  <w:pPr>
                    <w:ind w:firstLine="0" w:firstLineChars="0"/>
                    <w:jc w:val="center"/>
                    <w:rPr>
                      <w:b/>
                      <w:color w:val="auto"/>
                      <w:szCs w:val="21"/>
                    </w:rPr>
                  </w:pPr>
                  <w:r>
                    <w:rPr>
                      <w:rFonts w:eastAsiaTheme="minorEastAsia"/>
                      <w:color w:val="auto"/>
                      <w:szCs w:val="21"/>
                    </w:rPr>
                    <w:t>进料系统</w:t>
                  </w:r>
                </w:p>
              </w:tc>
              <w:tc>
                <w:tcPr>
                  <w:tcW w:w="3279" w:type="dxa"/>
                  <w:vAlign w:val="center"/>
                </w:tcPr>
                <w:p w14:paraId="3293BA56">
                  <w:pPr>
                    <w:ind w:firstLine="0" w:firstLineChars="0"/>
                    <w:jc w:val="center"/>
                    <w:rPr>
                      <w:b/>
                      <w:color w:val="auto"/>
                      <w:szCs w:val="21"/>
                    </w:rPr>
                  </w:pPr>
                  <w:r>
                    <w:rPr>
                      <w:rFonts w:hint="eastAsia"/>
                      <w:color w:val="auto"/>
                      <w:szCs w:val="21"/>
                    </w:rPr>
                    <w:t>/</w:t>
                  </w:r>
                </w:p>
              </w:tc>
              <w:tc>
                <w:tcPr>
                  <w:tcW w:w="3279" w:type="dxa"/>
                  <w:vAlign w:val="center"/>
                </w:tcPr>
                <w:p w14:paraId="33EF8915">
                  <w:pPr>
                    <w:ind w:firstLine="0" w:firstLineChars="0"/>
                    <w:jc w:val="center"/>
                    <w:rPr>
                      <w:b/>
                      <w:color w:val="auto"/>
                      <w:szCs w:val="21"/>
                    </w:rPr>
                  </w:pPr>
                  <w:r>
                    <w:rPr>
                      <w:rFonts w:eastAsiaTheme="minorEastAsia"/>
                      <w:color w:val="auto"/>
                      <w:szCs w:val="21"/>
                    </w:rPr>
                    <w:t>1套</w:t>
                  </w:r>
                </w:p>
              </w:tc>
            </w:tr>
            <w:tr w14:paraId="6DF1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70C33AD1">
                  <w:pPr>
                    <w:ind w:firstLine="0" w:firstLineChars="0"/>
                    <w:jc w:val="center"/>
                    <w:rPr>
                      <w:b/>
                      <w:color w:val="auto"/>
                      <w:szCs w:val="21"/>
                    </w:rPr>
                  </w:pPr>
                  <w:r>
                    <w:rPr>
                      <w:color w:val="auto"/>
                      <w:szCs w:val="21"/>
                    </w:rPr>
                    <w:t>筒仓</w:t>
                  </w:r>
                </w:p>
              </w:tc>
              <w:tc>
                <w:tcPr>
                  <w:tcW w:w="3279" w:type="dxa"/>
                  <w:vAlign w:val="center"/>
                </w:tcPr>
                <w:p w14:paraId="33A805E2">
                  <w:pPr>
                    <w:ind w:firstLine="0" w:firstLineChars="0"/>
                    <w:jc w:val="center"/>
                    <w:rPr>
                      <w:b/>
                      <w:color w:val="auto"/>
                      <w:szCs w:val="21"/>
                    </w:rPr>
                  </w:pPr>
                  <w:r>
                    <w:rPr>
                      <w:rFonts w:hint="eastAsia"/>
                      <w:color w:val="auto"/>
                      <w:szCs w:val="21"/>
                    </w:rPr>
                    <w:t>/</w:t>
                  </w:r>
                </w:p>
              </w:tc>
              <w:tc>
                <w:tcPr>
                  <w:tcW w:w="3279" w:type="dxa"/>
                  <w:vAlign w:val="center"/>
                </w:tcPr>
                <w:p w14:paraId="47B36389">
                  <w:pPr>
                    <w:ind w:firstLine="0" w:firstLineChars="0"/>
                    <w:jc w:val="center"/>
                    <w:rPr>
                      <w:b/>
                      <w:color w:val="auto"/>
                      <w:szCs w:val="21"/>
                    </w:rPr>
                  </w:pPr>
                  <w:r>
                    <w:rPr>
                      <w:rFonts w:hint="eastAsia" w:eastAsiaTheme="minorEastAsia"/>
                      <w:color w:val="auto"/>
                      <w:szCs w:val="21"/>
                    </w:rPr>
                    <w:t>8个</w:t>
                  </w:r>
                </w:p>
              </w:tc>
            </w:tr>
            <w:tr w14:paraId="309F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38531F6A">
                  <w:pPr>
                    <w:ind w:firstLine="0" w:firstLineChars="0"/>
                    <w:jc w:val="center"/>
                    <w:rPr>
                      <w:b/>
                      <w:color w:val="auto"/>
                      <w:szCs w:val="21"/>
                    </w:rPr>
                  </w:pPr>
                  <w:r>
                    <w:rPr>
                      <w:rFonts w:eastAsiaTheme="minorEastAsia"/>
                      <w:color w:val="auto"/>
                      <w:szCs w:val="21"/>
                    </w:rPr>
                    <w:t>水泥运输车</w:t>
                  </w:r>
                </w:p>
              </w:tc>
              <w:tc>
                <w:tcPr>
                  <w:tcW w:w="3279" w:type="dxa"/>
                  <w:vAlign w:val="center"/>
                </w:tcPr>
                <w:p w14:paraId="6C9C4A0A">
                  <w:pPr>
                    <w:ind w:firstLine="0" w:firstLineChars="0"/>
                    <w:jc w:val="center"/>
                    <w:rPr>
                      <w:b/>
                      <w:color w:val="auto"/>
                      <w:szCs w:val="21"/>
                    </w:rPr>
                  </w:pPr>
                  <w:r>
                    <w:rPr>
                      <w:rFonts w:hint="eastAsia"/>
                      <w:color w:val="auto"/>
                      <w:szCs w:val="21"/>
                    </w:rPr>
                    <w:t>/</w:t>
                  </w:r>
                </w:p>
              </w:tc>
              <w:tc>
                <w:tcPr>
                  <w:tcW w:w="3279" w:type="dxa"/>
                  <w:vAlign w:val="center"/>
                </w:tcPr>
                <w:p w14:paraId="5AFBB8F0">
                  <w:pPr>
                    <w:ind w:firstLine="0" w:firstLineChars="0"/>
                    <w:jc w:val="center"/>
                    <w:rPr>
                      <w:b/>
                      <w:color w:val="auto"/>
                      <w:szCs w:val="21"/>
                    </w:rPr>
                  </w:pPr>
                  <w:r>
                    <w:rPr>
                      <w:rFonts w:eastAsiaTheme="minorEastAsia"/>
                      <w:color w:val="auto"/>
                      <w:szCs w:val="21"/>
                    </w:rPr>
                    <w:t>2辆</w:t>
                  </w:r>
                </w:p>
              </w:tc>
            </w:tr>
            <w:tr w14:paraId="2036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11DF60B4">
                  <w:pPr>
                    <w:pStyle w:val="53"/>
                    <w:spacing w:beforeLines="0" w:afterLines="0" w:line="240" w:lineRule="auto"/>
                    <w:ind w:firstLine="0" w:firstLineChars="0"/>
                    <w:rPr>
                      <w:rFonts w:ascii="Times New Roman"/>
                      <w:b/>
                      <w:color w:val="auto"/>
                      <w:szCs w:val="21"/>
                    </w:rPr>
                  </w:pPr>
                  <w:r>
                    <w:rPr>
                      <w:rFonts w:ascii="Times New Roman"/>
                      <w:color w:val="auto"/>
                      <w:szCs w:val="21"/>
                    </w:rPr>
                    <w:t>混凝土搅拌机</w:t>
                  </w:r>
                </w:p>
              </w:tc>
              <w:tc>
                <w:tcPr>
                  <w:tcW w:w="3279" w:type="dxa"/>
                  <w:vAlign w:val="center"/>
                </w:tcPr>
                <w:p w14:paraId="66F07825">
                  <w:pPr>
                    <w:pStyle w:val="53"/>
                    <w:spacing w:beforeLines="0" w:afterLines="0" w:line="240" w:lineRule="auto"/>
                    <w:ind w:firstLine="0" w:firstLineChars="0"/>
                    <w:rPr>
                      <w:rFonts w:hint="default" w:ascii="Times New Roman"/>
                      <w:b/>
                      <w:color w:val="auto"/>
                      <w:szCs w:val="21"/>
                      <w:lang w:val="en-US"/>
                    </w:rPr>
                  </w:pPr>
                  <w:r>
                    <w:rPr>
                      <w:rFonts w:ascii="Times New Roman"/>
                      <w:color w:val="auto"/>
                      <w:szCs w:val="21"/>
                    </w:rPr>
                    <w:t>HZS1</w:t>
                  </w:r>
                  <w:r>
                    <w:rPr>
                      <w:rFonts w:hint="eastAsia" w:ascii="Times New Roman"/>
                      <w:color w:val="auto"/>
                      <w:szCs w:val="21"/>
                      <w:lang w:val="en-US" w:eastAsia="zh-CN"/>
                    </w:rPr>
                    <w:t>20</w:t>
                  </w:r>
                </w:p>
              </w:tc>
              <w:tc>
                <w:tcPr>
                  <w:tcW w:w="3279" w:type="dxa"/>
                  <w:vAlign w:val="center"/>
                </w:tcPr>
                <w:p w14:paraId="6B9F0D53">
                  <w:pPr>
                    <w:pStyle w:val="53"/>
                    <w:spacing w:beforeLines="0" w:afterLines="0" w:line="240" w:lineRule="auto"/>
                    <w:ind w:firstLine="0" w:firstLineChars="0"/>
                    <w:rPr>
                      <w:rFonts w:ascii="Times New Roman"/>
                      <w:b/>
                      <w:color w:val="auto"/>
                      <w:szCs w:val="21"/>
                    </w:rPr>
                  </w:pPr>
                  <w:r>
                    <w:rPr>
                      <w:rFonts w:ascii="Times New Roman"/>
                      <w:color w:val="auto"/>
                      <w:szCs w:val="21"/>
                    </w:rPr>
                    <w:t>1台</w:t>
                  </w:r>
                </w:p>
              </w:tc>
            </w:tr>
            <w:tr w14:paraId="6124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6CF92515">
                  <w:pPr>
                    <w:pStyle w:val="53"/>
                    <w:spacing w:beforeLines="0" w:afterLines="0" w:line="240" w:lineRule="auto"/>
                    <w:ind w:firstLine="0" w:firstLineChars="0"/>
                    <w:rPr>
                      <w:rFonts w:ascii="Times New Roman"/>
                      <w:b/>
                      <w:color w:val="auto"/>
                      <w:szCs w:val="21"/>
                    </w:rPr>
                  </w:pPr>
                  <w:r>
                    <w:rPr>
                      <w:rFonts w:ascii="Times New Roman"/>
                      <w:color w:val="auto"/>
                      <w:szCs w:val="21"/>
                    </w:rPr>
                    <w:t>三仓混凝土配料机</w:t>
                  </w:r>
                </w:p>
              </w:tc>
              <w:tc>
                <w:tcPr>
                  <w:tcW w:w="3279" w:type="dxa"/>
                  <w:vAlign w:val="center"/>
                </w:tcPr>
                <w:p w14:paraId="5FEB420F">
                  <w:pPr>
                    <w:pStyle w:val="53"/>
                    <w:spacing w:beforeLines="0" w:afterLines="0" w:line="240" w:lineRule="auto"/>
                    <w:ind w:firstLine="0" w:firstLineChars="0"/>
                    <w:rPr>
                      <w:rFonts w:ascii="Times New Roman"/>
                      <w:b/>
                      <w:color w:val="auto"/>
                      <w:szCs w:val="21"/>
                    </w:rPr>
                  </w:pPr>
                  <w:r>
                    <w:rPr>
                      <w:rFonts w:ascii="Times New Roman"/>
                      <w:color w:val="auto"/>
                      <w:szCs w:val="21"/>
                    </w:rPr>
                    <w:t>PL2400</w:t>
                  </w:r>
                </w:p>
              </w:tc>
              <w:tc>
                <w:tcPr>
                  <w:tcW w:w="3279" w:type="dxa"/>
                  <w:vAlign w:val="center"/>
                </w:tcPr>
                <w:p w14:paraId="1FFB44CE">
                  <w:pPr>
                    <w:pStyle w:val="53"/>
                    <w:spacing w:beforeLines="0" w:afterLines="0" w:line="240" w:lineRule="auto"/>
                    <w:ind w:firstLine="0" w:firstLineChars="0"/>
                    <w:rPr>
                      <w:rFonts w:ascii="Times New Roman"/>
                      <w:b/>
                      <w:color w:val="auto"/>
                      <w:szCs w:val="21"/>
                    </w:rPr>
                  </w:pPr>
                  <w:r>
                    <w:rPr>
                      <w:rFonts w:ascii="Times New Roman"/>
                      <w:color w:val="auto"/>
                      <w:szCs w:val="21"/>
                    </w:rPr>
                    <w:t>1</w:t>
                  </w:r>
                  <w:r>
                    <w:rPr>
                      <w:rFonts w:hint="eastAsia" w:ascii="Times New Roman"/>
                      <w:color w:val="auto"/>
                      <w:szCs w:val="21"/>
                    </w:rPr>
                    <w:t>台</w:t>
                  </w:r>
                </w:p>
              </w:tc>
            </w:tr>
            <w:tr w14:paraId="556D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215A59C8">
                  <w:pPr>
                    <w:pStyle w:val="53"/>
                    <w:spacing w:beforeLines="0" w:afterLines="0" w:line="240" w:lineRule="auto"/>
                    <w:ind w:firstLine="0" w:firstLineChars="0"/>
                    <w:rPr>
                      <w:rFonts w:ascii="Times New Roman"/>
                      <w:b/>
                      <w:color w:val="auto"/>
                      <w:szCs w:val="21"/>
                    </w:rPr>
                  </w:pPr>
                  <w:r>
                    <w:rPr>
                      <w:rFonts w:ascii="Times New Roman"/>
                      <w:color w:val="auto"/>
                      <w:szCs w:val="21"/>
                    </w:rPr>
                    <w:t>混凝土泵车</w:t>
                  </w:r>
                </w:p>
              </w:tc>
              <w:tc>
                <w:tcPr>
                  <w:tcW w:w="3279" w:type="dxa"/>
                  <w:vAlign w:val="center"/>
                </w:tcPr>
                <w:p w14:paraId="06FBD3FE">
                  <w:pPr>
                    <w:pStyle w:val="53"/>
                    <w:spacing w:beforeLines="0" w:afterLines="0" w:line="240" w:lineRule="auto"/>
                    <w:ind w:firstLine="0" w:firstLineChars="0"/>
                    <w:rPr>
                      <w:rFonts w:ascii="Times New Roman"/>
                      <w:b/>
                      <w:color w:val="auto"/>
                      <w:szCs w:val="21"/>
                    </w:rPr>
                  </w:pPr>
                  <w:r>
                    <w:rPr>
                      <w:rFonts w:ascii="Times New Roman"/>
                      <w:color w:val="auto"/>
                      <w:szCs w:val="21"/>
                    </w:rPr>
                    <w:t>/</w:t>
                  </w:r>
                </w:p>
              </w:tc>
              <w:tc>
                <w:tcPr>
                  <w:tcW w:w="3279" w:type="dxa"/>
                  <w:vAlign w:val="center"/>
                </w:tcPr>
                <w:p w14:paraId="023E7506">
                  <w:pPr>
                    <w:pStyle w:val="53"/>
                    <w:spacing w:beforeLines="0" w:afterLines="0" w:line="240" w:lineRule="auto"/>
                    <w:ind w:firstLine="0" w:firstLineChars="0"/>
                    <w:rPr>
                      <w:rFonts w:ascii="Times New Roman"/>
                      <w:b/>
                      <w:color w:val="auto"/>
                      <w:szCs w:val="21"/>
                    </w:rPr>
                  </w:pPr>
                  <w:r>
                    <w:rPr>
                      <w:rFonts w:ascii="Times New Roman"/>
                      <w:color w:val="auto"/>
                      <w:szCs w:val="21"/>
                    </w:rPr>
                    <w:t>2辆</w:t>
                  </w:r>
                </w:p>
              </w:tc>
            </w:tr>
            <w:tr w14:paraId="77D1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2C2E8881">
                  <w:pPr>
                    <w:pStyle w:val="53"/>
                    <w:spacing w:beforeLines="0" w:afterLines="0" w:line="240" w:lineRule="auto"/>
                    <w:ind w:firstLine="0" w:firstLineChars="0"/>
                    <w:rPr>
                      <w:rFonts w:ascii="Times New Roman"/>
                      <w:b/>
                      <w:color w:val="auto"/>
                      <w:szCs w:val="21"/>
                    </w:rPr>
                  </w:pPr>
                  <w:r>
                    <w:rPr>
                      <w:rFonts w:hint="eastAsia" w:ascii="Times New Roman"/>
                      <w:color w:val="auto"/>
                      <w:szCs w:val="21"/>
                    </w:rPr>
                    <w:t>打砂机</w:t>
                  </w:r>
                </w:p>
              </w:tc>
              <w:tc>
                <w:tcPr>
                  <w:tcW w:w="3279" w:type="dxa"/>
                  <w:vAlign w:val="center"/>
                </w:tcPr>
                <w:p w14:paraId="03D64BE5">
                  <w:pPr>
                    <w:pStyle w:val="53"/>
                    <w:spacing w:beforeLines="0" w:afterLines="0" w:line="240" w:lineRule="auto"/>
                    <w:ind w:firstLine="0" w:firstLineChars="0"/>
                    <w:rPr>
                      <w:rFonts w:ascii="Times New Roman"/>
                      <w:b/>
                      <w:color w:val="auto"/>
                      <w:szCs w:val="21"/>
                    </w:rPr>
                  </w:pPr>
                  <w:r>
                    <w:rPr>
                      <w:rFonts w:hint="eastAsia" w:ascii="Times New Roman"/>
                      <w:color w:val="auto"/>
                      <w:szCs w:val="21"/>
                    </w:rPr>
                    <w:t>/</w:t>
                  </w:r>
                </w:p>
              </w:tc>
              <w:tc>
                <w:tcPr>
                  <w:tcW w:w="3279" w:type="dxa"/>
                  <w:vAlign w:val="center"/>
                </w:tcPr>
                <w:p w14:paraId="359205F0">
                  <w:pPr>
                    <w:pStyle w:val="53"/>
                    <w:spacing w:beforeLines="0" w:afterLines="0" w:line="240" w:lineRule="auto"/>
                    <w:ind w:firstLine="0" w:firstLineChars="0"/>
                    <w:rPr>
                      <w:rFonts w:ascii="Times New Roman"/>
                      <w:b/>
                      <w:color w:val="auto"/>
                      <w:szCs w:val="21"/>
                    </w:rPr>
                  </w:pPr>
                  <w:r>
                    <w:rPr>
                      <w:rFonts w:ascii="Times New Roman"/>
                      <w:color w:val="auto"/>
                      <w:szCs w:val="21"/>
                    </w:rPr>
                    <w:t>1台</w:t>
                  </w:r>
                </w:p>
              </w:tc>
            </w:tr>
            <w:tr w14:paraId="0456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396B2915">
                  <w:pPr>
                    <w:pStyle w:val="53"/>
                    <w:spacing w:beforeLines="0" w:afterLines="0" w:line="240" w:lineRule="auto"/>
                    <w:ind w:firstLine="0" w:firstLineChars="0"/>
                    <w:rPr>
                      <w:rFonts w:ascii="Times New Roman"/>
                      <w:b/>
                      <w:color w:val="auto"/>
                      <w:szCs w:val="21"/>
                    </w:rPr>
                  </w:pPr>
                  <w:r>
                    <w:rPr>
                      <w:rFonts w:ascii="Times New Roman"/>
                      <w:color w:val="auto"/>
                      <w:szCs w:val="21"/>
                    </w:rPr>
                    <w:t>振动筛</w:t>
                  </w:r>
                </w:p>
              </w:tc>
              <w:tc>
                <w:tcPr>
                  <w:tcW w:w="3279" w:type="dxa"/>
                  <w:vAlign w:val="center"/>
                </w:tcPr>
                <w:p w14:paraId="57726B94">
                  <w:pPr>
                    <w:pStyle w:val="53"/>
                    <w:spacing w:beforeLines="0" w:afterLines="0" w:line="240" w:lineRule="auto"/>
                    <w:ind w:firstLine="0" w:firstLineChars="0"/>
                    <w:rPr>
                      <w:rFonts w:ascii="Times New Roman"/>
                      <w:b/>
                      <w:color w:val="auto"/>
                      <w:szCs w:val="21"/>
                    </w:rPr>
                  </w:pPr>
                  <w:r>
                    <w:rPr>
                      <w:rFonts w:hint="eastAsia" w:ascii="Times New Roman"/>
                      <w:color w:val="auto"/>
                      <w:szCs w:val="21"/>
                    </w:rPr>
                    <w:t>/</w:t>
                  </w:r>
                </w:p>
              </w:tc>
              <w:tc>
                <w:tcPr>
                  <w:tcW w:w="3279" w:type="dxa"/>
                  <w:vAlign w:val="center"/>
                </w:tcPr>
                <w:p w14:paraId="42B8ABC4">
                  <w:pPr>
                    <w:pStyle w:val="53"/>
                    <w:spacing w:beforeLines="0" w:afterLines="0" w:line="240" w:lineRule="auto"/>
                    <w:ind w:firstLine="0" w:firstLineChars="0"/>
                    <w:rPr>
                      <w:rFonts w:ascii="Times New Roman"/>
                      <w:b/>
                      <w:color w:val="auto"/>
                      <w:szCs w:val="21"/>
                    </w:rPr>
                  </w:pPr>
                  <w:r>
                    <w:rPr>
                      <w:rFonts w:ascii="Times New Roman"/>
                      <w:color w:val="auto"/>
                      <w:szCs w:val="21"/>
                    </w:rPr>
                    <w:t>1台</w:t>
                  </w:r>
                </w:p>
              </w:tc>
            </w:tr>
            <w:tr w14:paraId="22FD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77" w:type="dxa"/>
                  <w:vAlign w:val="center"/>
                </w:tcPr>
                <w:p w14:paraId="09101531">
                  <w:pPr>
                    <w:pStyle w:val="53"/>
                    <w:spacing w:beforeLines="0" w:afterLines="0" w:line="240" w:lineRule="auto"/>
                    <w:ind w:firstLine="0" w:firstLineChars="0"/>
                    <w:rPr>
                      <w:rFonts w:ascii="Times New Roman"/>
                      <w:b/>
                      <w:color w:val="auto"/>
                      <w:szCs w:val="21"/>
                    </w:rPr>
                  </w:pPr>
                  <w:r>
                    <w:rPr>
                      <w:rFonts w:ascii="Times New Roman"/>
                      <w:color w:val="auto"/>
                      <w:szCs w:val="21"/>
                    </w:rPr>
                    <w:t>称量系统</w:t>
                  </w:r>
                </w:p>
              </w:tc>
              <w:tc>
                <w:tcPr>
                  <w:tcW w:w="3279" w:type="dxa"/>
                  <w:vAlign w:val="center"/>
                </w:tcPr>
                <w:p w14:paraId="7F342E21">
                  <w:pPr>
                    <w:pStyle w:val="53"/>
                    <w:spacing w:beforeLines="0" w:afterLines="0" w:line="240" w:lineRule="auto"/>
                    <w:ind w:firstLine="0" w:firstLineChars="0"/>
                    <w:rPr>
                      <w:rFonts w:ascii="Times New Roman"/>
                      <w:b/>
                      <w:color w:val="auto"/>
                      <w:szCs w:val="21"/>
                    </w:rPr>
                  </w:pPr>
                  <w:r>
                    <w:rPr>
                      <w:rFonts w:ascii="Times New Roman"/>
                      <w:color w:val="auto"/>
                      <w:szCs w:val="21"/>
                    </w:rPr>
                    <w:t>100t</w:t>
                  </w:r>
                </w:p>
              </w:tc>
              <w:tc>
                <w:tcPr>
                  <w:tcW w:w="3279" w:type="dxa"/>
                  <w:vAlign w:val="center"/>
                </w:tcPr>
                <w:p w14:paraId="14BCF943">
                  <w:pPr>
                    <w:pStyle w:val="53"/>
                    <w:spacing w:beforeLines="0" w:afterLines="0" w:line="240" w:lineRule="auto"/>
                    <w:ind w:firstLine="0" w:firstLineChars="0"/>
                    <w:rPr>
                      <w:rFonts w:ascii="Times New Roman"/>
                      <w:b/>
                      <w:color w:val="auto"/>
                      <w:szCs w:val="21"/>
                    </w:rPr>
                  </w:pPr>
                  <w:r>
                    <w:rPr>
                      <w:rFonts w:ascii="Times New Roman"/>
                      <w:color w:val="auto"/>
                      <w:szCs w:val="21"/>
                    </w:rPr>
                    <w:t>1套</w:t>
                  </w:r>
                </w:p>
              </w:tc>
            </w:tr>
          </w:tbl>
          <w:p w14:paraId="1B5D7BD2">
            <w:pPr>
              <w:ind w:firstLine="422"/>
              <w:jc w:val="center"/>
              <w:rPr>
                <w:b/>
                <w:color w:val="auto"/>
                <w:szCs w:val="21"/>
              </w:rPr>
            </w:pPr>
          </w:p>
          <w:p w14:paraId="1439396D">
            <w:pPr>
              <w:pStyle w:val="26"/>
              <w:adjustRightInd w:val="0"/>
              <w:snapToGrid w:val="0"/>
              <w:spacing w:line="351" w:lineRule="auto"/>
              <w:ind w:firstLine="482"/>
              <w:rPr>
                <w:rFonts w:ascii="Times New Roman" w:hAnsi="Times New Roman"/>
                <w:b/>
                <w:color w:val="auto"/>
                <w:sz w:val="24"/>
              </w:rPr>
            </w:pPr>
            <w:r>
              <w:rPr>
                <w:rFonts w:ascii="Times New Roman" w:hAnsi="Times New Roman"/>
                <w:b/>
                <w:color w:val="auto"/>
                <w:sz w:val="24"/>
              </w:rPr>
              <w:t>5、劳动定员及工作制度</w:t>
            </w:r>
          </w:p>
          <w:p w14:paraId="34B6EFA9">
            <w:pPr>
              <w:spacing w:line="351" w:lineRule="auto"/>
              <w:ind w:firstLine="482"/>
              <w:rPr>
                <w:color w:val="auto"/>
                <w:sz w:val="24"/>
              </w:rPr>
            </w:pPr>
            <w:r>
              <w:rPr>
                <w:b/>
                <w:bCs/>
                <w:color w:val="auto"/>
                <w:sz w:val="24"/>
              </w:rPr>
              <w:t>劳动定员：</w:t>
            </w:r>
            <w:r>
              <w:rPr>
                <w:color w:val="auto"/>
                <w:sz w:val="24"/>
              </w:rPr>
              <w:t>原项目工作人员为</w:t>
            </w:r>
            <w:r>
              <w:rPr>
                <w:rFonts w:hint="eastAsia"/>
                <w:color w:val="auto"/>
                <w:sz w:val="24"/>
                <w:lang w:val="en-US" w:eastAsia="zh-CN"/>
              </w:rPr>
              <w:t>30</w:t>
            </w:r>
            <w:r>
              <w:rPr>
                <w:color w:val="auto"/>
                <w:sz w:val="24"/>
              </w:rPr>
              <w:t>人；本次扩建项目运营期不新增工作人员，扩建完成后整个项目区工作人员为</w:t>
            </w:r>
            <w:r>
              <w:rPr>
                <w:rFonts w:hint="eastAsia"/>
                <w:color w:val="auto"/>
                <w:sz w:val="24"/>
                <w:lang w:val="en-US" w:eastAsia="zh-CN"/>
              </w:rPr>
              <w:t>30</w:t>
            </w:r>
            <w:r>
              <w:rPr>
                <w:color w:val="auto"/>
                <w:sz w:val="24"/>
              </w:rPr>
              <w:t>人，</w:t>
            </w:r>
            <w:r>
              <w:rPr>
                <w:color w:val="auto"/>
                <w:spacing w:val="-5"/>
                <w:sz w:val="24"/>
              </w:rPr>
              <w:t>项区内食宿</w:t>
            </w:r>
            <w:r>
              <w:rPr>
                <w:color w:val="auto"/>
                <w:sz w:val="24"/>
              </w:rPr>
              <w:t>职工人数15人，</w:t>
            </w:r>
            <w:r>
              <w:rPr>
                <w:rFonts w:hint="eastAsia"/>
                <w:color w:val="auto"/>
                <w:sz w:val="24"/>
                <w:lang w:val="en-US" w:eastAsia="zh-CN"/>
              </w:rPr>
              <w:t>不在项目区</w:t>
            </w:r>
            <w:r>
              <w:rPr>
                <w:color w:val="auto"/>
                <w:spacing w:val="-5"/>
                <w:sz w:val="24"/>
              </w:rPr>
              <w:t>内食宿</w:t>
            </w:r>
            <w:r>
              <w:rPr>
                <w:rFonts w:hint="eastAsia"/>
                <w:color w:val="auto"/>
                <w:spacing w:val="-5"/>
                <w:sz w:val="24"/>
                <w:lang w:eastAsia="zh-CN"/>
              </w:rPr>
              <w:t>，</w:t>
            </w:r>
            <w:r>
              <w:rPr>
                <w:color w:val="auto"/>
                <w:sz w:val="24"/>
              </w:rPr>
              <w:t>职工人数15人。</w:t>
            </w:r>
          </w:p>
          <w:p w14:paraId="587360AA">
            <w:pPr>
              <w:spacing w:line="351" w:lineRule="auto"/>
              <w:ind w:firstLine="482"/>
              <w:rPr>
                <w:bCs/>
                <w:color w:val="auto"/>
                <w:sz w:val="24"/>
              </w:rPr>
            </w:pPr>
            <w:r>
              <w:rPr>
                <w:b/>
                <w:bCs/>
                <w:color w:val="auto"/>
                <w:sz w:val="24"/>
              </w:rPr>
              <w:t>工作制度：</w:t>
            </w:r>
            <w:r>
              <w:rPr>
                <w:color w:val="auto"/>
                <w:sz w:val="24"/>
              </w:rPr>
              <w:t>扩建项目年工作天数300天，每</w:t>
            </w:r>
            <w:r>
              <w:rPr>
                <w:rFonts w:hint="eastAsia"/>
                <w:color w:val="auto"/>
                <w:sz w:val="24"/>
                <w:lang w:val="en-US" w:eastAsia="zh-CN"/>
              </w:rPr>
              <w:t>天</w:t>
            </w:r>
            <w:r>
              <w:rPr>
                <w:color w:val="auto"/>
                <w:sz w:val="24"/>
              </w:rPr>
              <w:t>工作8小时，年总生产时间为</w:t>
            </w:r>
            <w:r>
              <w:rPr>
                <w:rFonts w:hint="eastAsia"/>
                <w:color w:val="auto"/>
                <w:sz w:val="24"/>
                <w:lang w:val="en-US" w:eastAsia="zh-CN"/>
              </w:rPr>
              <w:t>2400</w:t>
            </w:r>
            <w:r>
              <w:rPr>
                <w:color w:val="auto"/>
                <w:sz w:val="24"/>
              </w:rPr>
              <w:t>小时</w:t>
            </w:r>
            <w:r>
              <w:rPr>
                <w:color w:val="auto"/>
                <w:sz w:val="24"/>
                <w:lang w:bidi="en-US"/>
              </w:rPr>
              <w:t>。</w:t>
            </w:r>
          </w:p>
          <w:p w14:paraId="0A4D6244">
            <w:pPr>
              <w:numPr>
                <w:ilvl w:val="0"/>
                <w:numId w:val="4"/>
              </w:numPr>
              <w:spacing w:line="351" w:lineRule="auto"/>
              <w:ind w:firstLine="480"/>
              <w:rPr>
                <w:rFonts w:hint="eastAsia"/>
                <w:b/>
                <w:color w:val="auto"/>
                <w:sz w:val="24"/>
                <w:lang w:val="en-US" w:eastAsia="zh-CN"/>
              </w:rPr>
            </w:pPr>
            <w:r>
              <w:rPr>
                <w:rFonts w:hint="eastAsia"/>
                <w:b/>
                <w:color w:val="auto"/>
                <w:sz w:val="24"/>
                <w:lang w:val="en-US" w:eastAsia="zh-CN"/>
              </w:rPr>
              <w:t>平面布置</w:t>
            </w:r>
          </w:p>
          <w:p w14:paraId="28556D72">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color w:val="auto"/>
                <w:sz w:val="24"/>
                <w:szCs w:val="24"/>
              </w:rPr>
            </w:pPr>
            <w:r>
              <w:rPr>
                <w:color w:val="auto"/>
                <w:sz w:val="24"/>
                <w:szCs w:val="24"/>
              </w:rPr>
              <w:t>本次</w:t>
            </w:r>
            <w:r>
              <w:rPr>
                <w:rFonts w:hint="eastAsia" w:eastAsia="宋体"/>
                <w:color w:val="auto"/>
                <w:sz w:val="24"/>
                <w:szCs w:val="24"/>
                <w:lang w:val="en-US" w:eastAsia="zh-CN"/>
              </w:rPr>
              <w:t>扩建项目</w:t>
            </w:r>
            <w:r>
              <w:rPr>
                <w:color w:val="auto"/>
                <w:sz w:val="24"/>
                <w:szCs w:val="24"/>
              </w:rPr>
              <w:t>，不改变现有工</w:t>
            </w:r>
            <w:r>
              <w:rPr>
                <w:color w:val="auto"/>
                <w:spacing w:val="-1"/>
                <w:sz w:val="24"/>
                <w:szCs w:val="24"/>
              </w:rPr>
              <w:t>程总平面布局和车间内生产布局。项目</w:t>
            </w:r>
            <w:r>
              <w:rPr>
                <w:rFonts w:hint="eastAsia" w:eastAsia="宋体"/>
                <w:color w:val="auto"/>
                <w:spacing w:val="-1"/>
                <w:sz w:val="24"/>
                <w:szCs w:val="24"/>
                <w:lang w:val="en-US" w:eastAsia="zh-CN"/>
              </w:rPr>
              <w:t>整体</w:t>
            </w:r>
            <w:r>
              <w:rPr>
                <w:color w:val="auto"/>
                <w:spacing w:val="-1"/>
                <w:sz w:val="24"/>
                <w:szCs w:val="24"/>
              </w:rPr>
              <w:t>平面布置如下：</w:t>
            </w:r>
          </w:p>
          <w:p w14:paraId="5B26486C">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left"/>
              <w:textAlignment w:val="auto"/>
              <w:rPr>
                <w:color w:val="auto"/>
                <w:sz w:val="24"/>
                <w:szCs w:val="24"/>
              </w:rPr>
            </w:pPr>
            <w:r>
              <w:rPr>
                <w:color w:val="auto"/>
                <w:spacing w:val="-1"/>
                <w:sz w:val="24"/>
                <w:szCs w:val="24"/>
              </w:rPr>
              <w:t>项目的进出口设置于</w:t>
            </w:r>
            <w:r>
              <w:rPr>
                <w:rFonts w:hint="eastAsia" w:eastAsia="宋体"/>
                <w:color w:val="auto"/>
                <w:spacing w:val="-1"/>
                <w:sz w:val="24"/>
                <w:szCs w:val="24"/>
                <w:lang w:val="en-US" w:eastAsia="zh-CN"/>
              </w:rPr>
              <w:t>场区南侧</w:t>
            </w:r>
            <w:r>
              <w:rPr>
                <w:color w:val="auto"/>
                <w:spacing w:val="-1"/>
                <w:sz w:val="24"/>
                <w:szCs w:val="24"/>
              </w:rPr>
              <w:t>，此处设有门卫室和地磅房等功能</w:t>
            </w:r>
            <w:r>
              <w:rPr>
                <w:color w:val="auto"/>
                <w:sz w:val="24"/>
                <w:szCs w:val="24"/>
              </w:rPr>
              <w:t>用房，</w:t>
            </w:r>
            <w:r>
              <w:rPr>
                <w:rFonts w:hint="eastAsia" w:eastAsia="宋体"/>
                <w:color w:val="auto"/>
                <w:sz w:val="24"/>
                <w:szCs w:val="24"/>
                <w:lang w:val="en-US" w:eastAsia="zh-CN"/>
              </w:rPr>
              <w:t>场区内的原料、制砂车间布置在下风向东南侧</w:t>
            </w:r>
            <w:r>
              <w:rPr>
                <w:color w:val="auto"/>
                <w:spacing w:val="-1"/>
                <w:sz w:val="24"/>
                <w:szCs w:val="24"/>
              </w:rPr>
              <w:t>，</w:t>
            </w:r>
            <w:r>
              <w:rPr>
                <w:rFonts w:hint="eastAsia" w:eastAsia="宋体"/>
                <w:color w:val="auto"/>
                <w:spacing w:val="-1"/>
                <w:sz w:val="24"/>
                <w:szCs w:val="24"/>
                <w:lang w:val="en-US" w:eastAsia="zh-CN"/>
              </w:rPr>
              <w:t>上风向西南</w:t>
            </w:r>
            <w:r>
              <w:rPr>
                <w:color w:val="auto"/>
                <w:spacing w:val="-1"/>
                <w:sz w:val="24"/>
                <w:szCs w:val="24"/>
              </w:rPr>
              <w:t>侧为生活</w:t>
            </w:r>
            <w:r>
              <w:rPr>
                <w:rFonts w:hint="eastAsia" w:eastAsia="宋体"/>
                <w:color w:val="auto"/>
                <w:spacing w:val="-1"/>
                <w:sz w:val="24"/>
                <w:szCs w:val="24"/>
                <w:lang w:val="en-US" w:eastAsia="zh-CN"/>
              </w:rPr>
              <w:t>辅助</w:t>
            </w:r>
            <w:r>
              <w:rPr>
                <w:color w:val="auto"/>
                <w:spacing w:val="-1"/>
                <w:sz w:val="24"/>
                <w:szCs w:val="24"/>
              </w:rPr>
              <w:t>区</w:t>
            </w:r>
            <w:r>
              <w:rPr>
                <w:color w:val="auto"/>
                <w:sz w:val="24"/>
                <w:szCs w:val="24"/>
              </w:rPr>
              <w:t>。</w:t>
            </w:r>
          </w:p>
          <w:p w14:paraId="609C73A4">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eastAsia="宋体"/>
                <w:color w:val="auto"/>
                <w:sz w:val="24"/>
                <w:szCs w:val="24"/>
                <w:lang w:val="en-US" w:eastAsia="zh-CN"/>
              </w:rPr>
            </w:pPr>
            <w:r>
              <w:rPr>
                <w:rFonts w:hint="eastAsia" w:eastAsia="宋体"/>
                <w:color w:val="auto"/>
                <w:sz w:val="24"/>
                <w:szCs w:val="24"/>
                <w:lang w:val="en-US" w:eastAsia="zh-CN"/>
              </w:rPr>
              <w:t>同时，场区的原料库、制砂车间地理位置海拔高于生活区以及搅拌站。利用地理高度便于运送原料至搅拌站，同时产生的颗粒物由于下风向和海拔高度能有效缓解对上风向的生活区以及上风向的哨上村的影响。</w:t>
            </w:r>
          </w:p>
          <w:p w14:paraId="146E9C75">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eastAsia" w:eastAsia="宋体"/>
                <w:color w:val="auto"/>
                <w:spacing w:val="-1"/>
                <w:sz w:val="24"/>
                <w:szCs w:val="24"/>
                <w:lang w:eastAsia="zh-CN"/>
              </w:rPr>
            </w:pPr>
            <w:r>
              <w:rPr>
                <w:color w:val="auto"/>
                <w:sz w:val="24"/>
                <w:szCs w:val="24"/>
              </w:rPr>
              <w:t>综合楼紧邻场内道路，布置于生活区的</w:t>
            </w:r>
            <w:r>
              <w:rPr>
                <w:color w:val="auto"/>
                <w:spacing w:val="-1"/>
                <w:sz w:val="24"/>
                <w:szCs w:val="24"/>
              </w:rPr>
              <w:t>中部位置，油烟排气</w:t>
            </w:r>
            <w:r>
              <w:rPr>
                <w:color w:val="auto"/>
                <w:sz w:val="24"/>
                <w:szCs w:val="24"/>
              </w:rPr>
              <w:t>筒设置于综合楼顶部以减少对周围居民的不利影响，</w:t>
            </w:r>
            <w:r>
              <w:rPr>
                <w:color w:val="auto"/>
                <w:spacing w:val="-1"/>
                <w:sz w:val="24"/>
                <w:szCs w:val="24"/>
              </w:rPr>
              <w:t>机修车间</w:t>
            </w:r>
            <w:r>
              <w:rPr>
                <w:color w:val="auto"/>
                <w:sz w:val="24"/>
                <w:szCs w:val="24"/>
              </w:rPr>
              <w:t>和停车场分别位于综合楼的两侧，</w:t>
            </w:r>
            <w:r>
              <w:rPr>
                <w:rFonts w:hint="eastAsia" w:eastAsia="宋体"/>
                <w:color w:val="auto"/>
                <w:sz w:val="24"/>
                <w:szCs w:val="24"/>
                <w:lang w:val="en-US" w:eastAsia="zh-CN"/>
              </w:rPr>
              <w:t>沉淀</w:t>
            </w:r>
            <w:r>
              <w:rPr>
                <w:color w:val="auto"/>
                <w:sz w:val="24"/>
                <w:szCs w:val="24"/>
              </w:rPr>
              <w:t>池设置在生</w:t>
            </w:r>
            <w:r>
              <w:rPr>
                <w:color w:val="auto"/>
                <w:spacing w:val="-1"/>
                <w:sz w:val="24"/>
                <w:szCs w:val="24"/>
              </w:rPr>
              <w:t>活区的</w:t>
            </w:r>
            <w:r>
              <w:rPr>
                <w:rFonts w:hint="eastAsia" w:eastAsia="宋体"/>
                <w:color w:val="auto"/>
                <w:spacing w:val="-1"/>
                <w:sz w:val="24"/>
                <w:szCs w:val="24"/>
                <w:lang w:val="en-US" w:eastAsia="zh-CN"/>
              </w:rPr>
              <w:t>东侧</w:t>
            </w:r>
            <w:r>
              <w:rPr>
                <w:color w:val="auto"/>
                <w:spacing w:val="-1"/>
                <w:sz w:val="24"/>
                <w:szCs w:val="24"/>
              </w:rPr>
              <w:t>侧，这里</w:t>
            </w:r>
            <w:r>
              <w:rPr>
                <w:color w:val="auto"/>
                <w:sz w:val="24"/>
                <w:szCs w:val="24"/>
              </w:rPr>
              <w:t>是</w:t>
            </w:r>
            <w:r>
              <w:rPr>
                <w:rFonts w:hint="eastAsia" w:eastAsia="宋体"/>
                <w:color w:val="auto"/>
                <w:sz w:val="24"/>
                <w:szCs w:val="24"/>
                <w:lang w:val="en-US" w:eastAsia="zh-CN"/>
              </w:rPr>
              <w:t>场</w:t>
            </w:r>
            <w:r>
              <w:rPr>
                <w:color w:val="auto"/>
                <w:sz w:val="24"/>
                <w:szCs w:val="24"/>
              </w:rPr>
              <w:t>区的最低点，便于收集雨水</w:t>
            </w:r>
            <w:r>
              <w:rPr>
                <w:rFonts w:hint="eastAsia" w:eastAsia="宋体"/>
                <w:color w:val="auto"/>
                <w:sz w:val="24"/>
                <w:szCs w:val="24"/>
                <w:lang w:val="en-US" w:eastAsia="zh-CN"/>
              </w:rPr>
              <w:t>或洗车废水，沉淀后回用于生产或是抽至集水池备用</w:t>
            </w:r>
            <w:r>
              <w:rPr>
                <w:color w:val="auto"/>
                <w:sz w:val="24"/>
                <w:szCs w:val="24"/>
              </w:rPr>
              <w:t>。搅拌站紧邻场内道路，水泥筒仓</w:t>
            </w:r>
            <w:r>
              <w:rPr>
                <w:rFonts w:hint="eastAsia" w:eastAsia="宋体"/>
                <w:color w:val="auto"/>
                <w:sz w:val="24"/>
                <w:szCs w:val="24"/>
                <w:lang w:eastAsia="zh-CN"/>
              </w:rPr>
              <w:t>、</w:t>
            </w:r>
            <w:r>
              <w:rPr>
                <w:rFonts w:hint="eastAsia" w:eastAsia="宋体"/>
                <w:color w:val="auto"/>
                <w:sz w:val="24"/>
                <w:szCs w:val="24"/>
                <w:lang w:val="en-US" w:eastAsia="zh-CN"/>
              </w:rPr>
              <w:t>矿粉筒仓</w:t>
            </w:r>
            <w:r>
              <w:rPr>
                <w:color w:val="auto"/>
                <w:sz w:val="24"/>
                <w:szCs w:val="24"/>
              </w:rPr>
              <w:t>和粉煤灰仓围绕搅拌机布置在全密封的搅拌站</w:t>
            </w:r>
            <w:r>
              <w:rPr>
                <w:color w:val="auto"/>
                <w:spacing w:val="-1"/>
                <w:sz w:val="24"/>
                <w:szCs w:val="24"/>
              </w:rPr>
              <w:t>内部，水泥和粉煤灰</w:t>
            </w:r>
            <w:r>
              <w:rPr>
                <w:color w:val="auto"/>
                <w:sz w:val="24"/>
                <w:szCs w:val="24"/>
              </w:rPr>
              <w:t>搅拌车辆停在搅拌站四周即可通过自带的风送系统将水泥</w:t>
            </w:r>
            <w:r>
              <w:rPr>
                <w:color w:val="auto"/>
                <w:spacing w:val="-1"/>
                <w:sz w:val="24"/>
                <w:szCs w:val="24"/>
              </w:rPr>
              <w:t>和粉煤灰输送至筒仓内</w:t>
            </w:r>
            <w:r>
              <w:rPr>
                <w:rFonts w:hint="eastAsia" w:eastAsia="宋体"/>
                <w:color w:val="auto"/>
                <w:spacing w:val="-1"/>
                <w:sz w:val="24"/>
                <w:szCs w:val="24"/>
                <w:lang w:eastAsia="zh-CN"/>
              </w:rPr>
              <w:t>；</w:t>
            </w:r>
          </w:p>
          <w:p w14:paraId="6A10E2AB">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left"/>
              <w:textAlignment w:val="auto"/>
              <w:rPr>
                <w:rFonts w:hint="default"/>
                <w:b/>
                <w:color w:val="auto"/>
                <w:sz w:val="24"/>
                <w:lang w:val="en-US" w:eastAsia="zh-CN"/>
              </w:rPr>
            </w:pPr>
            <w:r>
              <w:rPr>
                <w:rFonts w:hint="eastAsia" w:eastAsia="宋体"/>
                <w:color w:val="auto"/>
                <w:spacing w:val="-1"/>
                <w:sz w:val="24"/>
                <w:szCs w:val="24"/>
                <w:lang w:val="en-US" w:eastAsia="zh-CN"/>
              </w:rPr>
              <w:t>检验室布置</w:t>
            </w:r>
            <w:r>
              <w:rPr>
                <w:color w:val="auto"/>
                <w:spacing w:val="-1"/>
                <w:sz w:val="24"/>
                <w:szCs w:val="24"/>
              </w:rPr>
              <w:t>于</w:t>
            </w:r>
            <w:r>
              <w:rPr>
                <w:rFonts w:hint="eastAsia" w:eastAsia="宋体"/>
                <w:color w:val="auto"/>
                <w:spacing w:val="-1"/>
                <w:sz w:val="24"/>
                <w:szCs w:val="24"/>
                <w:lang w:val="en-US" w:eastAsia="zh-CN"/>
              </w:rPr>
              <w:t>综合楼西侧</w:t>
            </w:r>
            <w:r>
              <w:rPr>
                <w:rFonts w:hint="eastAsia" w:eastAsia="宋体"/>
                <w:color w:val="auto"/>
                <w:spacing w:val="-1"/>
                <w:sz w:val="24"/>
                <w:szCs w:val="24"/>
                <w:lang w:eastAsia="zh-CN"/>
              </w:rPr>
              <w:t>，</w:t>
            </w:r>
            <w:r>
              <w:rPr>
                <w:rFonts w:hint="eastAsia" w:eastAsia="宋体"/>
                <w:color w:val="auto"/>
                <w:spacing w:val="-1"/>
                <w:sz w:val="24"/>
                <w:szCs w:val="24"/>
                <w:lang w:val="en-US" w:eastAsia="zh-CN"/>
              </w:rPr>
              <w:t>距离搅拌站较近便于及时检验产品，</w:t>
            </w:r>
            <w:r>
              <w:rPr>
                <w:color w:val="auto"/>
                <w:spacing w:val="-1"/>
                <w:sz w:val="24"/>
                <w:szCs w:val="24"/>
              </w:rPr>
              <w:t>砂石料堆棚</w:t>
            </w:r>
            <w:r>
              <w:rPr>
                <w:color w:val="auto"/>
                <w:spacing w:val="-2"/>
                <w:sz w:val="24"/>
                <w:szCs w:val="24"/>
              </w:rPr>
              <w:t>通过密封式</w:t>
            </w:r>
            <w:r>
              <w:rPr>
                <w:color w:val="auto"/>
                <w:sz w:val="24"/>
                <w:szCs w:val="24"/>
              </w:rPr>
              <w:t>输送带与搅拌站相连接</w:t>
            </w:r>
            <w:r>
              <w:rPr>
                <w:rFonts w:hint="eastAsia" w:eastAsia="宋体"/>
                <w:color w:val="auto"/>
                <w:sz w:val="24"/>
                <w:szCs w:val="24"/>
                <w:lang w:eastAsia="zh-CN"/>
              </w:rPr>
              <w:t>，</w:t>
            </w:r>
            <w:r>
              <w:rPr>
                <w:rFonts w:hint="eastAsia" w:eastAsia="宋体"/>
                <w:color w:val="auto"/>
                <w:sz w:val="24"/>
                <w:szCs w:val="24"/>
                <w:lang w:val="en-US" w:eastAsia="zh-CN"/>
              </w:rPr>
              <w:t>能够与减少物料输送产生的颗粒物，缓解对周边环境的影响</w:t>
            </w:r>
            <w:r>
              <w:rPr>
                <w:color w:val="auto"/>
                <w:spacing w:val="-1"/>
                <w:sz w:val="24"/>
                <w:szCs w:val="24"/>
              </w:rPr>
              <w:t>。</w:t>
            </w:r>
          </w:p>
          <w:p w14:paraId="6C7F69BF">
            <w:pPr>
              <w:pStyle w:val="26"/>
              <w:adjustRightInd w:val="0"/>
              <w:snapToGrid w:val="0"/>
              <w:spacing w:line="351" w:lineRule="auto"/>
              <w:ind w:firstLine="482"/>
              <w:rPr>
                <w:rFonts w:ascii="Times New Roman" w:hAnsi="Times New Roman"/>
                <w:b/>
                <w:color w:val="auto"/>
                <w:sz w:val="24"/>
              </w:rPr>
            </w:pPr>
            <w:r>
              <w:rPr>
                <w:rFonts w:hint="eastAsia" w:ascii="Times New Roman" w:hAnsi="Times New Roman"/>
                <w:b/>
                <w:color w:val="auto"/>
                <w:sz w:val="24"/>
                <w:lang w:val="en-US" w:eastAsia="zh-CN"/>
              </w:rPr>
              <w:t>7</w:t>
            </w:r>
            <w:r>
              <w:rPr>
                <w:rFonts w:ascii="Times New Roman" w:hAnsi="Times New Roman"/>
                <w:b/>
                <w:color w:val="auto"/>
                <w:sz w:val="24"/>
              </w:rPr>
              <w:t>、施工进度</w:t>
            </w:r>
          </w:p>
          <w:p w14:paraId="3AFDC991">
            <w:pPr>
              <w:spacing w:line="351" w:lineRule="auto"/>
              <w:ind w:firstLine="480"/>
              <w:rPr>
                <w:color w:val="auto"/>
                <w:sz w:val="24"/>
              </w:rPr>
            </w:pPr>
            <w:r>
              <w:rPr>
                <w:color w:val="auto"/>
                <w:sz w:val="24"/>
              </w:rPr>
              <w:t>项目开发建设时段划分为两个时段，分别为施工期和运营期。</w:t>
            </w:r>
          </w:p>
          <w:p w14:paraId="33277928">
            <w:pPr>
              <w:spacing w:line="351" w:lineRule="auto"/>
              <w:ind w:firstLine="480"/>
              <w:rPr>
                <w:color w:val="auto"/>
                <w:sz w:val="24"/>
              </w:rPr>
            </w:pPr>
            <w:r>
              <w:rPr>
                <w:color w:val="auto"/>
                <w:sz w:val="24"/>
              </w:rPr>
              <w:t>截止目前，本扩建项目原料仓三面围挡、水泥筒仓、粉煤灰筒仓、矿粉筒仓及破碎制砂车间均已安装完成，扩建项目暂未开始设备调试及投入运营</w:t>
            </w:r>
            <w:r>
              <w:rPr>
                <w:rFonts w:hint="eastAsia"/>
                <w:color w:val="auto"/>
                <w:sz w:val="24"/>
              </w:rPr>
              <w:t>，项目施工期已结束。</w:t>
            </w:r>
          </w:p>
          <w:p w14:paraId="1A37E2DF">
            <w:pPr>
              <w:autoSpaceDE w:val="0"/>
              <w:autoSpaceDN w:val="0"/>
              <w:adjustRightInd w:val="0"/>
              <w:spacing w:line="360" w:lineRule="auto"/>
              <w:ind w:firstLine="482"/>
              <w:rPr>
                <w:b/>
                <w:color w:val="auto"/>
                <w:sz w:val="24"/>
              </w:rPr>
            </w:pPr>
            <w:r>
              <w:rPr>
                <w:rFonts w:hint="eastAsia"/>
                <w:b/>
                <w:color w:val="auto"/>
                <w:sz w:val="24"/>
                <w:lang w:val="en-US" w:eastAsia="zh-CN"/>
              </w:rPr>
              <w:t>8</w:t>
            </w:r>
            <w:r>
              <w:rPr>
                <w:b/>
                <w:color w:val="auto"/>
                <w:sz w:val="24"/>
              </w:rPr>
              <w:t>、公用工程</w:t>
            </w:r>
          </w:p>
          <w:p w14:paraId="02406AEC">
            <w:pPr>
              <w:autoSpaceDE w:val="0"/>
              <w:autoSpaceDN w:val="0"/>
              <w:adjustRightInd w:val="0"/>
              <w:spacing w:line="360" w:lineRule="auto"/>
              <w:ind w:firstLine="482"/>
              <w:rPr>
                <w:b/>
                <w:bCs/>
                <w:color w:val="auto"/>
                <w:sz w:val="24"/>
              </w:rPr>
            </w:pPr>
            <w:r>
              <w:rPr>
                <w:b/>
                <w:bCs/>
                <w:color w:val="auto"/>
                <w:sz w:val="24"/>
              </w:rPr>
              <w:t>（1）给排水</w:t>
            </w:r>
          </w:p>
          <w:p w14:paraId="559D4199">
            <w:pPr>
              <w:autoSpaceDE w:val="0"/>
              <w:autoSpaceDN w:val="0"/>
              <w:adjustRightInd w:val="0"/>
              <w:spacing w:line="360" w:lineRule="auto"/>
              <w:ind w:firstLine="480"/>
              <w:rPr>
                <w:color w:val="auto"/>
                <w:sz w:val="24"/>
              </w:rPr>
            </w:pPr>
            <w:r>
              <w:rPr>
                <w:color w:val="auto"/>
                <w:sz w:val="24"/>
              </w:rPr>
              <w:t>给水：生产、生活用水由寻甸自来水管网接入供给。</w:t>
            </w:r>
          </w:p>
          <w:p w14:paraId="507CEB10">
            <w:pPr>
              <w:autoSpaceDE w:val="0"/>
              <w:autoSpaceDN w:val="0"/>
              <w:adjustRightInd w:val="0"/>
              <w:spacing w:line="360" w:lineRule="auto"/>
              <w:ind w:firstLine="480"/>
              <w:rPr>
                <w:color w:val="auto"/>
                <w:sz w:val="24"/>
              </w:rPr>
            </w:pPr>
            <w:r>
              <w:rPr>
                <w:color w:val="auto"/>
                <w:sz w:val="24"/>
              </w:rPr>
              <w:t>排水：实行雨污分流</w:t>
            </w:r>
          </w:p>
          <w:p w14:paraId="0A941C4B">
            <w:pPr>
              <w:autoSpaceDE w:val="0"/>
              <w:autoSpaceDN w:val="0"/>
              <w:adjustRightInd w:val="0"/>
              <w:spacing w:line="360" w:lineRule="auto"/>
              <w:ind w:firstLine="480"/>
              <w:rPr>
                <w:color w:val="auto"/>
                <w:sz w:val="24"/>
              </w:rPr>
            </w:pPr>
            <w:r>
              <w:rPr>
                <w:color w:val="auto"/>
                <w:sz w:val="24"/>
              </w:rPr>
              <w:t>①雨水：厂区硬化地上雨水经地势北高南低汇入“沉淀池”系统处理后回用于项目生产过程，厂区周边设有雨水沟，厂区周边降雨经过雨水沟直接外排，不参与生产使用。</w:t>
            </w:r>
          </w:p>
          <w:p w14:paraId="00142096">
            <w:pPr>
              <w:autoSpaceDE w:val="0"/>
              <w:autoSpaceDN w:val="0"/>
              <w:adjustRightInd w:val="0"/>
              <w:spacing w:line="360" w:lineRule="auto"/>
              <w:ind w:firstLine="480"/>
              <w:rPr>
                <w:color w:val="auto"/>
                <w:sz w:val="24"/>
              </w:rPr>
            </w:pPr>
            <w:r>
              <w:rPr>
                <w:color w:val="auto"/>
                <w:sz w:val="24"/>
              </w:rPr>
              <w:t>②污水：项目食堂废水先经隔油池处理后，再同生活污水排入化粪池处理后，用于农田堆肥；项目搅拌机清洗废水混凝土运输车辆罐体内部及罐车外部清洗废水、</w:t>
            </w:r>
            <w:r>
              <w:rPr>
                <w:rFonts w:hint="eastAsia"/>
                <w:color w:val="auto"/>
                <w:sz w:val="24"/>
                <w:lang w:val="en-US" w:eastAsia="zh-CN"/>
              </w:rPr>
              <w:t>检验设备</w:t>
            </w:r>
            <w:r>
              <w:rPr>
                <w:rFonts w:hint="eastAsia"/>
                <w:color w:val="auto"/>
                <w:sz w:val="24"/>
                <w:lang w:eastAsia="zh-CN"/>
              </w:rPr>
              <w:t>废水</w:t>
            </w:r>
            <w:r>
              <w:rPr>
                <w:color w:val="auto"/>
                <w:sz w:val="24"/>
              </w:rPr>
              <w:t>经沉淀池处理后回用于项目生产过程，不外排。</w:t>
            </w:r>
          </w:p>
          <w:p w14:paraId="638FD2EE">
            <w:pPr>
              <w:autoSpaceDE w:val="0"/>
              <w:autoSpaceDN w:val="0"/>
              <w:adjustRightInd w:val="0"/>
              <w:spacing w:line="360" w:lineRule="auto"/>
              <w:ind w:firstLine="482"/>
              <w:rPr>
                <w:b/>
                <w:bCs/>
                <w:color w:val="auto"/>
                <w:sz w:val="24"/>
              </w:rPr>
            </w:pPr>
            <w:r>
              <w:rPr>
                <w:b/>
                <w:bCs/>
                <w:color w:val="auto"/>
                <w:sz w:val="24"/>
              </w:rPr>
              <w:t>（2）供电系统</w:t>
            </w:r>
          </w:p>
          <w:p w14:paraId="1C02EA5C">
            <w:pPr>
              <w:autoSpaceDE w:val="0"/>
              <w:autoSpaceDN w:val="0"/>
              <w:adjustRightInd w:val="0"/>
              <w:spacing w:line="360" w:lineRule="auto"/>
              <w:ind w:firstLine="480"/>
              <w:rPr>
                <w:b/>
                <w:color w:val="auto"/>
                <w:sz w:val="24"/>
              </w:rPr>
            </w:pPr>
            <w:r>
              <w:rPr>
                <w:color w:val="auto"/>
                <w:sz w:val="24"/>
              </w:rPr>
              <w:t>项目供电由寻甸电网引入</w:t>
            </w:r>
            <w:r>
              <w:rPr>
                <w:rFonts w:hint="eastAsia"/>
                <w:color w:val="auto"/>
                <w:sz w:val="24"/>
              </w:rPr>
              <w:t>原有已建</w:t>
            </w:r>
            <w:r>
              <w:rPr>
                <w:color w:val="auto"/>
                <w:sz w:val="24"/>
              </w:rPr>
              <w:t>配电室。</w:t>
            </w:r>
          </w:p>
          <w:p w14:paraId="694AE891">
            <w:pPr>
              <w:pStyle w:val="26"/>
              <w:adjustRightInd w:val="0"/>
              <w:snapToGrid w:val="0"/>
              <w:spacing w:line="351" w:lineRule="auto"/>
              <w:ind w:firstLine="482"/>
              <w:rPr>
                <w:rFonts w:ascii="Times New Roman" w:hAnsi="Times New Roman"/>
                <w:b/>
                <w:color w:val="auto"/>
                <w:sz w:val="24"/>
              </w:rPr>
            </w:pPr>
            <w:r>
              <w:rPr>
                <w:rFonts w:hint="eastAsia" w:ascii="Times New Roman" w:hAnsi="Times New Roman"/>
                <w:b/>
                <w:color w:val="auto"/>
                <w:sz w:val="24"/>
                <w:lang w:val="en-US" w:eastAsia="zh-CN"/>
              </w:rPr>
              <w:t>9</w:t>
            </w:r>
            <w:r>
              <w:rPr>
                <w:rFonts w:hint="eastAsia" w:ascii="Times New Roman" w:hAnsi="Times New Roman"/>
                <w:b/>
                <w:color w:val="auto"/>
                <w:sz w:val="24"/>
              </w:rPr>
              <w:t>、依托工程</w:t>
            </w:r>
          </w:p>
          <w:p w14:paraId="768FF8B5">
            <w:pPr>
              <w:autoSpaceDE w:val="0"/>
              <w:autoSpaceDN w:val="0"/>
              <w:adjustRightInd w:val="0"/>
              <w:spacing w:line="360" w:lineRule="auto"/>
              <w:ind w:firstLine="480"/>
              <w:rPr>
                <w:color w:val="auto"/>
                <w:sz w:val="24"/>
              </w:rPr>
            </w:pPr>
            <w:r>
              <w:rPr>
                <w:rFonts w:hint="eastAsia"/>
                <w:color w:val="auto"/>
                <w:sz w:val="24"/>
              </w:rPr>
              <w:t>综合住房楼、</w:t>
            </w:r>
            <w:r>
              <w:rPr>
                <w:color w:val="auto"/>
                <w:sz w:val="24"/>
              </w:rPr>
              <w:t>办公楼</w:t>
            </w:r>
            <w:r>
              <w:rPr>
                <w:rFonts w:hint="eastAsia"/>
                <w:color w:val="auto"/>
                <w:sz w:val="24"/>
              </w:rPr>
              <w:t>、宿舍、食堂、门卫室、物资仓库、厂区运输道路、停车区均依托</w:t>
            </w:r>
            <w:r>
              <w:rPr>
                <w:color w:val="auto"/>
                <w:sz w:val="24"/>
              </w:rPr>
              <w:t>原项目已建综合楼和住宿楼内部分建筑</w:t>
            </w:r>
            <w:r>
              <w:rPr>
                <w:rFonts w:hint="eastAsia"/>
                <w:color w:val="auto"/>
                <w:sz w:val="24"/>
              </w:rPr>
              <w:t>，供水、供电及排水系统均依托原项目已建公用工程系统设施。</w:t>
            </w:r>
          </w:p>
          <w:p w14:paraId="5343B59E">
            <w:pPr>
              <w:autoSpaceDE w:val="0"/>
              <w:autoSpaceDN w:val="0"/>
              <w:adjustRightInd w:val="0"/>
              <w:spacing w:line="360" w:lineRule="auto"/>
              <w:ind w:firstLine="480"/>
              <w:rPr>
                <w:color w:val="auto"/>
                <w:sz w:val="24"/>
              </w:rPr>
            </w:pPr>
            <w:r>
              <w:rPr>
                <w:color w:val="auto"/>
                <w:sz w:val="24"/>
              </w:rPr>
              <w:t>混凝土</w:t>
            </w:r>
            <w:r>
              <w:rPr>
                <w:rFonts w:hint="eastAsia"/>
                <w:color w:val="auto"/>
                <w:sz w:val="24"/>
              </w:rPr>
              <w:t>拌合站依托原有已建拌合站密闭措施，</w:t>
            </w:r>
            <w:r>
              <w:rPr>
                <w:color w:val="auto"/>
                <w:sz w:val="24"/>
              </w:rPr>
              <w:t>车辆清洗依托原项目已建车辆清洗设施</w:t>
            </w:r>
            <w:r>
              <w:rPr>
                <w:rFonts w:hint="eastAsia"/>
                <w:color w:val="auto"/>
                <w:sz w:val="24"/>
              </w:rPr>
              <w:t>，</w:t>
            </w:r>
            <w:r>
              <w:rPr>
                <w:color w:val="auto"/>
                <w:sz w:val="24"/>
              </w:rPr>
              <w:t>厂区粉尘、运输粉尘抑尘措施</w:t>
            </w:r>
            <w:r>
              <w:rPr>
                <w:rFonts w:hint="eastAsia"/>
                <w:color w:val="auto"/>
                <w:sz w:val="24"/>
              </w:rPr>
              <w:t>依托原项目已采取的洒水抑尘措施，</w:t>
            </w:r>
            <w:r>
              <w:rPr>
                <w:color w:val="auto"/>
                <w:sz w:val="24"/>
              </w:rPr>
              <w:t>食堂油烟治理依托原项目已建烟治理油烟净化器</w:t>
            </w:r>
            <w:r>
              <w:rPr>
                <w:rFonts w:hint="eastAsia"/>
                <w:color w:val="auto"/>
                <w:sz w:val="24"/>
              </w:rPr>
              <w:t>，生活垃圾、一般固体废物依托</w:t>
            </w:r>
            <w:r>
              <w:rPr>
                <w:color w:val="auto"/>
                <w:sz w:val="24"/>
              </w:rPr>
              <w:t>原项目已建固废处置设施</w:t>
            </w:r>
            <w:r>
              <w:rPr>
                <w:rFonts w:hint="eastAsia"/>
                <w:color w:val="auto"/>
                <w:sz w:val="24"/>
              </w:rPr>
              <w:t>。</w:t>
            </w:r>
          </w:p>
          <w:p w14:paraId="0F083241">
            <w:pPr>
              <w:pStyle w:val="26"/>
              <w:adjustRightInd w:val="0"/>
              <w:snapToGrid w:val="0"/>
              <w:spacing w:line="351" w:lineRule="auto"/>
              <w:ind w:firstLine="482"/>
              <w:rPr>
                <w:rFonts w:ascii="Times New Roman" w:hAnsi="Times New Roman"/>
                <w:b/>
                <w:color w:val="auto"/>
                <w:sz w:val="24"/>
              </w:rPr>
            </w:pPr>
            <w:r>
              <w:rPr>
                <w:rFonts w:hint="eastAsia" w:ascii="Times New Roman" w:hAnsi="Times New Roman"/>
                <w:b/>
                <w:color w:val="auto"/>
                <w:sz w:val="24"/>
                <w:lang w:val="en-US" w:eastAsia="zh-CN"/>
              </w:rPr>
              <w:t>10</w:t>
            </w:r>
            <w:r>
              <w:rPr>
                <w:rFonts w:ascii="Times New Roman" w:hAnsi="Times New Roman"/>
                <w:b/>
                <w:color w:val="auto"/>
                <w:sz w:val="24"/>
              </w:rPr>
              <w:t>、环保投资</w:t>
            </w:r>
          </w:p>
          <w:p w14:paraId="232C9DA1">
            <w:pPr>
              <w:adjustRightInd w:val="0"/>
              <w:snapToGrid w:val="0"/>
              <w:spacing w:line="351" w:lineRule="auto"/>
              <w:ind w:firstLine="480"/>
              <w:rPr>
                <w:color w:val="auto"/>
                <w:sz w:val="24"/>
                <w:shd w:val="clear" w:color="auto" w:fill="FFFF00"/>
              </w:rPr>
            </w:pPr>
            <w:r>
              <w:rPr>
                <w:color w:val="auto"/>
                <w:sz w:val="24"/>
              </w:rPr>
              <w:t>项目总投资500万元，其中环保投资</w:t>
            </w:r>
            <w:r>
              <w:rPr>
                <w:rFonts w:hint="eastAsia"/>
                <w:color w:val="auto"/>
                <w:sz w:val="24"/>
              </w:rPr>
              <w:t>25</w:t>
            </w:r>
            <w:r>
              <w:rPr>
                <w:color w:val="auto"/>
                <w:sz w:val="24"/>
              </w:rPr>
              <w:t>万元，占总投资的</w:t>
            </w:r>
            <w:r>
              <w:rPr>
                <w:rFonts w:hint="eastAsia"/>
                <w:color w:val="auto"/>
                <w:sz w:val="24"/>
              </w:rPr>
              <w:t>5</w:t>
            </w:r>
            <w:r>
              <w:rPr>
                <w:color w:val="auto"/>
                <w:sz w:val="24"/>
              </w:rPr>
              <w:t>%，项目环保投资情况见表2-</w:t>
            </w:r>
            <w:r>
              <w:rPr>
                <w:rFonts w:hint="eastAsia"/>
                <w:color w:val="auto"/>
                <w:sz w:val="24"/>
              </w:rPr>
              <w:t>7</w:t>
            </w:r>
            <w:r>
              <w:rPr>
                <w:color w:val="auto"/>
                <w:sz w:val="24"/>
              </w:rPr>
              <w:t>。</w:t>
            </w:r>
          </w:p>
          <w:p w14:paraId="7A7B581A">
            <w:pPr>
              <w:pStyle w:val="21"/>
              <w:spacing w:after="0"/>
              <w:ind w:left="0" w:leftChars="0" w:firstLine="422"/>
              <w:jc w:val="center"/>
              <w:rPr>
                <w:b/>
                <w:color w:val="auto"/>
                <w:sz w:val="21"/>
                <w:szCs w:val="21"/>
              </w:rPr>
            </w:pPr>
            <w:r>
              <w:rPr>
                <w:b/>
                <w:color w:val="auto"/>
                <w:sz w:val="21"/>
                <w:szCs w:val="21"/>
              </w:rPr>
              <w:t>表2-</w:t>
            </w:r>
            <w:r>
              <w:rPr>
                <w:rFonts w:hint="eastAsia"/>
                <w:b/>
                <w:color w:val="auto"/>
                <w:sz w:val="21"/>
                <w:szCs w:val="21"/>
              </w:rPr>
              <w:t>7</w:t>
            </w:r>
            <w:r>
              <w:rPr>
                <w:b/>
                <w:color w:val="auto"/>
                <w:sz w:val="21"/>
                <w:szCs w:val="21"/>
              </w:rPr>
              <w:t xml:space="preserve">   环保投资概算表   单位：万</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009"/>
              <w:gridCol w:w="932"/>
              <w:gridCol w:w="2999"/>
              <w:gridCol w:w="611"/>
              <w:gridCol w:w="711"/>
              <w:gridCol w:w="1067"/>
            </w:tblGrid>
            <w:tr w14:paraId="5E4A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pct"/>
                  <w:gridSpan w:val="3"/>
                  <w:vAlign w:val="center"/>
                </w:tcPr>
                <w:p w14:paraId="5D00EB43">
                  <w:pPr>
                    <w:pStyle w:val="26"/>
                    <w:ind w:firstLine="0" w:firstLineChars="0"/>
                    <w:jc w:val="center"/>
                    <w:rPr>
                      <w:rFonts w:ascii="Times New Roman" w:hAnsi="Times New Roman"/>
                      <w:color w:val="auto"/>
                      <w:sz w:val="24"/>
                    </w:rPr>
                  </w:pPr>
                  <w:r>
                    <w:rPr>
                      <w:rFonts w:ascii="Times New Roman" w:hAnsi="Times New Roman"/>
                      <w:b/>
                      <w:bCs/>
                      <w:color w:val="auto"/>
                    </w:rPr>
                    <w:t>项目</w:t>
                  </w:r>
                </w:p>
              </w:tc>
              <w:tc>
                <w:tcPr>
                  <w:tcW w:w="1885" w:type="pct"/>
                  <w:vAlign w:val="center"/>
                </w:tcPr>
                <w:p w14:paraId="64F9FA9F">
                  <w:pPr>
                    <w:pStyle w:val="26"/>
                    <w:ind w:firstLine="0" w:firstLineChars="0"/>
                    <w:jc w:val="center"/>
                    <w:rPr>
                      <w:rFonts w:ascii="Times New Roman" w:hAnsi="Times New Roman"/>
                      <w:color w:val="auto"/>
                      <w:sz w:val="24"/>
                    </w:rPr>
                  </w:pPr>
                  <w:r>
                    <w:rPr>
                      <w:rFonts w:ascii="Times New Roman" w:hAnsi="Times New Roman"/>
                      <w:b/>
                      <w:color w:val="auto"/>
                      <w:szCs w:val="21"/>
                    </w:rPr>
                    <w:t>建设内容及规模</w:t>
                  </w:r>
                </w:p>
              </w:tc>
              <w:tc>
                <w:tcPr>
                  <w:tcW w:w="384" w:type="pct"/>
                  <w:vAlign w:val="center"/>
                </w:tcPr>
                <w:p w14:paraId="4EFC3DA2">
                  <w:pPr>
                    <w:pStyle w:val="26"/>
                    <w:ind w:firstLine="0" w:firstLineChars="0"/>
                    <w:jc w:val="center"/>
                    <w:rPr>
                      <w:rFonts w:ascii="Times New Roman" w:hAnsi="Times New Roman"/>
                      <w:b/>
                      <w:color w:val="auto"/>
                      <w:szCs w:val="21"/>
                    </w:rPr>
                  </w:pPr>
                  <w:r>
                    <w:rPr>
                      <w:rFonts w:ascii="Times New Roman" w:hAnsi="Times New Roman"/>
                      <w:b/>
                      <w:color w:val="auto"/>
                      <w:szCs w:val="21"/>
                    </w:rPr>
                    <w:t>数量</w:t>
                  </w:r>
                </w:p>
              </w:tc>
              <w:tc>
                <w:tcPr>
                  <w:tcW w:w="447" w:type="pct"/>
                  <w:vAlign w:val="center"/>
                </w:tcPr>
                <w:p w14:paraId="41B04C35">
                  <w:pPr>
                    <w:pStyle w:val="26"/>
                    <w:ind w:firstLine="0" w:firstLineChars="0"/>
                    <w:jc w:val="center"/>
                    <w:rPr>
                      <w:rFonts w:ascii="Times New Roman" w:hAnsi="Times New Roman"/>
                      <w:b/>
                      <w:color w:val="auto"/>
                      <w:szCs w:val="21"/>
                    </w:rPr>
                  </w:pPr>
                  <w:r>
                    <w:rPr>
                      <w:rFonts w:ascii="Times New Roman" w:hAnsi="Times New Roman"/>
                      <w:b/>
                      <w:color w:val="auto"/>
                      <w:szCs w:val="21"/>
                    </w:rPr>
                    <w:t>投资金额（万元）</w:t>
                  </w:r>
                </w:p>
              </w:tc>
              <w:tc>
                <w:tcPr>
                  <w:tcW w:w="670" w:type="pct"/>
                  <w:vAlign w:val="center"/>
                </w:tcPr>
                <w:p w14:paraId="3F9360DF">
                  <w:pPr>
                    <w:pStyle w:val="26"/>
                    <w:ind w:firstLine="0" w:firstLineChars="0"/>
                    <w:jc w:val="center"/>
                    <w:rPr>
                      <w:rFonts w:ascii="Times New Roman" w:hAnsi="Times New Roman"/>
                      <w:color w:val="auto"/>
                      <w:sz w:val="24"/>
                    </w:rPr>
                  </w:pPr>
                  <w:r>
                    <w:rPr>
                      <w:rFonts w:ascii="Times New Roman" w:hAnsi="Times New Roman"/>
                      <w:b/>
                      <w:color w:val="auto"/>
                      <w:szCs w:val="21"/>
                    </w:rPr>
                    <w:t>备注</w:t>
                  </w:r>
                </w:p>
              </w:tc>
            </w:tr>
            <w:tr w14:paraId="6D3C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restart"/>
                  <w:vAlign w:val="center"/>
                </w:tcPr>
                <w:p w14:paraId="55B3008A">
                  <w:pPr>
                    <w:pStyle w:val="26"/>
                    <w:ind w:firstLine="0" w:firstLineChars="0"/>
                    <w:jc w:val="center"/>
                    <w:rPr>
                      <w:rFonts w:ascii="Times New Roman" w:hAnsi="Times New Roman"/>
                      <w:color w:val="auto"/>
                      <w:kern w:val="0"/>
                      <w:szCs w:val="21"/>
                    </w:rPr>
                  </w:pPr>
                  <w:r>
                    <w:rPr>
                      <w:rFonts w:ascii="Times New Roman" w:hAnsi="Times New Roman"/>
                      <w:color w:val="auto"/>
                      <w:szCs w:val="21"/>
                    </w:rPr>
                    <w:t>废水治理</w:t>
                  </w:r>
                </w:p>
              </w:tc>
              <w:tc>
                <w:tcPr>
                  <w:tcW w:w="634" w:type="pct"/>
                  <w:vMerge w:val="restart"/>
                  <w:vAlign w:val="center"/>
                </w:tcPr>
                <w:p w14:paraId="27578F9C">
                  <w:pPr>
                    <w:pStyle w:val="26"/>
                    <w:ind w:firstLine="0" w:firstLineChars="0"/>
                    <w:jc w:val="center"/>
                    <w:rPr>
                      <w:rFonts w:ascii="Times New Roman" w:hAnsi="Times New Roman"/>
                      <w:color w:val="auto"/>
                      <w:kern w:val="0"/>
                      <w:szCs w:val="21"/>
                    </w:rPr>
                  </w:pPr>
                  <w:r>
                    <w:rPr>
                      <w:rFonts w:ascii="Times New Roman" w:hAnsi="Times New Roman"/>
                      <w:color w:val="auto"/>
                    </w:rPr>
                    <w:t>生活污水处理设施</w:t>
                  </w:r>
                </w:p>
              </w:tc>
              <w:tc>
                <w:tcPr>
                  <w:tcW w:w="584" w:type="pct"/>
                  <w:vAlign w:val="center"/>
                </w:tcPr>
                <w:p w14:paraId="2835B8FB">
                  <w:pPr>
                    <w:pStyle w:val="95"/>
                    <w:spacing w:line="240" w:lineRule="auto"/>
                    <w:ind w:firstLine="0" w:firstLineChars="0"/>
                    <w:rPr>
                      <w:rFonts w:ascii="Times New Roman"/>
                      <w:color w:val="auto"/>
                      <w:sz w:val="21"/>
                      <w:szCs w:val="21"/>
                      <w:lang w:bidi="ar"/>
                    </w:rPr>
                  </w:pPr>
                  <w:r>
                    <w:rPr>
                      <w:rFonts w:ascii="Times New Roman"/>
                      <w:color w:val="auto"/>
                      <w:sz w:val="21"/>
                      <w:szCs w:val="21"/>
                      <w:lang w:bidi="ar"/>
                    </w:rPr>
                    <w:t>隔油池</w:t>
                  </w:r>
                </w:p>
              </w:tc>
              <w:tc>
                <w:tcPr>
                  <w:tcW w:w="1885" w:type="pct"/>
                  <w:vAlign w:val="center"/>
                </w:tcPr>
                <w:p w14:paraId="2688EA18">
                  <w:pPr>
                    <w:pStyle w:val="95"/>
                    <w:spacing w:line="240" w:lineRule="auto"/>
                    <w:ind w:firstLine="0" w:firstLineChars="0"/>
                    <w:rPr>
                      <w:rFonts w:ascii="Times New Roman"/>
                      <w:color w:val="auto"/>
                      <w:sz w:val="21"/>
                      <w:szCs w:val="21"/>
                      <w:lang w:bidi="ar"/>
                    </w:rPr>
                  </w:pPr>
                  <w:r>
                    <w:rPr>
                      <w:rFonts w:ascii="Times New Roman"/>
                      <w:color w:val="auto"/>
                      <w:sz w:val="21"/>
                      <w:szCs w:val="21"/>
                      <w:lang w:bidi="ar"/>
                    </w:rPr>
                    <w:t>容积2m</w:t>
                  </w:r>
                  <w:r>
                    <w:rPr>
                      <w:rFonts w:ascii="Times New Roman"/>
                      <w:color w:val="auto"/>
                      <w:sz w:val="21"/>
                      <w:szCs w:val="21"/>
                      <w:vertAlign w:val="superscript"/>
                      <w:lang w:bidi="ar"/>
                    </w:rPr>
                    <w:t>3</w:t>
                  </w:r>
                  <w:r>
                    <w:rPr>
                      <w:rFonts w:ascii="Times New Roman"/>
                      <w:color w:val="auto"/>
                      <w:sz w:val="21"/>
                      <w:szCs w:val="21"/>
                      <w:lang w:bidi="ar"/>
                    </w:rPr>
                    <w:t>的三级隔油池1座，</w:t>
                  </w:r>
                </w:p>
              </w:tc>
              <w:tc>
                <w:tcPr>
                  <w:tcW w:w="384" w:type="pct"/>
                  <w:vAlign w:val="center"/>
                </w:tcPr>
                <w:p w14:paraId="784790F9">
                  <w:pPr>
                    <w:pStyle w:val="26"/>
                    <w:ind w:firstLine="0" w:firstLineChars="0"/>
                    <w:jc w:val="center"/>
                    <w:rPr>
                      <w:rFonts w:ascii="Times New Roman" w:hAnsi="Times New Roman"/>
                      <w:color w:val="auto"/>
                    </w:rPr>
                  </w:pPr>
                  <w:r>
                    <w:rPr>
                      <w:rFonts w:ascii="Times New Roman" w:hAnsi="Times New Roman"/>
                      <w:color w:val="auto"/>
                    </w:rPr>
                    <w:t>1个</w:t>
                  </w:r>
                </w:p>
              </w:tc>
              <w:tc>
                <w:tcPr>
                  <w:tcW w:w="447" w:type="pct"/>
                  <w:vAlign w:val="center"/>
                </w:tcPr>
                <w:p w14:paraId="1907CF7E">
                  <w:pPr>
                    <w:pStyle w:val="26"/>
                    <w:ind w:firstLine="0" w:firstLineChars="0"/>
                    <w:jc w:val="center"/>
                    <w:rPr>
                      <w:rFonts w:ascii="Times New Roman" w:hAnsi="Times New Roman"/>
                      <w:color w:val="auto"/>
                    </w:rPr>
                  </w:pPr>
                  <w:r>
                    <w:rPr>
                      <w:rFonts w:ascii="Times New Roman" w:hAnsi="Times New Roman"/>
                      <w:color w:val="auto"/>
                    </w:rPr>
                    <w:t>/</w:t>
                  </w:r>
                </w:p>
              </w:tc>
              <w:tc>
                <w:tcPr>
                  <w:tcW w:w="670" w:type="pct"/>
                  <w:vAlign w:val="center"/>
                </w:tcPr>
                <w:p w14:paraId="01D19F91">
                  <w:pPr>
                    <w:pStyle w:val="26"/>
                    <w:ind w:firstLine="0" w:firstLineChars="0"/>
                    <w:jc w:val="center"/>
                    <w:rPr>
                      <w:rFonts w:ascii="Times New Roman" w:hAnsi="Times New Roman"/>
                      <w:color w:val="auto"/>
                    </w:rPr>
                  </w:pPr>
                  <w:r>
                    <w:rPr>
                      <w:rFonts w:ascii="Times New Roman" w:hAnsi="Times New Roman"/>
                      <w:color w:val="auto"/>
                    </w:rPr>
                    <w:t>依托原项目已建隔油池</w:t>
                  </w:r>
                </w:p>
              </w:tc>
            </w:tr>
            <w:tr w14:paraId="28F5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0A5B258F">
                  <w:pPr>
                    <w:pStyle w:val="26"/>
                    <w:ind w:firstLine="0" w:firstLineChars="0"/>
                    <w:jc w:val="center"/>
                    <w:rPr>
                      <w:rFonts w:ascii="Times New Roman" w:hAnsi="Times New Roman"/>
                      <w:color w:val="auto"/>
                      <w:szCs w:val="21"/>
                    </w:rPr>
                  </w:pPr>
                </w:p>
              </w:tc>
              <w:tc>
                <w:tcPr>
                  <w:tcW w:w="634" w:type="pct"/>
                  <w:vMerge w:val="continue"/>
                  <w:vAlign w:val="center"/>
                </w:tcPr>
                <w:p w14:paraId="68434BE3">
                  <w:pPr>
                    <w:pStyle w:val="26"/>
                    <w:ind w:firstLine="0" w:firstLineChars="0"/>
                    <w:jc w:val="center"/>
                    <w:rPr>
                      <w:rFonts w:ascii="Times New Roman" w:hAnsi="Times New Roman"/>
                      <w:color w:val="auto"/>
                    </w:rPr>
                  </w:pPr>
                </w:p>
              </w:tc>
              <w:tc>
                <w:tcPr>
                  <w:tcW w:w="584" w:type="pct"/>
                  <w:vAlign w:val="center"/>
                </w:tcPr>
                <w:p w14:paraId="77006162">
                  <w:pPr>
                    <w:pStyle w:val="95"/>
                    <w:spacing w:line="240" w:lineRule="auto"/>
                    <w:ind w:firstLine="0" w:firstLineChars="0"/>
                    <w:rPr>
                      <w:rFonts w:ascii="Times New Roman"/>
                      <w:color w:val="auto"/>
                      <w:sz w:val="21"/>
                      <w:szCs w:val="21"/>
                      <w:lang w:bidi="ar"/>
                    </w:rPr>
                  </w:pPr>
                  <w:r>
                    <w:rPr>
                      <w:rFonts w:ascii="Times New Roman"/>
                      <w:color w:val="auto"/>
                      <w:sz w:val="21"/>
                      <w:szCs w:val="21"/>
                      <w:lang w:bidi="ar"/>
                    </w:rPr>
                    <w:t>化粪池</w:t>
                  </w:r>
                </w:p>
              </w:tc>
              <w:tc>
                <w:tcPr>
                  <w:tcW w:w="1885" w:type="pct"/>
                  <w:vAlign w:val="center"/>
                </w:tcPr>
                <w:p w14:paraId="51B3D38C">
                  <w:pPr>
                    <w:pStyle w:val="95"/>
                    <w:spacing w:line="240" w:lineRule="auto"/>
                    <w:ind w:firstLine="0" w:firstLineChars="0"/>
                    <w:rPr>
                      <w:rFonts w:ascii="Times New Roman"/>
                      <w:color w:val="auto"/>
                      <w:sz w:val="21"/>
                      <w:szCs w:val="21"/>
                      <w:lang w:bidi="ar"/>
                    </w:rPr>
                  </w:pPr>
                  <w:r>
                    <w:rPr>
                      <w:rFonts w:ascii="Times New Roman"/>
                      <w:color w:val="auto"/>
                      <w:sz w:val="21"/>
                      <w:szCs w:val="21"/>
                      <w:lang w:bidi="ar"/>
                    </w:rPr>
                    <w:t>容积5m</w:t>
                  </w:r>
                  <w:r>
                    <w:rPr>
                      <w:rFonts w:ascii="Times New Roman"/>
                      <w:color w:val="auto"/>
                      <w:sz w:val="21"/>
                      <w:szCs w:val="21"/>
                      <w:vertAlign w:val="superscript"/>
                      <w:lang w:bidi="ar"/>
                    </w:rPr>
                    <w:t>3</w:t>
                  </w:r>
                  <w:r>
                    <w:rPr>
                      <w:rFonts w:ascii="Times New Roman"/>
                      <w:color w:val="auto"/>
                      <w:sz w:val="21"/>
                      <w:szCs w:val="21"/>
                      <w:lang w:bidi="ar"/>
                    </w:rPr>
                    <w:t>的化粪池1座，</w:t>
                  </w:r>
                </w:p>
              </w:tc>
              <w:tc>
                <w:tcPr>
                  <w:tcW w:w="384" w:type="pct"/>
                  <w:vAlign w:val="center"/>
                </w:tcPr>
                <w:p w14:paraId="0F798CD3">
                  <w:pPr>
                    <w:pStyle w:val="26"/>
                    <w:ind w:firstLine="0" w:firstLineChars="0"/>
                    <w:jc w:val="center"/>
                    <w:rPr>
                      <w:rFonts w:ascii="Times New Roman" w:hAnsi="Times New Roman"/>
                      <w:color w:val="auto"/>
                    </w:rPr>
                  </w:pPr>
                  <w:r>
                    <w:rPr>
                      <w:rFonts w:ascii="Times New Roman" w:hAnsi="Times New Roman"/>
                      <w:color w:val="auto"/>
                    </w:rPr>
                    <w:t>1个</w:t>
                  </w:r>
                </w:p>
              </w:tc>
              <w:tc>
                <w:tcPr>
                  <w:tcW w:w="447" w:type="pct"/>
                  <w:vAlign w:val="center"/>
                </w:tcPr>
                <w:p w14:paraId="22634668">
                  <w:pPr>
                    <w:pStyle w:val="26"/>
                    <w:ind w:firstLine="0" w:firstLineChars="0"/>
                    <w:jc w:val="center"/>
                    <w:rPr>
                      <w:rFonts w:ascii="Times New Roman" w:hAnsi="Times New Roman"/>
                      <w:color w:val="auto"/>
                    </w:rPr>
                  </w:pPr>
                  <w:r>
                    <w:rPr>
                      <w:rFonts w:ascii="Times New Roman" w:hAnsi="Times New Roman"/>
                      <w:color w:val="auto"/>
                    </w:rPr>
                    <w:t>/</w:t>
                  </w:r>
                </w:p>
              </w:tc>
              <w:tc>
                <w:tcPr>
                  <w:tcW w:w="670" w:type="pct"/>
                  <w:vAlign w:val="center"/>
                </w:tcPr>
                <w:p w14:paraId="156B95E3">
                  <w:pPr>
                    <w:pStyle w:val="26"/>
                    <w:ind w:firstLine="0" w:firstLineChars="0"/>
                    <w:jc w:val="center"/>
                    <w:rPr>
                      <w:rFonts w:ascii="Times New Roman" w:hAnsi="Times New Roman"/>
                      <w:color w:val="auto"/>
                    </w:rPr>
                  </w:pPr>
                  <w:r>
                    <w:rPr>
                      <w:rFonts w:ascii="Times New Roman" w:hAnsi="Times New Roman"/>
                      <w:color w:val="auto"/>
                    </w:rPr>
                    <w:t>依托原项目已建化粪池</w:t>
                  </w:r>
                </w:p>
              </w:tc>
            </w:tr>
            <w:tr w14:paraId="5AFF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681B50E3">
                  <w:pPr>
                    <w:pStyle w:val="26"/>
                    <w:ind w:firstLine="0" w:firstLineChars="0"/>
                    <w:jc w:val="center"/>
                    <w:rPr>
                      <w:rFonts w:ascii="Times New Roman" w:hAnsi="Times New Roman"/>
                      <w:color w:val="auto"/>
                      <w:kern w:val="0"/>
                      <w:szCs w:val="21"/>
                    </w:rPr>
                  </w:pPr>
                </w:p>
              </w:tc>
              <w:tc>
                <w:tcPr>
                  <w:tcW w:w="634" w:type="pct"/>
                  <w:vAlign w:val="center"/>
                </w:tcPr>
                <w:p w14:paraId="0ED9AC1F">
                  <w:pPr>
                    <w:pStyle w:val="26"/>
                    <w:ind w:firstLine="0" w:firstLineChars="0"/>
                    <w:jc w:val="center"/>
                    <w:rPr>
                      <w:rFonts w:ascii="Times New Roman" w:hAnsi="Times New Roman"/>
                      <w:color w:val="auto"/>
                      <w:kern w:val="0"/>
                      <w:szCs w:val="21"/>
                    </w:rPr>
                  </w:pPr>
                  <w:r>
                    <w:rPr>
                      <w:rFonts w:ascii="Times New Roman" w:hAnsi="Times New Roman"/>
                      <w:color w:val="auto"/>
                    </w:rPr>
                    <w:t>生产废水、洗车废水处理设施</w:t>
                  </w:r>
                </w:p>
              </w:tc>
              <w:tc>
                <w:tcPr>
                  <w:tcW w:w="584" w:type="pct"/>
                  <w:vAlign w:val="center"/>
                </w:tcPr>
                <w:p w14:paraId="32CBAF4A">
                  <w:pPr>
                    <w:pStyle w:val="95"/>
                    <w:spacing w:line="240" w:lineRule="auto"/>
                    <w:ind w:firstLine="0" w:firstLineChars="0"/>
                    <w:rPr>
                      <w:rFonts w:ascii="Times New Roman"/>
                      <w:color w:val="auto"/>
                      <w:sz w:val="21"/>
                      <w:szCs w:val="21"/>
                      <w:lang w:bidi="ar"/>
                    </w:rPr>
                  </w:pPr>
                  <w:r>
                    <w:rPr>
                      <w:rFonts w:ascii="Times New Roman"/>
                      <w:color w:val="auto"/>
                      <w:sz w:val="21"/>
                      <w:szCs w:val="21"/>
                      <w:lang w:bidi="ar"/>
                    </w:rPr>
                    <w:t>沉淀池</w:t>
                  </w:r>
                </w:p>
              </w:tc>
              <w:tc>
                <w:tcPr>
                  <w:tcW w:w="1885" w:type="pct"/>
                  <w:vAlign w:val="center"/>
                </w:tcPr>
                <w:p w14:paraId="28C45F6E">
                  <w:pPr>
                    <w:pStyle w:val="95"/>
                    <w:spacing w:line="240" w:lineRule="auto"/>
                    <w:ind w:firstLine="0" w:firstLineChars="0"/>
                    <w:rPr>
                      <w:rFonts w:ascii="Times New Roman"/>
                      <w:color w:val="auto"/>
                      <w:sz w:val="21"/>
                      <w:szCs w:val="21"/>
                      <w:lang w:bidi="ar"/>
                    </w:rPr>
                  </w:pPr>
                  <w:r>
                    <w:rPr>
                      <w:rFonts w:ascii="Times New Roman"/>
                      <w:color w:val="auto"/>
                      <w:sz w:val="21"/>
                      <w:szCs w:val="21"/>
                      <w:lang w:bidi="ar"/>
                    </w:rPr>
                    <w:t>设置1个三级沉淀池：容积为150m</w:t>
                  </w:r>
                  <w:r>
                    <w:rPr>
                      <w:rFonts w:ascii="Times New Roman"/>
                      <w:color w:val="auto"/>
                      <w:sz w:val="21"/>
                      <w:szCs w:val="21"/>
                      <w:vertAlign w:val="superscript"/>
                      <w:lang w:bidi="ar"/>
                    </w:rPr>
                    <w:t>3</w:t>
                  </w:r>
                  <w:r>
                    <w:rPr>
                      <w:rFonts w:ascii="Times New Roman"/>
                      <w:color w:val="auto"/>
                      <w:sz w:val="21"/>
                      <w:szCs w:val="21"/>
                      <w:lang w:bidi="ar"/>
                    </w:rPr>
                    <w:t>。</w:t>
                  </w:r>
                </w:p>
              </w:tc>
              <w:tc>
                <w:tcPr>
                  <w:tcW w:w="384" w:type="pct"/>
                  <w:vAlign w:val="center"/>
                </w:tcPr>
                <w:p w14:paraId="40465FEC">
                  <w:pPr>
                    <w:pStyle w:val="26"/>
                    <w:ind w:firstLine="0" w:firstLineChars="0"/>
                    <w:jc w:val="center"/>
                    <w:rPr>
                      <w:rFonts w:ascii="Times New Roman" w:hAnsi="Times New Roman"/>
                      <w:color w:val="auto"/>
                    </w:rPr>
                  </w:pPr>
                  <w:r>
                    <w:rPr>
                      <w:rFonts w:ascii="Times New Roman" w:hAnsi="Times New Roman"/>
                      <w:color w:val="auto"/>
                    </w:rPr>
                    <w:t>1套</w:t>
                  </w:r>
                </w:p>
              </w:tc>
              <w:tc>
                <w:tcPr>
                  <w:tcW w:w="447" w:type="pct"/>
                  <w:vAlign w:val="center"/>
                </w:tcPr>
                <w:p w14:paraId="0F47668E">
                  <w:pPr>
                    <w:pStyle w:val="26"/>
                    <w:ind w:firstLine="0" w:firstLineChars="0"/>
                    <w:jc w:val="center"/>
                    <w:rPr>
                      <w:rFonts w:ascii="Times New Roman" w:hAnsi="Times New Roman"/>
                      <w:color w:val="auto"/>
                    </w:rPr>
                  </w:pPr>
                  <w:r>
                    <w:rPr>
                      <w:rFonts w:ascii="Times New Roman" w:hAnsi="Times New Roman"/>
                      <w:color w:val="auto"/>
                    </w:rPr>
                    <w:t>/</w:t>
                  </w:r>
                </w:p>
              </w:tc>
              <w:tc>
                <w:tcPr>
                  <w:tcW w:w="670" w:type="pct"/>
                  <w:vAlign w:val="center"/>
                </w:tcPr>
                <w:p w14:paraId="48C53A39">
                  <w:pPr>
                    <w:pStyle w:val="26"/>
                    <w:ind w:firstLine="0" w:firstLineChars="0"/>
                    <w:jc w:val="center"/>
                    <w:rPr>
                      <w:rFonts w:ascii="Times New Roman" w:hAnsi="Times New Roman"/>
                      <w:color w:val="auto"/>
                    </w:rPr>
                  </w:pPr>
                  <w:r>
                    <w:rPr>
                      <w:rFonts w:ascii="Times New Roman" w:hAnsi="Times New Roman"/>
                      <w:color w:val="auto"/>
                    </w:rPr>
                    <w:t>依托原项目已建生产废水处理设施</w:t>
                  </w:r>
                </w:p>
              </w:tc>
            </w:tr>
            <w:tr w14:paraId="1D62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2D3FFBF4">
                  <w:pPr>
                    <w:pStyle w:val="26"/>
                    <w:ind w:firstLine="0" w:firstLineChars="0"/>
                    <w:jc w:val="center"/>
                    <w:rPr>
                      <w:rFonts w:ascii="Times New Roman" w:hAnsi="Times New Roman"/>
                      <w:color w:val="auto"/>
                      <w:kern w:val="0"/>
                      <w:szCs w:val="21"/>
                    </w:rPr>
                  </w:pPr>
                </w:p>
              </w:tc>
              <w:tc>
                <w:tcPr>
                  <w:tcW w:w="1063" w:type="dxa"/>
                  <w:vAlign w:val="center"/>
                </w:tcPr>
                <w:p w14:paraId="3A8B7FD7">
                  <w:pPr>
                    <w:pStyle w:val="26"/>
                    <w:ind w:firstLine="0" w:firstLineChars="0"/>
                    <w:jc w:val="center"/>
                    <w:rPr>
                      <w:rFonts w:ascii="Times New Roman" w:hAnsi="Times New Roman"/>
                      <w:color w:val="auto"/>
                    </w:rPr>
                  </w:pPr>
                  <w:r>
                    <w:rPr>
                      <w:rFonts w:hint="eastAsia" w:ascii="Times New Roman" w:hAnsi="Times New Roman" w:eastAsia="宋体"/>
                      <w:color w:val="auto"/>
                      <w:szCs w:val="21"/>
                      <w:lang w:val="en-US" w:eastAsia="zh-CN"/>
                    </w:rPr>
                    <w:t>初期雨水</w:t>
                  </w:r>
                </w:p>
              </w:tc>
              <w:tc>
                <w:tcPr>
                  <w:tcW w:w="982" w:type="dxa"/>
                  <w:vAlign w:val="center"/>
                </w:tcPr>
                <w:p w14:paraId="35F3C35F">
                  <w:pPr>
                    <w:pStyle w:val="95"/>
                    <w:spacing w:line="240" w:lineRule="auto"/>
                    <w:ind w:firstLine="0" w:firstLineChars="0"/>
                    <w:rPr>
                      <w:rFonts w:ascii="Times New Roman"/>
                      <w:color w:val="auto"/>
                      <w:sz w:val="21"/>
                      <w:szCs w:val="21"/>
                      <w:lang w:bidi="ar"/>
                    </w:rPr>
                  </w:pPr>
                  <w:r>
                    <w:rPr>
                      <w:rFonts w:hint="eastAsia" w:ascii="Times New Roman" w:eastAsia="宋体"/>
                      <w:color w:val="auto"/>
                      <w:kern w:val="2"/>
                      <w:sz w:val="21"/>
                      <w:szCs w:val="21"/>
                      <w:lang w:val="en-US" w:eastAsia="zh-CN"/>
                    </w:rPr>
                    <w:t>集水池</w:t>
                  </w:r>
                </w:p>
              </w:tc>
              <w:tc>
                <w:tcPr>
                  <w:tcW w:w="3159" w:type="dxa"/>
                  <w:vAlign w:val="center"/>
                </w:tcPr>
                <w:p w14:paraId="6229DDB0">
                  <w:pPr>
                    <w:pStyle w:val="95"/>
                    <w:spacing w:line="240" w:lineRule="auto"/>
                    <w:ind w:firstLine="0" w:firstLineChars="0"/>
                    <w:jc w:val="left"/>
                    <w:rPr>
                      <w:rFonts w:ascii="Times New Roman"/>
                      <w:color w:val="auto"/>
                      <w:sz w:val="21"/>
                      <w:szCs w:val="21"/>
                      <w:lang w:bidi="ar"/>
                    </w:rPr>
                  </w:pPr>
                  <w:r>
                    <w:rPr>
                      <w:rFonts w:hint="eastAsia" w:ascii="Times New Roman" w:eastAsia="宋体"/>
                      <w:color w:val="auto"/>
                      <w:kern w:val="2"/>
                      <w:sz w:val="21"/>
                      <w:szCs w:val="21"/>
                      <w:lang w:val="en-US" w:eastAsia="zh-CN"/>
                    </w:rPr>
                    <w:t>位于厂区的东侧，容积300</w:t>
                  </w:r>
                  <w:r>
                    <w:rPr>
                      <w:rFonts w:ascii="Times New Roman" w:eastAsia="Times New Roman"/>
                      <w:color w:val="auto"/>
                      <w:kern w:val="2"/>
                      <w:sz w:val="21"/>
                      <w:szCs w:val="21"/>
                    </w:rPr>
                    <w:t>m</w:t>
                  </w:r>
                  <w:r>
                    <w:rPr>
                      <w:rFonts w:ascii="Times New Roman" w:eastAsia="Times New Roman"/>
                      <w:color w:val="auto"/>
                      <w:kern w:val="2"/>
                      <w:sz w:val="21"/>
                      <w:szCs w:val="21"/>
                      <w:vertAlign w:val="superscript"/>
                    </w:rPr>
                    <w:t>3</w:t>
                  </w:r>
                  <w:r>
                    <w:rPr>
                      <w:rFonts w:hint="eastAsia" w:ascii="Times New Roman" w:eastAsia="宋体"/>
                      <w:color w:val="auto"/>
                      <w:kern w:val="2"/>
                      <w:sz w:val="21"/>
                      <w:szCs w:val="21"/>
                      <w:vertAlign w:val="baseline"/>
                      <w:lang w:val="en-US" w:eastAsia="zh-CN"/>
                    </w:rPr>
                    <w:t>。</w:t>
                  </w:r>
                </w:p>
              </w:tc>
              <w:tc>
                <w:tcPr>
                  <w:tcW w:w="384" w:type="pct"/>
                  <w:vAlign w:val="center"/>
                </w:tcPr>
                <w:p w14:paraId="6FEB871B">
                  <w:pPr>
                    <w:pStyle w:val="26"/>
                    <w:ind w:firstLine="0" w:firstLineChars="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1个</w:t>
                  </w:r>
                </w:p>
              </w:tc>
              <w:tc>
                <w:tcPr>
                  <w:tcW w:w="447" w:type="pct"/>
                  <w:vAlign w:val="center"/>
                </w:tcPr>
                <w:p w14:paraId="25DE3E43">
                  <w:pPr>
                    <w:pStyle w:val="26"/>
                    <w:ind w:firstLine="0" w:firstLineChars="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w:t>
                  </w:r>
                </w:p>
              </w:tc>
              <w:tc>
                <w:tcPr>
                  <w:tcW w:w="670" w:type="pct"/>
                  <w:vAlign w:val="center"/>
                </w:tcPr>
                <w:p w14:paraId="0F5B18D6">
                  <w:pPr>
                    <w:pStyle w:val="26"/>
                    <w:ind w:firstLine="0" w:firstLineChars="0"/>
                    <w:jc w:val="center"/>
                    <w:rPr>
                      <w:rFonts w:ascii="Times New Roman" w:hAnsi="Times New Roman"/>
                      <w:color w:val="auto"/>
                    </w:rPr>
                  </w:pPr>
                  <w:r>
                    <w:rPr>
                      <w:rFonts w:hint="eastAsia" w:ascii="Times New Roman" w:hAnsi="Times New Roman" w:eastAsia="宋体"/>
                      <w:color w:val="auto"/>
                      <w:szCs w:val="21"/>
                      <w:lang w:val="en-US" w:eastAsia="zh-CN"/>
                    </w:rPr>
                    <w:t>已建的集水池</w:t>
                  </w:r>
                </w:p>
              </w:tc>
            </w:tr>
            <w:tr w14:paraId="573F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restart"/>
                  <w:vAlign w:val="center"/>
                </w:tcPr>
                <w:p w14:paraId="6297AA41">
                  <w:pPr>
                    <w:pStyle w:val="26"/>
                    <w:ind w:firstLine="0" w:firstLineChars="0"/>
                    <w:jc w:val="center"/>
                    <w:rPr>
                      <w:rFonts w:ascii="Times New Roman" w:hAnsi="Times New Roman"/>
                      <w:color w:val="auto"/>
                      <w:kern w:val="0"/>
                      <w:szCs w:val="21"/>
                    </w:rPr>
                  </w:pPr>
                  <w:r>
                    <w:rPr>
                      <w:rFonts w:ascii="Times New Roman" w:hAnsi="Times New Roman"/>
                      <w:color w:val="auto"/>
                      <w:szCs w:val="21"/>
                    </w:rPr>
                    <w:t>废气治理</w:t>
                  </w:r>
                </w:p>
              </w:tc>
              <w:tc>
                <w:tcPr>
                  <w:tcW w:w="634" w:type="pct"/>
                  <w:vMerge w:val="restart"/>
                  <w:vAlign w:val="center"/>
                </w:tcPr>
                <w:p w14:paraId="13FFD253">
                  <w:pPr>
                    <w:pStyle w:val="93"/>
                    <w:ind w:firstLine="0" w:firstLineChars="0"/>
                    <w:rPr>
                      <w:color w:val="auto"/>
                    </w:rPr>
                  </w:pPr>
                  <w:r>
                    <w:rPr>
                      <w:color w:val="auto"/>
                    </w:rPr>
                    <w:t>有组织</w:t>
                  </w:r>
                </w:p>
                <w:p w14:paraId="0AE58CD2">
                  <w:pPr>
                    <w:pStyle w:val="93"/>
                    <w:ind w:firstLine="0" w:firstLineChars="0"/>
                    <w:rPr>
                      <w:rFonts w:eastAsia="宋体"/>
                      <w:color w:val="auto"/>
                      <w:kern w:val="0"/>
                    </w:rPr>
                  </w:pPr>
                  <w:r>
                    <w:rPr>
                      <w:color w:val="auto"/>
                    </w:rPr>
                    <w:t>粉尘治理设施</w:t>
                  </w:r>
                </w:p>
              </w:tc>
              <w:tc>
                <w:tcPr>
                  <w:tcW w:w="584" w:type="pct"/>
                  <w:vAlign w:val="center"/>
                </w:tcPr>
                <w:p w14:paraId="5B9B6648">
                  <w:pPr>
                    <w:pStyle w:val="93"/>
                    <w:ind w:firstLine="0" w:firstLineChars="0"/>
                    <w:rPr>
                      <w:rFonts w:eastAsia="宋体"/>
                      <w:color w:val="auto"/>
                      <w:kern w:val="0"/>
                    </w:rPr>
                  </w:pPr>
                  <w:r>
                    <w:rPr>
                      <w:rFonts w:eastAsia="宋体"/>
                      <w:color w:val="auto"/>
                      <w:kern w:val="0"/>
                    </w:rPr>
                    <w:t>筒仓</w:t>
                  </w:r>
                </w:p>
              </w:tc>
              <w:tc>
                <w:tcPr>
                  <w:tcW w:w="1885" w:type="pct"/>
                  <w:vAlign w:val="center"/>
                </w:tcPr>
                <w:p w14:paraId="118FE0E1">
                  <w:pPr>
                    <w:pStyle w:val="95"/>
                    <w:spacing w:line="240" w:lineRule="auto"/>
                    <w:ind w:firstLine="0" w:firstLineChars="0"/>
                    <w:rPr>
                      <w:rFonts w:ascii="Times New Roman"/>
                      <w:color w:val="auto"/>
                      <w:sz w:val="21"/>
                      <w:szCs w:val="21"/>
                    </w:rPr>
                  </w:pPr>
                  <w:r>
                    <w:rPr>
                      <w:rFonts w:ascii="Times New Roman" w:eastAsia="Times New Roman"/>
                      <w:color w:val="auto"/>
                      <w:kern w:val="2"/>
                      <w:sz w:val="21"/>
                      <w:szCs w:val="21"/>
                    </w:rPr>
                    <w:t>水泥、粉煤灰、矿粉筒仓顶部均设置布袋除尘器，共8台。</w:t>
                  </w:r>
                </w:p>
              </w:tc>
              <w:tc>
                <w:tcPr>
                  <w:tcW w:w="384" w:type="pct"/>
                  <w:vAlign w:val="center"/>
                </w:tcPr>
                <w:p w14:paraId="3C2C0CF8">
                  <w:pPr>
                    <w:pStyle w:val="26"/>
                    <w:ind w:firstLine="0" w:firstLineChars="0"/>
                    <w:jc w:val="center"/>
                    <w:rPr>
                      <w:rFonts w:ascii="Times New Roman" w:hAnsi="Times New Roman"/>
                      <w:color w:val="auto"/>
                    </w:rPr>
                  </w:pPr>
                  <w:r>
                    <w:rPr>
                      <w:rFonts w:ascii="Times New Roman" w:hAnsi="Times New Roman"/>
                      <w:color w:val="auto"/>
                    </w:rPr>
                    <w:t>8台</w:t>
                  </w:r>
                </w:p>
              </w:tc>
              <w:tc>
                <w:tcPr>
                  <w:tcW w:w="447" w:type="pct"/>
                  <w:vAlign w:val="center"/>
                </w:tcPr>
                <w:p w14:paraId="31F072CD">
                  <w:pPr>
                    <w:pStyle w:val="26"/>
                    <w:ind w:firstLine="0" w:firstLineChars="0"/>
                    <w:jc w:val="center"/>
                    <w:rPr>
                      <w:rFonts w:ascii="Times New Roman" w:hAnsi="Times New Roman"/>
                      <w:color w:val="auto"/>
                    </w:rPr>
                  </w:pPr>
                  <w:r>
                    <w:rPr>
                      <w:rFonts w:hint="eastAsia" w:ascii="Times New Roman" w:hAnsi="Times New Roman"/>
                      <w:color w:val="auto"/>
                    </w:rPr>
                    <w:t>6</w:t>
                  </w:r>
                </w:p>
              </w:tc>
              <w:tc>
                <w:tcPr>
                  <w:tcW w:w="670" w:type="pct"/>
                  <w:vAlign w:val="center"/>
                </w:tcPr>
                <w:p w14:paraId="7B996DA2">
                  <w:pPr>
                    <w:pStyle w:val="95"/>
                    <w:spacing w:line="240" w:lineRule="auto"/>
                    <w:ind w:firstLine="0" w:firstLineChars="0"/>
                    <w:rPr>
                      <w:rFonts w:ascii="Times New Roman"/>
                      <w:color w:val="auto"/>
                    </w:rPr>
                  </w:pPr>
                  <w:r>
                    <w:rPr>
                      <w:rFonts w:ascii="Times New Roman" w:eastAsia="Times New Roman"/>
                      <w:color w:val="auto"/>
                      <w:kern w:val="2"/>
                      <w:sz w:val="21"/>
                      <w:szCs w:val="21"/>
                    </w:rPr>
                    <w:t>其中</w:t>
                  </w:r>
                  <w:r>
                    <w:rPr>
                      <w:rFonts w:hint="eastAsia" w:ascii="Times New Roman" w:eastAsia="Times New Roman"/>
                      <w:color w:val="auto"/>
                      <w:kern w:val="2"/>
                      <w:sz w:val="21"/>
                      <w:szCs w:val="21"/>
                    </w:rPr>
                    <w:t>3</w:t>
                  </w:r>
                  <w:r>
                    <w:rPr>
                      <w:rFonts w:ascii="Times New Roman" w:eastAsia="Times New Roman"/>
                      <w:color w:val="auto"/>
                      <w:kern w:val="2"/>
                      <w:sz w:val="21"/>
                      <w:szCs w:val="21"/>
                    </w:rPr>
                    <w:t>台为新建，4台为现有</w:t>
                  </w:r>
                </w:p>
              </w:tc>
            </w:tr>
            <w:tr w14:paraId="667D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 w:type="pct"/>
                  <w:vMerge w:val="continue"/>
                  <w:vAlign w:val="center"/>
                </w:tcPr>
                <w:p w14:paraId="590A6983">
                  <w:pPr>
                    <w:pStyle w:val="26"/>
                    <w:ind w:firstLine="0" w:firstLineChars="0"/>
                    <w:jc w:val="center"/>
                    <w:rPr>
                      <w:rFonts w:ascii="Times New Roman" w:hAnsi="Times New Roman"/>
                      <w:color w:val="auto"/>
                      <w:kern w:val="0"/>
                      <w:szCs w:val="21"/>
                    </w:rPr>
                  </w:pPr>
                </w:p>
              </w:tc>
              <w:tc>
                <w:tcPr>
                  <w:tcW w:w="634" w:type="pct"/>
                  <w:vMerge w:val="continue"/>
                  <w:vAlign w:val="center"/>
                </w:tcPr>
                <w:p w14:paraId="3DC56C1D">
                  <w:pPr>
                    <w:pStyle w:val="26"/>
                    <w:ind w:firstLine="0" w:firstLineChars="0"/>
                    <w:jc w:val="center"/>
                    <w:rPr>
                      <w:rFonts w:ascii="Times New Roman" w:hAnsi="Times New Roman"/>
                      <w:color w:val="auto"/>
                      <w:kern w:val="0"/>
                      <w:szCs w:val="21"/>
                    </w:rPr>
                  </w:pPr>
                </w:p>
              </w:tc>
              <w:tc>
                <w:tcPr>
                  <w:tcW w:w="584" w:type="pct"/>
                  <w:vAlign w:val="center"/>
                </w:tcPr>
                <w:p w14:paraId="18E0A604">
                  <w:pPr>
                    <w:pStyle w:val="93"/>
                    <w:ind w:firstLine="0" w:firstLineChars="0"/>
                    <w:rPr>
                      <w:rFonts w:eastAsia="宋体"/>
                      <w:color w:val="auto"/>
                      <w:kern w:val="0"/>
                    </w:rPr>
                  </w:pPr>
                  <w:r>
                    <w:rPr>
                      <w:rFonts w:eastAsia="宋体"/>
                      <w:color w:val="auto"/>
                      <w:kern w:val="0"/>
                    </w:rPr>
                    <w:t>拌合站</w:t>
                  </w:r>
                </w:p>
              </w:tc>
              <w:tc>
                <w:tcPr>
                  <w:tcW w:w="1885" w:type="pct"/>
                  <w:vAlign w:val="center"/>
                </w:tcPr>
                <w:p w14:paraId="6A764D93">
                  <w:pPr>
                    <w:widowControl/>
                    <w:ind w:firstLine="0" w:firstLineChars="0"/>
                    <w:jc w:val="center"/>
                    <w:rPr>
                      <w:color w:val="auto"/>
                      <w:szCs w:val="21"/>
                    </w:rPr>
                  </w:pPr>
                  <w:r>
                    <w:rPr>
                      <w:color w:val="auto"/>
                      <w:kern w:val="0"/>
                      <w:szCs w:val="21"/>
                      <w:lang w:bidi="ar"/>
                    </w:rPr>
                    <w:t>拌合站主机</w:t>
                  </w:r>
                  <w:r>
                    <w:rPr>
                      <w:rFonts w:hint="eastAsia"/>
                      <w:color w:val="auto"/>
                      <w:kern w:val="0"/>
                      <w:szCs w:val="21"/>
                      <w:lang w:val="en-US" w:eastAsia="zh-CN" w:bidi="ar"/>
                    </w:rPr>
                    <w:t>密闭设置</w:t>
                  </w:r>
                  <w:r>
                    <w:rPr>
                      <w:rFonts w:hint="eastAsia"/>
                      <w:color w:val="auto"/>
                      <w:kern w:val="0"/>
                      <w:szCs w:val="21"/>
                      <w:lang w:eastAsia="zh-CN" w:bidi="ar"/>
                    </w:rPr>
                    <w:t>，</w:t>
                  </w:r>
                  <w:r>
                    <w:rPr>
                      <w:rFonts w:hint="eastAsia"/>
                      <w:color w:val="auto"/>
                      <w:kern w:val="0"/>
                      <w:szCs w:val="21"/>
                      <w:lang w:val="en-US" w:eastAsia="zh-CN" w:bidi="ar"/>
                    </w:rPr>
                    <w:t>并设置</w:t>
                  </w:r>
                  <w:r>
                    <w:rPr>
                      <w:color w:val="auto"/>
                      <w:kern w:val="0"/>
                      <w:szCs w:val="21"/>
                      <w:lang w:bidi="ar"/>
                    </w:rPr>
                    <w:t>布袋除尘器。</w:t>
                  </w:r>
                </w:p>
              </w:tc>
              <w:tc>
                <w:tcPr>
                  <w:tcW w:w="384" w:type="pct"/>
                  <w:vAlign w:val="center"/>
                </w:tcPr>
                <w:p w14:paraId="757A5493">
                  <w:pPr>
                    <w:pStyle w:val="26"/>
                    <w:ind w:firstLine="0" w:firstLineChars="0"/>
                    <w:jc w:val="center"/>
                    <w:rPr>
                      <w:rFonts w:ascii="Times New Roman" w:hAnsi="Times New Roman"/>
                      <w:color w:val="auto"/>
                    </w:rPr>
                  </w:pPr>
                  <w:r>
                    <w:rPr>
                      <w:rFonts w:ascii="Times New Roman" w:hAnsi="Times New Roman"/>
                      <w:color w:val="auto"/>
                    </w:rPr>
                    <w:t>1套</w:t>
                  </w:r>
                </w:p>
              </w:tc>
              <w:tc>
                <w:tcPr>
                  <w:tcW w:w="447" w:type="pct"/>
                  <w:vAlign w:val="center"/>
                </w:tcPr>
                <w:p w14:paraId="576BF13E">
                  <w:pPr>
                    <w:pStyle w:val="26"/>
                    <w:ind w:firstLine="0" w:firstLineChars="0"/>
                    <w:jc w:val="center"/>
                    <w:rPr>
                      <w:rFonts w:ascii="Times New Roman" w:hAnsi="Times New Roman"/>
                      <w:color w:val="auto"/>
                    </w:rPr>
                  </w:pPr>
                  <w:r>
                    <w:rPr>
                      <w:rFonts w:ascii="Times New Roman" w:hAnsi="Times New Roman"/>
                      <w:color w:val="auto"/>
                    </w:rPr>
                    <w:t>1</w:t>
                  </w:r>
                </w:p>
              </w:tc>
              <w:tc>
                <w:tcPr>
                  <w:tcW w:w="670" w:type="pct"/>
                  <w:vAlign w:val="center"/>
                </w:tcPr>
                <w:p w14:paraId="7D9ED944">
                  <w:pPr>
                    <w:pStyle w:val="26"/>
                    <w:ind w:firstLine="0" w:firstLineChars="0"/>
                    <w:jc w:val="center"/>
                    <w:rPr>
                      <w:rFonts w:ascii="Times New Roman" w:hAnsi="Times New Roman"/>
                      <w:color w:val="auto"/>
                    </w:rPr>
                  </w:pPr>
                  <w:r>
                    <w:rPr>
                      <w:rFonts w:ascii="Times New Roman" w:hAnsi="Times New Roman" w:eastAsia="Times New Roman"/>
                      <w:color w:val="auto"/>
                      <w:szCs w:val="21"/>
                    </w:rPr>
                    <w:t>新建</w:t>
                  </w:r>
                </w:p>
              </w:tc>
            </w:tr>
            <w:tr w14:paraId="4A89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28C68252">
                  <w:pPr>
                    <w:pStyle w:val="26"/>
                    <w:ind w:firstLine="0" w:firstLineChars="0"/>
                    <w:jc w:val="center"/>
                    <w:rPr>
                      <w:rFonts w:ascii="Times New Roman" w:hAnsi="Times New Roman"/>
                      <w:color w:val="auto"/>
                      <w:kern w:val="0"/>
                      <w:szCs w:val="21"/>
                    </w:rPr>
                  </w:pPr>
                </w:p>
              </w:tc>
              <w:tc>
                <w:tcPr>
                  <w:tcW w:w="634" w:type="pct"/>
                  <w:vMerge w:val="restart"/>
                  <w:vAlign w:val="center"/>
                </w:tcPr>
                <w:p w14:paraId="17DDB748">
                  <w:pPr>
                    <w:widowControl/>
                    <w:ind w:firstLine="0" w:firstLineChars="0"/>
                    <w:jc w:val="center"/>
                    <w:rPr>
                      <w:color w:val="auto"/>
                      <w:szCs w:val="21"/>
                    </w:rPr>
                  </w:pPr>
                  <w:r>
                    <w:rPr>
                      <w:color w:val="auto"/>
                      <w:kern w:val="0"/>
                      <w:szCs w:val="21"/>
                      <w:lang w:bidi="ar"/>
                    </w:rPr>
                    <w:t>无组织</w:t>
                  </w:r>
                </w:p>
                <w:p w14:paraId="43FC4A34">
                  <w:pPr>
                    <w:widowControl/>
                    <w:ind w:firstLine="0" w:firstLineChars="0"/>
                    <w:jc w:val="center"/>
                    <w:rPr>
                      <w:color w:val="auto"/>
                      <w:kern w:val="0"/>
                      <w:szCs w:val="21"/>
                    </w:rPr>
                  </w:pPr>
                  <w:r>
                    <w:rPr>
                      <w:color w:val="auto"/>
                      <w:kern w:val="0"/>
                      <w:szCs w:val="21"/>
                      <w:lang w:bidi="ar"/>
                    </w:rPr>
                    <w:t>粉尘治理</w:t>
                  </w:r>
                </w:p>
              </w:tc>
              <w:tc>
                <w:tcPr>
                  <w:tcW w:w="584" w:type="pct"/>
                  <w:vAlign w:val="center"/>
                </w:tcPr>
                <w:p w14:paraId="349CE2FB">
                  <w:pPr>
                    <w:widowControl/>
                    <w:ind w:firstLine="0" w:firstLineChars="0"/>
                    <w:jc w:val="center"/>
                    <w:rPr>
                      <w:color w:val="auto"/>
                      <w:kern w:val="0"/>
                      <w:szCs w:val="21"/>
                    </w:rPr>
                  </w:pPr>
                  <w:r>
                    <w:rPr>
                      <w:color w:val="auto"/>
                      <w:kern w:val="0"/>
                      <w:szCs w:val="21"/>
                      <w:lang w:bidi="ar"/>
                    </w:rPr>
                    <w:t>混凝土拌合站封闭措施</w:t>
                  </w:r>
                </w:p>
              </w:tc>
              <w:tc>
                <w:tcPr>
                  <w:tcW w:w="1885" w:type="pct"/>
                  <w:vAlign w:val="center"/>
                </w:tcPr>
                <w:p w14:paraId="37248215">
                  <w:pPr>
                    <w:widowControl/>
                    <w:ind w:firstLine="0" w:firstLineChars="0"/>
                    <w:jc w:val="center"/>
                    <w:rPr>
                      <w:color w:val="auto"/>
                      <w:szCs w:val="21"/>
                    </w:rPr>
                  </w:pPr>
                  <w:r>
                    <w:rPr>
                      <w:color w:val="auto"/>
                      <w:kern w:val="0"/>
                      <w:szCs w:val="21"/>
                      <w:lang w:bidi="ar"/>
                    </w:rPr>
                    <w:t>拌合站主体二层及以上部分、原材料上料、配料、搅拌等设施、设备均进行封闭处理。</w:t>
                  </w:r>
                </w:p>
              </w:tc>
              <w:tc>
                <w:tcPr>
                  <w:tcW w:w="384" w:type="pct"/>
                  <w:vAlign w:val="center"/>
                </w:tcPr>
                <w:p w14:paraId="33CF6F27">
                  <w:pPr>
                    <w:pStyle w:val="26"/>
                    <w:ind w:firstLine="0" w:firstLineChars="0"/>
                    <w:jc w:val="center"/>
                    <w:rPr>
                      <w:rFonts w:ascii="Times New Roman" w:hAnsi="Times New Roman"/>
                      <w:color w:val="auto"/>
                    </w:rPr>
                  </w:pPr>
                  <w:r>
                    <w:rPr>
                      <w:rFonts w:ascii="Times New Roman" w:hAnsi="Times New Roman"/>
                      <w:color w:val="auto"/>
                    </w:rPr>
                    <w:t>1套</w:t>
                  </w:r>
                </w:p>
              </w:tc>
              <w:tc>
                <w:tcPr>
                  <w:tcW w:w="447" w:type="pct"/>
                  <w:vAlign w:val="center"/>
                </w:tcPr>
                <w:p w14:paraId="5BA60C98">
                  <w:pPr>
                    <w:pStyle w:val="26"/>
                    <w:ind w:firstLine="0" w:firstLineChars="0"/>
                    <w:jc w:val="center"/>
                    <w:rPr>
                      <w:rFonts w:ascii="Times New Roman" w:hAnsi="Times New Roman"/>
                      <w:color w:val="auto"/>
                    </w:rPr>
                  </w:pPr>
                  <w:r>
                    <w:rPr>
                      <w:rFonts w:ascii="Times New Roman" w:hAnsi="Times New Roman"/>
                      <w:color w:val="auto"/>
                    </w:rPr>
                    <w:t>4</w:t>
                  </w:r>
                </w:p>
              </w:tc>
              <w:tc>
                <w:tcPr>
                  <w:tcW w:w="670" w:type="pct"/>
                  <w:vAlign w:val="center"/>
                </w:tcPr>
                <w:p w14:paraId="12ADCD8B">
                  <w:pPr>
                    <w:pStyle w:val="26"/>
                    <w:ind w:firstLine="0" w:firstLineChars="0"/>
                    <w:jc w:val="center"/>
                    <w:rPr>
                      <w:rFonts w:ascii="Times New Roman" w:hAnsi="Times New Roman"/>
                      <w:color w:val="auto"/>
                    </w:rPr>
                  </w:pPr>
                  <w:r>
                    <w:rPr>
                      <w:rFonts w:ascii="Times New Roman" w:hAnsi="Times New Roman"/>
                      <w:color w:val="auto"/>
                    </w:rPr>
                    <w:t>新建</w:t>
                  </w:r>
                </w:p>
              </w:tc>
            </w:tr>
            <w:tr w14:paraId="5E7C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1DC24CAE">
                  <w:pPr>
                    <w:pStyle w:val="26"/>
                    <w:ind w:firstLine="0" w:firstLineChars="0"/>
                    <w:jc w:val="center"/>
                    <w:rPr>
                      <w:rFonts w:ascii="Times New Roman" w:hAnsi="Times New Roman"/>
                      <w:color w:val="auto"/>
                      <w:kern w:val="0"/>
                      <w:szCs w:val="21"/>
                    </w:rPr>
                  </w:pPr>
                </w:p>
              </w:tc>
              <w:tc>
                <w:tcPr>
                  <w:tcW w:w="634" w:type="pct"/>
                  <w:vMerge w:val="continue"/>
                  <w:vAlign w:val="center"/>
                </w:tcPr>
                <w:p w14:paraId="0EFF05B5">
                  <w:pPr>
                    <w:pStyle w:val="26"/>
                    <w:ind w:firstLine="0" w:firstLineChars="0"/>
                    <w:jc w:val="center"/>
                    <w:rPr>
                      <w:rFonts w:ascii="Times New Roman" w:hAnsi="Times New Roman"/>
                      <w:color w:val="auto"/>
                      <w:kern w:val="0"/>
                      <w:szCs w:val="21"/>
                    </w:rPr>
                  </w:pPr>
                </w:p>
              </w:tc>
              <w:tc>
                <w:tcPr>
                  <w:tcW w:w="584" w:type="pct"/>
                  <w:vAlign w:val="center"/>
                </w:tcPr>
                <w:p w14:paraId="0B5FA279">
                  <w:pPr>
                    <w:widowControl/>
                    <w:ind w:firstLine="0" w:firstLineChars="0"/>
                    <w:jc w:val="center"/>
                    <w:rPr>
                      <w:color w:val="auto"/>
                      <w:kern w:val="0"/>
                      <w:szCs w:val="21"/>
                    </w:rPr>
                  </w:pPr>
                  <w:r>
                    <w:rPr>
                      <w:color w:val="auto"/>
                    </w:rPr>
                    <w:t>制砂车间</w:t>
                  </w:r>
                  <w:r>
                    <w:rPr>
                      <w:color w:val="auto"/>
                      <w:kern w:val="0"/>
                      <w:szCs w:val="21"/>
                      <w:lang w:bidi="ar"/>
                    </w:rPr>
                    <w:t>封闭措施及物料加湿措施</w:t>
                  </w:r>
                </w:p>
              </w:tc>
              <w:tc>
                <w:tcPr>
                  <w:tcW w:w="1885" w:type="pct"/>
                  <w:vAlign w:val="center"/>
                </w:tcPr>
                <w:p w14:paraId="0B5EA9F0">
                  <w:pPr>
                    <w:widowControl/>
                    <w:ind w:firstLine="0" w:firstLineChars="0"/>
                    <w:jc w:val="center"/>
                    <w:rPr>
                      <w:color w:val="auto"/>
                      <w:szCs w:val="21"/>
                    </w:rPr>
                  </w:pPr>
                  <w:r>
                    <w:rPr>
                      <w:color w:val="auto"/>
                    </w:rPr>
                    <w:t>对制砂车间</w:t>
                  </w:r>
                  <w:r>
                    <w:rPr>
                      <w:color w:val="auto"/>
                      <w:kern w:val="0"/>
                      <w:szCs w:val="21"/>
                      <w:lang w:bidi="ar"/>
                    </w:rPr>
                    <w:t>进行彩钢瓦封闭处理并采取车间顶部喷雾除尘措施。</w:t>
                  </w:r>
                </w:p>
              </w:tc>
              <w:tc>
                <w:tcPr>
                  <w:tcW w:w="384" w:type="pct"/>
                  <w:vAlign w:val="center"/>
                </w:tcPr>
                <w:p w14:paraId="213CC367">
                  <w:pPr>
                    <w:pStyle w:val="26"/>
                    <w:ind w:firstLine="0" w:firstLineChars="0"/>
                    <w:jc w:val="center"/>
                    <w:rPr>
                      <w:rFonts w:ascii="Times New Roman" w:hAnsi="Times New Roman"/>
                      <w:color w:val="auto"/>
                    </w:rPr>
                  </w:pPr>
                  <w:r>
                    <w:rPr>
                      <w:rFonts w:ascii="Times New Roman" w:hAnsi="Times New Roman"/>
                      <w:color w:val="auto"/>
                    </w:rPr>
                    <w:t>1套</w:t>
                  </w:r>
                </w:p>
              </w:tc>
              <w:tc>
                <w:tcPr>
                  <w:tcW w:w="447" w:type="pct"/>
                  <w:vAlign w:val="center"/>
                </w:tcPr>
                <w:p w14:paraId="7C8BBDF7">
                  <w:pPr>
                    <w:pStyle w:val="26"/>
                    <w:ind w:firstLine="0" w:firstLineChars="0"/>
                    <w:jc w:val="center"/>
                    <w:rPr>
                      <w:rFonts w:ascii="Times New Roman" w:hAnsi="Times New Roman"/>
                      <w:color w:val="auto"/>
                    </w:rPr>
                  </w:pPr>
                  <w:r>
                    <w:rPr>
                      <w:rFonts w:ascii="Times New Roman" w:hAnsi="Times New Roman"/>
                      <w:color w:val="auto"/>
                    </w:rPr>
                    <w:t>3</w:t>
                  </w:r>
                </w:p>
              </w:tc>
              <w:tc>
                <w:tcPr>
                  <w:tcW w:w="670" w:type="pct"/>
                  <w:vAlign w:val="center"/>
                </w:tcPr>
                <w:p w14:paraId="2CC2B5E5">
                  <w:pPr>
                    <w:pStyle w:val="26"/>
                    <w:ind w:firstLine="0" w:firstLineChars="0"/>
                    <w:jc w:val="center"/>
                    <w:rPr>
                      <w:rFonts w:ascii="Times New Roman" w:hAnsi="Times New Roman"/>
                      <w:color w:val="auto"/>
                    </w:rPr>
                  </w:pPr>
                  <w:r>
                    <w:rPr>
                      <w:rFonts w:ascii="Times New Roman" w:hAnsi="Times New Roman"/>
                      <w:color w:val="auto"/>
                    </w:rPr>
                    <w:t>新建</w:t>
                  </w:r>
                </w:p>
              </w:tc>
            </w:tr>
            <w:tr w14:paraId="0180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17717E06">
                  <w:pPr>
                    <w:pStyle w:val="26"/>
                    <w:ind w:firstLine="0" w:firstLineChars="0"/>
                    <w:jc w:val="center"/>
                    <w:rPr>
                      <w:rFonts w:ascii="Times New Roman" w:hAnsi="Times New Roman"/>
                      <w:color w:val="auto"/>
                      <w:kern w:val="0"/>
                      <w:szCs w:val="21"/>
                    </w:rPr>
                  </w:pPr>
                </w:p>
              </w:tc>
              <w:tc>
                <w:tcPr>
                  <w:tcW w:w="634" w:type="pct"/>
                  <w:vMerge w:val="continue"/>
                  <w:vAlign w:val="center"/>
                </w:tcPr>
                <w:p w14:paraId="39B642E1">
                  <w:pPr>
                    <w:pStyle w:val="26"/>
                    <w:ind w:firstLine="0" w:firstLineChars="0"/>
                    <w:jc w:val="center"/>
                    <w:rPr>
                      <w:rFonts w:ascii="Times New Roman" w:hAnsi="Times New Roman"/>
                      <w:color w:val="auto"/>
                      <w:kern w:val="0"/>
                      <w:szCs w:val="21"/>
                    </w:rPr>
                  </w:pPr>
                </w:p>
              </w:tc>
              <w:tc>
                <w:tcPr>
                  <w:tcW w:w="584" w:type="pct"/>
                  <w:vAlign w:val="center"/>
                </w:tcPr>
                <w:p w14:paraId="289C6D3E">
                  <w:pPr>
                    <w:widowControl/>
                    <w:ind w:firstLine="0" w:firstLineChars="0"/>
                    <w:jc w:val="center"/>
                    <w:rPr>
                      <w:color w:val="auto"/>
                      <w:kern w:val="0"/>
                      <w:szCs w:val="21"/>
                    </w:rPr>
                  </w:pPr>
                  <w:r>
                    <w:rPr>
                      <w:color w:val="auto"/>
                      <w:kern w:val="0"/>
                      <w:szCs w:val="21"/>
                      <w:lang w:bidi="ar"/>
                    </w:rPr>
                    <w:t>骨料皮带输送机抑尘措施</w:t>
                  </w:r>
                </w:p>
              </w:tc>
              <w:tc>
                <w:tcPr>
                  <w:tcW w:w="1885" w:type="pct"/>
                  <w:vAlign w:val="center"/>
                </w:tcPr>
                <w:p w14:paraId="2E73852C">
                  <w:pPr>
                    <w:widowControl/>
                    <w:ind w:firstLine="0" w:firstLineChars="0"/>
                    <w:jc w:val="center"/>
                    <w:rPr>
                      <w:color w:val="auto"/>
                      <w:szCs w:val="21"/>
                    </w:rPr>
                  </w:pPr>
                  <w:r>
                    <w:rPr>
                      <w:color w:val="auto"/>
                      <w:kern w:val="0"/>
                      <w:szCs w:val="21"/>
                      <w:lang w:bidi="ar"/>
                    </w:rPr>
                    <w:t>皮带输送机廊道设置全封闭皮带输送系统。</w:t>
                  </w:r>
                </w:p>
              </w:tc>
              <w:tc>
                <w:tcPr>
                  <w:tcW w:w="384" w:type="pct"/>
                  <w:vAlign w:val="center"/>
                </w:tcPr>
                <w:p w14:paraId="49351428">
                  <w:pPr>
                    <w:pStyle w:val="26"/>
                    <w:ind w:firstLine="0" w:firstLineChars="0"/>
                    <w:jc w:val="center"/>
                    <w:rPr>
                      <w:rFonts w:ascii="Times New Roman" w:hAnsi="Times New Roman"/>
                      <w:color w:val="auto"/>
                    </w:rPr>
                  </w:pPr>
                  <w:r>
                    <w:rPr>
                      <w:rFonts w:ascii="Times New Roman" w:hAnsi="Times New Roman"/>
                      <w:color w:val="auto"/>
                    </w:rPr>
                    <w:t>2套</w:t>
                  </w:r>
                </w:p>
              </w:tc>
              <w:tc>
                <w:tcPr>
                  <w:tcW w:w="447" w:type="pct"/>
                  <w:vAlign w:val="center"/>
                </w:tcPr>
                <w:p w14:paraId="07034573">
                  <w:pPr>
                    <w:pStyle w:val="26"/>
                    <w:ind w:firstLine="0" w:firstLineChars="0"/>
                    <w:jc w:val="center"/>
                    <w:rPr>
                      <w:rFonts w:ascii="Times New Roman" w:hAnsi="Times New Roman"/>
                      <w:color w:val="auto"/>
                    </w:rPr>
                  </w:pPr>
                  <w:r>
                    <w:rPr>
                      <w:rFonts w:ascii="Times New Roman" w:hAnsi="Times New Roman"/>
                      <w:color w:val="auto"/>
                    </w:rPr>
                    <w:t>2</w:t>
                  </w:r>
                </w:p>
              </w:tc>
              <w:tc>
                <w:tcPr>
                  <w:tcW w:w="670" w:type="pct"/>
                  <w:vAlign w:val="center"/>
                </w:tcPr>
                <w:p w14:paraId="084E5287">
                  <w:pPr>
                    <w:pStyle w:val="26"/>
                    <w:ind w:firstLine="0" w:firstLineChars="0"/>
                    <w:jc w:val="center"/>
                    <w:rPr>
                      <w:rFonts w:ascii="Times New Roman" w:hAnsi="Times New Roman"/>
                      <w:color w:val="auto"/>
                    </w:rPr>
                  </w:pPr>
                  <w:r>
                    <w:rPr>
                      <w:rFonts w:ascii="Times New Roman" w:hAnsi="Times New Roman"/>
                      <w:color w:val="auto"/>
                    </w:rPr>
                    <w:t>新建</w:t>
                  </w:r>
                </w:p>
              </w:tc>
            </w:tr>
            <w:tr w14:paraId="72CF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7E91FBED">
                  <w:pPr>
                    <w:pStyle w:val="26"/>
                    <w:ind w:firstLine="0" w:firstLineChars="0"/>
                    <w:jc w:val="center"/>
                    <w:rPr>
                      <w:rFonts w:ascii="Times New Roman" w:hAnsi="Times New Roman"/>
                      <w:color w:val="auto"/>
                      <w:kern w:val="0"/>
                      <w:szCs w:val="21"/>
                    </w:rPr>
                  </w:pPr>
                </w:p>
              </w:tc>
              <w:tc>
                <w:tcPr>
                  <w:tcW w:w="634" w:type="pct"/>
                  <w:vMerge w:val="continue"/>
                  <w:vAlign w:val="center"/>
                </w:tcPr>
                <w:p w14:paraId="69F31027">
                  <w:pPr>
                    <w:pStyle w:val="26"/>
                    <w:ind w:firstLine="0" w:firstLineChars="0"/>
                    <w:jc w:val="center"/>
                    <w:rPr>
                      <w:rFonts w:ascii="Times New Roman" w:hAnsi="Times New Roman"/>
                      <w:color w:val="auto"/>
                      <w:kern w:val="0"/>
                      <w:szCs w:val="21"/>
                    </w:rPr>
                  </w:pPr>
                </w:p>
              </w:tc>
              <w:tc>
                <w:tcPr>
                  <w:tcW w:w="584" w:type="pct"/>
                  <w:vAlign w:val="center"/>
                </w:tcPr>
                <w:p w14:paraId="2F0602F7">
                  <w:pPr>
                    <w:widowControl/>
                    <w:ind w:firstLine="0" w:firstLineChars="0"/>
                    <w:jc w:val="center"/>
                    <w:rPr>
                      <w:color w:val="auto"/>
                      <w:kern w:val="0"/>
                      <w:szCs w:val="21"/>
                    </w:rPr>
                  </w:pPr>
                  <w:r>
                    <w:rPr>
                      <w:color w:val="auto"/>
                      <w:kern w:val="0"/>
                      <w:szCs w:val="21"/>
                      <w:lang w:bidi="ar"/>
                    </w:rPr>
                    <w:t>骨料料仓抑尘措施</w:t>
                  </w:r>
                </w:p>
              </w:tc>
              <w:tc>
                <w:tcPr>
                  <w:tcW w:w="1885" w:type="pct"/>
                  <w:vAlign w:val="center"/>
                </w:tcPr>
                <w:p w14:paraId="4220F4C8">
                  <w:pPr>
                    <w:widowControl/>
                    <w:ind w:firstLine="0" w:firstLineChars="0"/>
                    <w:jc w:val="center"/>
                    <w:rPr>
                      <w:color w:val="auto"/>
                      <w:szCs w:val="21"/>
                    </w:rPr>
                  </w:pPr>
                  <w:r>
                    <w:rPr>
                      <w:color w:val="auto"/>
                      <w:kern w:val="0"/>
                      <w:szCs w:val="21"/>
                      <w:lang w:bidi="ar"/>
                    </w:rPr>
                    <w:t>骨料料仓采用彩钢瓦进行整体封闭，仅将进出物料口设置为敞开式。车间顶部设置喷雾装置定时喷雾降尘措施。</w:t>
                  </w:r>
                </w:p>
              </w:tc>
              <w:tc>
                <w:tcPr>
                  <w:tcW w:w="384" w:type="pct"/>
                  <w:vAlign w:val="center"/>
                </w:tcPr>
                <w:p w14:paraId="6EA3DD99">
                  <w:pPr>
                    <w:pStyle w:val="26"/>
                    <w:ind w:firstLine="0" w:firstLineChars="0"/>
                    <w:jc w:val="center"/>
                    <w:rPr>
                      <w:rFonts w:ascii="Times New Roman" w:hAnsi="Times New Roman"/>
                      <w:color w:val="auto"/>
                    </w:rPr>
                  </w:pPr>
                  <w:r>
                    <w:rPr>
                      <w:rFonts w:ascii="Times New Roman" w:hAnsi="Times New Roman"/>
                      <w:color w:val="auto"/>
                    </w:rPr>
                    <w:t>1套</w:t>
                  </w:r>
                </w:p>
              </w:tc>
              <w:tc>
                <w:tcPr>
                  <w:tcW w:w="447" w:type="pct"/>
                  <w:vAlign w:val="center"/>
                </w:tcPr>
                <w:p w14:paraId="0DCE4B14">
                  <w:pPr>
                    <w:pStyle w:val="26"/>
                    <w:ind w:firstLine="0" w:firstLineChars="0"/>
                    <w:jc w:val="center"/>
                    <w:rPr>
                      <w:rFonts w:ascii="Times New Roman" w:hAnsi="Times New Roman"/>
                      <w:color w:val="auto"/>
                    </w:rPr>
                  </w:pPr>
                  <w:r>
                    <w:rPr>
                      <w:rFonts w:ascii="Times New Roman" w:hAnsi="Times New Roman"/>
                      <w:color w:val="auto"/>
                    </w:rPr>
                    <w:t>2</w:t>
                  </w:r>
                </w:p>
              </w:tc>
              <w:tc>
                <w:tcPr>
                  <w:tcW w:w="670" w:type="pct"/>
                  <w:vAlign w:val="center"/>
                </w:tcPr>
                <w:p w14:paraId="7EC6803B">
                  <w:pPr>
                    <w:pStyle w:val="26"/>
                    <w:ind w:firstLine="0" w:firstLineChars="0"/>
                    <w:jc w:val="center"/>
                    <w:rPr>
                      <w:rFonts w:ascii="Times New Roman" w:hAnsi="Times New Roman"/>
                      <w:color w:val="auto"/>
                    </w:rPr>
                  </w:pPr>
                  <w:r>
                    <w:rPr>
                      <w:rFonts w:ascii="Times New Roman" w:hAnsi="Times New Roman"/>
                      <w:color w:val="auto"/>
                    </w:rPr>
                    <w:t>新建</w:t>
                  </w:r>
                </w:p>
              </w:tc>
            </w:tr>
            <w:tr w14:paraId="49B8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7151F20E">
                  <w:pPr>
                    <w:pStyle w:val="26"/>
                    <w:ind w:firstLine="0" w:firstLineChars="0"/>
                    <w:jc w:val="center"/>
                    <w:rPr>
                      <w:rFonts w:ascii="Times New Roman" w:hAnsi="Times New Roman"/>
                      <w:color w:val="auto"/>
                      <w:kern w:val="0"/>
                      <w:szCs w:val="21"/>
                    </w:rPr>
                  </w:pPr>
                </w:p>
              </w:tc>
              <w:tc>
                <w:tcPr>
                  <w:tcW w:w="634" w:type="pct"/>
                  <w:vMerge w:val="continue"/>
                  <w:vAlign w:val="center"/>
                </w:tcPr>
                <w:p w14:paraId="6C530E4D">
                  <w:pPr>
                    <w:pStyle w:val="26"/>
                    <w:ind w:firstLine="0" w:firstLineChars="0"/>
                    <w:jc w:val="center"/>
                    <w:rPr>
                      <w:rFonts w:ascii="Times New Roman" w:hAnsi="Times New Roman"/>
                      <w:color w:val="auto"/>
                      <w:kern w:val="0"/>
                      <w:szCs w:val="21"/>
                    </w:rPr>
                  </w:pPr>
                </w:p>
              </w:tc>
              <w:tc>
                <w:tcPr>
                  <w:tcW w:w="584" w:type="pct"/>
                  <w:vAlign w:val="center"/>
                </w:tcPr>
                <w:p w14:paraId="24D38107">
                  <w:pPr>
                    <w:pStyle w:val="26"/>
                    <w:ind w:firstLine="0" w:firstLineChars="0"/>
                    <w:jc w:val="center"/>
                    <w:rPr>
                      <w:rFonts w:ascii="Times New Roman" w:hAnsi="Times New Roman"/>
                      <w:color w:val="auto"/>
                      <w:kern w:val="0"/>
                      <w:szCs w:val="21"/>
                    </w:rPr>
                  </w:pPr>
                  <w:r>
                    <w:rPr>
                      <w:rFonts w:ascii="Times New Roman" w:hAnsi="Times New Roman"/>
                      <w:color w:val="auto"/>
                      <w:kern w:val="0"/>
                      <w:szCs w:val="21"/>
                      <w:lang w:bidi="ar"/>
                    </w:rPr>
                    <w:t>车辆清洗设施</w:t>
                  </w:r>
                </w:p>
              </w:tc>
              <w:tc>
                <w:tcPr>
                  <w:tcW w:w="1885" w:type="pct"/>
                  <w:vAlign w:val="center"/>
                </w:tcPr>
                <w:p w14:paraId="2BCF0314">
                  <w:pPr>
                    <w:widowControl/>
                    <w:ind w:firstLine="0" w:firstLineChars="0"/>
                    <w:jc w:val="center"/>
                    <w:rPr>
                      <w:color w:val="auto"/>
                      <w:szCs w:val="21"/>
                    </w:rPr>
                  </w:pPr>
                  <w:r>
                    <w:rPr>
                      <w:color w:val="auto"/>
                      <w:kern w:val="0"/>
                      <w:szCs w:val="21"/>
                      <w:lang w:bidi="ar"/>
                    </w:rPr>
                    <w:t>在搅拌机主楼前方设1个车辆清洗设施，配套2个高压水枪，对运输罐车外部进行清洗。</w:t>
                  </w:r>
                </w:p>
              </w:tc>
              <w:tc>
                <w:tcPr>
                  <w:tcW w:w="384" w:type="pct"/>
                  <w:vAlign w:val="center"/>
                </w:tcPr>
                <w:p w14:paraId="6D1E7D2E">
                  <w:pPr>
                    <w:pStyle w:val="26"/>
                    <w:ind w:firstLine="0" w:firstLineChars="0"/>
                    <w:jc w:val="center"/>
                    <w:rPr>
                      <w:rFonts w:ascii="Times New Roman" w:hAnsi="Times New Roman"/>
                      <w:color w:val="auto"/>
                    </w:rPr>
                  </w:pPr>
                  <w:r>
                    <w:rPr>
                      <w:rFonts w:ascii="Times New Roman" w:hAnsi="Times New Roman"/>
                      <w:color w:val="auto"/>
                    </w:rPr>
                    <w:t>1套</w:t>
                  </w:r>
                </w:p>
              </w:tc>
              <w:tc>
                <w:tcPr>
                  <w:tcW w:w="447" w:type="pct"/>
                  <w:vAlign w:val="center"/>
                </w:tcPr>
                <w:p w14:paraId="37DBCDC0">
                  <w:pPr>
                    <w:pStyle w:val="26"/>
                    <w:ind w:firstLine="0" w:firstLineChars="0"/>
                    <w:jc w:val="center"/>
                    <w:rPr>
                      <w:rFonts w:ascii="Times New Roman" w:hAnsi="Times New Roman"/>
                      <w:color w:val="auto"/>
                    </w:rPr>
                  </w:pPr>
                  <w:r>
                    <w:rPr>
                      <w:rFonts w:ascii="Times New Roman" w:hAnsi="Times New Roman"/>
                      <w:color w:val="auto"/>
                    </w:rPr>
                    <w:t>/</w:t>
                  </w:r>
                </w:p>
              </w:tc>
              <w:tc>
                <w:tcPr>
                  <w:tcW w:w="670" w:type="pct"/>
                  <w:vAlign w:val="center"/>
                </w:tcPr>
                <w:p w14:paraId="7C3B1482">
                  <w:pPr>
                    <w:pStyle w:val="26"/>
                    <w:ind w:firstLine="0" w:firstLineChars="0"/>
                    <w:jc w:val="center"/>
                    <w:rPr>
                      <w:rFonts w:ascii="Times New Roman" w:hAnsi="Times New Roman"/>
                      <w:color w:val="auto"/>
                    </w:rPr>
                  </w:pPr>
                  <w:r>
                    <w:rPr>
                      <w:rFonts w:ascii="Times New Roman" w:hAnsi="Times New Roman"/>
                      <w:color w:val="auto"/>
                    </w:rPr>
                    <w:t>依托原项目已建车辆清洗设施</w:t>
                  </w:r>
                </w:p>
              </w:tc>
            </w:tr>
            <w:tr w14:paraId="14B7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38D52516">
                  <w:pPr>
                    <w:pStyle w:val="26"/>
                    <w:ind w:firstLine="0" w:firstLineChars="0"/>
                    <w:jc w:val="center"/>
                    <w:rPr>
                      <w:rFonts w:ascii="Times New Roman" w:hAnsi="Times New Roman"/>
                      <w:color w:val="auto"/>
                      <w:kern w:val="0"/>
                      <w:szCs w:val="21"/>
                    </w:rPr>
                  </w:pPr>
                </w:p>
              </w:tc>
              <w:tc>
                <w:tcPr>
                  <w:tcW w:w="634" w:type="pct"/>
                  <w:vAlign w:val="center"/>
                </w:tcPr>
                <w:p w14:paraId="66FA1845">
                  <w:pPr>
                    <w:widowControl/>
                    <w:ind w:firstLine="0" w:firstLineChars="0"/>
                    <w:jc w:val="center"/>
                    <w:rPr>
                      <w:color w:val="auto"/>
                      <w:sz w:val="22"/>
                      <w:szCs w:val="28"/>
                    </w:rPr>
                  </w:pPr>
                  <w:r>
                    <w:rPr>
                      <w:color w:val="auto"/>
                      <w:kern w:val="0"/>
                      <w:szCs w:val="21"/>
                      <w:lang w:bidi="ar"/>
                    </w:rPr>
                    <w:t>食堂油烟</w:t>
                  </w:r>
                </w:p>
                <w:p w14:paraId="33398D31">
                  <w:pPr>
                    <w:widowControl/>
                    <w:ind w:firstLine="0" w:firstLineChars="0"/>
                    <w:jc w:val="center"/>
                    <w:rPr>
                      <w:color w:val="auto"/>
                      <w:kern w:val="0"/>
                      <w:szCs w:val="21"/>
                    </w:rPr>
                  </w:pPr>
                  <w:r>
                    <w:rPr>
                      <w:color w:val="auto"/>
                      <w:kern w:val="0"/>
                      <w:szCs w:val="21"/>
                      <w:lang w:bidi="ar"/>
                    </w:rPr>
                    <w:t>治理</w:t>
                  </w:r>
                </w:p>
              </w:tc>
              <w:tc>
                <w:tcPr>
                  <w:tcW w:w="584" w:type="pct"/>
                  <w:vAlign w:val="center"/>
                </w:tcPr>
                <w:p w14:paraId="61F26363">
                  <w:pPr>
                    <w:widowControl/>
                    <w:ind w:firstLine="0" w:firstLineChars="0"/>
                    <w:jc w:val="center"/>
                    <w:rPr>
                      <w:color w:val="auto"/>
                      <w:kern w:val="0"/>
                      <w:szCs w:val="21"/>
                    </w:rPr>
                  </w:pPr>
                  <w:r>
                    <w:rPr>
                      <w:color w:val="auto"/>
                      <w:kern w:val="0"/>
                      <w:szCs w:val="21"/>
                      <w:lang w:bidi="ar"/>
                    </w:rPr>
                    <w:t>烟治理油烟净化器</w:t>
                  </w:r>
                </w:p>
              </w:tc>
              <w:tc>
                <w:tcPr>
                  <w:tcW w:w="1885" w:type="pct"/>
                  <w:vAlign w:val="center"/>
                </w:tcPr>
                <w:p w14:paraId="143E44D9">
                  <w:pPr>
                    <w:widowControl/>
                    <w:ind w:firstLine="0" w:firstLineChars="0"/>
                    <w:jc w:val="center"/>
                    <w:rPr>
                      <w:color w:val="auto"/>
                      <w:szCs w:val="21"/>
                    </w:rPr>
                  </w:pPr>
                  <w:r>
                    <w:rPr>
                      <w:color w:val="auto"/>
                      <w:kern w:val="0"/>
                      <w:szCs w:val="21"/>
                      <w:lang w:bidi="ar"/>
                    </w:rPr>
                    <w:t>厨房灶头上方设置油烟集气罩，集气罩末端安装1套油烟净化设施，处理效率不低于60%，排气筒高于自身及周围10m范围内建筑1.5m。</w:t>
                  </w:r>
                </w:p>
              </w:tc>
              <w:tc>
                <w:tcPr>
                  <w:tcW w:w="384" w:type="pct"/>
                  <w:vAlign w:val="center"/>
                </w:tcPr>
                <w:p w14:paraId="378030EC">
                  <w:pPr>
                    <w:pStyle w:val="26"/>
                    <w:ind w:firstLine="0" w:firstLineChars="0"/>
                    <w:jc w:val="center"/>
                    <w:rPr>
                      <w:rFonts w:ascii="Times New Roman" w:hAnsi="Times New Roman"/>
                      <w:color w:val="auto"/>
                    </w:rPr>
                  </w:pPr>
                  <w:r>
                    <w:rPr>
                      <w:rFonts w:ascii="Times New Roman" w:hAnsi="Times New Roman"/>
                      <w:color w:val="auto"/>
                    </w:rPr>
                    <w:t>1套</w:t>
                  </w:r>
                </w:p>
              </w:tc>
              <w:tc>
                <w:tcPr>
                  <w:tcW w:w="447" w:type="pct"/>
                  <w:vAlign w:val="center"/>
                </w:tcPr>
                <w:p w14:paraId="269A8F8E">
                  <w:pPr>
                    <w:pStyle w:val="26"/>
                    <w:ind w:firstLine="0" w:firstLineChars="0"/>
                    <w:jc w:val="center"/>
                    <w:rPr>
                      <w:rFonts w:ascii="Times New Roman" w:hAnsi="Times New Roman"/>
                      <w:color w:val="auto"/>
                    </w:rPr>
                  </w:pPr>
                  <w:r>
                    <w:rPr>
                      <w:rFonts w:ascii="Times New Roman" w:hAnsi="Times New Roman"/>
                      <w:color w:val="auto"/>
                    </w:rPr>
                    <w:t>/</w:t>
                  </w:r>
                </w:p>
              </w:tc>
              <w:tc>
                <w:tcPr>
                  <w:tcW w:w="670" w:type="pct"/>
                  <w:vAlign w:val="center"/>
                </w:tcPr>
                <w:p w14:paraId="4F6A6F97">
                  <w:pPr>
                    <w:pStyle w:val="26"/>
                    <w:ind w:firstLine="0" w:firstLineChars="0"/>
                    <w:jc w:val="center"/>
                    <w:rPr>
                      <w:rFonts w:ascii="Times New Roman" w:hAnsi="Times New Roman"/>
                      <w:color w:val="auto"/>
                    </w:rPr>
                  </w:pPr>
                  <w:r>
                    <w:rPr>
                      <w:rFonts w:ascii="Times New Roman" w:hAnsi="Times New Roman"/>
                      <w:color w:val="auto"/>
                    </w:rPr>
                    <w:t>依托原项目已建烟治理油烟净化器</w:t>
                  </w:r>
                </w:p>
              </w:tc>
            </w:tr>
            <w:tr w14:paraId="6705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Align w:val="center"/>
                </w:tcPr>
                <w:p w14:paraId="4D1911A6">
                  <w:pPr>
                    <w:pStyle w:val="26"/>
                    <w:ind w:firstLine="0" w:firstLineChars="0"/>
                    <w:jc w:val="center"/>
                    <w:rPr>
                      <w:rFonts w:ascii="Times New Roman" w:hAnsi="Times New Roman"/>
                      <w:color w:val="auto"/>
                      <w:kern w:val="0"/>
                      <w:szCs w:val="21"/>
                    </w:rPr>
                  </w:pPr>
                  <w:r>
                    <w:rPr>
                      <w:rFonts w:ascii="Times New Roman" w:hAnsi="Times New Roman"/>
                      <w:color w:val="auto"/>
                      <w:szCs w:val="21"/>
                    </w:rPr>
                    <w:t>噪声</w:t>
                  </w:r>
                </w:p>
              </w:tc>
              <w:tc>
                <w:tcPr>
                  <w:tcW w:w="1219" w:type="pct"/>
                  <w:gridSpan w:val="2"/>
                  <w:vAlign w:val="center"/>
                </w:tcPr>
                <w:p w14:paraId="39F8139D">
                  <w:pPr>
                    <w:widowControl/>
                    <w:ind w:firstLine="0" w:firstLineChars="0"/>
                    <w:jc w:val="center"/>
                    <w:rPr>
                      <w:color w:val="auto"/>
                      <w:kern w:val="0"/>
                      <w:szCs w:val="21"/>
                    </w:rPr>
                  </w:pPr>
                  <w:r>
                    <w:rPr>
                      <w:color w:val="auto"/>
                      <w:kern w:val="0"/>
                      <w:szCs w:val="21"/>
                      <w:lang w:bidi="ar"/>
                    </w:rPr>
                    <w:t>设备噪声</w:t>
                  </w:r>
                </w:p>
              </w:tc>
              <w:tc>
                <w:tcPr>
                  <w:tcW w:w="1885" w:type="pct"/>
                  <w:vAlign w:val="center"/>
                </w:tcPr>
                <w:p w14:paraId="7C2FD437">
                  <w:pPr>
                    <w:widowControl/>
                    <w:ind w:firstLine="0" w:firstLineChars="0"/>
                    <w:jc w:val="center"/>
                    <w:rPr>
                      <w:color w:val="auto"/>
                      <w:szCs w:val="21"/>
                    </w:rPr>
                  </w:pPr>
                  <w:r>
                    <w:rPr>
                      <w:color w:val="auto"/>
                      <w:kern w:val="0"/>
                      <w:szCs w:val="21"/>
                      <w:lang w:bidi="ar"/>
                    </w:rPr>
                    <w:t>设置减震垫、隔声设施</w:t>
                  </w:r>
                  <w:r>
                    <w:rPr>
                      <w:rFonts w:hint="eastAsia"/>
                      <w:color w:val="auto"/>
                      <w:kern w:val="0"/>
                      <w:szCs w:val="21"/>
                      <w:lang w:bidi="ar"/>
                    </w:rPr>
                    <w:t>；</w:t>
                  </w:r>
                </w:p>
              </w:tc>
              <w:tc>
                <w:tcPr>
                  <w:tcW w:w="384" w:type="pct"/>
                  <w:vAlign w:val="center"/>
                </w:tcPr>
                <w:p w14:paraId="2E5DD8BC">
                  <w:pPr>
                    <w:pStyle w:val="26"/>
                    <w:ind w:firstLine="0" w:firstLineChars="0"/>
                    <w:jc w:val="center"/>
                    <w:rPr>
                      <w:rFonts w:ascii="Times New Roman" w:hAnsi="Times New Roman"/>
                      <w:color w:val="auto"/>
                    </w:rPr>
                  </w:pPr>
                  <w:r>
                    <w:rPr>
                      <w:rFonts w:ascii="Times New Roman" w:hAnsi="Times New Roman"/>
                      <w:color w:val="auto"/>
                    </w:rPr>
                    <w:t>1套</w:t>
                  </w:r>
                </w:p>
              </w:tc>
              <w:tc>
                <w:tcPr>
                  <w:tcW w:w="447" w:type="pct"/>
                  <w:vAlign w:val="center"/>
                </w:tcPr>
                <w:p w14:paraId="4FD418C9">
                  <w:pPr>
                    <w:pStyle w:val="26"/>
                    <w:ind w:firstLine="0" w:firstLineChars="0"/>
                    <w:jc w:val="center"/>
                    <w:rPr>
                      <w:rFonts w:ascii="Times New Roman" w:hAnsi="Times New Roman"/>
                      <w:color w:val="auto"/>
                    </w:rPr>
                  </w:pPr>
                  <w:r>
                    <w:rPr>
                      <w:rFonts w:ascii="Times New Roman" w:hAnsi="Times New Roman"/>
                      <w:color w:val="auto"/>
                    </w:rPr>
                    <w:t>4</w:t>
                  </w:r>
                </w:p>
              </w:tc>
              <w:tc>
                <w:tcPr>
                  <w:tcW w:w="670" w:type="pct"/>
                  <w:vAlign w:val="center"/>
                </w:tcPr>
                <w:p w14:paraId="1813733D">
                  <w:pPr>
                    <w:pStyle w:val="26"/>
                    <w:ind w:firstLine="0" w:firstLineChars="0"/>
                    <w:jc w:val="center"/>
                    <w:rPr>
                      <w:rFonts w:ascii="Times New Roman" w:hAnsi="Times New Roman"/>
                      <w:color w:val="auto"/>
                    </w:rPr>
                  </w:pPr>
                  <w:r>
                    <w:rPr>
                      <w:rFonts w:ascii="Times New Roman" w:hAnsi="Times New Roman"/>
                      <w:color w:val="auto"/>
                    </w:rPr>
                    <w:t>新建</w:t>
                  </w:r>
                </w:p>
              </w:tc>
            </w:tr>
            <w:tr w14:paraId="21AC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restart"/>
                  <w:vAlign w:val="center"/>
                </w:tcPr>
                <w:p w14:paraId="4F83075B">
                  <w:pPr>
                    <w:pStyle w:val="26"/>
                    <w:ind w:firstLine="0" w:firstLineChars="0"/>
                    <w:jc w:val="center"/>
                    <w:rPr>
                      <w:rFonts w:ascii="Times New Roman" w:hAnsi="Times New Roman"/>
                      <w:color w:val="auto"/>
                      <w:kern w:val="0"/>
                      <w:szCs w:val="21"/>
                    </w:rPr>
                  </w:pPr>
                  <w:r>
                    <w:rPr>
                      <w:rFonts w:ascii="Times New Roman" w:hAnsi="Times New Roman"/>
                      <w:color w:val="auto"/>
                      <w:szCs w:val="21"/>
                    </w:rPr>
                    <w:t>固废治理</w:t>
                  </w:r>
                </w:p>
              </w:tc>
              <w:tc>
                <w:tcPr>
                  <w:tcW w:w="634" w:type="pct"/>
                  <w:vMerge w:val="restart"/>
                  <w:vAlign w:val="center"/>
                </w:tcPr>
                <w:p w14:paraId="0EF4015B">
                  <w:pPr>
                    <w:widowControl/>
                    <w:ind w:firstLine="0" w:firstLineChars="0"/>
                    <w:jc w:val="center"/>
                    <w:rPr>
                      <w:color w:val="auto"/>
                      <w:kern w:val="0"/>
                      <w:szCs w:val="21"/>
                    </w:rPr>
                  </w:pPr>
                  <w:r>
                    <w:rPr>
                      <w:color w:val="auto"/>
                      <w:kern w:val="0"/>
                      <w:szCs w:val="21"/>
                      <w:lang w:bidi="ar"/>
                    </w:rPr>
                    <w:t>固废处置</w:t>
                  </w:r>
                </w:p>
              </w:tc>
              <w:tc>
                <w:tcPr>
                  <w:tcW w:w="584" w:type="pct"/>
                  <w:vAlign w:val="center"/>
                </w:tcPr>
                <w:p w14:paraId="2507E84D">
                  <w:pPr>
                    <w:widowControl/>
                    <w:ind w:firstLine="0" w:firstLineChars="0"/>
                    <w:jc w:val="center"/>
                    <w:rPr>
                      <w:color w:val="auto"/>
                      <w:kern w:val="0"/>
                      <w:szCs w:val="21"/>
                    </w:rPr>
                  </w:pPr>
                  <w:r>
                    <w:rPr>
                      <w:color w:val="auto"/>
                      <w:kern w:val="0"/>
                      <w:szCs w:val="21"/>
                      <w:lang w:bidi="ar"/>
                    </w:rPr>
                    <w:t>生活垃圾箱</w:t>
                  </w:r>
                </w:p>
              </w:tc>
              <w:tc>
                <w:tcPr>
                  <w:tcW w:w="1885" w:type="pct"/>
                  <w:vAlign w:val="center"/>
                </w:tcPr>
                <w:p w14:paraId="09DA0A38">
                  <w:pPr>
                    <w:widowControl/>
                    <w:ind w:firstLine="0" w:firstLineChars="0"/>
                    <w:jc w:val="center"/>
                    <w:rPr>
                      <w:color w:val="auto"/>
                      <w:szCs w:val="21"/>
                    </w:rPr>
                  </w:pPr>
                  <w:r>
                    <w:rPr>
                      <w:color w:val="auto"/>
                      <w:kern w:val="0"/>
                      <w:szCs w:val="21"/>
                      <w:lang w:bidi="ar"/>
                    </w:rPr>
                    <w:t>若干，分布设置于办公生活区。</w:t>
                  </w:r>
                </w:p>
              </w:tc>
              <w:tc>
                <w:tcPr>
                  <w:tcW w:w="384" w:type="pct"/>
                  <w:vAlign w:val="center"/>
                </w:tcPr>
                <w:p w14:paraId="39A2443F">
                  <w:pPr>
                    <w:pStyle w:val="26"/>
                    <w:ind w:firstLine="0" w:firstLineChars="0"/>
                    <w:jc w:val="center"/>
                    <w:rPr>
                      <w:rFonts w:ascii="Times New Roman" w:hAnsi="Times New Roman"/>
                      <w:color w:val="auto"/>
                    </w:rPr>
                  </w:pPr>
                  <w:r>
                    <w:rPr>
                      <w:rFonts w:ascii="Times New Roman" w:hAnsi="Times New Roman"/>
                      <w:color w:val="auto"/>
                    </w:rPr>
                    <w:t>若干</w:t>
                  </w:r>
                </w:p>
              </w:tc>
              <w:tc>
                <w:tcPr>
                  <w:tcW w:w="447" w:type="pct"/>
                  <w:vAlign w:val="center"/>
                </w:tcPr>
                <w:p w14:paraId="3514C556">
                  <w:pPr>
                    <w:pStyle w:val="26"/>
                    <w:ind w:firstLine="0" w:firstLineChars="0"/>
                    <w:jc w:val="center"/>
                    <w:rPr>
                      <w:rFonts w:ascii="Times New Roman" w:hAnsi="Times New Roman"/>
                      <w:color w:val="auto"/>
                    </w:rPr>
                  </w:pPr>
                  <w:r>
                    <w:rPr>
                      <w:rFonts w:ascii="Times New Roman" w:hAnsi="Times New Roman"/>
                      <w:color w:val="auto"/>
                    </w:rPr>
                    <w:t>/</w:t>
                  </w:r>
                </w:p>
              </w:tc>
              <w:tc>
                <w:tcPr>
                  <w:tcW w:w="670" w:type="pct"/>
                  <w:vAlign w:val="center"/>
                </w:tcPr>
                <w:p w14:paraId="79B9EA16">
                  <w:pPr>
                    <w:pStyle w:val="26"/>
                    <w:ind w:firstLine="0" w:firstLineChars="0"/>
                    <w:jc w:val="center"/>
                    <w:rPr>
                      <w:rFonts w:ascii="Times New Roman" w:hAnsi="Times New Roman"/>
                      <w:color w:val="auto"/>
                    </w:rPr>
                  </w:pPr>
                  <w:r>
                    <w:rPr>
                      <w:rFonts w:ascii="Times New Roman" w:hAnsi="Times New Roman"/>
                      <w:color w:val="auto"/>
                    </w:rPr>
                    <w:t>依托原项目已建固废处置设施</w:t>
                  </w:r>
                </w:p>
              </w:tc>
            </w:tr>
            <w:tr w14:paraId="2B42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14:paraId="3616844F">
                  <w:pPr>
                    <w:pStyle w:val="26"/>
                    <w:ind w:firstLine="0" w:firstLineChars="0"/>
                    <w:jc w:val="center"/>
                    <w:rPr>
                      <w:rFonts w:ascii="Times New Roman" w:hAnsi="Times New Roman"/>
                      <w:color w:val="auto"/>
                      <w:kern w:val="0"/>
                      <w:szCs w:val="21"/>
                    </w:rPr>
                  </w:pPr>
                </w:p>
              </w:tc>
              <w:tc>
                <w:tcPr>
                  <w:tcW w:w="634" w:type="pct"/>
                  <w:vMerge w:val="continue"/>
                  <w:vAlign w:val="center"/>
                </w:tcPr>
                <w:p w14:paraId="5451E214">
                  <w:pPr>
                    <w:pStyle w:val="26"/>
                    <w:ind w:firstLine="0" w:firstLineChars="0"/>
                    <w:jc w:val="center"/>
                    <w:rPr>
                      <w:rFonts w:ascii="Times New Roman" w:hAnsi="Times New Roman"/>
                      <w:color w:val="auto"/>
                      <w:kern w:val="0"/>
                      <w:szCs w:val="21"/>
                    </w:rPr>
                  </w:pPr>
                </w:p>
              </w:tc>
              <w:tc>
                <w:tcPr>
                  <w:tcW w:w="584" w:type="pct"/>
                  <w:vAlign w:val="center"/>
                </w:tcPr>
                <w:p w14:paraId="70E9E868">
                  <w:pPr>
                    <w:widowControl/>
                    <w:ind w:firstLine="0" w:firstLineChars="0"/>
                    <w:jc w:val="center"/>
                    <w:rPr>
                      <w:color w:val="auto"/>
                      <w:kern w:val="0"/>
                      <w:szCs w:val="21"/>
                    </w:rPr>
                  </w:pPr>
                  <w:r>
                    <w:rPr>
                      <w:color w:val="auto"/>
                      <w:kern w:val="0"/>
                      <w:szCs w:val="21"/>
                      <w:lang w:bidi="ar"/>
                    </w:rPr>
                    <w:t>危废暂存间</w:t>
                  </w:r>
                </w:p>
              </w:tc>
              <w:tc>
                <w:tcPr>
                  <w:tcW w:w="1885" w:type="pct"/>
                  <w:vAlign w:val="center"/>
                </w:tcPr>
                <w:p w14:paraId="1B33D96B">
                  <w:pPr>
                    <w:widowControl/>
                    <w:ind w:firstLine="0" w:firstLineChars="0"/>
                    <w:jc w:val="center"/>
                    <w:rPr>
                      <w:color w:val="auto"/>
                      <w:szCs w:val="21"/>
                    </w:rPr>
                  </w:pPr>
                  <w:r>
                    <w:rPr>
                      <w:rFonts w:hint="eastAsia"/>
                      <w:color w:val="auto"/>
                      <w:szCs w:val="21"/>
                    </w:rPr>
                    <w:t>新建一间危废暂存间，建筑面积10m</w:t>
                  </w:r>
                  <w:r>
                    <w:rPr>
                      <w:rFonts w:hint="eastAsia"/>
                      <w:color w:val="auto"/>
                      <w:szCs w:val="21"/>
                      <w:vertAlign w:val="superscript"/>
                    </w:rPr>
                    <w:t>2</w:t>
                  </w:r>
                  <w:r>
                    <w:rPr>
                      <w:rFonts w:hint="eastAsia"/>
                      <w:color w:val="auto"/>
                      <w:szCs w:val="21"/>
                    </w:rPr>
                    <w:t>，位于物资仓库内，按照《危险废物收集贮存运输技术规范》（HJ 2025-2012）及《危险废物贮存污染控制》（GB18597-2023）的要求在危险废物暂存间地面和四周墙裙脚采用“抗渗混凝土+2mm厚HDPE+环氧树脂”进行重点防渗处理，渗透系数≤10</w:t>
                  </w:r>
                  <w:r>
                    <w:rPr>
                      <w:rFonts w:hint="eastAsia"/>
                      <w:color w:val="auto"/>
                      <w:szCs w:val="21"/>
                      <w:vertAlign w:val="superscript"/>
                    </w:rPr>
                    <w:t>-10</w:t>
                  </w:r>
                  <w:r>
                    <w:rPr>
                      <w:rFonts w:hint="eastAsia"/>
                      <w:color w:val="auto"/>
                      <w:szCs w:val="21"/>
                    </w:rPr>
                    <w:t>cm/s，并按照要求设置规范的标识标牌，定期委托有处置资质的单位处置；</w:t>
                  </w:r>
                </w:p>
              </w:tc>
              <w:tc>
                <w:tcPr>
                  <w:tcW w:w="384" w:type="pct"/>
                  <w:vAlign w:val="center"/>
                </w:tcPr>
                <w:p w14:paraId="3C2FBFA6">
                  <w:pPr>
                    <w:pStyle w:val="26"/>
                    <w:ind w:firstLine="0" w:firstLineChars="0"/>
                    <w:jc w:val="center"/>
                    <w:rPr>
                      <w:rFonts w:ascii="Times New Roman" w:hAnsi="Times New Roman"/>
                      <w:color w:val="auto"/>
                    </w:rPr>
                  </w:pPr>
                  <w:r>
                    <w:rPr>
                      <w:rFonts w:ascii="Times New Roman" w:hAnsi="Times New Roman"/>
                      <w:color w:val="auto"/>
                    </w:rPr>
                    <w:t>1间</w:t>
                  </w:r>
                </w:p>
              </w:tc>
              <w:tc>
                <w:tcPr>
                  <w:tcW w:w="447" w:type="pct"/>
                  <w:vAlign w:val="center"/>
                </w:tcPr>
                <w:p w14:paraId="37DD4D76">
                  <w:pPr>
                    <w:pStyle w:val="26"/>
                    <w:ind w:firstLine="0" w:firstLineChars="0"/>
                    <w:jc w:val="center"/>
                    <w:rPr>
                      <w:rFonts w:ascii="Times New Roman" w:hAnsi="Times New Roman"/>
                      <w:color w:val="auto"/>
                    </w:rPr>
                  </w:pPr>
                  <w:r>
                    <w:rPr>
                      <w:rFonts w:ascii="Times New Roman" w:hAnsi="Times New Roman"/>
                      <w:color w:val="auto"/>
                    </w:rPr>
                    <w:t>3</w:t>
                  </w:r>
                </w:p>
              </w:tc>
              <w:tc>
                <w:tcPr>
                  <w:tcW w:w="670" w:type="pct"/>
                  <w:vAlign w:val="center"/>
                </w:tcPr>
                <w:p w14:paraId="39205C7F">
                  <w:pPr>
                    <w:pStyle w:val="26"/>
                    <w:ind w:firstLine="0" w:firstLineChars="0"/>
                    <w:jc w:val="center"/>
                    <w:rPr>
                      <w:rFonts w:ascii="Times New Roman" w:hAnsi="Times New Roman"/>
                      <w:color w:val="auto"/>
                    </w:rPr>
                  </w:pPr>
                  <w:r>
                    <w:rPr>
                      <w:rFonts w:ascii="Times New Roman" w:hAnsi="Times New Roman"/>
                      <w:color w:val="auto"/>
                    </w:rPr>
                    <w:t>新建</w:t>
                  </w:r>
                </w:p>
              </w:tc>
            </w:tr>
            <w:tr w14:paraId="17D5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2" w:type="pct"/>
                  <w:gridSpan w:val="5"/>
                  <w:vAlign w:val="center"/>
                </w:tcPr>
                <w:p w14:paraId="41721855">
                  <w:pPr>
                    <w:pStyle w:val="26"/>
                    <w:ind w:firstLine="0" w:firstLineChars="0"/>
                    <w:jc w:val="center"/>
                    <w:rPr>
                      <w:rFonts w:ascii="Times New Roman" w:hAnsi="Times New Roman"/>
                      <w:color w:val="auto"/>
                    </w:rPr>
                  </w:pPr>
                  <w:r>
                    <w:rPr>
                      <w:rFonts w:ascii="Times New Roman" w:hAnsi="Times New Roman"/>
                      <w:color w:val="auto"/>
                    </w:rPr>
                    <w:t>合计</w:t>
                  </w:r>
                </w:p>
              </w:tc>
              <w:tc>
                <w:tcPr>
                  <w:tcW w:w="447" w:type="pct"/>
                  <w:vAlign w:val="center"/>
                </w:tcPr>
                <w:p w14:paraId="406A7C56">
                  <w:pPr>
                    <w:pStyle w:val="26"/>
                    <w:ind w:firstLine="0" w:firstLineChars="0"/>
                    <w:jc w:val="center"/>
                    <w:rPr>
                      <w:rFonts w:ascii="Times New Roman" w:hAnsi="Times New Roman"/>
                      <w:color w:val="auto"/>
                    </w:rPr>
                  </w:pPr>
                  <w:r>
                    <w:rPr>
                      <w:rFonts w:ascii="Times New Roman" w:hAnsi="Times New Roman"/>
                      <w:color w:val="auto"/>
                    </w:rPr>
                    <w:t>2</w:t>
                  </w:r>
                  <w:r>
                    <w:rPr>
                      <w:rFonts w:hint="eastAsia" w:ascii="Times New Roman" w:hAnsi="Times New Roman"/>
                      <w:color w:val="auto"/>
                    </w:rPr>
                    <w:t>5</w:t>
                  </w:r>
                </w:p>
              </w:tc>
              <w:tc>
                <w:tcPr>
                  <w:tcW w:w="670" w:type="pct"/>
                  <w:vAlign w:val="center"/>
                </w:tcPr>
                <w:p w14:paraId="47AAA46B">
                  <w:pPr>
                    <w:pStyle w:val="26"/>
                    <w:ind w:firstLine="0" w:firstLineChars="0"/>
                    <w:jc w:val="center"/>
                    <w:rPr>
                      <w:rFonts w:ascii="Times New Roman" w:hAnsi="Times New Roman"/>
                      <w:color w:val="auto"/>
                    </w:rPr>
                  </w:pPr>
                  <w:r>
                    <w:rPr>
                      <w:rFonts w:ascii="Times New Roman" w:hAnsi="Times New Roman"/>
                      <w:color w:val="auto"/>
                    </w:rPr>
                    <w:t>/</w:t>
                  </w:r>
                </w:p>
              </w:tc>
            </w:tr>
          </w:tbl>
          <w:p w14:paraId="6B0FCCB4">
            <w:pPr>
              <w:pStyle w:val="26"/>
              <w:adjustRightInd w:val="0"/>
              <w:snapToGrid w:val="0"/>
              <w:spacing w:line="348" w:lineRule="auto"/>
              <w:ind w:firstLine="482"/>
              <w:rPr>
                <w:rFonts w:ascii="Times New Roman" w:hAnsi="Times New Roman"/>
                <w:b/>
                <w:color w:val="auto"/>
                <w:sz w:val="24"/>
              </w:rPr>
            </w:pPr>
            <w:r>
              <w:rPr>
                <w:rFonts w:hint="eastAsia" w:ascii="Times New Roman" w:hAnsi="Times New Roman"/>
                <w:b/>
                <w:color w:val="auto"/>
                <w:sz w:val="24"/>
                <w:lang w:val="en-US" w:eastAsia="zh-CN"/>
              </w:rPr>
              <w:t>11</w:t>
            </w:r>
            <w:r>
              <w:rPr>
                <w:rFonts w:ascii="Times New Roman" w:hAnsi="Times New Roman"/>
                <w:b/>
                <w:color w:val="auto"/>
                <w:sz w:val="24"/>
              </w:rPr>
              <w:t>、水平衡</w:t>
            </w:r>
          </w:p>
          <w:p w14:paraId="016F8A78">
            <w:pPr>
              <w:autoSpaceDE w:val="0"/>
              <w:autoSpaceDN w:val="0"/>
              <w:spacing w:line="360" w:lineRule="auto"/>
              <w:ind w:firstLine="480"/>
              <w:rPr>
                <w:rFonts w:eastAsiaTheme="minorEastAsia"/>
                <w:color w:val="auto"/>
                <w:sz w:val="24"/>
              </w:rPr>
            </w:pPr>
            <w:r>
              <w:rPr>
                <w:rFonts w:hint="eastAsia" w:eastAsiaTheme="minorEastAsia"/>
                <w:color w:val="auto"/>
                <w:sz w:val="24"/>
              </w:rPr>
              <w:t>改扩建</w:t>
            </w:r>
            <w:r>
              <w:rPr>
                <w:rFonts w:eastAsiaTheme="minorEastAsia"/>
                <w:color w:val="auto"/>
                <w:sz w:val="24"/>
              </w:rPr>
              <w:t>项目运营期间废水主要为生产废水：</w:t>
            </w:r>
          </w:p>
          <w:p w14:paraId="7E8E48B8">
            <w:pPr>
              <w:spacing w:line="360" w:lineRule="auto"/>
              <w:ind w:firstLine="480"/>
              <w:rPr>
                <w:color w:val="auto"/>
                <w:sz w:val="24"/>
              </w:rPr>
            </w:pPr>
            <w:r>
              <w:rPr>
                <w:color w:val="auto"/>
                <w:sz w:val="24"/>
              </w:rPr>
              <w:t>（1）生活用水</w:t>
            </w:r>
          </w:p>
          <w:p w14:paraId="10EA52AF">
            <w:pPr>
              <w:spacing w:line="360" w:lineRule="auto"/>
              <w:ind w:firstLine="480"/>
              <w:rPr>
                <w:color w:val="auto"/>
                <w:sz w:val="24"/>
              </w:rPr>
            </w:pPr>
            <w:r>
              <w:rPr>
                <w:color w:val="auto"/>
                <w:sz w:val="24"/>
              </w:rPr>
              <w:t>本次扩建项目运营期不新增工作人员，故不新增生活污水。</w:t>
            </w:r>
          </w:p>
          <w:p w14:paraId="39D5E6CB">
            <w:pPr>
              <w:spacing w:line="360" w:lineRule="auto"/>
              <w:ind w:firstLine="480"/>
              <w:rPr>
                <w:color w:val="auto"/>
                <w:sz w:val="24"/>
              </w:rPr>
            </w:pPr>
            <w:r>
              <w:rPr>
                <w:color w:val="auto"/>
                <w:sz w:val="24"/>
              </w:rPr>
              <w:t>（2）生产用水</w:t>
            </w:r>
          </w:p>
          <w:p w14:paraId="279B817A">
            <w:pPr>
              <w:spacing w:line="360" w:lineRule="auto"/>
              <w:ind w:firstLine="480"/>
              <w:rPr>
                <w:color w:val="auto"/>
                <w:sz w:val="24"/>
              </w:rPr>
            </w:pPr>
            <w:r>
              <w:rPr>
                <w:rFonts w:hint="eastAsia"/>
                <w:color w:val="auto"/>
                <w:sz w:val="24"/>
              </w:rPr>
              <w:t>本次扩建项目建成运营后新增的</w:t>
            </w:r>
            <w:r>
              <w:rPr>
                <w:color w:val="auto"/>
                <w:sz w:val="24"/>
              </w:rPr>
              <w:t>生产废水主要是混凝土运输车辆清洗</w:t>
            </w:r>
            <w:r>
              <w:rPr>
                <w:rFonts w:hint="eastAsia"/>
                <w:color w:val="auto"/>
                <w:sz w:val="24"/>
              </w:rPr>
              <w:t>用</w:t>
            </w:r>
            <w:r>
              <w:rPr>
                <w:color w:val="auto"/>
                <w:sz w:val="24"/>
              </w:rPr>
              <w:t>水</w:t>
            </w:r>
            <w:r>
              <w:rPr>
                <w:rFonts w:hint="eastAsia"/>
                <w:color w:val="auto"/>
                <w:sz w:val="24"/>
              </w:rPr>
              <w:t>、</w:t>
            </w:r>
            <w:r>
              <w:rPr>
                <w:color w:val="auto"/>
                <w:sz w:val="24"/>
              </w:rPr>
              <w:t>搅拌用水</w:t>
            </w:r>
            <w:r>
              <w:rPr>
                <w:rFonts w:hint="eastAsia"/>
                <w:color w:val="auto"/>
                <w:sz w:val="24"/>
              </w:rPr>
              <w:t>、喷雾用水</w:t>
            </w:r>
            <w:r>
              <w:rPr>
                <w:rFonts w:hint="eastAsia"/>
                <w:color w:val="auto"/>
                <w:sz w:val="24"/>
                <w:lang w:val="en-US" w:eastAsia="zh-CN"/>
              </w:rPr>
              <w:t>等</w:t>
            </w:r>
            <w:r>
              <w:rPr>
                <w:color w:val="auto"/>
                <w:sz w:val="24"/>
              </w:rPr>
              <w:t>。</w:t>
            </w:r>
          </w:p>
          <w:p w14:paraId="6CB298D0">
            <w:pPr>
              <w:spacing w:line="360" w:lineRule="auto"/>
              <w:ind w:firstLine="480"/>
              <w:rPr>
                <w:color w:val="auto"/>
                <w:sz w:val="24"/>
              </w:rPr>
            </w:pPr>
            <w:r>
              <w:rPr>
                <w:color w:val="auto"/>
                <w:sz w:val="24"/>
              </w:rPr>
              <w:t>①搅拌机清洗用水：搅拌机平均每2天冲洗1次，每次冲洗水</w:t>
            </w:r>
            <w:r>
              <w:rPr>
                <w:rFonts w:hint="eastAsia"/>
                <w:color w:val="auto"/>
                <w:sz w:val="24"/>
                <w:lang w:val="en-US" w:eastAsia="zh-CN"/>
              </w:rPr>
              <w:t>1m</w:t>
            </w:r>
            <w:r>
              <w:rPr>
                <w:rFonts w:hint="eastAsia"/>
                <w:color w:val="auto"/>
                <w:sz w:val="24"/>
                <w:vertAlign w:val="superscript"/>
                <w:lang w:val="en-US" w:eastAsia="zh-CN"/>
              </w:rPr>
              <w:t>3</w:t>
            </w:r>
            <w:r>
              <w:rPr>
                <w:color w:val="auto"/>
                <w:sz w:val="24"/>
              </w:rPr>
              <w:t>计算，搅拌机冲洗水产生量为</w:t>
            </w:r>
            <w:r>
              <w:rPr>
                <w:rFonts w:hint="eastAsia"/>
                <w:color w:val="auto"/>
                <w:sz w:val="24"/>
                <w:lang w:val="en-US" w:eastAsia="zh-CN"/>
              </w:rPr>
              <w:t>1</w:t>
            </w:r>
            <w:r>
              <w:rPr>
                <w:color w:val="auto"/>
                <w:sz w:val="24"/>
              </w:rPr>
              <w:t>m³/d，</w:t>
            </w:r>
            <w:r>
              <w:rPr>
                <w:rFonts w:hint="eastAsia"/>
                <w:color w:val="auto"/>
                <w:sz w:val="24"/>
                <w:lang w:val="en-US" w:eastAsia="zh-CN"/>
              </w:rPr>
              <w:t>30</w:t>
            </w:r>
            <w:r>
              <w:rPr>
                <w:color w:val="auto"/>
                <w:sz w:val="24"/>
              </w:rPr>
              <w:t>0m³/a，产污率以0.8计算，搅拌机冲洗水产生废水量为</w:t>
            </w:r>
            <w:r>
              <w:rPr>
                <w:rFonts w:hint="eastAsia"/>
                <w:color w:val="auto"/>
                <w:sz w:val="24"/>
                <w:lang w:val="en-US" w:eastAsia="zh-CN"/>
              </w:rPr>
              <w:t>0.8</w:t>
            </w:r>
            <w:r>
              <w:rPr>
                <w:color w:val="auto"/>
                <w:sz w:val="24"/>
              </w:rPr>
              <w:t>m³/d，</w:t>
            </w:r>
            <w:r>
              <w:rPr>
                <w:rFonts w:hint="eastAsia"/>
                <w:color w:val="auto"/>
                <w:sz w:val="24"/>
                <w:lang w:val="en-US" w:eastAsia="zh-CN"/>
              </w:rPr>
              <w:t>240</w:t>
            </w:r>
            <w:r>
              <w:rPr>
                <w:color w:val="auto"/>
                <w:sz w:val="24"/>
              </w:rPr>
              <w:t>m³/a。其主要水质污染因子为SS，根据对同类型企业的类比调查，SS的浓度约为3000mg/L。</w:t>
            </w:r>
          </w:p>
          <w:p w14:paraId="6BCA3F9A">
            <w:pPr>
              <w:spacing w:line="360" w:lineRule="auto"/>
              <w:ind w:firstLine="480"/>
              <w:rPr>
                <w:color w:val="auto"/>
                <w:sz w:val="24"/>
              </w:rPr>
            </w:pPr>
            <w:r>
              <w:rPr>
                <w:color w:val="auto"/>
                <w:sz w:val="24"/>
              </w:rPr>
              <w:t>②车辆清洗用水：项目每天</w:t>
            </w:r>
            <w:r>
              <w:rPr>
                <w:rFonts w:hint="default" w:ascii="Times New Roman" w:hAnsi="Times New Roman" w:cs="Times New Roman"/>
                <w:color w:val="auto"/>
                <w:spacing w:val="0"/>
                <w:sz w:val="24"/>
                <w:szCs w:val="24"/>
              </w:rPr>
              <w:t>原料内运和产品外运</w:t>
            </w:r>
            <w:r>
              <w:rPr>
                <w:color w:val="auto"/>
                <w:sz w:val="24"/>
              </w:rPr>
              <w:t>约运输</w:t>
            </w:r>
            <w:r>
              <w:rPr>
                <w:rFonts w:hint="eastAsia"/>
                <w:color w:val="auto"/>
                <w:sz w:val="24"/>
                <w:lang w:val="en-US" w:eastAsia="zh-CN"/>
              </w:rPr>
              <w:t>76</w:t>
            </w:r>
            <w:r>
              <w:rPr>
                <w:color w:val="auto"/>
                <w:sz w:val="24"/>
              </w:rPr>
              <w:t>辆次，</w:t>
            </w:r>
            <w:r>
              <w:rPr>
                <w:rFonts w:hint="eastAsia"/>
                <w:color w:val="auto"/>
                <w:sz w:val="24"/>
                <w:lang w:val="en-US" w:eastAsia="zh-CN"/>
              </w:rPr>
              <w:t>根据建设单位统计，车辆冲洗0.05</w:t>
            </w:r>
            <w:r>
              <w:rPr>
                <w:color w:val="auto"/>
                <w:sz w:val="24"/>
              </w:rPr>
              <w:t>m³</w:t>
            </w:r>
            <w:r>
              <w:rPr>
                <w:rFonts w:hint="eastAsia"/>
                <w:color w:val="auto"/>
                <w:sz w:val="24"/>
                <w:lang w:val="en-US" w:eastAsia="zh-CN"/>
              </w:rPr>
              <w:t>//辆，</w:t>
            </w:r>
            <w:r>
              <w:rPr>
                <w:color w:val="auto"/>
                <w:sz w:val="24"/>
              </w:rPr>
              <w:t>每天的冲洗用水</w:t>
            </w:r>
            <w:r>
              <w:rPr>
                <w:rFonts w:hint="eastAsia"/>
                <w:color w:val="auto"/>
                <w:sz w:val="24"/>
                <w:lang w:val="en-US" w:eastAsia="zh-CN"/>
              </w:rPr>
              <w:t>3.8</w:t>
            </w:r>
            <w:r>
              <w:rPr>
                <w:color w:val="auto"/>
                <w:sz w:val="24"/>
              </w:rPr>
              <w:t>m³，</w:t>
            </w:r>
            <w:r>
              <w:rPr>
                <w:rFonts w:hint="eastAsia"/>
                <w:color w:val="auto"/>
                <w:sz w:val="24"/>
                <w:lang w:val="en-US" w:eastAsia="zh-CN"/>
              </w:rPr>
              <w:t>1140</w:t>
            </w:r>
            <w:r>
              <w:rPr>
                <w:color w:val="auto"/>
                <w:sz w:val="24"/>
              </w:rPr>
              <w:t>m³/a</w:t>
            </w:r>
            <w:r>
              <w:rPr>
                <w:rFonts w:hint="eastAsia"/>
                <w:color w:val="auto"/>
                <w:sz w:val="24"/>
              </w:rPr>
              <w:t>，</w:t>
            </w:r>
            <w:r>
              <w:rPr>
                <w:color w:val="auto"/>
                <w:sz w:val="24"/>
              </w:rPr>
              <w:t>产污率以0.8计，车辆清洗废水产生量为</w:t>
            </w:r>
            <w:r>
              <w:rPr>
                <w:rFonts w:hint="eastAsia"/>
                <w:color w:val="auto"/>
                <w:sz w:val="24"/>
                <w:lang w:val="en-US" w:eastAsia="zh-CN"/>
              </w:rPr>
              <w:t>3.04</w:t>
            </w:r>
            <w:r>
              <w:rPr>
                <w:color w:val="auto"/>
                <w:sz w:val="24"/>
              </w:rPr>
              <w:t>m³/d，</w:t>
            </w:r>
            <w:r>
              <w:rPr>
                <w:rFonts w:hint="eastAsia"/>
                <w:color w:val="auto"/>
                <w:sz w:val="24"/>
                <w:lang w:val="en-US" w:eastAsia="zh-CN"/>
              </w:rPr>
              <w:t>912</w:t>
            </w:r>
            <w:r>
              <w:rPr>
                <w:color w:val="auto"/>
                <w:sz w:val="24"/>
              </w:rPr>
              <w:t>m³/a。</w:t>
            </w:r>
            <w:r>
              <w:rPr>
                <w:color w:val="auto"/>
                <w:sz w:val="24"/>
                <w:lang w:val="zh-CN"/>
              </w:rPr>
              <w:t>其主要水质污染因子为SS，根据对同类型企业的类比调查，SS的浓度约为3000mg/L。</w:t>
            </w:r>
            <w:r>
              <w:rPr>
                <w:color w:val="auto"/>
                <w:sz w:val="24"/>
              </w:rPr>
              <w:t>车辆外部清洗废水汇入生产废水沉淀池内。</w:t>
            </w:r>
          </w:p>
          <w:p w14:paraId="57BD88D0">
            <w:pPr>
              <w:pStyle w:val="12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color w:val="auto"/>
                <w:spacing w:val="0"/>
                <w:position w:val="0"/>
                <w:sz w:val="24"/>
                <w:szCs w:val="24"/>
              </w:rPr>
            </w:pPr>
            <w:r>
              <w:rPr>
                <w:color w:val="auto"/>
                <w:spacing w:val="0"/>
                <w:position w:val="0"/>
                <w:sz w:val="24"/>
              </w:rPr>
              <w:t>③</w:t>
            </w:r>
            <w:r>
              <w:rPr>
                <w:color w:val="auto"/>
                <w:spacing w:val="0"/>
                <w:position w:val="0"/>
                <w:sz w:val="24"/>
                <w:szCs w:val="24"/>
              </w:rPr>
              <w:t>检验设备用水</w:t>
            </w:r>
            <w:r>
              <w:rPr>
                <w:rFonts w:hint="eastAsia" w:eastAsia="宋体"/>
                <w:color w:val="auto"/>
                <w:spacing w:val="0"/>
                <w:position w:val="0"/>
                <w:sz w:val="24"/>
                <w:szCs w:val="24"/>
                <w:lang w:eastAsia="zh-CN"/>
              </w:rPr>
              <w:t>：</w:t>
            </w:r>
            <w:r>
              <w:rPr>
                <w:color w:val="auto"/>
                <w:spacing w:val="0"/>
                <w:position w:val="0"/>
                <w:sz w:val="24"/>
                <w:szCs w:val="24"/>
              </w:rPr>
              <w:t>项目区设置有检验室，对混凝土进行强度等物理检测，不涉及化学实验。根据建设单位提供的资料，实验设备清洗用水量为</w:t>
            </w:r>
            <w:r>
              <w:rPr>
                <w:rFonts w:ascii="Times New Roman" w:hAnsi="Times New Roman" w:eastAsia="Times New Roman" w:cs="Times New Roman"/>
                <w:color w:val="auto"/>
                <w:spacing w:val="0"/>
                <w:position w:val="0"/>
                <w:sz w:val="24"/>
                <w:szCs w:val="24"/>
              </w:rPr>
              <w:t>0.2m</w:t>
            </w:r>
            <w:r>
              <w:rPr>
                <w:rFonts w:ascii="Times New Roman" w:hAnsi="Times New Roman" w:eastAsia="Times New Roman" w:cs="Times New Roman"/>
                <w:color w:val="auto"/>
                <w:spacing w:val="0"/>
                <w:position w:val="0"/>
                <w:sz w:val="21"/>
                <w:szCs w:val="21"/>
                <w:vertAlign w:val="superscript"/>
              </w:rPr>
              <w:t>3</w:t>
            </w:r>
            <w:r>
              <w:rPr>
                <w:rFonts w:ascii="Times New Roman" w:hAnsi="Times New Roman" w:eastAsia="Times New Roman" w:cs="Times New Roman"/>
                <w:color w:val="auto"/>
                <w:spacing w:val="0"/>
                <w:position w:val="0"/>
                <w:sz w:val="24"/>
                <w:szCs w:val="24"/>
              </w:rPr>
              <w:t>/d</w:t>
            </w:r>
            <w:r>
              <w:rPr>
                <w:color w:val="auto"/>
                <w:spacing w:val="0"/>
                <w:position w:val="0"/>
                <w:sz w:val="24"/>
                <w:szCs w:val="24"/>
              </w:rPr>
              <w:t>（</w:t>
            </w:r>
            <w:r>
              <w:rPr>
                <w:rFonts w:ascii="Times New Roman" w:hAnsi="Times New Roman" w:eastAsia="Times New Roman" w:cs="Times New Roman"/>
                <w:color w:val="auto"/>
                <w:spacing w:val="0"/>
                <w:position w:val="0"/>
                <w:sz w:val="24"/>
                <w:szCs w:val="24"/>
              </w:rPr>
              <w:t>60m</w:t>
            </w:r>
            <w:r>
              <w:rPr>
                <w:rFonts w:ascii="Times New Roman" w:hAnsi="Times New Roman" w:eastAsia="Times New Roman" w:cs="Times New Roman"/>
                <w:color w:val="auto"/>
                <w:spacing w:val="0"/>
                <w:position w:val="0"/>
                <w:sz w:val="21"/>
                <w:szCs w:val="21"/>
                <w:vertAlign w:val="superscript"/>
              </w:rPr>
              <w:t>3</w:t>
            </w:r>
            <w:r>
              <w:rPr>
                <w:rFonts w:ascii="Times New Roman" w:hAnsi="Times New Roman" w:eastAsia="Times New Roman" w:cs="Times New Roman"/>
                <w:color w:val="auto"/>
                <w:spacing w:val="0"/>
                <w:position w:val="0"/>
                <w:sz w:val="24"/>
                <w:szCs w:val="24"/>
              </w:rPr>
              <w:t>/a</w:t>
            </w:r>
            <w:r>
              <w:rPr>
                <w:color w:val="auto"/>
                <w:spacing w:val="0"/>
                <w:position w:val="0"/>
                <w:sz w:val="24"/>
                <w:szCs w:val="24"/>
              </w:rPr>
              <w:t>），排水量按用水量的</w:t>
            </w:r>
            <w:r>
              <w:rPr>
                <w:rFonts w:ascii="Times New Roman" w:hAnsi="Times New Roman" w:eastAsia="Times New Roman" w:cs="Times New Roman"/>
                <w:color w:val="auto"/>
                <w:spacing w:val="0"/>
                <w:position w:val="0"/>
                <w:sz w:val="24"/>
                <w:szCs w:val="24"/>
              </w:rPr>
              <w:t>80%</w:t>
            </w:r>
            <w:r>
              <w:rPr>
                <w:color w:val="auto"/>
                <w:spacing w:val="0"/>
                <w:position w:val="0"/>
                <w:sz w:val="24"/>
                <w:szCs w:val="24"/>
              </w:rPr>
              <w:t>计，故排水量为</w:t>
            </w:r>
            <w:r>
              <w:rPr>
                <w:rFonts w:ascii="Times New Roman" w:hAnsi="Times New Roman" w:eastAsia="Times New Roman" w:cs="Times New Roman"/>
                <w:color w:val="auto"/>
                <w:spacing w:val="0"/>
                <w:position w:val="0"/>
                <w:sz w:val="24"/>
                <w:szCs w:val="24"/>
              </w:rPr>
              <w:t>0.</w:t>
            </w:r>
            <w:r>
              <w:rPr>
                <w:rFonts w:hint="eastAsia" w:ascii="Times New Roman" w:hAnsi="Times New Roman" w:eastAsia="宋体" w:cs="Times New Roman"/>
                <w:color w:val="auto"/>
                <w:spacing w:val="0"/>
                <w:position w:val="0"/>
                <w:sz w:val="24"/>
                <w:szCs w:val="24"/>
                <w:lang w:val="en-US" w:eastAsia="zh-CN"/>
              </w:rPr>
              <w:t>16</w:t>
            </w:r>
            <w:r>
              <w:rPr>
                <w:rFonts w:ascii="Times New Roman" w:hAnsi="Times New Roman" w:eastAsia="Times New Roman" w:cs="Times New Roman"/>
                <w:color w:val="auto"/>
                <w:spacing w:val="0"/>
                <w:position w:val="0"/>
                <w:sz w:val="21"/>
                <w:szCs w:val="21"/>
              </w:rPr>
              <w:t>m</w:t>
            </w:r>
            <w:r>
              <w:rPr>
                <w:rFonts w:ascii="Times New Roman" w:hAnsi="Times New Roman" w:eastAsia="Times New Roman" w:cs="Times New Roman"/>
                <w:color w:val="auto"/>
                <w:spacing w:val="0"/>
                <w:position w:val="0"/>
                <w:sz w:val="21"/>
                <w:szCs w:val="21"/>
                <w:vertAlign w:val="superscript"/>
              </w:rPr>
              <w:t>3</w:t>
            </w:r>
            <w:r>
              <w:rPr>
                <w:rFonts w:ascii="Times New Roman" w:hAnsi="Times New Roman" w:eastAsia="Times New Roman" w:cs="Times New Roman"/>
                <w:color w:val="auto"/>
                <w:spacing w:val="0"/>
                <w:position w:val="0"/>
                <w:sz w:val="21"/>
                <w:szCs w:val="21"/>
              </w:rPr>
              <w:t>/d</w:t>
            </w:r>
            <w:r>
              <w:rPr>
                <w:color w:val="auto"/>
                <w:spacing w:val="0"/>
                <w:position w:val="0"/>
                <w:sz w:val="21"/>
                <w:szCs w:val="21"/>
              </w:rPr>
              <w:t>（</w:t>
            </w:r>
            <w:r>
              <w:rPr>
                <w:rFonts w:hint="eastAsia" w:ascii="Times New Roman" w:hAnsi="Times New Roman" w:eastAsia="宋体" w:cs="Times New Roman"/>
                <w:color w:val="auto"/>
                <w:spacing w:val="0"/>
                <w:position w:val="0"/>
                <w:sz w:val="21"/>
                <w:szCs w:val="21"/>
                <w:lang w:val="en-US" w:eastAsia="zh-CN"/>
              </w:rPr>
              <w:t>48</w:t>
            </w:r>
            <w:r>
              <w:rPr>
                <w:rFonts w:ascii="Times New Roman" w:hAnsi="Times New Roman" w:eastAsia="Times New Roman" w:cs="Times New Roman"/>
                <w:color w:val="auto"/>
                <w:spacing w:val="0"/>
                <w:position w:val="0"/>
                <w:sz w:val="21"/>
                <w:szCs w:val="21"/>
              </w:rPr>
              <w:t>m</w:t>
            </w:r>
            <w:r>
              <w:rPr>
                <w:rFonts w:ascii="Times New Roman" w:hAnsi="Times New Roman" w:eastAsia="Times New Roman" w:cs="Times New Roman"/>
                <w:color w:val="auto"/>
                <w:spacing w:val="0"/>
                <w:position w:val="0"/>
                <w:sz w:val="21"/>
                <w:szCs w:val="21"/>
                <w:vertAlign w:val="superscript"/>
              </w:rPr>
              <w:t>3</w:t>
            </w:r>
            <w:r>
              <w:rPr>
                <w:rFonts w:ascii="Times New Roman" w:hAnsi="Times New Roman" w:eastAsia="Times New Roman" w:cs="Times New Roman"/>
                <w:color w:val="auto"/>
                <w:spacing w:val="0"/>
                <w:position w:val="0"/>
                <w:sz w:val="21"/>
                <w:szCs w:val="21"/>
              </w:rPr>
              <w:t>/a</w:t>
            </w:r>
            <w:r>
              <w:rPr>
                <w:color w:val="auto"/>
                <w:spacing w:val="0"/>
                <w:position w:val="0"/>
                <w:sz w:val="21"/>
                <w:szCs w:val="21"/>
              </w:rPr>
              <w:t>）</w:t>
            </w:r>
            <w:r>
              <w:rPr>
                <w:color w:val="auto"/>
                <w:spacing w:val="0"/>
                <w:position w:val="0"/>
                <w:sz w:val="24"/>
                <w:szCs w:val="24"/>
              </w:rPr>
              <w:t>，该废水的主要污染物为</w:t>
            </w:r>
            <w:r>
              <w:rPr>
                <w:rFonts w:ascii="Times New Roman" w:hAnsi="Times New Roman" w:eastAsia="Times New Roman" w:cs="Times New Roman"/>
                <w:color w:val="auto"/>
                <w:spacing w:val="0"/>
                <w:position w:val="0"/>
                <w:sz w:val="24"/>
                <w:szCs w:val="24"/>
              </w:rPr>
              <w:t>SS</w:t>
            </w:r>
            <w:r>
              <w:rPr>
                <w:color w:val="auto"/>
                <w:spacing w:val="0"/>
                <w:position w:val="0"/>
                <w:sz w:val="24"/>
                <w:szCs w:val="24"/>
              </w:rPr>
              <w:t>，实验设备清洗废水经收集后，排至三级沉淀池沉淀后，全部回用作项目区搅拌用水，不外排。</w:t>
            </w:r>
          </w:p>
          <w:p w14:paraId="748F80E8">
            <w:pPr>
              <w:pStyle w:val="26"/>
              <w:keepNext w:val="0"/>
              <w:keepLines w:val="0"/>
              <w:pageBreakBefore w:val="0"/>
              <w:widowControl w:val="0"/>
              <w:kinsoku/>
              <w:wordWrap w:val="0"/>
              <w:overflowPunct/>
              <w:topLinePunct/>
              <w:autoSpaceDE/>
              <w:autoSpaceDN/>
              <w:bidi w:val="0"/>
              <w:adjustRightInd/>
              <w:snapToGrid/>
              <w:spacing w:line="360" w:lineRule="auto"/>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④搅拌用水：项目产能为</w:t>
            </w:r>
            <w:r>
              <w:rPr>
                <w:rFonts w:hint="eastAsia" w:ascii="Times New Roman" w:hAnsi="Times New Roman" w:cs="Times New Roman"/>
                <w:color w:val="auto"/>
                <w:sz w:val="24"/>
                <w:lang w:val="en-US" w:eastAsia="zh-CN"/>
              </w:rPr>
              <w:t>10</w:t>
            </w:r>
            <w:r>
              <w:rPr>
                <w:rFonts w:hint="default" w:ascii="Times New Roman" w:hAnsi="Times New Roman" w:cs="Times New Roman"/>
                <w:color w:val="auto"/>
                <w:sz w:val="24"/>
              </w:rPr>
              <w:t>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/a混凝，根据“表1-5产品原料配比”混凝土需水量按C30商品混凝土考虑，根据《中华人民共和国国家标准-预拌混凝土》（GB/T14902-2012）及《普通混凝土配合比设计规程》（JGJ55-2011）C30商品混凝土用水量为184kg/m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，经计算</w:t>
            </w:r>
            <w:r>
              <w:rPr>
                <w:rFonts w:hint="eastAsia" w:ascii="Times New Roman" w:hAnsi="Times New Roman" w:cs="Times New Roman"/>
                <w:color w:val="auto"/>
                <w:sz w:val="24"/>
                <w:lang w:val="en-US" w:eastAsia="zh-CN"/>
              </w:rPr>
              <w:t>扩建项目</w:t>
            </w:r>
            <w:r>
              <w:rPr>
                <w:rFonts w:hint="default" w:ascii="Times New Roman" w:hAnsi="Times New Roman" w:cs="Times New Roman"/>
                <w:color w:val="auto"/>
                <w:sz w:val="24"/>
              </w:rPr>
              <w:t>搅拌用水量为</w:t>
            </w:r>
            <w:r>
              <w:rPr>
                <w:rFonts w:hint="eastAsia" w:ascii="Times New Roman" w:hAnsi="Times New Roman" w:cs="Times New Roman"/>
                <w:color w:val="auto"/>
                <w:sz w:val="24"/>
                <w:lang w:val="en-US" w:eastAsia="zh-CN"/>
              </w:rPr>
              <w:t>61.33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d（18</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/a）。搅拌用水全部随产品带出，不产生废水。</w:t>
            </w:r>
          </w:p>
          <w:p w14:paraId="59A6A30A">
            <w:pPr>
              <w:pStyle w:val="26"/>
              <w:spacing w:line="360" w:lineRule="auto"/>
              <w:ind w:firstLine="480"/>
              <w:rPr>
                <w:rFonts w:ascii="Times New Roman" w:hAnsi="Times New Roman"/>
                <w:color w:val="auto"/>
                <w:sz w:val="24"/>
              </w:rPr>
            </w:pPr>
            <w:r>
              <w:rPr>
                <w:rFonts w:hint="eastAsia" w:ascii="Times New Roman" w:hAnsi="Times New Roman"/>
                <w:color w:val="auto"/>
                <w:sz w:val="24"/>
              </w:rPr>
              <w:t>⑤</w:t>
            </w:r>
            <w:r>
              <w:rPr>
                <w:rFonts w:ascii="Times New Roman" w:hAnsi="Times New Roman"/>
                <w:color w:val="auto"/>
                <w:sz w:val="24"/>
              </w:rPr>
              <w:t>人工降尘用水：在运输和卸料过程中，会产生粉尘逸散，在过程中人工洒水降尘及有效抑尘，又能节约用水，避免浪费，</w:t>
            </w:r>
            <w:r>
              <w:rPr>
                <w:rFonts w:hint="eastAsia" w:ascii="Times New Roman" w:hAnsi="Times New Roman"/>
                <w:color w:val="auto"/>
                <w:sz w:val="24"/>
              </w:rPr>
              <w:t>根据建设单位原有项目运行经验，</w:t>
            </w:r>
            <w:r>
              <w:rPr>
                <w:rFonts w:ascii="Times New Roman" w:hAnsi="Times New Roman"/>
                <w:color w:val="auto"/>
                <w:sz w:val="24"/>
              </w:rPr>
              <w:t>平均每天约消耗1m³，降尘用水为消耗性用水，随温度蒸发，无废水产生。</w:t>
            </w:r>
          </w:p>
          <w:p w14:paraId="39F25796">
            <w:pPr>
              <w:spacing w:line="360" w:lineRule="auto"/>
              <w:ind w:firstLine="480"/>
              <w:rPr>
                <w:color w:val="auto"/>
                <w:sz w:val="24"/>
              </w:rPr>
            </w:pPr>
            <w:r>
              <w:rPr>
                <w:rFonts w:hint="eastAsia"/>
                <w:color w:val="auto"/>
                <w:sz w:val="24"/>
              </w:rPr>
              <w:t>⑥</w:t>
            </w:r>
            <w:r>
              <w:rPr>
                <w:color w:val="auto"/>
                <w:sz w:val="24"/>
              </w:rPr>
              <w:t>喷雾用水：建设单位拟于</w:t>
            </w:r>
            <w:r>
              <w:rPr>
                <w:rFonts w:hint="eastAsia"/>
                <w:color w:val="auto"/>
                <w:sz w:val="24"/>
              </w:rPr>
              <w:t>原料库</w:t>
            </w:r>
            <w:r>
              <w:rPr>
                <w:color w:val="auto"/>
                <w:sz w:val="24"/>
              </w:rPr>
              <w:t>、</w:t>
            </w:r>
            <w:r>
              <w:rPr>
                <w:rFonts w:hint="eastAsia"/>
                <w:color w:val="auto"/>
                <w:sz w:val="24"/>
              </w:rPr>
              <w:t>制砂车间给料机投料口</w:t>
            </w:r>
            <w:r>
              <w:rPr>
                <w:color w:val="auto"/>
                <w:sz w:val="24"/>
              </w:rPr>
              <w:t>、</w:t>
            </w:r>
            <w:r>
              <w:rPr>
                <w:rFonts w:hint="eastAsia"/>
                <w:color w:val="auto"/>
                <w:sz w:val="24"/>
              </w:rPr>
              <w:t>制砂车间</w:t>
            </w:r>
            <w:r>
              <w:rPr>
                <w:color w:val="auto"/>
                <w:sz w:val="24"/>
              </w:rPr>
              <w:t>顶部共设置3套喷雾装置，水喷雾装置设计流量按45L/h</w:t>
            </w:r>
            <w:r>
              <w:rPr>
                <w:rFonts w:hint="eastAsia"/>
                <w:color w:val="auto"/>
                <w:sz w:val="24"/>
                <w:lang w:val="en-US" w:eastAsia="zh-CN"/>
              </w:rPr>
              <w:t>/套</w:t>
            </w:r>
            <w:r>
              <w:rPr>
                <w:color w:val="auto"/>
                <w:sz w:val="24"/>
              </w:rPr>
              <w:t>计算，本环评以日工作</w:t>
            </w:r>
            <w:r>
              <w:rPr>
                <w:rFonts w:hint="eastAsia"/>
                <w:color w:val="auto"/>
                <w:sz w:val="24"/>
                <w:lang w:val="en-US" w:eastAsia="zh-CN"/>
              </w:rPr>
              <w:t>8</w:t>
            </w:r>
            <w:r>
              <w:rPr>
                <w:color w:val="auto"/>
                <w:sz w:val="24"/>
              </w:rPr>
              <w:t>h，年工作300d计，喷雾装置用水量为</w:t>
            </w:r>
            <w:r>
              <w:rPr>
                <w:rFonts w:hint="eastAsia"/>
                <w:color w:val="auto"/>
                <w:sz w:val="24"/>
                <w:lang w:val="en-US" w:eastAsia="zh-CN"/>
              </w:rPr>
              <w:t>1.08</w:t>
            </w:r>
            <w:r>
              <w:rPr>
                <w:color w:val="auto"/>
                <w:sz w:val="24"/>
              </w:rPr>
              <w:t>m</w:t>
            </w:r>
            <w:r>
              <w:rPr>
                <w:color w:val="auto"/>
                <w:sz w:val="24"/>
                <w:vertAlign w:val="superscript"/>
              </w:rPr>
              <w:t>3</w:t>
            </w:r>
            <w:r>
              <w:rPr>
                <w:color w:val="auto"/>
                <w:sz w:val="24"/>
              </w:rPr>
              <w:t>/d</w:t>
            </w:r>
            <w:r>
              <w:rPr>
                <w:rFonts w:hint="eastAsia"/>
                <w:color w:val="auto"/>
                <w:sz w:val="24"/>
              </w:rPr>
              <w:t>，</w:t>
            </w:r>
            <w:r>
              <w:rPr>
                <w:rFonts w:hint="eastAsia"/>
                <w:color w:val="auto"/>
                <w:sz w:val="24"/>
                <w:lang w:val="en-US" w:eastAsia="zh-CN"/>
              </w:rPr>
              <w:t>324</w:t>
            </w:r>
            <w:r>
              <w:rPr>
                <w:color w:val="auto"/>
                <w:sz w:val="24"/>
              </w:rPr>
              <w:t>m</w:t>
            </w:r>
            <w:r>
              <w:rPr>
                <w:color w:val="auto"/>
                <w:sz w:val="24"/>
                <w:vertAlign w:val="superscript"/>
              </w:rPr>
              <w:t>3</w:t>
            </w:r>
            <w:r>
              <w:rPr>
                <w:color w:val="auto"/>
                <w:sz w:val="24"/>
              </w:rPr>
              <w:t>/a，该部分用水全部蒸发，不外排。</w:t>
            </w:r>
          </w:p>
          <w:p w14:paraId="6C440651">
            <w:pPr>
              <w:spacing w:line="360" w:lineRule="auto"/>
              <w:ind w:firstLine="480"/>
              <w:rPr>
                <w:color w:val="auto"/>
                <w:sz w:val="24"/>
              </w:rPr>
            </w:pPr>
            <w:r>
              <w:rPr>
                <w:color w:val="auto"/>
                <w:sz w:val="24"/>
              </w:rPr>
              <w:t>（3）雨水处理设施</w:t>
            </w:r>
          </w:p>
          <w:p w14:paraId="36EC7FC8">
            <w:pPr>
              <w:spacing w:line="360" w:lineRule="auto"/>
              <w:ind w:firstLine="480"/>
              <w:rPr>
                <w:color w:val="auto"/>
                <w:sz w:val="24"/>
                <w:lang w:val="zh-CN"/>
              </w:rPr>
            </w:pPr>
            <w:r>
              <w:rPr>
                <w:color w:val="auto"/>
                <w:sz w:val="24"/>
              </w:rPr>
              <w:t>厂区硬化地上雨水经地势北高南低汇入“沉淀池”</w:t>
            </w:r>
            <w:r>
              <w:rPr>
                <w:rFonts w:hint="eastAsia"/>
                <w:color w:val="auto"/>
                <w:sz w:val="24"/>
                <w:lang w:val="en-US" w:eastAsia="zh-CN"/>
              </w:rPr>
              <w:t>沉淀</w:t>
            </w:r>
            <w:r>
              <w:rPr>
                <w:color w:val="auto"/>
                <w:sz w:val="24"/>
              </w:rPr>
              <w:t>后</w:t>
            </w:r>
            <w:r>
              <w:rPr>
                <w:rFonts w:hint="eastAsia"/>
                <w:color w:val="auto"/>
                <w:sz w:val="24"/>
                <w:lang w:val="en-US" w:eastAsia="zh-CN"/>
              </w:rPr>
              <w:t>部分</w:t>
            </w:r>
            <w:r>
              <w:rPr>
                <w:color w:val="auto"/>
                <w:sz w:val="24"/>
              </w:rPr>
              <w:t>回用于项目生产过程</w:t>
            </w:r>
            <w:r>
              <w:rPr>
                <w:rFonts w:hint="eastAsia"/>
                <w:color w:val="auto"/>
                <w:sz w:val="24"/>
                <w:lang w:eastAsia="zh-CN"/>
              </w:rPr>
              <w:t>，</w:t>
            </w:r>
            <w:r>
              <w:rPr>
                <w:rFonts w:hint="eastAsia"/>
                <w:color w:val="auto"/>
                <w:sz w:val="24"/>
                <w:lang w:val="en-US" w:eastAsia="zh-CN"/>
              </w:rPr>
              <w:t>剩余部分抽至集水池容积300m</w:t>
            </w:r>
            <w:r>
              <w:rPr>
                <w:rFonts w:hint="eastAsia"/>
                <w:color w:val="auto"/>
                <w:sz w:val="24"/>
                <w:vertAlign w:val="superscript"/>
                <w:lang w:val="en-US" w:eastAsia="zh-CN"/>
              </w:rPr>
              <w:t>3</w:t>
            </w:r>
            <w:r>
              <w:rPr>
                <w:color w:val="auto"/>
                <w:sz w:val="24"/>
              </w:rPr>
              <w:t>，厂区周边设有雨水沟。根据现场踏勘，本</w:t>
            </w:r>
            <w:r>
              <w:rPr>
                <w:color w:val="auto"/>
                <w:sz w:val="24"/>
                <w:lang w:val="zh-CN"/>
              </w:rPr>
              <w:t>项目在</w:t>
            </w:r>
            <w:r>
              <w:rPr>
                <w:color w:val="auto"/>
                <w:sz w:val="24"/>
              </w:rPr>
              <w:t>厂区</w:t>
            </w:r>
            <w:r>
              <w:rPr>
                <w:color w:val="auto"/>
                <w:sz w:val="24"/>
                <w:lang w:val="zh-CN"/>
              </w:rPr>
              <w:t>平台南侧</w:t>
            </w:r>
            <w:r>
              <w:rPr>
                <w:color w:val="auto"/>
                <w:sz w:val="24"/>
              </w:rPr>
              <w:t>已建</w:t>
            </w:r>
            <w:r>
              <w:rPr>
                <w:color w:val="auto"/>
                <w:sz w:val="24"/>
                <w:lang w:val="zh-CN"/>
              </w:rPr>
              <w:t>设1座容积</w:t>
            </w:r>
            <w:r>
              <w:rPr>
                <w:color w:val="auto"/>
                <w:sz w:val="24"/>
              </w:rPr>
              <w:t>约</w:t>
            </w:r>
            <w:r>
              <w:rPr>
                <w:color w:val="auto"/>
                <w:sz w:val="24"/>
                <w:lang w:val="zh-CN"/>
              </w:rPr>
              <w:t>为</w:t>
            </w:r>
            <w:r>
              <w:rPr>
                <w:color w:val="auto"/>
                <w:sz w:val="24"/>
              </w:rPr>
              <w:t>150m</w:t>
            </w:r>
            <w:r>
              <w:rPr>
                <w:color w:val="auto"/>
                <w:sz w:val="24"/>
                <w:vertAlign w:val="superscript"/>
              </w:rPr>
              <w:t>3</w:t>
            </w:r>
            <w:r>
              <w:rPr>
                <w:color w:val="auto"/>
                <w:sz w:val="24"/>
              </w:rPr>
              <w:t>的</w:t>
            </w:r>
            <w:r>
              <w:rPr>
                <w:color w:val="auto"/>
                <w:sz w:val="24"/>
                <w:lang w:val="zh-CN"/>
              </w:rPr>
              <w:t>沉淀池，用于处理项目搅拌机清洗废水、混凝土运输车辆清洗废水</w:t>
            </w:r>
            <w:r>
              <w:rPr>
                <w:color w:val="auto"/>
                <w:sz w:val="24"/>
              </w:rPr>
              <w:t>和</w:t>
            </w:r>
            <w:r>
              <w:rPr>
                <w:rFonts w:hint="eastAsia"/>
                <w:color w:val="auto"/>
                <w:sz w:val="24"/>
                <w:lang w:val="en-US" w:eastAsia="zh-CN"/>
              </w:rPr>
              <w:t>暂存初期雨水</w:t>
            </w:r>
            <w:r>
              <w:rPr>
                <w:color w:val="auto"/>
                <w:sz w:val="24"/>
              </w:rPr>
              <w:t>雨水</w:t>
            </w:r>
            <w:r>
              <w:rPr>
                <w:color w:val="auto"/>
                <w:sz w:val="24"/>
                <w:lang w:val="zh-CN"/>
              </w:rPr>
              <w:t>，废水通过排水沟排至“沉淀系统”处理系统处理后回用于生产</w:t>
            </w:r>
            <w:r>
              <w:rPr>
                <w:rFonts w:hint="eastAsia"/>
                <w:color w:val="auto"/>
                <w:sz w:val="24"/>
                <w:lang w:val="en-US" w:eastAsia="zh-CN"/>
              </w:rPr>
              <w:t>或运至集水池待用</w:t>
            </w:r>
            <w:r>
              <w:rPr>
                <w:color w:val="auto"/>
                <w:sz w:val="24"/>
                <w:lang w:val="zh-CN"/>
              </w:rPr>
              <w:t>。</w:t>
            </w:r>
          </w:p>
          <w:p w14:paraId="4FF2DC6B">
            <w:pPr>
              <w:numPr>
                <w:ilvl w:val="0"/>
                <w:numId w:val="5"/>
              </w:numPr>
              <w:spacing w:line="360" w:lineRule="auto"/>
              <w:ind w:firstLine="480"/>
              <w:rPr>
                <w:color w:val="auto"/>
                <w:sz w:val="24"/>
              </w:rPr>
            </w:pPr>
            <w:r>
              <w:rPr>
                <w:color w:val="auto"/>
                <w:sz w:val="24"/>
              </w:rPr>
              <w:t>排水</w:t>
            </w:r>
          </w:p>
          <w:p w14:paraId="088B19E9">
            <w:pPr>
              <w:spacing w:line="360" w:lineRule="auto"/>
              <w:ind w:firstLine="480"/>
              <w:rPr>
                <w:color w:val="auto"/>
                <w:sz w:val="24"/>
              </w:rPr>
            </w:pPr>
            <w:r>
              <w:rPr>
                <w:color w:val="auto"/>
                <w:sz w:val="24"/>
              </w:rPr>
              <w:t>生产用水进入产品蒸发损耗无废水排放；搅拌机清洗用水、车辆清洗废水、搅拌作业区地面清洗用水经沉淀池沉淀澄清后上层清液回用于拌合站搅拌工序，不外排。</w:t>
            </w:r>
          </w:p>
          <w:p w14:paraId="7C6EA3D6">
            <w:pPr>
              <w:numPr>
                <w:ilvl w:val="0"/>
                <w:numId w:val="5"/>
              </w:numPr>
              <w:spacing w:line="360" w:lineRule="auto"/>
              <w:ind w:left="0" w:leftChars="0" w:firstLine="480" w:firstLineChars="200"/>
              <w:rPr>
                <w:rFonts w:hint="eastAsia"/>
                <w:color w:val="auto"/>
                <w:sz w:val="24"/>
                <w:lang w:val="en-US" w:eastAsia="zh-CN"/>
              </w:rPr>
            </w:pPr>
            <w:r>
              <w:rPr>
                <w:rFonts w:hint="eastAsia"/>
                <w:color w:val="auto"/>
                <w:sz w:val="24"/>
                <w:lang w:val="en-US" w:eastAsia="zh-CN"/>
              </w:rPr>
              <w:t>初期雨水</w:t>
            </w:r>
          </w:p>
          <w:p w14:paraId="71E3AC23">
            <w:pPr>
              <w:spacing w:line="360" w:lineRule="auto"/>
              <w:ind w:firstLine="480"/>
              <w:rPr>
                <w:rFonts w:ascii="Times New Roman" w:hAnsi="Times New Roman" w:eastAsia="宋体" w:cs="Times New Roman"/>
                <w:color w:val="auto"/>
                <w:sz w:val="24"/>
              </w:rPr>
            </w:pPr>
            <w:bookmarkStart w:id="16" w:name="_Hlk47969491"/>
            <w:r>
              <w:rPr>
                <w:rFonts w:hint="eastAsia" w:ascii="Times New Roman" w:hAnsi="Times New Roman" w:eastAsia="宋体" w:cs="Times New Roman"/>
                <w:color w:val="auto"/>
                <w:sz w:val="24"/>
              </w:rPr>
              <w:t>本次评价初期雨水量按下述公式进行计算：</w:t>
            </w:r>
          </w:p>
          <w:p w14:paraId="464FAC88">
            <w:pPr>
              <w:spacing w:line="360" w:lineRule="auto"/>
              <w:ind w:firstLine="480"/>
              <w:jc w:val="center"/>
              <w:rPr>
                <w:rFonts w:ascii="Times New Roman" w:hAnsi="Times New Roman" w:eastAsia="宋体" w:cs="Times New Roman"/>
                <w:color w:val="auto"/>
                <w:sz w:val="24"/>
              </w:rPr>
            </w:pPr>
            <w:r>
              <w:rPr>
                <w:rFonts w:ascii="Times New Roman" w:hAnsi="Times New Roman" w:eastAsia="宋体" w:cs="Times New Roman"/>
                <w:color w:val="auto"/>
                <w:sz w:val="24"/>
              </w:rPr>
              <w:t>V=ψ×H×F</w:t>
            </w:r>
          </w:p>
          <w:p w14:paraId="799AB3F2">
            <w:pPr>
              <w:spacing w:line="360" w:lineRule="auto"/>
              <w:ind w:firstLine="48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式中：</w:t>
            </w:r>
            <w:r>
              <w:rPr>
                <w:rFonts w:hint="default" w:ascii="Times New Roman" w:hAnsi="Times New Roman" w:eastAsia="宋体" w:cs="Times New Roman"/>
                <w:color w:val="auto"/>
                <w:sz w:val="24"/>
              </w:rPr>
              <w:t>V─径流雨量，m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3EF64340">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ψ—径流系数，根据 GB50014-2021《室外排水设计规范》，本次计算取0.9（</w:t>
            </w:r>
            <w:r>
              <w:rPr>
                <w:rFonts w:hint="default" w:ascii="Times New Roman" w:hAnsi="Times New Roman" w:eastAsia="宋体" w:cs="Times New Roman"/>
                <w:color w:val="auto"/>
                <w:sz w:val="24"/>
                <w:lang w:val="en-US" w:eastAsia="zh-CN"/>
              </w:rPr>
              <w:t>混凝土</w:t>
            </w:r>
            <w:r>
              <w:rPr>
                <w:rFonts w:hint="default" w:ascii="Times New Roman" w:hAnsi="Times New Roman" w:eastAsia="宋体" w:cs="Times New Roman"/>
                <w:color w:val="auto"/>
                <w:sz w:val="24"/>
              </w:rPr>
              <w:t>或沥青路面）；</w:t>
            </w:r>
          </w:p>
          <w:p w14:paraId="087EBD4E">
            <w:pPr>
              <w:spacing w:line="360" w:lineRule="auto"/>
              <w:ind w:firstLine="1200" w:firstLineChars="500"/>
              <w:rPr>
                <w:rFonts w:ascii="Times New Roman" w:hAnsi="Times New Roman" w:eastAsia="宋体" w:cs="Times New Roman"/>
                <w:color w:val="auto"/>
                <w:sz w:val="24"/>
              </w:rPr>
            </w:pPr>
            <w:r>
              <w:rPr>
                <w:rFonts w:hint="eastAsia" w:ascii="Times New Roman" w:hAnsi="Times New Roman" w:eastAsia="宋体" w:cs="Times New Roman"/>
                <w:color w:val="auto"/>
                <w:sz w:val="24"/>
              </w:rPr>
              <w:t>H─根据寻甸县20年累计气象资料统计，项目区域最大24h最大降雨量14</w:t>
            </w:r>
            <w:r>
              <w:rPr>
                <w:rFonts w:ascii="Times New Roman" w:hAnsi="Times New Roman" w:eastAsia="宋体" w:cs="Times New Roman"/>
                <w:color w:val="auto"/>
                <w:sz w:val="24"/>
              </w:rPr>
              <w:t>1.9</w:t>
            </w:r>
            <w:r>
              <w:rPr>
                <w:rFonts w:hint="eastAsia" w:ascii="Times New Roman" w:hAnsi="Times New Roman" w:eastAsia="宋体" w:cs="Times New Roman"/>
                <w:color w:val="auto"/>
                <w:sz w:val="24"/>
              </w:rPr>
              <w:t>mm；</w:t>
            </w:r>
          </w:p>
          <w:p w14:paraId="0130FEA8">
            <w:pPr>
              <w:spacing w:line="360" w:lineRule="auto"/>
              <w:ind w:firstLine="1200" w:firstLineChars="500"/>
              <w:rPr>
                <w:rFonts w:ascii="Times New Roman" w:hAnsi="Times New Roman" w:eastAsia="宋体" w:cs="Times New Roman"/>
                <w:color w:val="auto"/>
                <w:sz w:val="24"/>
              </w:rPr>
            </w:pPr>
            <w:r>
              <w:rPr>
                <w:rFonts w:hint="eastAsia" w:ascii="Times New Roman" w:hAnsi="Times New Roman" w:eastAsia="宋体" w:cs="Times New Roman"/>
                <w:color w:val="auto"/>
                <w:sz w:val="24"/>
              </w:rPr>
              <w:t>F─汇水区面积（m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）；初期雨水主要考虑厂区处理用房及周围道路和硬化地面，</w:t>
            </w:r>
            <w:r>
              <w:rPr>
                <w:rFonts w:hint="eastAsia" w:cs="Times New Roman"/>
                <w:color w:val="auto"/>
                <w:sz w:val="24"/>
                <w:lang w:val="en-US" w:eastAsia="zh-CN"/>
              </w:rPr>
              <w:t>扩建后</w:t>
            </w:r>
            <w:r>
              <w:rPr>
                <w:rFonts w:hint="eastAsia" w:ascii="Times New Roman" w:hAnsi="Times New Roman" w:eastAsia="宋体" w:cs="Times New Roman"/>
                <w:color w:val="auto"/>
                <w:sz w:val="24"/>
                <w:lang w:val="en-US" w:eastAsia="zh-CN"/>
              </w:rPr>
              <w:t>项目整个场区</w:t>
            </w:r>
            <w:r>
              <w:rPr>
                <w:rFonts w:hint="eastAsia" w:ascii="Times New Roman" w:hAnsi="Times New Roman" w:eastAsia="宋体" w:cs="Times New Roman"/>
                <w:color w:val="auto"/>
                <w:sz w:val="24"/>
              </w:rPr>
              <w:t>汇水面积约</w:t>
            </w:r>
            <w:r>
              <w:rPr>
                <w:rFonts w:hint="eastAsia" w:ascii="Times New Roman" w:hAnsi="Times New Roman" w:eastAsia="宋体" w:cs="Times New Roman"/>
                <w:color w:val="auto"/>
                <w:sz w:val="24"/>
                <w:lang w:val="en-US" w:eastAsia="zh-CN"/>
              </w:rPr>
              <w:t>60</w:t>
            </w:r>
            <w:r>
              <w:rPr>
                <w:rFonts w:hint="eastAsia" w:ascii="Times New Roman" w:hAnsi="Times New Roman" w:eastAsia="宋体" w:cs="Times New Roman"/>
                <w:color w:val="auto"/>
                <w:sz w:val="24"/>
              </w:rPr>
              <w:t>00m</w:t>
            </w:r>
            <w:r>
              <w:rPr>
                <w:rFonts w:hint="eastAsia"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w:t>
            </w:r>
          </w:p>
          <w:p w14:paraId="0523941F">
            <w:pPr>
              <w:spacing w:line="360" w:lineRule="auto"/>
              <w:ind w:firstLine="480"/>
              <w:rPr>
                <w:rFonts w:hint="default"/>
                <w:color w:val="auto"/>
                <w:sz w:val="24"/>
                <w:lang w:val="en-US" w:eastAsia="zh-CN"/>
              </w:rPr>
            </w:pPr>
            <w:r>
              <w:rPr>
                <w:rFonts w:hint="eastAsia" w:ascii="Times New Roman" w:hAnsi="Times New Roman" w:eastAsia="宋体" w:cs="Times New Roman"/>
                <w:color w:val="auto"/>
                <w:sz w:val="24"/>
              </w:rPr>
              <w:t>经计算，项目区</w:t>
            </w:r>
            <w:r>
              <w:rPr>
                <w:rFonts w:hint="eastAsia" w:ascii="Times New Roman" w:hAnsi="Times New Roman" w:eastAsia="宋体" w:cs="Times New Roman"/>
                <w:color w:val="auto"/>
                <w:sz w:val="24"/>
                <w:lang w:val="en-US" w:eastAsia="zh-CN"/>
              </w:rPr>
              <w:t>日最大</w:t>
            </w:r>
            <w:r>
              <w:rPr>
                <w:rFonts w:hint="eastAsia" w:ascii="Times New Roman" w:hAnsi="Times New Roman" w:eastAsia="宋体" w:cs="Times New Roman"/>
                <w:color w:val="auto"/>
                <w:sz w:val="24"/>
              </w:rPr>
              <w:t>雨水产生量约为</w:t>
            </w:r>
            <w:r>
              <w:rPr>
                <w:rFonts w:hint="eastAsia" w:ascii="Times New Roman" w:hAnsi="Times New Roman" w:eastAsia="宋体" w:cs="Times New Roman"/>
                <w:color w:val="auto"/>
                <w:sz w:val="24"/>
                <w:lang w:val="en-US" w:eastAsia="zh-CN"/>
              </w:rPr>
              <w:t>766.26</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31.93</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/h，项目初期雨水仅收集前15min的雨水量，为</w:t>
            </w:r>
            <w:r>
              <w:rPr>
                <w:rFonts w:hint="eastAsia" w:ascii="Times New Roman" w:hAnsi="Times New Roman" w:eastAsia="宋体" w:cs="Times New Roman"/>
                <w:color w:val="auto"/>
                <w:sz w:val="24"/>
                <w:lang w:val="en-US" w:eastAsia="zh-CN"/>
              </w:rPr>
              <w:t>7.983</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/次，本项目年生产</w:t>
            </w:r>
            <w:r>
              <w:rPr>
                <w:rFonts w:hint="eastAsia" w:ascii="Times New Roman" w:hAnsi="Times New Roman" w:eastAsia="宋体" w:cs="Times New Roman"/>
                <w:color w:val="auto"/>
                <w:sz w:val="24"/>
                <w:lang w:val="en-US" w:eastAsia="zh-CN"/>
              </w:rPr>
              <w:t>300</w:t>
            </w:r>
            <w:r>
              <w:rPr>
                <w:rFonts w:hint="eastAsia" w:ascii="Times New Roman" w:hAnsi="Times New Roman" w:eastAsia="宋体" w:cs="Times New Roman"/>
                <w:color w:val="auto"/>
                <w:sz w:val="24"/>
              </w:rPr>
              <w:t>天，降雨天约</w:t>
            </w:r>
            <w:r>
              <w:rPr>
                <w:rFonts w:hint="eastAsia" w:ascii="Times New Roman" w:hAnsi="Times New Roman" w:eastAsia="宋体" w:cs="Times New Roman"/>
                <w:color w:val="auto"/>
                <w:sz w:val="24"/>
                <w:lang w:val="en-US" w:eastAsia="zh-CN"/>
              </w:rPr>
              <w:t>130</w:t>
            </w:r>
            <w:r>
              <w:rPr>
                <w:rFonts w:hint="eastAsia" w:ascii="Times New Roman" w:hAnsi="Times New Roman" w:eastAsia="宋体" w:cs="Times New Roman"/>
                <w:color w:val="auto"/>
                <w:sz w:val="24"/>
              </w:rPr>
              <w:t>天，则初期雨水量为</w:t>
            </w:r>
            <w:r>
              <w:rPr>
                <w:rFonts w:hint="eastAsia" w:ascii="Times New Roman" w:hAnsi="Times New Roman" w:eastAsia="宋体" w:cs="Times New Roman"/>
                <w:color w:val="auto"/>
                <w:sz w:val="24"/>
                <w:lang w:val="en-US" w:eastAsia="zh-CN"/>
              </w:rPr>
              <w:t>1037.4</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/a（</w:t>
            </w:r>
            <w:r>
              <w:rPr>
                <w:rFonts w:hint="eastAsia" w:ascii="Times New Roman" w:hAnsi="Times New Roman" w:eastAsia="宋体" w:cs="Times New Roman"/>
                <w:color w:val="auto"/>
                <w:sz w:val="24"/>
                <w:lang w:val="en-US" w:eastAsia="zh-CN"/>
              </w:rPr>
              <w:t>非雨天按照170天计算，则每天回用量</w:t>
            </w:r>
            <w:r>
              <w:rPr>
                <w:rFonts w:hint="eastAsia" w:ascii="Times New Roman" w:hAnsi="Times New Roman" w:eastAsia="宋体" w:cs="Times New Roman"/>
                <w:color w:val="auto"/>
                <w:sz w:val="24"/>
              </w:rPr>
              <w:t>约</w:t>
            </w:r>
            <w:r>
              <w:rPr>
                <w:rFonts w:hint="eastAsia" w:ascii="Times New Roman" w:hAnsi="Times New Roman" w:eastAsia="宋体" w:cs="Times New Roman"/>
                <w:color w:val="auto"/>
                <w:sz w:val="24"/>
                <w:lang w:val="en-US" w:eastAsia="zh-CN"/>
              </w:rPr>
              <w:t>6.102</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/d）。初期雨水中主要污染物为悬浮物。本项目初期雨水污染物浓度与厂区地面硬化程度、项目区环保设施运营情况管理等因素有关，污染物浓度或有一定波动，项目</w:t>
            </w:r>
            <w:r>
              <w:rPr>
                <w:rFonts w:hint="eastAsia" w:ascii="Times New Roman" w:hAnsi="Times New Roman" w:eastAsia="宋体" w:cs="Times New Roman"/>
                <w:color w:val="auto"/>
                <w:sz w:val="24"/>
                <w:lang w:val="en-US" w:eastAsia="zh-CN"/>
              </w:rPr>
              <w:t>在场</w:t>
            </w:r>
            <w:r>
              <w:rPr>
                <w:rFonts w:hint="eastAsia" w:ascii="Times New Roman" w:hAnsi="Times New Roman" w:eastAsia="宋体" w:cs="Times New Roman"/>
                <w:color w:val="auto"/>
                <w:sz w:val="24"/>
              </w:rPr>
              <w:t>区西南侧</w:t>
            </w:r>
            <w:r>
              <w:rPr>
                <w:rFonts w:hint="eastAsia" w:ascii="Times New Roman" w:hAnsi="Times New Roman" w:eastAsia="宋体" w:cs="Times New Roman"/>
                <w:color w:val="auto"/>
                <w:sz w:val="24"/>
                <w:lang w:val="en-US" w:eastAsia="zh-CN"/>
              </w:rPr>
              <w:t>原有</w:t>
            </w:r>
            <w:r>
              <w:rPr>
                <w:rFonts w:hint="eastAsia" w:ascii="Times New Roman" w:hAnsi="Times New Roman" w:eastAsia="宋体" w:cs="Times New Roman"/>
                <w:color w:val="auto"/>
                <w:sz w:val="24"/>
              </w:rPr>
              <w:t>1个</w:t>
            </w:r>
            <w:r>
              <w:rPr>
                <w:rFonts w:hint="eastAsia" w:ascii="Times New Roman" w:hAnsi="Times New Roman" w:eastAsia="宋体" w:cs="Times New Roman"/>
                <w:color w:val="auto"/>
                <w:sz w:val="24"/>
                <w:lang w:val="en-US" w:eastAsia="zh-CN"/>
              </w:rPr>
              <w:t>沉淀池</w:t>
            </w:r>
            <w:r>
              <w:rPr>
                <w:rFonts w:hint="eastAsia" w:ascii="Times New Roman" w:hAnsi="Times New Roman" w:eastAsia="宋体" w:cs="Times New Roman"/>
                <w:color w:val="auto"/>
                <w:sz w:val="24"/>
              </w:rPr>
              <w:t>，容积</w:t>
            </w:r>
            <w:r>
              <w:rPr>
                <w:rFonts w:hint="eastAsia" w:ascii="Times New Roman" w:hAnsi="Times New Roman" w:eastAsia="宋体" w:cs="Times New Roman"/>
                <w:color w:val="auto"/>
                <w:sz w:val="24"/>
                <w:lang w:val="en-US" w:eastAsia="zh-CN"/>
              </w:rPr>
              <w:t>150</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w:t>
            </w:r>
            <w:bookmarkEnd w:id="16"/>
            <w:r>
              <w:rPr>
                <w:rFonts w:hint="eastAsia" w:ascii="Times New Roman" w:hAnsi="Times New Roman" w:eastAsia="宋体" w:cs="Times New Roman"/>
                <w:color w:val="auto"/>
                <w:sz w:val="24"/>
                <w:lang w:val="en-US" w:eastAsia="zh-CN"/>
              </w:rPr>
              <w:t>可保障连续一周下雨的情况初期雨水不外排，同时沉淀池静置沉淀24h后抽至集水池容积300</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vertAlign w:val="baseline"/>
                <w:lang w:val="en-US" w:eastAsia="zh-CN"/>
              </w:rPr>
              <w:t>备用</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不外排</w:t>
            </w:r>
            <w:r>
              <w:rPr>
                <w:rFonts w:hint="eastAsia" w:ascii="Times New Roman" w:hAnsi="Times New Roman" w:eastAsia="宋体" w:cs="Times New Roman"/>
                <w:color w:val="auto"/>
                <w:sz w:val="24"/>
              </w:rPr>
              <w:t>。</w:t>
            </w:r>
          </w:p>
          <w:p w14:paraId="60F11912">
            <w:pPr>
              <w:spacing w:line="360" w:lineRule="auto"/>
              <w:ind w:firstLine="480"/>
              <w:rPr>
                <w:color w:val="auto"/>
                <w:sz w:val="24"/>
              </w:rPr>
            </w:pPr>
            <w:r>
              <w:rPr>
                <w:color w:val="auto"/>
                <w:sz w:val="24"/>
                <w:lang w:val="zh-CN"/>
              </w:rPr>
              <w:t>扩建项目具体给排水量见下表</w:t>
            </w:r>
            <w:r>
              <w:rPr>
                <w:color w:val="auto"/>
                <w:sz w:val="24"/>
              </w:rPr>
              <w:t>2</w:t>
            </w:r>
            <w:r>
              <w:rPr>
                <w:color w:val="auto"/>
                <w:sz w:val="24"/>
                <w:lang w:val="zh-CN"/>
              </w:rPr>
              <w:t>-</w:t>
            </w:r>
            <w:r>
              <w:rPr>
                <w:rFonts w:hint="eastAsia"/>
                <w:color w:val="auto"/>
                <w:sz w:val="24"/>
              </w:rPr>
              <w:t>8</w:t>
            </w:r>
            <w:r>
              <w:rPr>
                <w:color w:val="auto"/>
                <w:sz w:val="24"/>
                <w:lang w:val="zh-CN"/>
              </w:rPr>
              <w:t>。</w:t>
            </w:r>
          </w:p>
          <w:p w14:paraId="08CB3C18">
            <w:pPr>
              <w:snapToGrid w:val="0"/>
              <w:ind w:firstLine="422"/>
              <w:jc w:val="center"/>
              <w:rPr>
                <w:b/>
                <w:snapToGrid w:val="0"/>
                <w:color w:val="auto"/>
                <w:szCs w:val="21"/>
              </w:rPr>
            </w:pPr>
            <w:r>
              <w:rPr>
                <w:b/>
                <w:snapToGrid w:val="0"/>
                <w:color w:val="auto"/>
                <w:szCs w:val="21"/>
              </w:rPr>
              <w:t>表2-</w:t>
            </w:r>
            <w:r>
              <w:rPr>
                <w:rFonts w:hint="eastAsia"/>
                <w:b/>
                <w:snapToGrid w:val="0"/>
                <w:color w:val="auto"/>
                <w:szCs w:val="21"/>
              </w:rPr>
              <w:t>8</w:t>
            </w:r>
            <w:r>
              <w:rPr>
                <w:b/>
                <w:snapToGrid w:val="0"/>
                <w:color w:val="auto"/>
                <w:szCs w:val="21"/>
              </w:rPr>
              <w:t xml:space="preserve">   </w:t>
            </w:r>
            <w:r>
              <w:rPr>
                <w:rFonts w:hint="eastAsia"/>
                <w:b/>
                <w:snapToGrid w:val="0"/>
                <w:color w:val="auto"/>
                <w:szCs w:val="21"/>
              </w:rPr>
              <w:t>扩建</w:t>
            </w:r>
            <w:r>
              <w:rPr>
                <w:b/>
                <w:snapToGrid w:val="0"/>
                <w:color w:val="auto"/>
                <w:szCs w:val="21"/>
              </w:rPr>
              <w:t>项目用排水情况一览表</w:t>
            </w:r>
          </w:p>
          <w:tbl>
            <w:tblPr>
              <w:tblStyle w:val="37"/>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808"/>
              <w:gridCol w:w="1102"/>
              <w:gridCol w:w="1225"/>
              <w:gridCol w:w="1225"/>
              <w:gridCol w:w="794"/>
              <w:gridCol w:w="794"/>
              <w:gridCol w:w="1295"/>
            </w:tblGrid>
            <w:tr w14:paraId="795E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40" w:type="dxa"/>
                  <w:vMerge w:val="restart"/>
                  <w:tcBorders>
                    <w:top w:val="single" w:color="auto" w:sz="4" w:space="0"/>
                    <w:left w:val="single" w:color="auto" w:sz="4" w:space="0"/>
                    <w:bottom w:val="single" w:color="auto" w:sz="4" w:space="0"/>
                    <w:right w:val="single" w:color="auto" w:sz="4" w:space="0"/>
                  </w:tcBorders>
                  <w:vAlign w:val="center"/>
                </w:tcPr>
                <w:p w14:paraId="10B6071A">
                  <w:pPr>
                    <w:pStyle w:val="95"/>
                    <w:spacing w:line="240" w:lineRule="auto"/>
                    <w:ind w:firstLine="0" w:firstLineChars="0"/>
                    <w:rPr>
                      <w:rFonts w:ascii="Times New Roman"/>
                      <w:color w:val="auto"/>
                      <w:sz w:val="21"/>
                    </w:rPr>
                  </w:pPr>
                  <w:r>
                    <w:rPr>
                      <w:rFonts w:ascii="Times New Roman"/>
                      <w:color w:val="auto"/>
                      <w:sz w:val="21"/>
                    </w:rPr>
                    <w:t>用水单位</w:t>
                  </w:r>
                </w:p>
              </w:tc>
              <w:tc>
                <w:tcPr>
                  <w:tcW w:w="808" w:type="dxa"/>
                  <w:vMerge w:val="restart"/>
                  <w:tcBorders>
                    <w:top w:val="single" w:color="auto" w:sz="4" w:space="0"/>
                    <w:left w:val="single" w:color="auto" w:sz="4" w:space="0"/>
                    <w:bottom w:val="single" w:color="auto" w:sz="4" w:space="0"/>
                    <w:right w:val="single" w:color="auto" w:sz="4" w:space="0"/>
                  </w:tcBorders>
                  <w:vAlign w:val="center"/>
                </w:tcPr>
                <w:p w14:paraId="0D090E3A">
                  <w:pPr>
                    <w:pStyle w:val="95"/>
                    <w:spacing w:line="240" w:lineRule="auto"/>
                    <w:ind w:firstLine="0" w:firstLineChars="0"/>
                    <w:rPr>
                      <w:rFonts w:ascii="Times New Roman"/>
                      <w:color w:val="auto"/>
                      <w:sz w:val="21"/>
                    </w:rPr>
                  </w:pPr>
                  <w:r>
                    <w:rPr>
                      <w:rFonts w:ascii="Times New Roman"/>
                      <w:color w:val="auto"/>
                      <w:sz w:val="21"/>
                    </w:rPr>
                    <w:t>用水</w:t>
                  </w:r>
                </w:p>
              </w:tc>
              <w:tc>
                <w:tcPr>
                  <w:tcW w:w="1102" w:type="dxa"/>
                  <w:vMerge w:val="restart"/>
                  <w:tcBorders>
                    <w:top w:val="single" w:color="auto" w:sz="4" w:space="0"/>
                    <w:left w:val="single" w:color="auto" w:sz="4" w:space="0"/>
                    <w:bottom w:val="single" w:color="auto" w:sz="4" w:space="0"/>
                    <w:right w:val="single" w:color="auto" w:sz="4" w:space="0"/>
                  </w:tcBorders>
                  <w:vAlign w:val="center"/>
                </w:tcPr>
                <w:p w14:paraId="782CD288">
                  <w:pPr>
                    <w:pStyle w:val="95"/>
                    <w:spacing w:line="240" w:lineRule="auto"/>
                    <w:ind w:firstLine="0" w:firstLineChars="0"/>
                    <w:rPr>
                      <w:rFonts w:ascii="Times New Roman"/>
                      <w:color w:val="auto"/>
                      <w:sz w:val="21"/>
                    </w:rPr>
                  </w:pPr>
                  <w:r>
                    <w:rPr>
                      <w:rFonts w:ascii="Times New Roman"/>
                      <w:color w:val="auto"/>
                      <w:sz w:val="21"/>
                    </w:rPr>
                    <w:t>用水标准</w:t>
                  </w:r>
                </w:p>
              </w:tc>
              <w:tc>
                <w:tcPr>
                  <w:tcW w:w="2450" w:type="dxa"/>
                  <w:gridSpan w:val="2"/>
                  <w:tcBorders>
                    <w:top w:val="single" w:color="auto" w:sz="4" w:space="0"/>
                    <w:left w:val="single" w:color="auto" w:sz="4" w:space="0"/>
                    <w:bottom w:val="single" w:color="auto" w:sz="4" w:space="0"/>
                    <w:right w:val="single" w:color="auto" w:sz="4" w:space="0"/>
                  </w:tcBorders>
                  <w:vAlign w:val="center"/>
                </w:tcPr>
                <w:p w14:paraId="302DF1C8">
                  <w:pPr>
                    <w:pStyle w:val="95"/>
                    <w:spacing w:line="240" w:lineRule="auto"/>
                    <w:ind w:firstLine="0" w:firstLineChars="0"/>
                    <w:rPr>
                      <w:rFonts w:ascii="Times New Roman"/>
                      <w:color w:val="auto"/>
                      <w:sz w:val="21"/>
                    </w:rPr>
                  </w:pPr>
                  <w:r>
                    <w:rPr>
                      <w:rFonts w:ascii="Times New Roman"/>
                      <w:color w:val="auto"/>
                      <w:sz w:val="21"/>
                    </w:rPr>
                    <w:t>用水量</w:t>
                  </w:r>
                </w:p>
              </w:tc>
              <w:tc>
                <w:tcPr>
                  <w:tcW w:w="1588" w:type="dxa"/>
                  <w:gridSpan w:val="2"/>
                  <w:tcBorders>
                    <w:top w:val="single" w:color="auto" w:sz="4" w:space="0"/>
                    <w:left w:val="single" w:color="auto" w:sz="4" w:space="0"/>
                    <w:bottom w:val="single" w:color="auto" w:sz="4" w:space="0"/>
                    <w:right w:val="single" w:color="auto" w:sz="4" w:space="0"/>
                  </w:tcBorders>
                  <w:vAlign w:val="center"/>
                </w:tcPr>
                <w:p w14:paraId="41D47F30">
                  <w:pPr>
                    <w:pStyle w:val="95"/>
                    <w:spacing w:line="240" w:lineRule="auto"/>
                    <w:ind w:firstLine="0" w:firstLineChars="0"/>
                    <w:rPr>
                      <w:rFonts w:ascii="Times New Roman"/>
                      <w:color w:val="auto"/>
                      <w:sz w:val="21"/>
                    </w:rPr>
                  </w:pPr>
                  <w:r>
                    <w:rPr>
                      <w:rFonts w:ascii="Times New Roman"/>
                      <w:color w:val="auto"/>
                      <w:sz w:val="21"/>
                    </w:rPr>
                    <w:t>污水量</w:t>
                  </w:r>
                </w:p>
              </w:tc>
              <w:tc>
                <w:tcPr>
                  <w:tcW w:w="1295" w:type="dxa"/>
                  <w:vMerge w:val="restart"/>
                  <w:tcBorders>
                    <w:top w:val="single" w:color="auto" w:sz="4" w:space="0"/>
                    <w:left w:val="single" w:color="auto" w:sz="4" w:space="0"/>
                    <w:bottom w:val="single" w:color="auto" w:sz="4" w:space="0"/>
                    <w:right w:val="single" w:color="auto" w:sz="4" w:space="0"/>
                  </w:tcBorders>
                  <w:vAlign w:val="center"/>
                </w:tcPr>
                <w:p w14:paraId="0014A481">
                  <w:pPr>
                    <w:pStyle w:val="95"/>
                    <w:spacing w:line="240" w:lineRule="auto"/>
                    <w:ind w:firstLine="0" w:firstLineChars="0"/>
                    <w:rPr>
                      <w:rFonts w:ascii="Times New Roman"/>
                      <w:color w:val="auto"/>
                      <w:sz w:val="21"/>
                    </w:rPr>
                  </w:pPr>
                  <w:r>
                    <w:rPr>
                      <w:rFonts w:ascii="Times New Roman"/>
                      <w:color w:val="auto"/>
                      <w:sz w:val="21"/>
                    </w:rPr>
                    <w:t>备注</w:t>
                  </w:r>
                </w:p>
              </w:tc>
            </w:tr>
            <w:tr w14:paraId="4E25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40" w:type="dxa"/>
                  <w:vMerge w:val="continue"/>
                  <w:tcBorders>
                    <w:top w:val="single" w:color="auto" w:sz="4" w:space="0"/>
                    <w:left w:val="single" w:color="auto" w:sz="4" w:space="0"/>
                    <w:bottom w:val="single" w:color="auto" w:sz="4" w:space="0"/>
                    <w:right w:val="single" w:color="auto" w:sz="4" w:space="0"/>
                  </w:tcBorders>
                  <w:vAlign w:val="center"/>
                </w:tcPr>
                <w:p w14:paraId="0B4ED6B8">
                  <w:pPr>
                    <w:pStyle w:val="95"/>
                    <w:spacing w:line="240" w:lineRule="auto"/>
                    <w:ind w:firstLine="0" w:firstLineChars="0"/>
                    <w:rPr>
                      <w:rFonts w:ascii="Times New Roman"/>
                      <w:color w:val="auto"/>
                      <w:sz w:val="21"/>
                    </w:rPr>
                  </w:pPr>
                </w:p>
              </w:tc>
              <w:tc>
                <w:tcPr>
                  <w:tcW w:w="808" w:type="dxa"/>
                  <w:vMerge w:val="continue"/>
                  <w:tcBorders>
                    <w:top w:val="single" w:color="auto" w:sz="4" w:space="0"/>
                    <w:left w:val="single" w:color="auto" w:sz="4" w:space="0"/>
                    <w:bottom w:val="single" w:color="auto" w:sz="4" w:space="0"/>
                    <w:right w:val="single" w:color="auto" w:sz="4" w:space="0"/>
                  </w:tcBorders>
                  <w:vAlign w:val="center"/>
                </w:tcPr>
                <w:p w14:paraId="5C0BAB86">
                  <w:pPr>
                    <w:pStyle w:val="95"/>
                    <w:spacing w:line="240" w:lineRule="auto"/>
                    <w:ind w:firstLine="0" w:firstLineChars="0"/>
                    <w:rPr>
                      <w:rFonts w:ascii="Times New Roman"/>
                      <w:color w:val="auto"/>
                      <w:sz w:val="21"/>
                    </w:rPr>
                  </w:pPr>
                </w:p>
              </w:tc>
              <w:tc>
                <w:tcPr>
                  <w:tcW w:w="1102" w:type="dxa"/>
                  <w:vMerge w:val="continue"/>
                  <w:tcBorders>
                    <w:top w:val="single" w:color="auto" w:sz="4" w:space="0"/>
                    <w:left w:val="single" w:color="auto" w:sz="4" w:space="0"/>
                    <w:bottom w:val="single" w:color="auto" w:sz="4" w:space="0"/>
                    <w:right w:val="single" w:color="auto" w:sz="4" w:space="0"/>
                  </w:tcBorders>
                  <w:vAlign w:val="center"/>
                </w:tcPr>
                <w:p w14:paraId="373DFCA8">
                  <w:pPr>
                    <w:pStyle w:val="95"/>
                    <w:spacing w:line="240" w:lineRule="auto"/>
                    <w:ind w:firstLine="0" w:firstLineChars="0"/>
                    <w:rPr>
                      <w:rFonts w:ascii="Times New Roman"/>
                      <w:color w:val="auto"/>
                      <w:sz w:val="21"/>
                    </w:rPr>
                  </w:pPr>
                </w:p>
              </w:tc>
              <w:tc>
                <w:tcPr>
                  <w:tcW w:w="1225" w:type="dxa"/>
                  <w:tcBorders>
                    <w:top w:val="single" w:color="auto" w:sz="4" w:space="0"/>
                    <w:left w:val="single" w:color="auto" w:sz="4" w:space="0"/>
                    <w:bottom w:val="single" w:color="auto" w:sz="4" w:space="0"/>
                    <w:right w:val="single" w:color="auto" w:sz="4" w:space="0"/>
                  </w:tcBorders>
                  <w:vAlign w:val="center"/>
                </w:tcPr>
                <w:p w14:paraId="518EF78B">
                  <w:pPr>
                    <w:pStyle w:val="95"/>
                    <w:spacing w:line="240" w:lineRule="auto"/>
                    <w:ind w:firstLine="0" w:firstLineChars="0"/>
                    <w:rPr>
                      <w:rFonts w:ascii="Times New Roman"/>
                      <w:color w:val="auto"/>
                      <w:sz w:val="21"/>
                    </w:rPr>
                  </w:pPr>
                  <w:r>
                    <w:rPr>
                      <w:rFonts w:ascii="Times New Roman"/>
                      <w:color w:val="auto"/>
                      <w:sz w:val="21"/>
                    </w:rPr>
                    <w:t>m</w:t>
                  </w:r>
                  <w:r>
                    <w:rPr>
                      <w:rFonts w:ascii="Times New Roman"/>
                      <w:color w:val="auto"/>
                      <w:sz w:val="21"/>
                      <w:vertAlign w:val="superscript"/>
                    </w:rPr>
                    <w:t>3</w:t>
                  </w:r>
                  <w:r>
                    <w:rPr>
                      <w:rFonts w:ascii="Times New Roman"/>
                      <w:color w:val="auto"/>
                      <w:sz w:val="21"/>
                    </w:rPr>
                    <w:t>/d</w:t>
                  </w:r>
                </w:p>
              </w:tc>
              <w:tc>
                <w:tcPr>
                  <w:tcW w:w="1225" w:type="dxa"/>
                  <w:tcBorders>
                    <w:top w:val="single" w:color="auto" w:sz="4" w:space="0"/>
                    <w:left w:val="single" w:color="auto" w:sz="4" w:space="0"/>
                    <w:bottom w:val="single" w:color="auto" w:sz="4" w:space="0"/>
                    <w:right w:val="single" w:color="auto" w:sz="4" w:space="0"/>
                  </w:tcBorders>
                  <w:vAlign w:val="center"/>
                </w:tcPr>
                <w:p w14:paraId="14DB51FE">
                  <w:pPr>
                    <w:pStyle w:val="95"/>
                    <w:spacing w:line="240" w:lineRule="auto"/>
                    <w:ind w:firstLine="0" w:firstLineChars="0"/>
                    <w:rPr>
                      <w:rFonts w:ascii="Times New Roman"/>
                      <w:color w:val="auto"/>
                      <w:sz w:val="21"/>
                    </w:rPr>
                  </w:pPr>
                  <w:r>
                    <w:rPr>
                      <w:rFonts w:ascii="Times New Roman"/>
                      <w:color w:val="auto"/>
                      <w:sz w:val="21"/>
                    </w:rPr>
                    <w:t>m</w:t>
                  </w:r>
                  <w:r>
                    <w:rPr>
                      <w:rFonts w:ascii="Times New Roman"/>
                      <w:color w:val="auto"/>
                      <w:sz w:val="21"/>
                      <w:vertAlign w:val="superscript"/>
                    </w:rPr>
                    <w:t>3</w:t>
                  </w:r>
                  <w:r>
                    <w:rPr>
                      <w:rFonts w:ascii="Times New Roman"/>
                      <w:color w:val="auto"/>
                      <w:sz w:val="21"/>
                    </w:rPr>
                    <w:t>/a</w:t>
                  </w:r>
                </w:p>
              </w:tc>
              <w:tc>
                <w:tcPr>
                  <w:tcW w:w="794" w:type="dxa"/>
                  <w:tcBorders>
                    <w:top w:val="single" w:color="auto" w:sz="4" w:space="0"/>
                    <w:left w:val="single" w:color="auto" w:sz="4" w:space="0"/>
                    <w:bottom w:val="single" w:color="auto" w:sz="4" w:space="0"/>
                    <w:right w:val="single" w:color="auto" w:sz="4" w:space="0"/>
                  </w:tcBorders>
                  <w:vAlign w:val="center"/>
                </w:tcPr>
                <w:p w14:paraId="3188B96F">
                  <w:pPr>
                    <w:pStyle w:val="95"/>
                    <w:spacing w:line="240" w:lineRule="auto"/>
                    <w:ind w:firstLine="0" w:firstLineChars="0"/>
                    <w:rPr>
                      <w:rFonts w:ascii="Times New Roman"/>
                      <w:color w:val="auto"/>
                      <w:sz w:val="21"/>
                    </w:rPr>
                  </w:pPr>
                  <w:r>
                    <w:rPr>
                      <w:rFonts w:ascii="Times New Roman"/>
                      <w:color w:val="auto"/>
                      <w:sz w:val="21"/>
                    </w:rPr>
                    <w:t>m</w:t>
                  </w:r>
                  <w:r>
                    <w:rPr>
                      <w:rFonts w:ascii="Times New Roman"/>
                      <w:color w:val="auto"/>
                      <w:sz w:val="21"/>
                      <w:vertAlign w:val="superscript"/>
                    </w:rPr>
                    <w:t>3</w:t>
                  </w:r>
                  <w:r>
                    <w:rPr>
                      <w:rFonts w:ascii="Times New Roman"/>
                      <w:color w:val="auto"/>
                      <w:sz w:val="21"/>
                    </w:rPr>
                    <w:t>/d</w:t>
                  </w:r>
                </w:p>
              </w:tc>
              <w:tc>
                <w:tcPr>
                  <w:tcW w:w="794" w:type="dxa"/>
                  <w:tcBorders>
                    <w:top w:val="single" w:color="auto" w:sz="4" w:space="0"/>
                    <w:left w:val="single" w:color="auto" w:sz="4" w:space="0"/>
                    <w:bottom w:val="single" w:color="auto" w:sz="4" w:space="0"/>
                    <w:right w:val="single" w:color="auto" w:sz="4" w:space="0"/>
                  </w:tcBorders>
                  <w:vAlign w:val="center"/>
                </w:tcPr>
                <w:p w14:paraId="3A78F112">
                  <w:pPr>
                    <w:pStyle w:val="95"/>
                    <w:spacing w:line="240" w:lineRule="auto"/>
                    <w:ind w:firstLine="0" w:firstLineChars="0"/>
                    <w:rPr>
                      <w:rFonts w:ascii="Times New Roman"/>
                      <w:color w:val="auto"/>
                      <w:sz w:val="21"/>
                    </w:rPr>
                  </w:pPr>
                  <w:r>
                    <w:rPr>
                      <w:rFonts w:ascii="Times New Roman"/>
                      <w:color w:val="auto"/>
                      <w:sz w:val="21"/>
                    </w:rPr>
                    <w:t>m</w:t>
                  </w:r>
                  <w:r>
                    <w:rPr>
                      <w:rFonts w:ascii="Times New Roman"/>
                      <w:color w:val="auto"/>
                      <w:sz w:val="21"/>
                      <w:vertAlign w:val="superscript"/>
                    </w:rPr>
                    <w:t>3</w:t>
                  </w:r>
                  <w:r>
                    <w:rPr>
                      <w:rFonts w:ascii="Times New Roman"/>
                      <w:color w:val="auto"/>
                      <w:sz w:val="21"/>
                    </w:rPr>
                    <w:t>/a</w:t>
                  </w:r>
                </w:p>
              </w:tc>
              <w:tc>
                <w:tcPr>
                  <w:tcW w:w="1295" w:type="dxa"/>
                  <w:vMerge w:val="continue"/>
                  <w:tcBorders>
                    <w:top w:val="single" w:color="auto" w:sz="4" w:space="0"/>
                    <w:left w:val="single" w:color="auto" w:sz="4" w:space="0"/>
                    <w:bottom w:val="single" w:color="auto" w:sz="4" w:space="0"/>
                    <w:right w:val="single" w:color="auto" w:sz="4" w:space="0"/>
                  </w:tcBorders>
                  <w:vAlign w:val="center"/>
                </w:tcPr>
                <w:p w14:paraId="2B153AD7">
                  <w:pPr>
                    <w:pStyle w:val="95"/>
                    <w:spacing w:line="240" w:lineRule="auto"/>
                    <w:ind w:firstLine="0" w:firstLineChars="0"/>
                    <w:rPr>
                      <w:rFonts w:ascii="Times New Roman"/>
                      <w:color w:val="auto"/>
                      <w:sz w:val="21"/>
                    </w:rPr>
                  </w:pPr>
                </w:p>
              </w:tc>
            </w:tr>
            <w:tr w14:paraId="2C2F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40" w:type="dxa"/>
                  <w:vMerge w:val="restart"/>
                  <w:tcBorders>
                    <w:top w:val="single" w:color="auto" w:sz="4" w:space="0"/>
                    <w:left w:val="single" w:color="auto" w:sz="4" w:space="0"/>
                    <w:right w:val="single" w:color="auto" w:sz="4" w:space="0"/>
                  </w:tcBorders>
                  <w:vAlign w:val="center"/>
                </w:tcPr>
                <w:p w14:paraId="1B190DDA">
                  <w:pPr>
                    <w:pStyle w:val="95"/>
                    <w:spacing w:line="240" w:lineRule="auto"/>
                    <w:ind w:firstLine="0" w:firstLineChars="0"/>
                    <w:rPr>
                      <w:rFonts w:ascii="Times New Roman"/>
                      <w:color w:val="auto"/>
                      <w:sz w:val="21"/>
                    </w:rPr>
                  </w:pPr>
                  <w:r>
                    <w:rPr>
                      <w:rFonts w:ascii="Times New Roman"/>
                      <w:color w:val="auto"/>
                      <w:sz w:val="21"/>
                    </w:rPr>
                    <w:t>搅拌用水</w:t>
                  </w:r>
                </w:p>
              </w:tc>
              <w:tc>
                <w:tcPr>
                  <w:tcW w:w="808" w:type="dxa"/>
                  <w:vMerge w:val="restart"/>
                  <w:tcBorders>
                    <w:top w:val="single" w:color="auto" w:sz="4" w:space="0"/>
                    <w:left w:val="single" w:color="auto" w:sz="4" w:space="0"/>
                    <w:right w:val="single" w:color="auto" w:sz="4" w:space="0"/>
                  </w:tcBorders>
                  <w:vAlign w:val="center"/>
                </w:tcPr>
                <w:p w14:paraId="4858041E">
                  <w:pPr>
                    <w:pStyle w:val="95"/>
                    <w:spacing w:line="240" w:lineRule="auto"/>
                    <w:ind w:firstLine="0" w:firstLineChars="0"/>
                    <w:rPr>
                      <w:rFonts w:ascii="Times New Roman"/>
                      <w:color w:val="auto"/>
                      <w:sz w:val="21"/>
                    </w:rPr>
                  </w:pPr>
                  <w:r>
                    <w:rPr>
                      <w:rFonts w:ascii="Times New Roman"/>
                      <w:color w:val="auto"/>
                      <w:sz w:val="21"/>
                    </w:rPr>
                    <w:t>10万t产品</w:t>
                  </w:r>
                </w:p>
              </w:tc>
              <w:tc>
                <w:tcPr>
                  <w:tcW w:w="1102" w:type="dxa"/>
                  <w:vMerge w:val="restart"/>
                  <w:tcBorders>
                    <w:top w:val="single" w:color="auto" w:sz="4" w:space="0"/>
                    <w:left w:val="single" w:color="auto" w:sz="4" w:space="0"/>
                    <w:right w:val="single" w:color="auto" w:sz="4" w:space="0"/>
                  </w:tcBorders>
                  <w:vAlign w:val="center"/>
                </w:tcPr>
                <w:p w14:paraId="6A6BE53C">
                  <w:pPr>
                    <w:pStyle w:val="95"/>
                    <w:spacing w:line="240" w:lineRule="auto"/>
                    <w:ind w:firstLine="0" w:firstLineChars="0"/>
                    <w:rPr>
                      <w:rFonts w:ascii="Times New Roman"/>
                      <w:color w:val="auto"/>
                      <w:sz w:val="21"/>
                    </w:rPr>
                  </w:pPr>
                  <w:r>
                    <w:rPr>
                      <w:rFonts w:hint="eastAsia" w:ascii="Times New Roman"/>
                      <w:color w:val="auto"/>
                      <w:sz w:val="21"/>
                      <w:lang w:val="en-US" w:eastAsia="zh-CN"/>
                    </w:rPr>
                    <w:t>61.33</w:t>
                  </w:r>
                  <w:r>
                    <w:rPr>
                      <w:rFonts w:ascii="Times New Roman"/>
                      <w:color w:val="auto"/>
                      <w:sz w:val="21"/>
                    </w:rPr>
                    <w:t>m</w:t>
                  </w:r>
                  <w:r>
                    <w:rPr>
                      <w:rFonts w:ascii="Times New Roman"/>
                      <w:color w:val="auto"/>
                      <w:sz w:val="21"/>
                      <w:vertAlign w:val="superscript"/>
                    </w:rPr>
                    <w:t>3</w:t>
                  </w:r>
                  <w:r>
                    <w:rPr>
                      <w:rFonts w:ascii="Times New Roman"/>
                      <w:color w:val="auto"/>
                      <w:sz w:val="21"/>
                    </w:rPr>
                    <w:t>/d</w:t>
                  </w:r>
                </w:p>
              </w:tc>
              <w:tc>
                <w:tcPr>
                  <w:tcW w:w="1225" w:type="dxa"/>
                  <w:tcBorders>
                    <w:top w:val="single" w:color="auto" w:sz="4" w:space="0"/>
                    <w:left w:val="single" w:color="auto" w:sz="4" w:space="0"/>
                    <w:bottom w:val="single" w:color="auto" w:sz="4" w:space="0"/>
                    <w:right w:val="single" w:color="auto" w:sz="4" w:space="0"/>
                  </w:tcBorders>
                  <w:vAlign w:val="center"/>
                </w:tcPr>
                <w:p w14:paraId="3385A43E">
                  <w:pPr>
                    <w:pStyle w:val="95"/>
                    <w:spacing w:line="240" w:lineRule="auto"/>
                    <w:ind w:firstLine="0" w:firstLineChars="0"/>
                    <w:rPr>
                      <w:rFonts w:ascii="Times New Roman"/>
                      <w:color w:val="auto"/>
                      <w:sz w:val="21"/>
                    </w:rPr>
                  </w:pPr>
                  <w:r>
                    <w:rPr>
                      <w:rFonts w:hint="eastAsia" w:ascii="Times New Roman"/>
                      <w:color w:val="auto"/>
                      <w:sz w:val="21"/>
                      <w:lang w:val="en-US" w:eastAsia="zh-CN"/>
                    </w:rPr>
                    <w:t>57.353</w:t>
                  </w:r>
                  <w:r>
                    <w:rPr>
                      <w:rFonts w:ascii="Times New Roman"/>
                      <w:color w:val="auto"/>
                      <w:sz w:val="21"/>
                    </w:rPr>
                    <w:t>（新鲜水）</w:t>
                  </w:r>
                </w:p>
              </w:tc>
              <w:tc>
                <w:tcPr>
                  <w:tcW w:w="1225" w:type="dxa"/>
                  <w:tcBorders>
                    <w:top w:val="single" w:color="auto" w:sz="4" w:space="0"/>
                    <w:left w:val="single" w:color="auto" w:sz="4" w:space="0"/>
                    <w:right w:val="single" w:color="auto" w:sz="4" w:space="0"/>
                  </w:tcBorders>
                  <w:vAlign w:val="center"/>
                </w:tcPr>
                <w:p w14:paraId="6406D06C">
                  <w:pPr>
                    <w:pStyle w:val="95"/>
                    <w:spacing w:line="240" w:lineRule="auto"/>
                    <w:ind w:firstLine="0" w:firstLineChars="0"/>
                    <w:rPr>
                      <w:rFonts w:ascii="Times New Roman"/>
                      <w:color w:val="auto"/>
                      <w:sz w:val="21"/>
                    </w:rPr>
                  </w:pPr>
                  <w:r>
                    <w:rPr>
                      <w:rFonts w:hint="eastAsia" w:ascii="Times New Roman"/>
                      <w:color w:val="auto"/>
                      <w:sz w:val="21"/>
                      <w:lang w:val="en-US" w:eastAsia="zh-CN"/>
                    </w:rPr>
                    <w:t>17205.9</w:t>
                  </w:r>
                  <w:r>
                    <w:rPr>
                      <w:rFonts w:ascii="Times New Roman"/>
                      <w:color w:val="auto"/>
                      <w:sz w:val="21"/>
                    </w:rPr>
                    <w:t>（新鲜水）</w:t>
                  </w:r>
                </w:p>
              </w:tc>
              <w:tc>
                <w:tcPr>
                  <w:tcW w:w="794" w:type="dxa"/>
                  <w:vMerge w:val="restart"/>
                  <w:tcBorders>
                    <w:top w:val="single" w:color="auto" w:sz="4" w:space="0"/>
                    <w:left w:val="single" w:color="auto" w:sz="4" w:space="0"/>
                    <w:right w:val="single" w:color="auto" w:sz="4" w:space="0"/>
                  </w:tcBorders>
                  <w:vAlign w:val="center"/>
                </w:tcPr>
                <w:p w14:paraId="58F13697">
                  <w:pPr>
                    <w:pStyle w:val="95"/>
                    <w:spacing w:line="240" w:lineRule="auto"/>
                    <w:ind w:firstLine="0" w:firstLineChars="0"/>
                    <w:rPr>
                      <w:rFonts w:ascii="Times New Roman"/>
                      <w:color w:val="auto"/>
                      <w:sz w:val="21"/>
                    </w:rPr>
                  </w:pPr>
                  <w:r>
                    <w:rPr>
                      <w:rFonts w:ascii="Times New Roman"/>
                      <w:color w:val="auto"/>
                      <w:sz w:val="21"/>
                    </w:rPr>
                    <w:t>0</w:t>
                  </w:r>
                </w:p>
              </w:tc>
              <w:tc>
                <w:tcPr>
                  <w:tcW w:w="794" w:type="dxa"/>
                  <w:vMerge w:val="restart"/>
                  <w:tcBorders>
                    <w:top w:val="single" w:color="auto" w:sz="4" w:space="0"/>
                    <w:left w:val="single" w:color="auto" w:sz="4" w:space="0"/>
                    <w:right w:val="single" w:color="auto" w:sz="4" w:space="0"/>
                  </w:tcBorders>
                  <w:vAlign w:val="center"/>
                </w:tcPr>
                <w:p w14:paraId="672A8F89">
                  <w:pPr>
                    <w:pStyle w:val="95"/>
                    <w:spacing w:line="240" w:lineRule="auto"/>
                    <w:ind w:firstLine="0" w:firstLineChars="0"/>
                    <w:rPr>
                      <w:rFonts w:ascii="Times New Roman"/>
                      <w:color w:val="auto"/>
                      <w:sz w:val="21"/>
                    </w:rPr>
                  </w:pPr>
                  <w:r>
                    <w:rPr>
                      <w:rFonts w:ascii="Times New Roman"/>
                      <w:color w:val="auto"/>
                      <w:sz w:val="21"/>
                    </w:rPr>
                    <w:t>0</w:t>
                  </w:r>
                </w:p>
              </w:tc>
              <w:tc>
                <w:tcPr>
                  <w:tcW w:w="1295" w:type="dxa"/>
                  <w:vMerge w:val="restart"/>
                  <w:tcBorders>
                    <w:top w:val="single" w:color="auto" w:sz="4" w:space="0"/>
                    <w:left w:val="single" w:color="auto" w:sz="4" w:space="0"/>
                    <w:right w:val="single" w:color="auto" w:sz="4" w:space="0"/>
                  </w:tcBorders>
                  <w:vAlign w:val="center"/>
                </w:tcPr>
                <w:p w14:paraId="472D1737">
                  <w:pPr>
                    <w:pStyle w:val="95"/>
                    <w:spacing w:line="240" w:lineRule="auto"/>
                    <w:ind w:firstLine="0" w:firstLineChars="0"/>
                    <w:rPr>
                      <w:rFonts w:ascii="Times New Roman"/>
                      <w:color w:val="auto"/>
                      <w:sz w:val="21"/>
                    </w:rPr>
                  </w:pPr>
                  <w:r>
                    <w:rPr>
                      <w:rFonts w:ascii="Times New Roman"/>
                      <w:color w:val="auto"/>
                      <w:sz w:val="21"/>
                    </w:rPr>
                    <w:t>产品带走</w:t>
                  </w:r>
                </w:p>
              </w:tc>
            </w:tr>
            <w:tr w14:paraId="1379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40" w:type="dxa"/>
                  <w:vMerge w:val="continue"/>
                  <w:tcBorders>
                    <w:left w:val="single" w:color="auto" w:sz="4" w:space="0"/>
                    <w:bottom w:val="single" w:color="auto" w:sz="4" w:space="0"/>
                    <w:right w:val="single" w:color="auto" w:sz="4" w:space="0"/>
                  </w:tcBorders>
                  <w:vAlign w:val="center"/>
                </w:tcPr>
                <w:p w14:paraId="0AA9BF1D">
                  <w:pPr>
                    <w:pStyle w:val="95"/>
                    <w:spacing w:line="240" w:lineRule="auto"/>
                    <w:ind w:firstLine="0" w:firstLineChars="0"/>
                    <w:rPr>
                      <w:rFonts w:ascii="Times New Roman"/>
                      <w:color w:val="auto"/>
                      <w:sz w:val="21"/>
                    </w:rPr>
                  </w:pPr>
                </w:p>
              </w:tc>
              <w:tc>
                <w:tcPr>
                  <w:tcW w:w="808" w:type="dxa"/>
                  <w:vMerge w:val="continue"/>
                  <w:tcBorders>
                    <w:left w:val="single" w:color="auto" w:sz="4" w:space="0"/>
                    <w:bottom w:val="single" w:color="auto" w:sz="4" w:space="0"/>
                    <w:right w:val="single" w:color="auto" w:sz="4" w:space="0"/>
                  </w:tcBorders>
                  <w:vAlign w:val="center"/>
                </w:tcPr>
                <w:p w14:paraId="4E14B9F1">
                  <w:pPr>
                    <w:pStyle w:val="95"/>
                    <w:spacing w:line="240" w:lineRule="auto"/>
                    <w:ind w:firstLine="0" w:firstLineChars="0"/>
                    <w:rPr>
                      <w:rFonts w:ascii="Times New Roman"/>
                      <w:color w:val="auto"/>
                      <w:sz w:val="21"/>
                    </w:rPr>
                  </w:pPr>
                </w:p>
              </w:tc>
              <w:tc>
                <w:tcPr>
                  <w:tcW w:w="1102" w:type="dxa"/>
                  <w:vMerge w:val="continue"/>
                  <w:tcBorders>
                    <w:left w:val="single" w:color="auto" w:sz="4" w:space="0"/>
                    <w:bottom w:val="single" w:color="auto" w:sz="4" w:space="0"/>
                    <w:right w:val="single" w:color="auto" w:sz="4" w:space="0"/>
                  </w:tcBorders>
                  <w:vAlign w:val="center"/>
                </w:tcPr>
                <w:p w14:paraId="06F4C215">
                  <w:pPr>
                    <w:pStyle w:val="95"/>
                    <w:spacing w:line="240" w:lineRule="auto"/>
                    <w:ind w:firstLine="0" w:firstLineChars="0"/>
                    <w:rPr>
                      <w:rFonts w:ascii="Times New Roman"/>
                      <w:color w:val="auto"/>
                      <w:sz w:val="21"/>
                    </w:rPr>
                  </w:pPr>
                </w:p>
              </w:tc>
              <w:tc>
                <w:tcPr>
                  <w:tcW w:w="1225" w:type="dxa"/>
                  <w:tcBorders>
                    <w:top w:val="single" w:color="auto" w:sz="4" w:space="0"/>
                    <w:left w:val="single" w:color="auto" w:sz="4" w:space="0"/>
                    <w:bottom w:val="single" w:color="auto" w:sz="4" w:space="0"/>
                    <w:right w:val="single" w:color="auto" w:sz="4" w:space="0"/>
                  </w:tcBorders>
                  <w:vAlign w:val="center"/>
                </w:tcPr>
                <w:p w14:paraId="4650FC75">
                  <w:pPr>
                    <w:pStyle w:val="95"/>
                    <w:spacing w:line="240" w:lineRule="auto"/>
                    <w:ind w:firstLine="0" w:firstLineChars="0"/>
                    <w:rPr>
                      <w:rFonts w:ascii="Times New Roman"/>
                      <w:color w:val="auto"/>
                      <w:sz w:val="21"/>
                    </w:rPr>
                  </w:pPr>
                  <w:r>
                    <w:rPr>
                      <w:rFonts w:hint="eastAsia" w:ascii="Times New Roman"/>
                      <w:color w:val="auto"/>
                      <w:sz w:val="21"/>
                      <w:lang w:val="en-US" w:eastAsia="zh-CN"/>
                    </w:rPr>
                    <w:t>3.977</w:t>
                  </w:r>
                  <w:r>
                    <w:rPr>
                      <w:rFonts w:ascii="Times New Roman"/>
                      <w:color w:val="auto"/>
                      <w:sz w:val="21"/>
                    </w:rPr>
                    <w:t>（回用水）</w:t>
                  </w:r>
                </w:p>
              </w:tc>
              <w:tc>
                <w:tcPr>
                  <w:tcW w:w="1225" w:type="dxa"/>
                  <w:tcBorders>
                    <w:left w:val="single" w:color="auto" w:sz="4" w:space="0"/>
                    <w:bottom w:val="single" w:color="auto" w:sz="4" w:space="0"/>
                    <w:right w:val="single" w:color="auto" w:sz="4" w:space="0"/>
                  </w:tcBorders>
                  <w:vAlign w:val="center"/>
                </w:tcPr>
                <w:p w14:paraId="420EEFE0">
                  <w:pPr>
                    <w:pStyle w:val="95"/>
                    <w:spacing w:line="240" w:lineRule="auto"/>
                    <w:ind w:firstLine="0" w:firstLineChars="0"/>
                    <w:rPr>
                      <w:rFonts w:ascii="Times New Roman"/>
                      <w:color w:val="auto"/>
                      <w:sz w:val="21"/>
                    </w:rPr>
                  </w:pPr>
                  <w:r>
                    <w:rPr>
                      <w:rFonts w:hint="eastAsia" w:ascii="Times New Roman"/>
                      <w:color w:val="auto"/>
                      <w:sz w:val="21"/>
                      <w:lang w:val="en-US" w:eastAsia="zh-CN"/>
                    </w:rPr>
                    <w:t>1193.1</w:t>
                  </w:r>
                  <w:r>
                    <w:rPr>
                      <w:rFonts w:ascii="Times New Roman"/>
                      <w:color w:val="auto"/>
                      <w:sz w:val="21"/>
                    </w:rPr>
                    <w:t>（回用水）</w:t>
                  </w:r>
                </w:p>
              </w:tc>
              <w:tc>
                <w:tcPr>
                  <w:tcW w:w="794" w:type="dxa"/>
                  <w:vMerge w:val="continue"/>
                  <w:tcBorders>
                    <w:left w:val="single" w:color="auto" w:sz="4" w:space="0"/>
                    <w:bottom w:val="single" w:color="auto" w:sz="4" w:space="0"/>
                    <w:right w:val="single" w:color="auto" w:sz="4" w:space="0"/>
                  </w:tcBorders>
                  <w:vAlign w:val="center"/>
                </w:tcPr>
                <w:p w14:paraId="12669FFF">
                  <w:pPr>
                    <w:pStyle w:val="95"/>
                    <w:spacing w:line="240" w:lineRule="auto"/>
                    <w:ind w:firstLine="0" w:firstLineChars="0"/>
                    <w:rPr>
                      <w:rFonts w:ascii="Times New Roman"/>
                      <w:color w:val="auto"/>
                      <w:sz w:val="21"/>
                    </w:rPr>
                  </w:pPr>
                </w:p>
              </w:tc>
              <w:tc>
                <w:tcPr>
                  <w:tcW w:w="794" w:type="dxa"/>
                  <w:vMerge w:val="continue"/>
                  <w:tcBorders>
                    <w:left w:val="single" w:color="auto" w:sz="4" w:space="0"/>
                    <w:bottom w:val="single" w:color="auto" w:sz="4" w:space="0"/>
                    <w:right w:val="single" w:color="auto" w:sz="4" w:space="0"/>
                  </w:tcBorders>
                  <w:vAlign w:val="center"/>
                </w:tcPr>
                <w:p w14:paraId="1595EC6B">
                  <w:pPr>
                    <w:pStyle w:val="95"/>
                    <w:spacing w:line="240" w:lineRule="auto"/>
                    <w:ind w:firstLine="0" w:firstLineChars="0"/>
                    <w:rPr>
                      <w:rFonts w:ascii="Times New Roman"/>
                      <w:color w:val="auto"/>
                      <w:sz w:val="21"/>
                    </w:rPr>
                  </w:pPr>
                </w:p>
              </w:tc>
              <w:tc>
                <w:tcPr>
                  <w:tcW w:w="1295" w:type="dxa"/>
                  <w:vMerge w:val="continue"/>
                  <w:tcBorders>
                    <w:left w:val="single" w:color="auto" w:sz="4" w:space="0"/>
                    <w:bottom w:val="single" w:color="auto" w:sz="4" w:space="0"/>
                    <w:right w:val="single" w:color="auto" w:sz="4" w:space="0"/>
                  </w:tcBorders>
                  <w:vAlign w:val="center"/>
                </w:tcPr>
                <w:p w14:paraId="4039728E">
                  <w:pPr>
                    <w:pStyle w:val="95"/>
                    <w:spacing w:line="240" w:lineRule="auto"/>
                    <w:ind w:firstLine="0" w:firstLineChars="0"/>
                    <w:rPr>
                      <w:rFonts w:ascii="Times New Roman"/>
                      <w:color w:val="auto"/>
                      <w:sz w:val="21"/>
                    </w:rPr>
                  </w:pPr>
                </w:p>
              </w:tc>
            </w:tr>
            <w:tr w14:paraId="1583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14:paraId="5FB19E85">
                  <w:pPr>
                    <w:pStyle w:val="95"/>
                    <w:spacing w:line="240" w:lineRule="auto"/>
                    <w:ind w:firstLine="0" w:firstLineChars="0"/>
                    <w:rPr>
                      <w:rFonts w:ascii="Times New Roman"/>
                      <w:color w:val="auto"/>
                      <w:sz w:val="21"/>
                    </w:rPr>
                  </w:pPr>
                  <w:r>
                    <w:rPr>
                      <w:rFonts w:ascii="Times New Roman"/>
                      <w:color w:val="auto"/>
                      <w:sz w:val="21"/>
                    </w:rPr>
                    <w:t>搅拌机清洗废水</w:t>
                  </w:r>
                </w:p>
              </w:tc>
              <w:tc>
                <w:tcPr>
                  <w:tcW w:w="808" w:type="dxa"/>
                  <w:tcBorders>
                    <w:top w:val="single" w:color="auto" w:sz="4" w:space="0"/>
                    <w:left w:val="single" w:color="auto" w:sz="4" w:space="0"/>
                    <w:bottom w:val="single" w:color="auto" w:sz="4" w:space="0"/>
                    <w:right w:val="single" w:color="auto" w:sz="4" w:space="0"/>
                  </w:tcBorders>
                  <w:vAlign w:val="center"/>
                </w:tcPr>
                <w:p w14:paraId="5387662A">
                  <w:pPr>
                    <w:pStyle w:val="95"/>
                    <w:spacing w:line="240" w:lineRule="auto"/>
                    <w:ind w:firstLine="0" w:firstLineChars="0"/>
                    <w:rPr>
                      <w:rFonts w:ascii="Times New Roman"/>
                      <w:color w:val="auto"/>
                      <w:sz w:val="21"/>
                    </w:rPr>
                  </w:pPr>
                  <w:r>
                    <w:rPr>
                      <w:rFonts w:ascii="Times New Roman"/>
                      <w:color w:val="auto"/>
                      <w:sz w:val="21"/>
                    </w:rPr>
                    <w:t>搅拌机</w:t>
                  </w:r>
                </w:p>
              </w:tc>
              <w:tc>
                <w:tcPr>
                  <w:tcW w:w="1102" w:type="dxa"/>
                  <w:tcBorders>
                    <w:top w:val="single" w:color="auto" w:sz="4" w:space="0"/>
                    <w:left w:val="single" w:color="auto" w:sz="4" w:space="0"/>
                    <w:bottom w:val="single" w:color="auto" w:sz="4" w:space="0"/>
                    <w:right w:val="single" w:color="auto" w:sz="4" w:space="0"/>
                  </w:tcBorders>
                  <w:vAlign w:val="center"/>
                </w:tcPr>
                <w:p w14:paraId="2EE0C5E5">
                  <w:pPr>
                    <w:pStyle w:val="95"/>
                    <w:spacing w:line="240" w:lineRule="auto"/>
                    <w:ind w:firstLine="0" w:firstLineChars="0"/>
                    <w:rPr>
                      <w:rFonts w:ascii="Times New Roman"/>
                      <w:color w:val="auto"/>
                      <w:sz w:val="21"/>
                    </w:rPr>
                  </w:pPr>
                  <w:r>
                    <w:rPr>
                      <w:rFonts w:hint="eastAsia" w:ascii="Times New Roman"/>
                      <w:color w:val="auto"/>
                      <w:sz w:val="21"/>
                      <w:lang w:val="en-US" w:eastAsia="zh-CN"/>
                    </w:rPr>
                    <w:t>1</w:t>
                  </w:r>
                  <w:r>
                    <w:rPr>
                      <w:rFonts w:ascii="Times New Roman"/>
                      <w:color w:val="auto"/>
                      <w:sz w:val="21"/>
                    </w:rPr>
                    <w:t>m</w:t>
                  </w:r>
                  <w:r>
                    <w:rPr>
                      <w:rFonts w:ascii="Times New Roman"/>
                      <w:color w:val="auto"/>
                      <w:sz w:val="21"/>
                      <w:vertAlign w:val="superscript"/>
                    </w:rPr>
                    <w:t>3</w:t>
                  </w:r>
                  <w:r>
                    <w:rPr>
                      <w:rFonts w:ascii="Times New Roman"/>
                      <w:color w:val="auto"/>
                      <w:sz w:val="21"/>
                    </w:rPr>
                    <w:t>/次·d</w:t>
                  </w:r>
                </w:p>
              </w:tc>
              <w:tc>
                <w:tcPr>
                  <w:tcW w:w="1225" w:type="dxa"/>
                  <w:tcBorders>
                    <w:top w:val="single" w:color="auto" w:sz="4" w:space="0"/>
                    <w:left w:val="single" w:color="auto" w:sz="4" w:space="0"/>
                    <w:bottom w:val="single" w:color="auto" w:sz="4" w:space="0"/>
                    <w:right w:val="single" w:color="auto" w:sz="4" w:space="0"/>
                  </w:tcBorders>
                  <w:vAlign w:val="center"/>
                </w:tcPr>
                <w:p w14:paraId="2EC4B7FE">
                  <w:pPr>
                    <w:pStyle w:val="95"/>
                    <w:spacing w:line="240" w:lineRule="auto"/>
                    <w:ind w:firstLine="0" w:firstLineChars="0"/>
                    <w:rPr>
                      <w:rFonts w:hint="eastAsia" w:ascii="Times New Roman" w:eastAsia="宋体"/>
                      <w:color w:val="auto"/>
                      <w:sz w:val="21"/>
                      <w:lang w:eastAsia="zh-CN"/>
                    </w:rPr>
                  </w:pPr>
                  <w:r>
                    <w:rPr>
                      <w:rFonts w:hint="eastAsia" w:ascii="Times New Roman"/>
                      <w:color w:val="auto"/>
                      <w:sz w:val="21"/>
                      <w:lang w:val="en-US" w:eastAsia="zh-CN"/>
                    </w:rPr>
                    <w:t>1</w:t>
                  </w:r>
                </w:p>
              </w:tc>
              <w:tc>
                <w:tcPr>
                  <w:tcW w:w="1225" w:type="dxa"/>
                  <w:tcBorders>
                    <w:top w:val="single" w:color="auto" w:sz="4" w:space="0"/>
                    <w:left w:val="single" w:color="auto" w:sz="4" w:space="0"/>
                    <w:bottom w:val="single" w:color="auto" w:sz="4" w:space="0"/>
                    <w:right w:val="single" w:color="auto" w:sz="4" w:space="0"/>
                  </w:tcBorders>
                  <w:vAlign w:val="center"/>
                </w:tcPr>
                <w:p w14:paraId="53ECBFE9">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300</w:t>
                  </w:r>
                </w:p>
              </w:tc>
              <w:tc>
                <w:tcPr>
                  <w:tcW w:w="794" w:type="dxa"/>
                  <w:tcBorders>
                    <w:top w:val="single" w:color="auto" w:sz="4" w:space="0"/>
                    <w:left w:val="single" w:color="auto" w:sz="4" w:space="0"/>
                    <w:bottom w:val="single" w:color="auto" w:sz="4" w:space="0"/>
                    <w:right w:val="single" w:color="auto" w:sz="4" w:space="0"/>
                  </w:tcBorders>
                  <w:vAlign w:val="center"/>
                </w:tcPr>
                <w:p w14:paraId="2BDD2722">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0.8</w:t>
                  </w:r>
                </w:p>
              </w:tc>
              <w:tc>
                <w:tcPr>
                  <w:tcW w:w="794" w:type="dxa"/>
                  <w:tcBorders>
                    <w:top w:val="single" w:color="auto" w:sz="4" w:space="0"/>
                    <w:left w:val="single" w:color="auto" w:sz="4" w:space="0"/>
                    <w:bottom w:val="single" w:color="auto" w:sz="4" w:space="0"/>
                    <w:right w:val="single" w:color="auto" w:sz="4" w:space="0"/>
                  </w:tcBorders>
                  <w:vAlign w:val="center"/>
                </w:tcPr>
                <w:p w14:paraId="4D12D3C7">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240</w:t>
                  </w:r>
                </w:p>
              </w:tc>
              <w:tc>
                <w:tcPr>
                  <w:tcW w:w="1295" w:type="dxa"/>
                  <w:vMerge w:val="restart"/>
                  <w:tcBorders>
                    <w:top w:val="single" w:color="auto" w:sz="4" w:space="0"/>
                    <w:left w:val="single" w:color="auto" w:sz="4" w:space="0"/>
                    <w:bottom w:val="single" w:color="auto" w:sz="4" w:space="0"/>
                    <w:right w:val="single" w:color="auto" w:sz="4" w:space="0"/>
                  </w:tcBorders>
                  <w:vAlign w:val="center"/>
                </w:tcPr>
                <w:p w14:paraId="079B1F53">
                  <w:pPr>
                    <w:pStyle w:val="95"/>
                    <w:spacing w:line="240" w:lineRule="auto"/>
                    <w:ind w:firstLine="0" w:firstLineChars="0"/>
                    <w:rPr>
                      <w:rFonts w:ascii="Times New Roman"/>
                      <w:color w:val="auto"/>
                      <w:sz w:val="21"/>
                    </w:rPr>
                  </w:pPr>
                  <w:r>
                    <w:rPr>
                      <w:rFonts w:ascii="Times New Roman"/>
                      <w:color w:val="auto"/>
                      <w:sz w:val="21"/>
                      <w:lang w:val="zh-CN"/>
                    </w:rPr>
                    <w:t>三级沉淀池处理后回用于生</w:t>
                  </w:r>
                  <w:r>
                    <w:rPr>
                      <w:rFonts w:ascii="Times New Roman"/>
                      <w:color w:val="auto"/>
                      <w:sz w:val="21"/>
                    </w:rPr>
                    <w:t>产</w:t>
                  </w:r>
                </w:p>
              </w:tc>
            </w:tr>
            <w:tr w14:paraId="7E67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14:paraId="1845D0F2">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检验设备用水</w:t>
                  </w:r>
                </w:p>
              </w:tc>
              <w:tc>
                <w:tcPr>
                  <w:tcW w:w="808" w:type="dxa"/>
                  <w:tcBorders>
                    <w:top w:val="single" w:color="auto" w:sz="4" w:space="0"/>
                    <w:left w:val="single" w:color="auto" w:sz="4" w:space="0"/>
                    <w:bottom w:val="single" w:color="auto" w:sz="4" w:space="0"/>
                    <w:right w:val="single" w:color="auto" w:sz="4" w:space="0"/>
                  </w:tcBorders>
                  <w:vAlign w:val="center"/>
                </w:tcPr>
                <w:p w14:paraId="091CCA08">
                  <w:pPr>
                    <w:pStyle w:val="95"/>
                    <w:spacing w:line="240" w:lineRule="auto"/>
                    <w:ind w:firstLine="0" w:firstLineChars="0"/>
                    <w:rPr>
                      <w:rFonts w:ascii="Times New Roman"/>
                      <w:color w:val="auto"/>
                      <w:sz w:val="21"/>
                    </w:rPr>
                  </w:pPr>
                  <w:r>
                    <w:rPr>
                      <w:rFonts w:hint="eastAsia" w:ascii="Times New Roman"/>
                      <w:color w:val="auto"/>
                      <w:sz w:val="21"/>
                      <w:lang w:val="en-US" w:eastAsia="zh-CN"/>
                    </w:rPr>
                    <w:t>检验设备</w:t>
                  </w:r>
                </w:p>
              </w:tc>
              <w:tc>
                <w:tcPr>
                  <w:tcW w:w="1102" w:type="dxa"/>
                  <w:tcBorders>
                    <w:top w:val="single" w:color="auto" w:sz="4" w:space="0"/>
                    <w:left w:val="single" w:color="auto" w:sz="4" w:space="0"/>
                    <w:bottom w:val="single" w:color="auto" w:sz="4" w:space="0"/>
                    <w:right w:val="single" w:color="auto" w:sz="4" w:space="0"/>
                  </w:tcBorders>
                  <w:vAlign w:val="center"/>
                </w:tcPr>
                <w:p w14:paraId="04E71105">
                  <w:pPr>
                    <w:pStyle w:val="95"/>
                    <w:spacing w:line="240" w:lineRule="auto"/>
                    <w:ind w:firstLine="0" w:firstLineChars="0"/>
                    <w:rPr>
                      <w:rFonts w:ascii="Times New Roman"/>
                      <w:color w:val="auto"/>
                      <w:sz w:val="21"/>
                    </w:rPr>
                  </w:pPr>
                  <w:r>
                    <w:rPr>
                      <w:rFonts w:hint="eastAsia" w:ascii="Times New Roman"/>
                      <w:color w:val="auto"/>
                      <w:sz w:val="21"/>
                      <w:lang w:val="en-US" w:eastAsia="zh-CN"/>
                    </w:rPr>
                    <w:t>0.2</w:t>
                  </w:r>
                  <w:r>
                    <w:rPr>
                      <w:rFonts w:ascii="Times New Roman"/>
                      <w:color w:val="auto"/>
                      <w:sz w:val="21"/>
                    </w:rPr>
                    <w:t>m³/d</w:t>
                  </w:r>
                </w:p>
              </w:tc>
              <w:tc>
                <w:tcPr>
                  <w:tcW w:w="1225" w:type="dxa"/>
                  <w:tcBorders>
                    <w:top w:val="single" w:color="auto" w:sz="4" w:space="0"/>
                    <w:left w:val="single" w:color="auto" w:sz="4" w:space="0"/>
                    <w:bottom w:val="single" w:color="auto" w:sz="4" w:space="0"/>
                    <w:right w:val="single" w:color="auto" w:sz="4" w:space="0"/>
                  </w:tcBorders>
                  <w:vAlign w:val="center"/>
                </w:tcPr>
                <w:p w14:paraId="3B74381D">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0.2</w:t>
                  </w:r>
                </w:p>
              </w:tc>
              <w:tc>
                <w:tcPr>
                  <w:tcW w:w="1225" w:type="dxa"/>
                  <w:tcBorders>
                    <w:top w:val="single" w:color="auto" w:sz="4" w:space="0"/>
                    <w:left w:val="single" w:color="auto" w:sz="4" w:space="0"/>
                    <w:bottom w:val="single" w:color="auto" w:sz="4" w:space="0"/>
                    <w:right w:val="single" w:color="auto" w:sz="4" w:space="0"/>
                  </w:tcBorders>
                  <w:vAlign w:val="center"/>
                </w:tcPr>
                <w:p w14:paraId="1283A7AA">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60</w:t>
                  </w:r>
                </w:p>
              </w:tc>
              <w:tc>
                <w:tcPr>
                  <w:tcW w:w="794" w:type="dxa"/>
                  <w:tcBorders>
                    <w:top w:val="single" w:color="auto" w:sz="4" w:space="0"/>
                    <w:left w:val="single" w:color="auto" w:sz="4" w:space="0"/>
                    <w:bottom w:val="single" w:color="auto" w:sz="4" w:space="0"/>
                    <w:right w:val="single" w:color="auto" w:sz="4" w:space="0"/>
                  </w:tcBorders>
                  <w:vAlign w:val="center"/>
                </w:tcPr>
                <w:p w14:paraId="24C86581">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0.16</w:t>
                  </w:r>
                </w:p>
              </w:tc>
              <w:tc>
                <w:tcPr>
                  <w:tcW w:w="794" w:type="dxa"/>
                  <w:tcBorders>
                    <w:top w:val="single" w:color="auto" w:sz="4" w:space="0"/>
                    <w:left w:val="single" w:color="auto" w:sz="4" w:space="0"/>
                    <w:bottom w:val="single" w:color="auto" w:sz="4" w:space="0"/>
                    <w:right w:val="single" w:color="auto" w:sz="4" w:space="0"/>
                  </w:tcBorders>
                  <w:vAlign w:val="center"/>
                </w:tcPr>
                <w:p w14:paraId="6DFC2E0B">
                  <w:pPr>
                    <w:pStyle w:val="95"/>
                    <w:spacing w:line="240" w:lineRule="auto"/>
                    <w:ind w:firstLine="0" w:firstLineChars="0"/>
                    <w:rPr>
                      <w:rFonts w:ascii="Times New Roman"/>
                      <w:color w:val="auto"/>
                      <w:sz w:val="21"/>
                    </w:rPr>
                  </w:pPr>
                  <w:r>
                    <w:rPr>
                      <w:rFonts w:ascii="Times New Roman"/>
                      <w:color w:val="auto"/>
                      <w:sz w:val="21"/>
                    </w:rPr>
                    <w:t>48</w:t>
                  </w:r>
                </w:p>
              </w:tc>
              <w:tc>
                <w:tcPr>
                  <w:tcW w:w="1295" w:type="dxa"/>
                  <w:vMerge w:val="continue"/>
                  <w:tcBorders>
                    <w:top w:val="single" w:color="auto" w:sz="4" w:space="0"/>
                    <w:left w:val="single" w:color="auto" w:sz="4" w:space="0"/>
                    <w:bottom w:val="single" w:color="auto" w:sz="4" w:space="0"/>
                    <w:right w:val="single" w:color="auto" w:sz="4" w:space="0"/>
                  </w:tcBorders>
                  <w:vAlign w:val="center"/>
                </w:tcPr>
                <w:p w14:paraId="6BFE7D40">
                  <w:pPr>
                    <w:pStyle w:val="95"/>
                    <w:spacing w:line="240" w:lineRule="auto"/>
                    <w:ind w:firstLine="0" w:firstLineChars="0"/>
                    <w:rPr>
                      <w:rFonts w:ascii="Times New Roman"/>
                      <w:color w:val="auto"/>
                      <w:sz w:val="21"/>
                    </w:rPr>
                  </w:pPr>
                </w:p>
              </w:tc>
            </w:tr>
            <w:tr w14:paraId="6157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14:paraId="014CAB35">
                  <w:pPr>
                    <w:pStyle w:val="95"/>
                    <w:spacing w:line="240" w:lineRule="auto"/>
                    <w:ind w:firstLine="0" w:firstLineChars="0"/>
                    <w:rPr>
                      <w:rFonts w:ascii="Times New Roman"/>
                      <w:color w:val="auto"/>
                      <w:sz w:val="21"/>
                    </w:rPr>
                  </w:pPr>
                  <w:r>
                    <w:rPr>
                      <w:rFonts w:hint="eastAsia" w:ascii="Times New Roman"/>
                      <w:color w:val="auto"/>
                      <w:sz w:val="21"/>
                      <w:lang w:val="en-US" w:eastAsia="zh-CN"/>
                    </w:rPr>
                    <w:t>车辆</w:t>
                  </w:r>
                  <w:r>
                    <w:rPr>
                      <w:rFonts w:ascii="Times New Roman"/>
                      <w:color w:val="auto"/>
                      <w:sz w:val="21"/>
                    </w:rPr>
                    <w:t>清洗废水</w:t>
                  </w:r>
                </w:p>
              </w:tc>
              <w:tc>
                <w:tcPr>
                  <w:tcW w:w="808" w:type="dxa"/>
                  <w:tcBorders>
                    <w:top w:val="single" w:color="auto" w:sz="4" w:space="0"/>
                    <w:left w:val="single" w:color="auto" w:sz="4" w:space="0"/>
                    <w:bottom w:val="single" w:color="auto" w:sz="4" w:space="0"/>
                    <w:right w:val="single" w:color="auto" w:sz="4" w:space="0"/>
                  </w:tcBorders>
                  <w:vAlign w:val="center"/>
                </w:tcPr>
                <w:p w14:paraId="28A0ACBF">
                  <w:pPr>
                    <w:pStyle w:val="95"/>
                    <w:spacing w:line="240" w:lineRule="auto"/>
                    <w:ind w:firstLine="0" w:firstLineChars="0"/>
                    <w:rPr>
                      <w:rFonts w:ascii="Times New Roman"/>
                      <w:color w:val="auto"/>
                      <w:sz w:val="21"/>
                    </w:rPr>
                  </w:pPr>
                  <w:r>
                    <w:rPr>
                      <w:rFonts w:hint="eastAsia" w:ascii="Times New Roman"/>
                      <w:color w:val="auto"/>
                      <w:sz w:val="21"/>
                      <w:lang w:val="en-US" w:eastAsia="zh-CN"/>
                    </w:rPr>
                    <w:t>76</w:t>
                  </w:r>
                  <w:r>
                    <w:rPr>
                      <w:rFonts w:ascii="Times New Roman"/>
                      <w:color w:val="auto"/>
                      <w:sz w:val="21"/>
                    </w:rPr>
                    <w:t>辆·次</w:t>
                  </w:r>
                </w:p>
              </w:tc>
              <w:tc>
                <w:tcPr>
                  <w:tcW w:w="1102" w:type="dxa"/>
                  <w:tcBorders>
                    <w:top w:val="single" w:color="auto" w:sz="4" w:space="0"/>
                    <w:left w:val="single" w:color="auto" w:sz="4" w:space="0"/>
                    <w:bottom w:val="single" w:color="auto" w:sz="4" w:space="0"/>
                    <w:right w:val="single" w:color="auto" w:sz="4" w:space="0"/>
                  </w:tcBorders>
                  <w:vAlign w:val="center"/>
                </w:tcPr>
                <w:p w14:paraId="3FC9ACB1">
                  <w:pPr>
                    <w:pStyle w:val="95"/>
                    <w:spacing w:line="240" w:lineRule="auto"/>
                    <w:ind w:firstLine="0" w:firstLineChars="0"/>
                    <w:rPr>
                      <w:rFonts w:ascii="Times New Roman"/>
                      <w:color w:val="auto"/>
                      <w:sz w:val="21"/>
                    </w:rPr>
                  </w:pPr>
                  <w:r>
                    <w:rPr>
                      <w:rFonts w:ascii="Times New Roman"/>
                      <w:color w:val="auto"/>
                      <w:sz w:val="21"/>
                    </w:rPr>
                    <w:t>0.</w:t>
                  </w:r>
                  <w:r>
                    <w:rPr>
                      <w:rFonts w:hint="eastAsia" w:ascii="Times New Roman"/>
                      <w:color w:val="auto"/>
                      <w:sz w:val="21"/>
                      <w:lang w:val="en-US" w:eastAsia="zh-CN"/>
                    </w:rPr>
                    <w:t>05</w:t>
                  </w:r>
                  <w:r>
                    <w:rPr>
                      <w:rFonts w:ascii="Times New Roman"/>
                      <w:color w:val="auto"/>
                      <w:sz w:val="21"/>
                    </w:rPr>
                    <w:t>m³/辆·次</w:t>
                  </w:r>
                </w:p>
              </w:tc>
              <w:tc>
                <w:tcPr>
                  <w:tcW w:w="1225" w:type="dxa"/>
                  <w:tcBorders>
                    <w:top w:val="single" w:color="auto" w:sz="4" w:space="0"/>
                    <w:left w:val="single" w:color="auto" w:sz="4" w:space="0"/>
                    <w:bottom w:val="single" w:color="auto" w:sz="4" w:space="0"/>
                    <w:right w:val="single" w:color="auto" w:sz="4" w:space="0"/>
                  </w:tcBorders>
                  <w:vAlign w:val="center"/>
                </w:tcPr>
                <w:p w14:paraId="63FCBAC5">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3.8</w:t>
                  </w:r>
                </w:p>
              </w:tc>
              <w:tc>
                <w:tcPr>
                  <w:tcW w:w="1225" w:type="dxa"/>
                  <w:tcBorders>
                    <w:top w:val="single" w:color="auto" w:sz="4" w:space="0"/>
                    <w:left w:val="single" w:color="auto" w:sz="4" w:space="0"/>
                    <w:bottom w:val="single" w:color="auto" w:sz="4" w:space="0"/>
                    <w:right w:val="single" w:color="auto" w:sz="4" w:space="0"/>
                  </w:tcBorders>
                  <w:vAlign w:val="center"/>
                </w:tcPr>
                <w:p w14:paraId="678ADC4E">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1140</w:t>
                  </w:r>
                </w:p>
              </w:tc>
              <w:tc>
                <w:tcPr>
                  <w:tcW w:w="794" w:type="dxa"/>
                  <w:tcBorders>
                    <w:top w:val="single" w:color="auto" w:sz="4" w:space="0"/>
                    <w:left w:val="single" w:color="auto" w:sz="4" w:space="0"/>
                    <w:bottom w:val="single" w:color="auto" w:sz="4" w:space="0"/>
                    <w:right w:val="single" w:color="auto" w:sz="4" w:space="0"/>
                  </w:tcBorders>
                  <w:vAlign w:val="center"/>
                </w:tcPr>
                <w:p w14:paraId="0A47C24D">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3.04</w:t>
                  </w:r>
                </w:p>
              </w:tc>
              <w:tc>
                <w:tcPr>
                  <w:tcW w:w="794" w:type="dxa"/>
                  <w:tcBorders>
                    <w:top w:val="single" w:color="auto" w:sz="4" w:space="0"/>
                    <w:left w:val="single" w:color="auto" w:sz="4" w:space="0"/>
                    <w:bottom w:val="single" w:color="auto" w:sz="4" w:space="0"/>
                    <w:right w:val="single" w:color="auto" w:sz="4" w:space="0"/>
                  </w:tcBorders>
                  <w:vAlign w:val="center"/>
                </w:tcPr>
                <w:p w14:paraId="508DB72E">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912</w:t>
                  </w:r>
                </w:p>
              </w:tc>
              <w:tc>
                <w:tcPr>
                  <w:tcW w:w="1295" w:type="dxa"/>
                  <w:vMerge w:val="continue"/>
                  <w:tcBorders>
                    <w:top w:val="single" w:color="auto" w:sz="4" w:space="0"/>
                    <w:left w:val="single" w:color="auto" w:sz="4" w:space="0"/>
                    <w:bottom w:val="single" w:color="auto" w:sz="4" w:space="0"/>
                    <w:right w:val="single" w:color="auto" w:sz="4" w:space="0"/>
                  </w:tcBorders>
                  <w:vAlign w:val="center"/>
                </w:tcPr>
                <w:p w14:paraId="61F7AEA1">
                  <w:pPr>
                    <w:pStyle w:val="95"/>
                    <w:spacing w:line="240" w:lineRule="auto"/>
                    <w:ind w:firstLine="0" w:firstLineChars="0"/>
                    <w:rPr>
                      <w:rFonts w:ascii="Times New Roman"/>
                      <w:color w:val="auto"/>
                      <w:sz w:val="21"/>
                    </w:rPr>
                  </w:pPr>
                </w:p>
              </w:tc>
            </w:tr>
            <w:tr w14:paraId="2B44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14:paraId="764F3A73">
                  <w:pPr>
                    <w:pStyle w:val="95"/>
                    <w:spacing w:line="240" w:lineRule="auto"/>
                    <w:ind w:firstLine="0" w:firstLineChars="0"/>
                    <w:rPr>
                      <w:rFonts w:ascii="Times New Roman"/>
                      <w:color w:val="auto"/>
                      <w:sz w:val="21"/>
                    </w:rPr>
                  </w:pPr>
                  <w:r>
                    <w:rPr>
                      <w:rFonts w:ascii="Times New Roman"/>
                      <w:color w:val="auto"/>
                      <w:sz w:val="21"/>
                    </w:rPr>
                    <w:t>人工洒水降尘</w:t>
                  </w:r>
                </w:p>
              </w:tc>
              <w:tc>
                <w:tcPr>
                  <w:tcW w:w="808" w:type="dxa"/>
                  <w:tcBorders>
                    <w:top w:val="single" w:color="auto" w:sz="4" w:space="0"/>
                    <w:left w:val="single" w:color="auto" w:sz="4" w:space="0"/>
                    <w:bottom w:val="single" w:color="auto" w:sz="4" w:space="0"/>
                    <w:right w:val="single" w:color="auto" w:sz="4" w:space="0"/>
                  </w:tcBorders>
                  <w:vAlign w:val="center"/>
                </w:tcPr>
                <w:p w14:paraId="79B425A5">
                  <w:pPr>
                    <w:pStyle w:val="95"/>
                    <w:spacing w:line="240" w:lineRule="auto"/>
                    <w:ind w:firstLine="0" w:firstLineChars="0"/>
                    <w:rPr>
                      <w:rFonts w:ascii="Times New Roman"/>
                      <w:color w:val="auto"/>
                      <w:sz w:val="21"/>
                    </w:rPr>
                  </w:pPr>
                  <w:r>
                    <w:rPr>
                      <w:rFonts w:ascii="Times New Roman"/>
                      <w:color w:val="auto"/>
                      <w:sz w:val="21"/>
                    </w:rPr>
                    <w:t>/</w:t>
                  </w:r>
                </w:p>
              </w:tc>
              <w:tc>
                <w:tcPr>
                  <w:tcW w:w="1102" w:type="dxa"/>
                  <w:tcBorders>
                    <w:top w:val="single" w:color="auto" w:sz="4" w:space="0"/>
                    <w:left w:val="single" w:color="auto" w:sz="4" w:space="0"/>
                    <w:bottom w:val="single" w:color="auto" w:sz="4" w:space="0"/>
                    <w:right w:val="single" w:color="auto" w:sz="4" w:space="0"/>
                  </w:tcBorders>
                  <w:vAlign w:val="center"/>
                </w:tcPr>
                <w:p w14:paraId="469D1816">
                  <w:pPr>
                    <w:pStyle w:val="95"/>
                    <w:spacing w:line="240" w:lineRule="auto"/>
                    <w:ind w:firstLine="0" w:firstLineChars="0"/>
                    <w:rPr>
                      <w:rFonts w:ascii="Times New Roman"/>
                      <w:color w:val="auto"/>
                      <w:sz w:val="21"/>
                    </w:rPr>
                  </w:pPr>
                  <w:r>
                    <w:rPr>
                      <w:rFonts w:ascii="Times New Roman"/>
                      <w:color w:val="auto"/>
                      <w:sz w:val="21"/>
                    </w:rPr>
                    <w:t>/</w:t>
                  </w:r>
                </w:p>
              </w:tc>
              <w:tc>
                <w:tcPr>
                  <w:tcW w:w="1225" w:type="dxa"/>
                  <w:tcBorders>
                    <w:top w:val="single" w:color="auto" w:sz="4" w:space="0"/>
                    <w:left w:val="single" w:color="auto" w:sz="4" w:space="0"/>
                    <w:bottom w:val="single" w:color="auto" w:sz="4" w:space="0"/>
                    <w:right w:val="single" w:color="auto" w:sz="4" w:space="0"/>
                  </w:tcBorders>
                  <w:vAlign w:val="center"/>
                </w:tcPr>
                <w:p w14:paraId="16CDC7B1">
                  <w:pPr>
                    <w:pStyle w:val="95"/>
                    <w:spacing w:line="240" w:lineRule="auto"/>
                    <w:ind w:firstLine="0" w:firstLineChars="0"/>
                    <w:rPr>
                      <w:rFonts w:ascii="Times New Roman"/>
                      <w:color w:val="auto"/>
                      <w:sz w:val="21"/>
                    </w:rPr>
                  </w:pPr>
                  <w:r>
                    <w:rPr>
                      <w:rFonts w:ascii="Times New Roman"/>
                      <w:color w:val="auto"/>
                      <w:sz w:val="21"/>
                    </w:rPr>
                    <w:t>1.0</w:t>
                  </w:r>
                </w:p>
              </w:tc>
              <w:tc>
                <w:tcPr>
                  <w:tcW w:w="1225" w:type="dxa"/>
                  <w:tcBorders>
                    <w:top w:val="single" w:color="auto" w:sz="4" w:space="0"/>
                    <w:left w:val="single" w:color="auto" w:sz="4" w:space="0"/>
                    <w:bottom w:val="single" w:color="auto" w:sz="4" w:space="0"/>
                    <w:right w:val="single" w:color="auto" w:sz="4" w:space="0"/>
                  </w:tcBorders>
                  <w:vAlign w:val="center"/>
                </w:tcPr>
                <w:p w14:paraId="17AE3315">
                  <w:pPr>
                    <w:pStyle w:val="95"/>
                    <w:spacing w:line="240" w:lineRule="auto"/>
                    <w:ind w:firstLine="0" w:firstLineChars="0"/>
                    <w:rPr>
                      <w:rFonts w:ascii="Times New Roman"/>
                      <w:color w:val="auto"/>
                      <w:sz w:val="21"/>
                    </w:rPr>
                  </w:pPr>
                  <w:r>
                    <w:rPr>
                      <w:rFonts w:ascii="Times New Roman"/>
                      <w:color w:val="auto"/>
                      <w:sz w:val="21"/>
                    </w:rPr>
                    <w:t>300</w:t>
                  </w:r>
                </w:p>
              </w:tc>
              <w:tc>
                <w:tcPr>
                  <w:tcW w:w="794" w:type="dxa"/>
                  <w:tcBorders>
                    <w:top w:val="single" w:color="auto" w:sz="4" w:space="0"/>
                    <w:left w:val="single" w:color="auto" w:sz="4" w:space="0"/>
                    <w:bottom w:val="single" w:color="auto" w:sz="4" w:space="0"/>
                    <w:right w:val="single" w:color="auto" w:sz="4" w:space="0"/>
                  </w:tcBorders>
                  <w:vAlign w:val="center"/>
                </w:tcPr>
                <w:p w14:paraId="605CFFAB">
                  <w:pPr>
                    <w:pStyle w:val="95"/>
                    <w:spacing w:line="240" w:lineRule="auto"/>
                    <w:ind w:firstLine="0" w:firstLineChars="0"/>
                    <w:rPr>
                      <w:rFonts w:ascii="Times New Roman"/>
                      <w:color w:val="auto"/>
                      <w:sz w:val="21"/>
                    </w:rPr>
                  </w:pPr>
                  <w:r>
                    <w:rPr>
                      <w:rFonts w:ascii="Times New Roman"/>
                      <w:color w:val="auto"/>
                      <w:sz w:val="21"/>
                    </w:rPr>
                    <w:t>0</w:t>
                  </w:r>
                </w:p>
              </w:tc>
              <w:tc>
                <w:tcPr>
                  <w:tcW w:w="794" w:type="dxa"/>
                  <w:tcBorders>
                    <w:top w:val="single" w:color="auto" w:sz="4" w:space="0"/>
                    <w:left w:val="single" w:color="auto" w:sz="4" w:space="0"/>
                    <w:bottom w:val="single" w:color="auto" w:sz="4" w:space="0"/>
                    <w:right w:val="single" w:color="auto" w:sz="4" w:space="0"/>
                  </w:tcBorders>
                  <w:vAlign w:val="center"/>
                </w:tcPr>
                <w:p w14:paraId="400773BD">
                  <w:pPr>
                    <w:pStyle w:val="95"/>
                    <w:spacing w:line="240" w:lineRule="auto"/>
                    <w:ind w:firstLine="0" w:firstLineChars="0"/>
                    <w:rPr>
                      <w:rFonts w:ascii="Times New Roman"/>
                      <w:color w:val="auto"/>
                      <w:sz w:val="21"/>
                    </w:rPr>
                  </w:pPr>
                  <w:r>
                    <w:rPr>
                      <w:rFonts w:ascii="Times New Roman"/>
                      <w:color w:val="auto"/>
                      <w:sz w:val="21"/>
                    </w:rPr>
                    <w:t>0</w:t>
                  </w:r>
                </w:p>
              </w:tc>
              <w:tc>
                <w:tcPr>
                  <w:tcW w:w="1295" w:type="dxa"/>
                  <w:vMerge w:val="restart"/>
                  <w:tcBorders>
                    <w:top w:val="single" w:color="auto" w:sz="4" w:space="0"/>
                    <w:left w:val="single" w:color="auto" w:sz="4" w:space="0"/>
                    <w:right w:val="single" w:color="auto" w:sz="4" w:space="0"/>
                  </w:tcBorders>
                  <w:vAlign w:val="center"/>
                </w:tcPr>
                <w:p w14:paraId="6B1673A7">
                  <w:pPr>
                    <w:pStyle w:val="95"/>
                    <w:spacing w:line="240" w:lineRule="auto"/>
                    <w:ind w:firstLine="0" w:firstLineChars="0"/>
                    <w:rPr>
                      <w:rFonts w:ascii="Times New Roman"/>
                      <w:color w:val="auto"/>
                      <w:sz w:val="21"/>
                    </w:rPr>
                  </w:pPr>
                  <w:r>
                    <w:rPr>
                      <w:rFonts w:ascii="Times New Roman"/>
                      <w:color w:val="auto"/>
                      <w:sz w:val="21"/>
                    </w:rPr>
                    <w:t>全部蒸发</w:t>
                  </w:r>
                </w:p>
              </w:tc>
            </w:tr>
            <w:tr w14:paraId="5606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14:paraId="7B87697E">
                  <w:pPr>
                    <w:pStyle w:val="95"/>
                    <w:spacing w:line="240" w:lineRule="auto"/>
                    <w:ind w:firstLine="0" w:firstLineChars="0"/>
                    <w:rPr>
                      <w:rFonts w:ascii="Times New Roman"/>
                      <w:color w:val="auto"/>
                      <w:sz w:val="21"/>
                    </w:rPr>
                  </w:pPr>
                  <w:r>
                    <w:rPr>
                      <w:rFonts w:ascii="Times New Roman"/>
                      <w:color w:val="auto"/>
                      <w:sz w:val="21"/>
                    </w:rPr>
                    <w:t>喷雾用水</w:t>
                  </w:r>
                </w:p>
              </w:tc>
              <w:tc>
                <w:tcPr>
                  <w:tcW w:w="808" w:type="dxa"/>
                  <w:tcBorders>
                    <w:top w:val="single" w:color="auto" w:sz="4" w:space="0"/>
                    <w:left w:val="single" w:color="auto" w:sz="4" w:space="0"/>
                    <w:bottom w:val="single" w:color="auto" w:sz="4" w:space="0"/>
                    <w:right w:val="single" w:color="auto" w:sz="4" w:space="0"/>
                  </w:tcBorders>
                  <w:vAlign w:val="center"/>
                </w:tcPr>
                <w:p w14:paraId="3ECF4DC1">
                  <w:pPr>
                    <w:pStyle w:val="95"/>
                    <w:spacing w:line="240" w:lineRule="auto"/>
                    <w:ind w:firstLine="0" w:firstLineChars="0"/>
                    <w:rPr>
                      <w:rFonts w:ascii="Times New Roman"/>
                      <w:color w:val="auto"/>
                      <w:sz w:val="21"/>
                    </w:rPr>
                  </w:pPr>
                  <w:r>
                    <w:rPr>
                      <w:rFonts w:hint="eastAsia" w:ascii="Times New Roman"/>
                      <w:color w:val="auto"/>
                      <w:sz w:val="21"/>
                      <w:lang w:val="en-US" w:eastAsia="zh-CN"/>
                    </w:rPr>
                    <w:t>24</w:t>
                  </w:r>
                  <w:r>
                    <w:rPr>
                      <w:rFonts w:hint="eastAsia" w:ascii="Times New Roman"/>
                      <w:color w:val="auto"/>
                      <w:sz w:val="21"/>
                    </w:rPr>
                    <w:t>00h</w:t>
                  </w:r>
                </w:p>
              </w:tc>
              <w:tc>
                <w:tcPr>
                  <w:tcW w:w="1102" w:type="dxa"/>
                  <w:tcBorders>
                    <w:top w:val="single" w:color="auto" w:sz="4" w:space="0"/>
                    <w:left w:val="single" w:color="auto" w:sz="4" w:space="0"/>
                    <w:bottom w:val="single" w:color="auto" w:sz="4" w:space="0"/>
                    <w:right w:val="single" w:color="auto" w:sz="4" w:space="0"/>
                  </w:tcBorders>
                  <w:vAlign w:val="center"/>
                </w:tcPr>
                <w:p w14:paraId="0CDA3EE5">
                  <w:pPr>
                    <w:pStyle w:val="95"/>
                    <w:spacing w:line="240" w:lineRule="auto"/>
                    <w:ind w:firstLine="0" w:firstLineChars="0"/>
                    <w:rPr>
                      <w:rFonts w:ascii="Times New Roman"/>
                      <w:color w:val="auto"/>
                      <w:sz w:val="21"/>
                    </w:rPr>
                  </w:pPr>
                  <w:r>
                    <w:rPr>
                      <w:rFonts w:ascii="Times New Roman"/>
                      <w:color w:val="auto"/>
                      <w:sz w:val="21"/>
                    </w:rPr>
                    <w:t>45L/h</w:t>
                  </w:r>
                </w:p>
              </w:tc>
              <w:tc>
                <w:tcPr>
                  <w:tcW w:w="1225" w:type="dxa"/>
                  <w:tcBorders>
                    <w:top w:val="single" w:color="auto" w:sz="4" w:space="0"/>
                    <w:left w:val="single" w:color="auto" w:sz="4" w:space="0"/>
                    <w:bottom w:val="single" w:color="auto" w:sz="4" w:space="0"/>
                    <w:right w:val="single" w:color="auto" w:sz="4" w:space="0"/>
                  </w:tcBorders>
                  <w:vAlign w:val="center"/>
                </w:tcPr>
                <w:p w14:paraId="7B4A22EB">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1.08</w:t>
                  </w:r>
                </w:p>
              </w:tc>
              <w:tc>
                <w:tcPr>
                  <w:tcW w:w="1225" w:type="dxa"/>
                  <w:tcBorders>
                    <w:top w:val="single" w:color="auto" w:sz="4" w:space="0"/>
                    <w:left w:val="single" w:color="auto" w:sz="4" w:space="0"/>
                    <w:bottom w:val="single" w:color="auto" w:sz="4" w:space="0"/>
                    <w:right w:val="single" w:color="auto" w:sz="4" w:space="0"/>
                  </w:tcBorders>
                  <w:vAlign w:val="center"/>
                </w:tcPr>
                <w:p w14:paraId="455351C9">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324</w:t>
                  </w:r>
                </w:p>
              </w:tc>
              <w:tc>
                <w:tcPr>
                  <w:tcW w:w="794" w:type="dxa"/>
                  <w:tcBorders>
                    <w:top w:val="single" w:color="auto" w:sz="4" w:space="0"/>
                    <w:left w:val="single" w:color="auto" w:sz="4" w:space="0"/>
                    <w:bottom w:val="single" w:color="auto" w:sz="4" w:space="0"/>
                    <w:right w:val="single" w:color="auto" w:sz="4" w:space="0"/>
                  </w:tcBorders>
                  <w:vAlign w:val="center"/>
                </w:tcPr>
                <w:p w14:paraId="52CE5312">
                  <w:pPr>
                    <w:pStyle w:val="95"/>
                    <w:spacing w:line="240" w:lineRule="auto"/>
                    <w:ind w:firstLine="0" w:firstLineChars="0"/>
                    <w:rPr>
                      <w:rFonts w:ascii="Times New Roman"/>
                      <w:color w:val="auto"/>
                      <w:sz w:val="21"/>
                    </w:rPr>
                  </w:pPr>
                  <w:r>
                    <w:rPr>
                      <w:rFonts w:hint="eastAsia" w:ascii="Times New Roman"/>
                      <w:color w:val="auto"/>
                      <w:sz w:val="21"/>
                    </w:rPr>
                    <w:t>0</w:t>
                  </w:r>
                </w:p>
              </w:tc>
              <w:tc>
                <w:tcPr>
                  <w:tcW w:w="794" w:type="dxa"/>
                  <w:tcBorders>
                    <w:top w:val="single" w:color="auto" w:sz="4" w:space="0"/>
                    <w:left w:val="single" w:color="auto" w:sz="4" w:space="0"/>
                    <w:bottom w:val="single" w:color="auto" w:sz="4" w:space="0"/>
                    <w:right w:val="single" w:color="auto" w:sz="4" w:space="0"/>
                  </w:tcBorders>
                  <w:vAlign w:val="center"/>
                </w:tcPr>
                <w:p w14:paraId="601DB887">
                  <w:pPr>
                    <w:pStyle w:val="95"/>
                    <w:spacing w:line="240" w:lineRule="auto"/>
                    <w:ind w:firstLine="0" w:firstLineChars="0"/>
                    <w:rPr>
                      <w:rFonts w:ascii="Times New Roman"/>
                      <w:color w:val="auto"/>
                      <w:sz w:val="21"/>
                    </w:rPr>
                  </w:pPr>
                  <w:r>
                    <w:rPr>
                      <w:rFonts w:hint="eastAsia" w:ascii="Times New Roman"/>
                      <w:color w:val="auto"/>
                      <w:sz w:val="21"/>
                    </w:rPr>
                    <w:t>0</w:t>
                  </w:r>
                </w:p>
              </w:tc>
              <w:tc>
                <w:tcPr>
                  <w:tcW w:w="1295" w:type="dxa"/>
                  <w:vMerge w:val="continue"/>
                  <w:tcBorders>
                    <w:left w:val="single" w:color="auto" w:sz="4" w:space="0"/>
                    <w:bottom w:val="single" w:color="auto" w:sz="4" w:space="0"/>
                    <w:right w:val="single" w:color="auto" w:sz="4" w:space="0"/>
                  </w:tcBorders>
                  <w:vAlign w:val="center"/>
                </w:tcPr>
                <w:p w14:paraId="27B69501">
                  <w:pPr>
                    <w:pStyle w:val="95"/>
                    <w:spacing w:line="240" w:lineRule="auto"/>
                    <w:ind w:firstLine="0" w:firstLineChars="0"/>
                    <w:rPr>
                      <w:rFonts w:ascii="Times New Roman"/>
                      <w:color w:val="auto"/>
                      <w:sz w:val="21"/>
                    </w:rPr>
                  </w:pPr>
                </w:p>
              </w:tc>
            </w:tr>
            <w:tr w14:paraId="5B16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50" w:type="dxa"/>
                  <w:gridSpan w:val="3"/>
                  <w:tcBorders>
                    <w:top w:val="single" w:color="auto" w:sz="4" w:space="0"/>
                    <w:left w:val="single" w:color="auto" w:sz="4" w:space="0"/>
                    <w:bottom w:val="single" w:color="auto" w:sz="4" w:space="0"/>
                    <w:right w:val="single" w:color="auto" w:sz="4" w:space="0"/>
                  </w:tcBorders>
                  <w:vAlign w:val="center"/>
                </w:tcPr>
                <w:p w14:paraId="63615075">
                  <w:pPr>
                    <w:pStyle w:val="95"/>
                    <w:spacing w:line="240" w:lineRule="auto"/>
                    <w:ind w:firstLine="0" w:firstLineChars="0"/>
                    <w:rPr>
                      <w:rFonts w:ascii="Times New Roman"/>
                      <w:color w:val="auto"/>
                      <w:sz w:val="21"/>
                    </w:rPr>
                  </w:pPr>
                  <w:r>
                    <w:rPr>
                      <w:rFonts w:ascii="Times New Roman"/>
                      <w:color w:val="auto"/>
                      <w:sz w:val="21"/>
                    </w:rPr>
                    <w:t>小计</w:t>
                  </w:r>
                </w:p>
              </w:tc>
              <w:tc>
                <w:tcPr>
                  <w:tcW w:w="1225" w:type="dxa"/>
                  <w:tcBorders>
                    <w:top w:val="single" w:color="auto" w:sz="4" w:space="0"/>
                    <w:left w:val="single" w:color="auto" w:sz="4" w:space="0"/>
                    <w:bottom w:val="single" w:color="auto" w:sz="4" w:space="0"/>
                    <w:right w:val="single" w:color="auto" w:sz="4" w:space="0"/>
                  </w:tcBorders>
                  <w:vAlign w:val="center"/>
                </w:tcPr>
                <w:p w14:paraId="7869C347">
                  <w:pPr>
                    <w:keepNext w:val="0"/>
                    <w:keepLines w:val="0"/>
                    <w:pageBreakBefore w:val="0"/>
                    <w:widowControl w:val="0"/>
                    <w:suppressLineNumbers w:val="0"/>
                    <w:kinsoku/>
                    <w:wordWrap w:val="0"/>
                    <w:overflowPunct/>
                    <w:topLinePunct/>
                    <w:autoSpaceDE/>
                    <w:autoSpaceDN/>
                    <w:bidi w:val="0"/>
                    <w:adjustRightInd/>
                    <w:snapToGrid/>
                    <w:ind w:firstLine="0" w:firstLineChars="0"/>
                    <w:jc w:val="center"/>
                    <w:textAlignment w:val="center"/>
                    <w:rPr>
                      <w:rFonts w:hint="default" w:ascii="Times New Roman" w:hAnsi="Times New Roman" w:cs="Times New Roman"/>
                      <w:color w:val="auto"/>
                      <w:sz w:val="21"/>
                      <w:szCs w:val="21"/>
                      <w:lang w:val="en-US"/>
                    </w:rPr>
                  </w:pPr>
                  <w:r>
                    <w:rPr>
                      <w:rFonts w:hint="eastAsia" w:cs="Times New Roman"/>
                      <w:i w:val="0"/>
                      <w:iCs w:val="0"/>
                      <w:color w:val="auto"/>
                      <w:kern w:val="0"/>
                      <w:sz w:val="21"/>
                      <w:szCs w:val="21"/>
                      <w:u w:val="none"/>
                      <w:lang w:val="en-US" w:eastAsia="zh-CN" w:bidi="ar"/>
                    </w:rPr>
                    <w:t>68.41</w:t>
                  </w:r>
                </w:p>
              </w:tc>
              <w:tc>
                <w:tcPr>
                  <w:tcW w:w="1225" w:type="dxa"/>
                  <w:tcBorders>
                    <w:top w:val="single" w:color="auto" w:sz="4" w:space="0"/>
                    <w:left w:val="single" w:color="auto" w:sz="4" w:space="0"/>
                    <w:bottom w:val="single" w:color="auto" w:sz="4" w:space="0"/>
                    <w:right w:val="single" w:color="auto" w:sz="4" w:space="0"/>
                  </w:tcBorders>
                  <w:vAlign w:val="center"/>
                </w:tcPr>
                <w:p w14:paraId="4E226507">
                  <w:pPr>
                    <w:keepNext w:val="0"/>
                    <w:keepLines w:val="0"/>
                    <w:pageBreakBefore w:val="0"/>
                    <w:widowControl w:val="0"/>
                    <w:suppressLineNumbers w:val="0"/>
                    <w:kinsoku/>
                    <w:wordWrap w:val="0"/>
                    <w:overflowPunct/>
                    <w:topLinePunct/>
                    <w:autoSpaceDE/>
                    <w:autoSpaceDN/>
                    <w:bidi w:val="0"/>
                    <w:adjustRightInd/>
                    <w:snapToGrid/>
                    <w:ind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20</w:t>
                  </w:r>
                  <w:r>
                    <w:rPr>
                      <w:rFonts w:hint="eastAsia" w:cs="Times New Roman"/>
                      <w:i w:val="0"/>
                      <w:iCs w:val="0"/>
                      <w:color w:val="auto"/>
                      <w:kern w:val="0"/>
                      <w:sz w:val="21"/>
                      <w:szCs w:val="21"/>
                      <w:u w:val="none"/>
                      <w:lang w:val="en-US" w:eastAsia="zh-CN" w:bidi="ar"/>
                    </w:rPr>
                    <w:t>523</w:t>
                  </w:r>
                </w:p>
              </w:tc>
              <w:tc>
                <w:tcPr>
                  <w:tcW w:w="794" w:type="dxa"/>
                  <w:tcBorders>
                    <w:top w:val="single" w:color="auto" w:sz="4" w:space="0"/>
                    <w:left w:val="single" w:color="auto" w:sz="4" w:space="0"/>
                    <w:bottom w:val="single" w:color="auto" w:sz="4" w:space="0"/>
                    <w:right w:val="single" w:color="auto" w:sz="4" w:space="0"/>
                  </w:tcBorders>
                  <w:vAlign w:val="center"/>
                </w:tcPr>
                <w:p w14:paraId="621C6D81">
                  <w:pPr>
                    <w:keepNext w:val="0"/>
                    <w:keepLines w:val="0"/>
                    <w:pageBreakBefore w:val="0"/>
                    <w:widowControl w:val="0"/>
                    <w:suppressLineNumbers w:val="0"/>
                    <w:kinsoku/>
                    <w:wordWrap w:val="0"/>
                    <w:overflowPunct/>
                    <w:topLinePunct/>
                    <w:autoSpaceDE/>
                    <w:autoSpaceDN/>
                    <w:bidi w:val="0"/>
                    <w:adjustRightInd/>
                    <w:snapToGrid/>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794" w:type="dxa"/>
                  <w:tcBorders>
                    <w:top w:val="single" w:color="auto" w:sz="4" w:space="0"/>
                    <w:left w:val="single" w:color="auto" w:sz="4" w:space="0"/>
                    <w:bottom w:val="single" w:color="auto" w:sz="4" w:space="0"/>
                    <w:right w:val="single" w:color="auto" w:sz="4" w:space="0"/>
                  </w:tcBorders>
                  <w:vAlign w:val="center"/>
                </w:tcPr>
                <w:p w14:paraId="2F4DFDB3">
                  <w:pPr>
                    <w:keepNext w:val="0"/>
                    <w:keepLines w:val="0"/>
                    <w:pageBreakBefore w:val="0"/>
                    <w:widowControl w:val="0"/>
                    <w:suppressLineNumbers w:val="0"/>
                    <w:kinsoku/>
                    <w:wordWrap w:val="0"/>
                    <w:overflowPunct/>
                    <w:topLinePunct/>
                    <w:autoSpaceDE/>
                    <w:autoSpaceDN/>
                    <w:bidi w:val="0"/>
                    <w:adjustRightInd/>
                    <w:snapToGrid/>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295" w:type="dxa"/>
                  <w:tcBorders>
                    <w:top w:val="single" w:color="auto" w:sz="4" w:space="0"/>
                    <w:left w:val="single" w:color="auto" w:sz="4" w:space="0"/>
                    <w:bottom w:val="single" w:color="auto" w:sz="4" w:space="0"/>
                    <w:right w:val="single" w:color="auto" w:sz="4" w:space="0"/>
                  </w:tcBorders>
                  <w:vAlign w:val="center"/>
                </w:tcPr>
                <w:p w14:paraId="12FBADE7">
                  <w:pPr>
                    <w:pStyle w:val="95"/>
                    <w:spacing w:line="240" w:lineRule="auto"/>
                    <w:ind w:firstLine="0" w:firstLineChars="0"/>
                    <w:rPr>
                      <w:rFonts w:ascii="Times New Roman"/>
                      <w:color w:val="auto"/>
                      <w:sz w:val="21"/>
                    </w:rPr>
                  </w:pPr>
                  <w:r>
                    <w:rPr>
                      <w:rFonts w:ascii="Times New Roman"/>
                      <w:color w:val="auto"/>
                      <w:sz w:val="21"/>
                      <w:lang w:val="zh-CN"/>
                    </w:rPr>
                    <w:t>/</w:t>
                  </w:r>
                </w:p>
              </w:tc>
            </w:tr>
          </w:tbl>
          <w:p w14:paraId="2A7124C5">
            <w:pPr>
              <w:spacing w:line="360" w:lineRule="auto"/>
              <w:ind w:firstLine="480"/>
              <w:rPr>
                <w:color w:val="auto"/>
                <w:sz w:val="24"/>
              </w:rPr>
            </w:pPr>
            <w:r>
              <w:rPr>
                <w:rFonts w:hint="eastAsia"/>
                <w:color w:val="auto"/>
                <w:sz w:val="24"/>
              </w:rPr>
              <w:t>结合原项目现有工程概况章节，</w:t>
            </w:r>
            <w:r>
              <w:rPr>
                <w:color w:val="auto"/>
                <w:sz w:val="24"/>
                <w:lang w:val="zh-CN"/>
              </w:rPr>
              <w:t>扩建</w:t>
            </w:r>
            <w:r>
              <w:rPr>
                <w:rFonts w:hint="eastAsia"/>
                <w:color w:val="auto"/>
                <w:sz w:val="24"/>
              </w:rPr>
              <w:t>完成后全厂</w:t>
            </w:r>
            <w:r>
              <w:rPr>
                <w:color w:val="auto"/>
                <w:sz w:val="24"/>
                <w:lang w:val="zh-CN"/>
              </w:rPr>
              <w:t>给排水量见下表</w:t>
            </w:r>
            <w:r>
              <w:rPr>
                <w:color w:val="auto"/>
                <w:sz w:val="24"/>
              </w:rPr>
              <w:t>2</w:t>
            </w:r>
            <w:r>
              <w:rPr>
                <w:rFonts w:hint="eastAsia"/>
                <w:color w:val="auto"/>
                <w:sz w:val="24"/>
              </w:rPr>
              <w:t>-9</w:t>
            </w:r>
            <w:r>
              <w:rPr>
                <w:color w:val="auto"/>
                <w:sz w:val="24"/>
                <w:lang w:val="zh-CN"/>
              </w:rPr>
              <w:t>。</w:t>
            </w:r>
          </w:p>
          <w:p w14:paraId="0A42018A">
            <w:pPr>
              <w:snapToGrid w:val="0"/>
              <w:ind w:firstLine="422"/>
              <w:jc w:val="center"/>
              <w:rPr>
                <w:b/>
                <w:snapToGrid w:val="0"/>
                <w:color w:val="auto"/>
                <w:szCs w:val="21"/>
              </w:rPr>
            </w:pPr>
            <w:r>
              <w:rPr>
                <w:b/>
                <w:snapToGrid w:val="0"/>
                <w:color w:val="auto"/>
                <w:szCs w:val="21"/>
              </w:rPr>
              <w:t>表2-</w:t>
            </w:r>
            <w:r>
              <w:rPr>
                <w:rFonts w:hint="eastAsia"/>
                <w:b/>
                <w:snapToGrid w:val="0"/>
                <w:color w:val="auto"/>
                <w:szCs w:val="21"/>
              </w:rPr>
              <w:t>9</w:t>
            </w:r>
            <w:r>
              <w:rPr>
                <w:b/>
                <w:snapToGrid w:val="0"/>
                <w:color w:val="auto"/>
                <w:szCs w:val="21"/>
              </w:rPr>
              <w:t xml:space="preserve">   </w:t>
            </w:r>
            <w:r>
              <w:rPr>
                <w:b/>
                <w:snapToGrid w:val="0"/>
                <w:color w:val="auto"/>
                <w:szCs w:val="21"/>
                <w:lang w:val="zh-CN"/>
              </w:rPr>
              <w:t>扩建</w:t>
            </w:r>
            <w:r>
              <w:rPr>
                <w:rFonts w:hint="eastAsia"/>
                <w:b/>
                <w:snapToGrid w:val="0"/>
                <w:color w:val="auto"/>
                <w:szCs w:val="21"/>
              </w:rPr>
              <w:t>完成后全厂</w:t>
            </w:r>
            <w:r>
              <w:rPr>
                <w:b/>
                <w:snapToGrid w:val="0"/>
                <w:color w:val="auto"/>
                <w:szCs w:val="21"/>
              </w:rPr>
              <w:t>用排水情况一览表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519"/>
              <w:gridCol w:w="1160"/>
              <w:gridCol w:w="1432"/>
              <w:gridCol w:w="757"/>
              <w:gridCol w:w="766"/>
              <w:gridCol w:w="1323"/>
            </w:tblGrid>
            <w:tr w14:paraId="406F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51" w:type="dxa"/>
                  <w:vMerge w:val="restart"/>
                  <w:tcBorders>
                    <w:top w:val="single" w:color="auto" w:sz="4" w:space="0"/>
                    <w:left w:val="single" w:color="auto" w:sz="4" w:space="0"/>
                    <w:bottom w:val="single" w:color="auto" w:sz="4" w:space="0"/>
                    <w:right w:val="single" w:color="auto" w:sz="4" w:space="0"/>
                  </w:tcBorders>
                  <w:vAlign w:val="center"/>
                </w:tcPr>
                <w:p w14:paraId="77ABEDD7">
                  <w:pPr>
                    <w:pStyle w:val="95"/>
                    <w:spacing w:line="240" w:lineRule="auto"/>
                    <w:ind w:firstLine="0" w:firstLineChars="0"/>
                    <w:rPr>
                      <w:rFonts w:ascii="Times New Roman"/>
                      <w:color w:val="auto"/>
                      <w:sz w:val="21"/>
                    </w:rPr>
                  </w:pPr>
                  <w:r>
                    <w:rPr>
                      <w:rFonts w:ascii="Times New Roman"/>
                      <w:color w:val="auto"/>
                      <w:sz w:val="21"/>
                    </w:rPr>
                    <w:t>用水单位</w:t>
                  </w:r>
                </w:p>
              </w:tc>
              <w:tc>
                <w:tcPr>
                  <w:tcW w:w="1609" w:type="dxa"/>
                  <w:vMerge w:val="restart"/>
                  <w:tcBorders>
                    <w:top w:val="single" w:color="auto" w:sz="4" w:space="0"/>
                    <w:left w:val="single" w:color="auto" w:sz="4" w:space="0"/>
                    <w:bottom w:val="single" w:color="auto" w:sz="4" w:space="0"/>
                    <w:right w:val="single" w:color="auto" w:sz="4" w:space="0"/>
                  </w:tcBorders>
                  <w:vAlign w:val="center"/>
                </w:tcPr>
                <w:p w14:paraId="6AAB1CBF">
                  <w:pPr>
                    <w:pStyle w:val="95"/>
                    <w:spacing w:line="240" w:lineRule="auto"/>
                    <w:ind w:firstLine="0" w:firstLineChars="0"/>
                    <w:rPr>
                      <w:rFonts w:ascii="Times New Roman"/>
                      <w:color w:val="auto"/>
                      <w:sz w:val="21"/>
                    </w:rPr>
                  </w:pPr>
                  <w:r>
                    <w:rPr>
                      <w:rFonts w:ascii="Times New Roman"/>
                      <w:color w:val="auto"/>
                      <w:sz w:val="21"/>
                    </w:rPr>
                    <w:t>用水</w:t>
                  </w:r>
                </w:p>
              </w:tc>
              <w:tc>
                <w:tcPr>
                  <w:tcW w:w="2733" w:type="dxa"/>
                  <w:gridSpan w:val="2"/>
                  <w:tcBorders>
                    <w:top w:val="single" w:color="auto" w:sz="4" w:space="0"/>
                    <w:left w:val="single" w:color="auto" w:sz="4" w:space="0"/>
                    <w:bottom w:val="single" w:color="auto" w:sz="4" w:space="0"/>
                    <w:right w:val="single" w:color="auto" w:sz="4" w:space="0"/>
                  </w:tcBorders>
                  <w:vAlign w:val="center"/>
                </w:tcPr>
                <w:p w14:paraId="68479FEF">
                  <w:pPr>
                    <w:pStyle w:val="95"/>
                    <w:spacing w:line="240" w:lineRule="auto"/>
                    <w:ind w:firstLine="0" w:firstLineChars="0"/>
                    <w:rPr>
                      <w:rFonts w:ascii="Times New Roman"/>
                      <w:color w:val="auto"/>
                      <w:sz w:val="21"/>
                    </w:rPr>
                  </w:pPr>
                  <w:r>
                    <w:rPr>
                      <w:rFonts w:ascii="Times New Roman"/>
                      <w:color w:val="auto"/>
                      <w:sz w:val="21"/>
                    </w:rPr>
                    <w:t>用水量</w:t>
                  </w:r>
                </w:p>
              </w:tc>
              <w:tc>
                <w:tcPr>
                  <w:tcW w:w="1598" w:type="dxa"/>
                  <w:gridSpan w:val="2"/>
                  <w:tcBorders>
                    <w:top w:val="single" w:color="auto" w:sz="4" w:space="0"/>
                    <w:left w:val="single" w:color="auto" w:sz="4" w:space="0"/>
                    <w:bottom w:val="single" w:color="auto" w:sz="4" w:space="0"/>
                    <w:right w:val="single" w:color="auto" w:sz="4" w:space="0"/>
                  </w:tcBorders>
                  <w:vAlign w:val="center"/>
                </w:tcPr>
                <w:p w14:paraId="0DAB22BA">
                  <w:pPr>
                    <w:pStyle w:val="95"/>
                    <w:spacing w:line="240" w:lineRule="auto"/>
                    <w:ind w:firstLine="0" w:firstLineChars="0"/>
                    <w:rPr>
                      <w:rFonts w:ascii="Times New Roman"/>
                      <w:color w:val="auto"/>
                      <w:sz w:val="21"/>
                    </w:rPr>
                  </w:pPr>
                  <w:r>
                    <w:rPr>
                      <w:rFonts w:ascii="Times New Roman"/>
                      <w:color w:val="auto"/>
                      <w:sz w:val="21"/>
                    </w:rPr>
                    <w:t>污水量</w:t>
                  </w:r>
                </w:p>
              </w:tc>
              <w:tc>
                <w:tcPr>
                  <w:tcW w:w="1400" w:type="dxa"/>
                  <w:vMerge w:val="restart"/>
                  <w:tcBorders>
                    <w:top w:val="single" w:color="auto" w:sz="4" w:space="0"/>
                    <w:left w:val="single" w:color="auto" w:sz="4" w:space="0"/>
                    <w:bottom w:val="single" w:color="auto" w:sz="4" w:space="0"/>
                    <w:right w:val="single" w:color="auto" w:sz="4" w:space="0"/>
                  </w:tcBorders>
                  <w:vAlign w:val="center"/>
                </w:tcPr>
                <w:p w14:paraId="6776EA48">
                  <w:pPr>
                    <w:pStyle w:val="95"/>
                    <w:spacing w:line="240" w:lineRule="auto"/>
                    <w:ind w:firstLine="0" w:firstLineChars="0"/>
                    <w:rPr>
                      <w:rFonts w:ascii="Times New Roman"/>
                      <w:color w:val="auto"/>
                      <w:sz w:val="21"/>
                    </w:rPr>
                  </w:pPr>
                  <w:r>
                    <w:rPr>
                      <w:rFonts w:ascii="Times New Roman"/>
                      <w:color w:val="auto"/>
                      <w:sz w:val="21"/>
                    </w:rPr>
                    <w:t>备注</w:t>
                  </w:r>
                </w:p>
              </w:tc>
            </w:tr>
            <w:tr w14:paraId="480F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14:paraId="28BDF348">
                  <w:pPr>
                    <w:pStyle w:val="95"/>
                    <w:spacing w:line="240" w:lineRule="auto"/>
                    <w:ind w:firstLine="0" w:firstLineChars="0"/>
                    <w:rPr>
                      <w:rFonts w:ascii="Times New Roman"/>
                      <w:color w:val="auto"/>
                      <w:sz w:val="21"/>
                    </w:rPr>
                  </w:pPr>
                </w:p>
              </w:tc>
              <w:tc>
                <w:tcPr>
                  <w:tcW w:w="1609" w:type="dxa"/>
                  <w:vMerge w:val="continue"/>
                  <w:tcBorders>
                    <w:top w:val="single" w:color="auto" w:sz="4" w:space="0"/>
                    <w:left w:val="single" w:color="auto" w:sz="4" w:space="0"/>
                    <w:bottom w:val="single" w:color="auto" w:sz="4" w:space="0"/>
                    <w:right w:val="single" w:color="auto" w:sz="4" w:space="0"/>
                  </w:tcBorders>
                  <w:vAlign w:val="center"/>
                </w:tcPr>
                <w:p w14:paraId="3D5781A1">
                  <w:pPr>
                    <w:pStyle w:val="95"/>
                    <w:spacing w:line="240" w:lineRule="auto"/>
                    <w:ind w:firstLine="0" w:firstLineChars="0"/>
                    <w:rPr>
                      <w:rFonts w:ascii="Times New Roman"/>
                      <w:color w:val="auto"/>
                      <w:sz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48B60CD3">
                  <w:pPr>
                    <w:pStyle w:val="95"/>
                    <w:spacing w:line="240" w:lineRule="auto"/>
                    <w:ind w:firstLine="0" w:firstLineChars="0"/>
                    <w:rPr>
                      <w:rFonts w:ascii="Times New Roman"/>
                      <w:color w:val="auto"/>
                      <w:sz w:val="21"/>
                    </w:rPr>
                  </w:pPr>
                  <w:r>
                    <w:rPr>
                      <w:rFonts w:ascii="Times New Roman"/>
                      <w:color w:val="auto"/>
                      <w:sz w:val="21"/>
                    </w:rPr>
                    <w:t>m</w:t>
                  </w:r>
                  <w:r>
                    <w:rPr>
                      <w:rFonts w:ascii="Times New Roman"/>
                      <w:color w:val="auto"/>
                      <w:sz w:val="21"/>
                      <w:vertAlign w:val="superscript"/>
                    </w:rPr>
                    <w:t>3</w:t>
                  </w:r>
                  <w:r>
                    <w:rPr>
                      <w:rFonts w:ascii="Times New Roman"/>
                      <w:color w:val="auto"/>
                      <w:sz w:val="21"/>
                    </w:rPr>
                    <w:t>/d</w:t>
                  </w:r>
                </w:p>
              </w:tc>
              <w:tc>
                <w:tcPr>
                  <w:tcW w:w="1511" w:type="dxa"/>
                  <w:tcBorders>
                    <w:top w:val="single" w:color="auto" w:sz="4" w:space="0"/>
                    <w:left w:val="single" w:color="auto" w:sz="4" w:space="0"/>
                    <w:bottom w:val="single" w:color="auto" w:sz="4" w:space="0"/>
                    <w:right w:val="single" w:color="auto" w:sz="4" w:space="0"/>
                  </w:tcBorders>
                  <w:vAlign w:val="center"/>
                </w:tcPr>
                <w:p w14:paraId="7073173E">
                  <w:pPr>
                    <w:pStyle w:val="95"/>
                    <w:spacing w:line="240" w:lineRule="auto"/>
                    <w:ind w:firstLine="0" w:firstLineChars="0"/>
                    <w:rPr>
                      <w:rFonts w:ascii="Times New Roman"/>
                      <w:color w:val="auto"/>
                      <w:sz w:val="21"/>
                    </w:rPr>
                  </w:pPr>
                  <w:r>
                    <w:rPr>
                      <w:rFonts w:ascii="Times New Roman"/>
                      <w:color w:val="auto"/>
                      <w:sz w:val="21"/>
                    </w:rPr>
                    <w:t>m</w:t>
                  </w:r>
                  <w:r>
                    <w:rPr>
                      <w:rFonts w:ascii="Times New Roman"/>
                      <w:color w:val="auto"/>
                      <w:sz w:val="21"/>
                      <w:vertAlign w:val="superscript"/>
                    </w:rPr>
                    <w:t>3</w:t>
                  </w:r>
                  <w:r>
                    <w:rPr>
                      <w:rFonts w:ascii="Times New Roman"/>
                      <w:color w:val="auto"/>
                      <w:sz w:val="21"/>
                    </w:rPr>
                    <w:t>/a</w:t>
                  </w:r>
                </w:p>
              </w:tc>
              <w:tc>
                <w:tcPr>
                  <w:tcW w:w="793" w:type="dxa"/>
                  <w:tcBorders>
                    <w:top w:val="single" w:color="auto" w:sz="4" w:space="0"/>
                    <w:left w:val="single" w:color="auto" w:sz="4" w:space="0"/>
                    <w:bottom w:val="single" w:color="auto" w:sz="4" w:space="0"/>
                    <w:right w:val="single" w:color="auto" w:sz="4" w:space="0"/>
                  </w:tcBorders>
                  <w:vAlign w:val="center"/>
                </w:tcPr>
                <w:p w14:paraId="5B81CCF5">
                  <w:pPr>
                    <w:pStyle w:val="95"/>
                    <w:spacing w:line="240" w:lineRule="auto"/>
                    <w:ind w:firstLine="0" w:firstLineChars="0"/>
                    <w:rPr>
                      <w:rFonts w:ascii="Times New Roman"/>
                      <w:color w:val="auto"/>
                      <w:sz w:val="21"/>
                    </w:rPr>
                  </w:pPr>
                  <w:r>
                    <w:rPr>
                      <w:rFonts w:ascii="Times New Roman"/>
                      <w:color w:val="auto"/>
                      <w:sz w:val="21"/>
                    </w:rPr>
                    <w:t>m</w:t>
                  </w:r>
                  <w:r>
                    <w:rPr>
                      <w:rFonts w:ascii="Times New Roman"/>
                      <w:color w:val="auto"/>
                      <w:sz w:val="21"/>
                      <w:vertAlign w:val="superscript"/>
                    </w:rPr>
                    <w:t>3</w:t>
                  </w:r>
                  <w:r>
                    <w:rPr>
                      <w:rFonts w:ascii="Times New Roman"/>
                      <w:color w:val="auto"/>
                      <w:sz w:val="21"/>
                    </w:rPr>
                    <w:t>/d</w:t>
                  </w:r>
                </w:p>
              </w:tc>
              <w:tc>
                <w:tcPr>
                  <w:tcW w:w="804" w:type="dxa"/>
                  <w:tcBorders>
                    <w:top w:val="single" w:color="auto" w:sz="4" w:space="0"/>
                    <w:left w:val="single" w:color="auto" w:sz="4" w:space="0"/>
                    <w:bottom w:val="single" w:color="auto" w:sz="4" w:space="0"/>
                    <w:right w:val="single" w:color="auto" w:sz="4" w:space="0"/>
                  </w:tcBorders>
                  <w:vAlign w:val="center"/>
                </w:tcPr>
                <w:p w14:paraId="25E9D902">
                  <w:pPr>
                    <w:pStyle w:val="95"/>
                    <w:spacing w:line="240" w:lineRule="auto"/>
                    <w:ind w:firstLine="0" w:firstLineChars="0"/>
                    <w:rPr>
                      <w:rFonts w:ascii="Times New Roman"/>
                      <w:color w:val="auto"/>
                      <w:sz w:val="21"/>
                    </w:rPr>
                  </w:pPr>
                  <w:r>
                    <w:rPr>
                      <w:rFonts w:ascii="Times New Roman"/>
                      <w:color w:val="auto"/>
                      <w:sz w:val="21"/>
                    </w:rPr>
                    <w:t>m</w:t>
                  </w:r>
                  <w:r>
                    <w:rPr>
                      <w:rFonts w:ascii="Times New Roman"/>
                      <w:color w:val="auto"/>
                      <w:sz w:val="21"/>
                      <w:vertAlign w:val="superscript"/>
                    </w:rPr>
                    <w:t>3</w:t>
                  </w:r>
                  <w:r>
                    <w:rPr>
                      <w:rFonts w:ascii="Times New Roman"/>
                      <w:color w:val="auto"/>
                      <w:sz w:val="21"/>
                    </w:rPr>
                    <w:t>/a</w:t>
                  </w:r>
                </w:p>
              </w:tc>
              <w:tc>
                <w:tcPr>
                  <w:tcW w:w="1400" w:type="dxa"/>
                  <w:vMerge w:val="continue"/>
                  <w:tcBorders>
                    <w:top w:val="single" w:color="auto" w:sz="4" w:space="0"/>
                    <w:left w:val="single" w:color="auto" w:sz="4" w:space="0"/>
                    <w:bottom w:val="single" w:color="auto" w:sz="4" w:space="0"/>
                    <w:right w:val="single" w:color="auto" w:sz="4" w:space="0"/>
                  </w:tcBorders>
                  <w:vAlign w:val="center"/>
                </w:tcPr>
                <w:p w14:paraId="658F6859">
                  <w:pPr>
                    <w:pStyle w:val="95"/>
                    <w:spacing w:line="240" w:lineRule="auto"/>
                    <w:ind w:firstLine="0" w:firstLineChars="0"/>
                    <w:rPr>
                      <w:rFonts w:ascii="Times New Roman"/>
                      <w:color w:val="auto"/>
                      <w:sz w:val="21"/>
                    </w:rPr>
                  </w:pPr>
                </w:p>
              </w:tc>
            </w:tr>
            <w:tr w14:paraId="3130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1" w:type="dxa"/>
                  <w:vMerge w:val="restart"/>
                  <w:tcBorders>
                    <w:top w:val="single" w:color="auto" w:sz="4" w:space="0"/>
                    <w:left w:val="single" w:color="auto" w:sz="4" w:space="0"/>
                    <w:right w:val="single" w:color="auto" w:sz="4" w:space="0"/>
                  </w:tcBorders>
                  <w:vAlign w:val="center"/>
                </w:tcPr>
                <w:p w14:paraId="3F6316FA">
                  <w:pPr>
                    <w:pStyle w:val="95"/>
                    <w:spacing w:line="240" w:lineRule="auto"/>
                    <w:ind w:firstLine="0" w:firstLineChars="0"/>
                    <w:rPr>
                      <w:rFonts w:ascii="Times New Roman"/>
                      <w:color w:val="auto"/>
                      <w:sz w:val="21"/>
                    </w:rPr>
                  </w:pPr>
                  <w:r>
                    <w:rPr>
                      <w:rFonts w:ascii="Times New Roman"/>
                      <w:color w:val="auto"/>
                      <w:sz w:val="21"/>
                    </w:rPr>
                    <w:t>搅拌用水</w:t>
                  </w:r>
                </w:p>
              </w:tc>
              <w:tc>
                <w:tcPr>
                  <w:tcW w:w="1609" w:type="dxa"/>
                  <w:vMerge w:val="restart"/>
                  <w:tcBorders>
                    <w:top w:val="single" w:color="auto" w:sz="4" w:space="0"/>
                    <w:left w:val="single" w:color="auto" w:sz="4" w:space="0"/>
                    <w:right w:val="single" w:color="auto" w:sz="4" w:space="0"/>
                  </w:tcBorders>
                  <w:vAlign w:val="center"/>
                </w:tcPr>
                <w:p w14:paraId="796B93AA">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color w:val="auto"/>
                      <w:sz w:val="21"/>
                    </w:rPr>
                  </w:pPr>
                  <w:r>
                    <w:rPr>
                      <w:rFonts w:hint="eastAsia" w:ascii="Times New Roman"/>
                      <w:color w:val="auto"/>
                      <w:sz w:val="21"/>
                    </w:rPr>
                    <w:t>35</w:t>
                  </w:r>
                  <w:r>
                    <w:rPr>
                      <w:rFonts w:ascii="Times New Roman"/>
                      <w:color w:val="auto"/>
                      <w:sz w:val="21"/>
                    </w:rPr>
                    <w:t>万t产品</w:t>
                  </w:r>
                </w:p>
                <w:p w14:paraId="63489D0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color w:val="auto"/>
                      <w:lang w:eastAsia="zh-CN"/>
                    </w:rPr>
                  </w:pPr>
                  <w:r>
                    <w:rPr>
                      <w:rFonts w:hint="eastAsia"/>
                      <w:color w:val="auto"/>
                      <w:sz w:val="21"/>
                      <w:lang w:eastAsia="zh-CN"/>
                    </w:rPr>
                    <w:t>（</w:t>
                  </w:r>
                  <w:r>
                    <w:rPr>
                      <w:rFonts w:hint="eastAsia"/>
                      <w:color w:val="auto"/>
                      <w:sz w:val="21"/>
                      <w:lang w:val="en-US" w:eastAsia="zh-CN"/>
                    </w:rPr>
                    <w:t>214.67</w:t>
                  </w:r>
                  <w:r>
                    <w:rPr>
                      <w:rFonts w:ascii="Times New Roman"/>
                      <w:color w:val="auto"/>
                      <w:sz w:val="21"/>
                    </w:rPr>
                    <w:t>m</w:t>
                  </w:r>
                  <w:r>
                    <w:rPr>
                      <w:rFonts w:ascii="Times New Roman"/>
                      <w:color w:val="auto"/>
                      <w:sz w:val="21"/>
                      <w:vertAlign w:val="superscript"/>
                    </w:rPr>
                    <w:t>3</w:t>
                  </w:r>
                  <w:r>
                    <w:rPr>
                      <w:rFonts w:ascii="Times New Roman"/>
                      <w:color w:val="auto"/>
                      <w:sz w:val="21"/>
                    </w:rPr>
                    <w:t>/d</w:t>
                  </w:r>
                  <w:r>
                    <w:rPr>
                      <w:rFonts w:hint="eastAsia"/>
                      <w:color w:val="auto"/>
                      <w:sz w:val="21"/>
                      <w:lang w:eastAsia="zh-CN"/>
                    </w:rPr>
                    <w:t>）</w:t>
                  </w:r>
                </w:p>
              </w:tc>
              <w:tc>
                <w:tcPr>
                  <w:tcW w:w="1222" w:type="dxa"/>
                  <w:tcBorders>
                    <w:top w:val="single" w:color="auto" w:sz="4" w:space="0"/>
                    <w:left w:val="single" w:color="auto" w:sz="4" w:space="0"/>
                    <w:bottom w:val="single" w:color="auto" w:sz="4" w:space="0"/>
                    <w:right w:val="single" w:color="auto" w:sz="4" w:space="0"/>
                  </w:tcBorders>
                  <w:vAlign w:val="center"/>
                </w:tcPr>
                <w:p w14:paraId="6D265C38">
                  <w:pPr>
                    <w:pStyle w:val="95"/>
                    <w:spacing w:line="240" w:lineRule="auto"/>
                    <w:ind w:firstLine="0" w:firstLineChars="0"/>
                    <w:rPr>
                      <w:rFonts w:ascii="Times New Roman"/>
                      <w:color w:val="auto"/>
                      <w:sz w:val="21"/>
                    </w:rPr>
                  </w:pPr>
                  <w:r>
                    <w:rPr>
                      <w:rFonts w:hint="eastAsia" w:ascii="Times New Roman"/>
                      <w:color w:val="auto"/>
                      <w:sz w:val="21"/>
                      <w:lang w:val="en-US" w:eastAsia="zh-CN"/>
                    </w:rPr>
                    <w:t>201.47</w:t>
                  </w:r>
                  <w:r>
                    <w:rPr>
                      <w:rFonts w:ascii="Times New Roman"/>
                      <w:color w:val="auto"/>
                      <w:sz w:val="21"/>
                    </w:rPr>
                    <w:t>（新鲜水）</w:t>
                  </w:r>
                </w:p>
              </w:tc>
              <w:tc>
                <w:tcPr>
                  <w:tcW w:w="1516" w:type="dxa"/>
                  <w:tcBorders>
                    <w:top w:val="single" w:color="auto" w:sz="4" w:space="0"/>
                    <w:left w:val="single" w:color="auto" w:sz="4" w:space="0"/>
                    <w:right w:val="single" w:color="auto" w:sz="4" w:space="0"/>
                  </w:tcBorders>
                  <w:vAlign w:val="center"/>
                </w:tcPr>
                <w:p w14:paraId="6F30B8AE">
                  <w:pPr>
                    <w:pStyle w:val="95"/>
                    <w:spacing w:line="240" w:lineRule="auto"/>
                    <w:ind w:firstLine="0" w:firstLineChars="0"/>
                    <w:rPr>
                      <w:rFonts w:ascii="Times New Roman"/>
                      <w:color w:val="auto"/>
                      <w:sz w:val="21"/>
                    </w:rPr>
                  </w:pPr>
                  <w:r>
                    <w:rPr>
                      <w:rFonts w:hint="eastAsia" w:ascii="Times New Roman"/>
                      <w:color w:val="auto"/>
                      <w:sz w:val="21"/>
                      <w:lang w:val="en-US" w:eastAsia="zh-CN"/>
                    </w:rPr>
                    <w:t>60441</w:t>
                  </w:r>
                  <w:r>
                    <w:rPr>
                      <w:rFonts w:ascii="Times New Roman"/>
                      <w:color w:val="auto"/>
                      <w:sz w:val="21"/>
                    </w:rPr>
                    <w:t>（新鲜水）</w:t>
                  </w:r>
                </w:p>
              </w:tc>
              <w:tc>
                <w:tcPr>
                  <w:tcW w:w="793" w:type="dxa"/>
                  <w:vMerge w:val="restart"/>
                  <w:tcBorders>
                    <w:top w:val="single" w:color="auto" w:sz="4" w:space="0"/>
                    <w:left w:val="single" w:color="auto" w:sz="4" w:space="0"/>
                    <w:right w:val="single" w:color="auto" w:sz="4" w:space="0"/>
                  </w:tcBorders>
                  <w:vAlign w:val="center"/>
                </w:tcPr>
                <w:p w14:paraId="5F340D46">
                  <w:pPr>
                    <w:pStyle w:val="95"/>
                    <w:spacing w:line="240" w:lineRule="auto"/>
                    <w:ind w:firstLine="0" w:firstLineChars="0"/>
                    <w:rPr>
                      <w:rFonts w:ascii="Times New Roman"/>
                      <w:color w:val="auto"/>
                      <w:sz w:val="21"/>
                    </w:rPr>
                  </w:pPr>
                  <w:r>
                    <w:rPr>
                      <w:rFonts w:ascii="Times New Roman"/>
                      <w:color w:val="auto"/>
                      <w:sz w:val="21"/>
                    </w:rPr>
                    <w:t>0</w:t>
                  </w:r>
                </w:p>
              </w:tc>
              <w:tc>
                <w:tcPr>
                  <w:tcW w:w="804" w:type="dxa"/>
                  <w:vMerge w:val="restart"/>
                  <w:tcBorders>
                    <w:top w:val="single" w:color="auto" w:sz="4" w:space="0"/>
                    <w:left w:val="single" w:color="auto" w:sz="4" w:space="0"/>
                    <w:right w:val="single" w:color="auto" w:sz="4" w:space="0"/>
                  </w:tcBorders>
                  <w:vAlign w:val="center"/>
                </w:tcPr>
                <w:p w14:paraId="2E2D15E1">
                  <w:pPr>
                    <w:pStyle w:val="95"/>
                    <w:spacing w:line="240" w:lineRule="auto"/>
                    <w:ind w:firstLine="0" w:firstLineChars="0"/>
                    <w:rPr>
                      <w:rFonts w:ascii="Times New Roman"/>
                      <w:color w:val="auto"/>
                      <w:sz w:val="21"/>
                    </w:rPr>
                  </w:pPr>
                  <w:r>
                    <w:rPr>
                      <w:rFonts w:ascii="Times New Roman"/>
                      <w:color w:val="auto"/>
                      <w:sz w:val="21"/>
                    </w:rPr>
                    <w:t>0</w:t>
                  </w:r>
                </w:p>
              </w:tc>
              <w:tc>
                <w:tcPr>
                  <w:tcW w:w="1400" w:type="dxa"/>
                  <w:vMerge w:val="restart"/>
                  <w:tcBorders>
                    <w:top w:val="single" w:color="auto" w:sz="4" w:space="0"/>
                    <w:left w:val="single" w:color="auto" w:sz="4" w:space="0"/>
                    <w:right w:val="single" w:color="auto" w:sz="4" w:space="0"/>
                  </w:tcBorders>
                  <w:vAlign w:val="center"/>
                </w:tcPr>
                <w:p w14:paraId="238E7FB5">
                  <w:pPr>
                    <w:pStyle w:val="95"/>
                    <w:spacing w:line="240" w:lineRule="auto"/>
                    <w:ind w:firstLine="0" w:firstLineChars="0"/>
                    <w:rPr>
                      <w:rFonts w:ascii="Times New Roman"/>
                      <w:color w:val="auto"/>
                      <w:sz w:val="21"/>
                    </w:rPr>
                  </w:pPr>
                  <w:r>
                    <w:rPr>
                      <w:rFonts w:ascii="Times New Roman"/>
                      <w:color w:val="auto"/>
                      <w:sz w:val="21"/>
                    </w:rPr>
                    <w:t>产品带走</w:t>
                  </w:r>
                </w:p>
              </w:tc>
            </w:tr>
            <w:tr w14:paraId="6F79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1" w:type="dxa"/>
                  <w:vMerge w:val="continue"/>
                  <w:tcBorders>
                    <w:left w:val="single" w:color="auto" w:sz="4" w:space="0"/>
                    <w:bottom w:val="single" w:color="auto" w:sz="4" w:space="0"/>
                    <w:right w:val="single" w:color="auto" w:sz="4" w:space="0"/>
                  </w:tcBorders>
                  <w:vAlign w:val="center"/>
                </w:tcPr>
                <w:p w14:paraId="6C5560F7">
                  <w:pPr>
                    <w:pStyle w:val="95"/>
                    <w:spacing w:line="240" w:lineRule="auto"/>
                    <w:ind w:firstLine="0" w:firstLineChars="0"/>
                    <w:rPr>
                      <w:rFonts w:ascii="Times New Roman"/>
                      <w:color w:val="auto"/>
                      <w:sz w:val="21"/>
                    </w:rPr>
                  </w:pPr>
                </w:p>
              </w:tc>
              <w:tc>
                <w:tcPr>
                  <w:tcW w:w="1609" w:type="dxa"/>
                  <w:vMerge w:val="continue"/>
                  <w:tcBorders>
                    <w:left w:val="single" w:color="auto" w:sz="4" w:space="0"/>
                    <w:bottom w:val="single" w:color="auto" w:sz="4" w:space="0"/>
                    <w:right w:val="single" w:color="auto" w:sz="4" w:space="0"/>
                  </w:tcBorders>
                  <w:vAlign w:val="center"/>
                </w:tcPr>
                <w:p w14:paraId="45328F64">
                  <w:pPr>
                    <w:pStyle w:val="95"/>
                    <w:spacing w:line="240" w:lineRule="auto"/>
                    <w:ind w:firstLine="0" w:firstLineChars="0"/>
                    <w:rPr>
                      <w:rFonts w:ascii="Times New Roman"/>
                      <w:color w:val="auto"/>
                      <w:sz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39D678DA">
                  <w:pPr>
                    <w:pStyle w:val="95"/>
                    <w:spacing w:line="240" w:lineRule="auto"/>
                    <w:ind w:firstLine="0" w:firstLineChars="0"/>
                    <w:rPr>
                      <w:rFonts w:ascii="Times New Roman"/>
                      <w:color w:val="auto"/>
                      <w:sz w:val="21"/>
                    </w:rPr>
                  </w:pPr>
                  <w:r>
                    <w:rPr>
                      <w:rFonts w:hint="eastAsia" w:ascii="Times New Roman"/>
                      <w:color w:val="auto"/>
                      <w:sz w:val="21"/>
                      <w:lang w:val="en-US" w:eastAsia="zh-CN"/>
                    </w:rPr>
                    <w:t>13.2</w:t>
                  </w:r>
                  <w:r>
                    <w:rPr>
                      <w:rFonts w:ascii="Times New Roman"/>
                      <w:color w:val="auto"/>
                      <w:sz w:val="21"/>
                    </w:rPr>
                    <w:t>（回用水）</w:t>
                  </w:r>
                </w:p>
              </w:tc>
              <w:tc>
                <w:tcPr>
                  <w:tcW w:w="1516" w:type="dxa"/>
                  <w:tcBorders>
                    <w:left w:val="single" w:color="auto" w:sz="4" w:space="0"/>
                    <w:bottom w:val="single" w:color="auto" w:sz="4" w:space="0"/>
                    <w:right w:val="single" w:color="auto" w:sz="4" w:space="0"/>
                  </w:tcBorders>
                  <w:vAlign w:val="center"/>
                </w:tcPr>
                <w:p w14:paraId="6A736EEF">
                  <w:pPr>
                    <w:pStyle w:val="95"/>
                    <w:spacing w:line="240" w:lineRule="auto"/>
                    <w:ind w:firstLine="0" w:firstLineChars="0"/>
                    <w:rPr>
                      <w:rFonts w:ascii="Times New Roman"/>
                      <w:color w:val="auto"/>
                      <w:sz w:val="21"/>
                    </w:rPr>
                  </w:pPr>
                  <w:r>
                    <w:rPr>
                      <w:rFonts w:hint="eastAsia" w:ascii="Times New Roman"/>
                      <w:color w:val="auto"/>
                      <w:sz w:val="21"/>
                      <w:lang w:val="en-US" w:eastAsia="zh-CN"/>
                    </w:rPr>
                    <w:t>3960</w:t>
                  </w:r>
                  <w:r>
                    <w:rPr>
                      <w:rFonts w:ascii="Times New Roman"/>
                      <w:color w:val="auto"/>
                      <w:sz w:val="21"/>
                    </w:rPr>
                    <w:t>（回用水）</w:t>
                  </w:r>
                </w:p>
              </w:tc>
              <w:tc>
                <w:tcPr>
                  <w:tcW w:w="793" w:type="dxa"/>
                  <w:vMerge w:val="continue"/>
                  <w:tcBorders>
                    <w:left w:val="single" w:color="auto" w:sz="4" w:space="0"/>
                    <w:bottom w:val="single" w:color="auto" w:sz="4" w:space="0"/>
                    <w:right w:val="single" w:color="auto" w:sz="4" w:space="0"/>
                  </w:tcBorders>
                  <w:vAlign w:val="center"/>
                </w:tcPr>
                <w:p w14:paraId="59F24CCA">
                  <w:pPr>
                    <w:pStyle w:val="95"/>
                    <w:spacing w:line="240" w:lineRule="auto"/>
                    <w:ind w:firstLine="0" w:firstLineChars="0"/>
                    <w:rPr>
                      <w:rFonts w:ascii="Times New Roman"/>
                      <w:color w:val="auto"/>
                      <w:sz w:val="21"/>
                    </w:rPr>
                  </w:pPr>
                </w:p>
              </w:tc>
              <w:tc>
                <w:tcPr>
                  <w:tcW w:w="804" w:type="dxa"/>
                  <w:vMerge w:val="continue"/>
                  <w:tcBorders>
                    <w:left w:val="single" w:color="auto" w:sz="4" w:space="0"/>
                    <w:bottom w:val="single" w:color="auto" w:sz="4" w:space="0"/>
                    <w:right w:val="single" w:color="auto" w:sz="4" w:space="0"/>
                  </w:tcBorders>
                  <w:vAlign w:val="center"/>
                </w:tcPr>
                <w:p w14:paraId="534EF252">
                  <w:pPr>
                    <w:pStyle w:val="95"/>
                    <w:spacing w:line="240" w:lineRule="auto"/>
                    <w:ind w:firstLine="0" w:firstLineChars="0"/>
                    <w:rPr>
                      <w:rFonts w:ascii="Times New Roman"/>
                      <w:color w:val="auto"/>
                      <w:sz w:val="21"/>
                    </w:rPr>
                  </w:pPr>
                </w:p>
              </w:tc>
              <w:tc>
                <w:tcPr>
                  <w:tcW w:w="1400" w:type="dxa"/>
                  <w:vMerge w:val="continue"/>
                  <w:tcBorders>
                    <w:left w:val="single" w:color="auto" w:sz="4" w:space="0"/>
                    <w:bottom w:val="single" w:color="auto" w:sz="4" w:space="0"/>
                    <w:right w:val="single" w:color="auto" w:sz="4" w:space="0"/>
                  </w:tcBorders>
                  <w:vAlign w:val="center"/>
                </w:tcPr>
                <w:p w14:paraId="5575E49D">
                  <w:pPr>
                    <w:pStyle w:val="95"/>
                    <w:spacing w:line="240" w:lineRule="auto"/>
                    <w:ind w:firstLine="0" w:firstLineChars="0"/>
                    <w:rPr>
                      <w:rFonts w:ascii="Times New Roman"/>
                      <w:color w:val="auto"/>
                      <w:sz w:val="21"/>
                    </w:rPr>
                  </w:pPr>
                </w:p>
              </w:tc>
            </w:tr>
            <w:tr w14:paraId="0868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tcBorders>
                    <w:top w:val="single" w:color="auto" w:sz="4" w:space="0"/>
                    <w:left w:val="single" w:color="auto" w:sz="4" w:space="0"/>
                    <w:right w:val="single" w:color="auto" w:sz="4" w:space="0"/>
                  </w:tcBorders>
                  <w:vAlign w:val="center"/>
                </w:tcPr>
                <w:p w14:paraId="35918001">
                  <w:pPr>
                    <w:pStyle w:val="95"/>
                    <w:spacing w:line="240" w:lineRule="auto"/>
                    <w:ind w:firstLine="0" w:firstLineChars="0"/>
                    <w:rPr>
                      <w:rFonts w:ascii="Times New Roman"/>
                      <w:color w:val="auto"/>
                      <w:sz w:val="21"/>
                    </w:rPr>
                  </w:pPr>
                  <w:r>
                    <w:rPr>
                      <w:rFonts w:ascii="Times New Roman"/>
                      <w:color w:val="auto"/>
                      <w:sz w:val="21"/>
                    </w:rPr>
                    <w:t>搅拌机清洗废水</w:t>
                  </w:r>
                </w:p>
              </w:tc>
              <w:tc>
                <w:tcPr>
                  <w:tcW w:w="1588" w:type="dxa"/>
                  <w:tcBorders>
                    <w:top w:val="single" w:color="auto" w:sz="4" w:space="0"/>
                    <w:left w:val="single" w:color="auto" w:sz="4" w:space="0"/>
                    <w:right w:val="single" w:color="auto" w:sz="4" w:space="0"/>
                  </w:tcBorders>
                  <w:vAlign w:val="center"/>
                </w:tcPr>
                <w:p w14:paraId="478A594A">
                  <w:pPr>
                    <w:pStyle w:val="95"/>
                    <w:spacing w:line="240" w:lineRule="auto"/>
                    <w:ind w:firstLine="0" w:firstLineChars="0"/>
                    <w:rPr>
                      <w:rFonts w:ascii="Times New Roman"/>
                      <w:color w:val="auto"/>
                      <w:sz w:val="21"/>
                    </w:rPr>
                  </w:pPr>
                  <w:r>
                    <w:rPr>
                      <w:rFonts w:hint="eastAsia" w:ascii="Times New Roman"/>
                      <w:color w:val="auto"/>
                      <w:sz w:val="21"/>
                      <w:lang w:val="en-US" w:eastAsia="zh-CN"/>
                    </w:rPr>
                    <w:t>3</w:t>
                  </w:r>
                  <w:r>
                    <w:rPr>
                      <w:rFonts w:ascii="Times New Roman"/>
                      <w:color w:val="auto"/>
                      <w:sz w:val="21"/>
                    </w:rPr>
                    <w:t>台搅拌机</w:t>
                  </w:r>
                </w:p>
              </w:tc>
              <w:tc>
                <w:tcPr>
                  <w:tcW w:w="1225" w:type="dxa"/>
                  <w:tcBorders>
                    <w:top w:val="single" w:color="auto" w:sz="4" w:space="0"/>
                    <w:left w:val="single" w:color="auto" w:sz="4" w:space="0"/>
                    <w:right w:val="single" w:color="auto" w:sz="4" w:space="0"/>
                  </w:tcBorders>
                  <w:vAlign w:val="center"/>
                </w:tcPr>
                <w:p w14:paraId="68FCFB46">
                  <w:pPr>
                    <w:pStyle w:val="95"/>
                    <w:spacing w:line="240" w:lineRule="auto"/>
                    <w:ind w:firstLine="0" w:firstLineChars="0"/>
                    <w:rPr>
                      <w:rFonts w:hint="eastAsia" w:ascii="Times New Roman" w:eastAsia="宋体"/>
                      <w:color w:val="auto"/>
                      <w:sz w:val="21"/>
                      <w:lang w:eastAsia="zh-CN"/>
                    </w:rPr>
                  </w:pPr>
                  <w:r>
                    <w:rPr>
                      <w:rFonts w:hint="eastAsia" w:ascii="Times New Roman"/>
                      <w:color w:val="auto"/>
                      <w:sz w:val="21"/>
                      <w:lang w:val="en-US" w:eastAsia="zh-CN"/>
                    </w:rPr>
                    <w:t>3</w:t>
                  </w:r>
                </w:p>
              </w:tc>
              <w:tc>
                <w:tcPr>
                  <w:tcW w:w="1516" w:type="dxa"/>
                  <w:tcBorders>
                    <w:top w:val="single" w:color="auto" w:sz="4" w:space="0"/>
                    <w:left w:val="single" w:color="auto" w:sz="4" w:space="0"/>
                    <w:right w:val="single" w:color="auto" w:sz="4" w:space="0"/>
                  </w:tcBorders>
                  <w:vAlign w:val="center"/>
                </w:tcPr>
                <w:p w14:paraId="78DF1AAC">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900</w:t>
                  </w:r>
                </w:p>
              </w:tc>
              <w:tc>
                <w:tcPr>
                  <w:tcW w:w="794" w:type="dxa"/>
                  <w:tcBorders>
                    <w:top w:val="single" w:color="auto" w:sz="4" w:space="0"/>
                    <w:left w:val="single" w:color="auto" w:sz="4" w:space="0"/>
                    <w:right w:val="single" w:color="auto" w:sz="4" w:space="0"/>
                  </w:tcBorders>
                  <w:vAlign w:val="center"/>
                </w:tcPr>
                <w:p w14:paraId="39202B11">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2.4</w:t>
                  </w:r>
                </w:p>
              </w:tc>
              <w:tc>
                <w:tcPr>
                  <w:tcW w:w="804" w:type="dxa"/>
                  <w:tcBorders>
                    <w:top w:val="single" w:color="auto" w:sz="4" w:space="0"/>
                    <w:left w:val="single" w:color="auto" w:sz="4" w:space="0"/>
                    <w:bottom w:val="single" w:color="auto" w:sz="4" w:space="0"/>
                    <w:right w:val="single" w:color="auto" w:sz="4" w:space="0"/>
                  </w:tcBorders>
                  <w:vAlign w:val="center"/>
                </w:tcPr>
                <w:p w14:paraId="39647B11">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720</w:t>
                  </w:r>
                </w:p>
              </w:tc>
              <w:tc>
                <w:tcPr>
                  <w:tcW w:w="1400" w:type="dxa"/>
                  <w:vMerge w:val="restart"/>
                  <w:tcBorders>
                    <w:top w:val="single" w:color="auto" w:sz="4" w:space="0"/>
                    <w:left w:val="single" w:color="auto" w:sz="4" w:space="0"/>
                    <w:right w:val="single" w:color="auto" w:sz="4" w:space="0"/>
                  </w:tcBorders>
                  <w:vAlign w:val="center"/>
                </w:tcPr>
                <w:p w14:paraId="39552248">
                  <w:pPr>
                    <w:pStyle w:val="95"/>
                    <w:spacing w:line="240" w:lineRule="auto"/>
                    <w:ind w:firstLine="0" w:firstLineChars="0"/>
                    <w:rPr>
                      <w:rFonts w:ascii="Times New Roman"/>
                      <w:color w:val="auto"/>
                      <w:sz w:val="21"/>
                    </w:rPr>
                  </w:pPr>
                  <w:r>
                    <w:rPr>
                      <w:rFonts w:ascii="Times New Roman"/>
                      <w:color w:val="auto"/>
                      <w:sz w:val="21"/>
                      <w:lang w:val="zh-CN"/>
                    </w:rPr>
                    <w:t>沉淀池处理后回用于生</w:t>
                  </w:r>
                  <w:r>
                    <w:rPr>
                      <w:rFonts w:ascii="Times New Roman"/>
                      <w:color w:val="auto"/>
                      <w:sz w:val="21"/>
                    </w:rPr>
                    <w:t>产</w:t>
                  </w:r>
                </w:p>
              </w:tc>
            </w:tr>
            <w:tr w14:paraId="3D3C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05A35456">
                  <w:pPr>
                    <w:pStyle w:val="95"/>
                    <w:spacing w:line="240" w:lineRule="auto"/>
                    <w:ind w:firstLine="0" w:firstLineChars="0"/>
                    <w:rPr>
                      <w:rFonts w:ascii="Times New Roman"/>
                      <w:color w:val="auto"/>
                      <w:sz w:val="21"/>
                    </w:rPr>
                  </w:pPr>
                  <w:r>
                    <w:rPr>
                      <w:rFonts w:hint="eastAsia" w:ascii="Times New Roman"/>
                      <w:color w:val="auto"/>
                      <w:sz w:val="21"/>
                      <w:lang w:val="en-US" w:eastAsia="zh-CN"/>
                    </w:rPr>
                    <w:t>车辆</w:t>
                  </w:r>
                  <w:r>
                    <w:rPr>
                      <w:rFonts w:ascii="Times New Roman"/>
                      <w:color w:val="auto"/>
                      <w:sz w:val="21"/>
                    </w:rPr>
                    <w:t>清洗废水</w:t>
                  </w:r>
                </w:p>
              </w:tc>
              <w:tc>
                <w:tcPr>
                  <w:tcW w:w="1609" w:type="dxa"/>
                  <w:tcBorders>
                    <w:top w:val="single" w:color="auto" w:sz="4" w:space="0"/>
                    <w:left w:val="single" w:color="auto" w:sz="4" w:space="0"/>
                    <w:bottom w:val="single" w:color="auto" w:sz="4" w:space="0"/>
                    <w:right w:val="single" w:color="auto" w:sz="4" w:space="0"/>
                  </w:tcBorders>
                  <w:vAlign w:val="center"/>
                </w:tcPr>
                <w:p w14:paraId="3F3A6C8A">
                  <w:pPr>
                    <w:pStyle w:val="95"/>
                    <w:spacing w:line="240" w:lineRule="auto"/>
                    <w:ind w:firstLine="0" w:firstLineChars="0"/>
                    <w:rPr>
                      <w:rFonts w:ascii="Times New Roman"/>
                      <w:color w:val="auto"/>
                      <w:sz w:val="21"/>
                    </w:rPr>
                  </w:pPr>
                  <w:r>
                    <w:rPr>
                      <w:rFonts w:hint="eastAsia" w:ascii="Times New Roman"/>
                      <w:color w:val="auto"/>
                      <w:sz w:val="21"/>
                      <w:lang w:val="en-US" w:eastAsia="zh-CN"/>
                    </w:rPr>
                    <w:t>266</w:t>
                  </w:r>
                  <w:r>
                    <w:rPr>
                      <w:rFonts w:ascii="Times New Roman"/>
                      <w:color w:val="auto"/>
                      <w:sz w:val="21"/>
                    </w:rPr>
                    <w:t>辆·次</w:t>
                  </w:r>
                </w:p>
              </w:tc>
              <w:tc>
                <w:tcPr>
                  <w:tcW w:w="1222" w:type="dxa"/>
                  <w:tcBorders>
                    <w:top w:val="single" w:color="auto" w:sz="4" w:space="0"/>
                    <w:left w:val="single" w:color="auto" w:sz="4" w:space="0"/>
                    <w:bottom w:val="single" w:color="auto" w:sz="4" w:space="0"/>
                    <w:right w:val="single" w:color="auto" w:sz="4" w:space="0"/>
                  </w:tcBorders>
                  <w:vAlign w:val="center"/>
                </w:tcPr>
                <w:p w14:paraId="2EDD5784">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13.3</w:t>
                  </w:r>
                </w:p>
              </w:tc>
              <w:tc>
                <w:tcPr>
                  <w:tcW w:w="1516" w:type="dxa"/>
                  <w:tcBorders>
                    <w:top w:val="single" w:color="auto" w:sz="4" w:space="0"/>
                    <w:left w:val="single" w:color="auto" w:sz="4" w:space="0"/>
                    <w:bottom w:val="single" w:color="auto" w:sz="4" w:space="0"/>
                    <w:right w:val="single" w:color="auto" w:sz="4" w:space="0"/>
                  </w:tcBorders>
                  <w:vAlign w:val="center"/>
                </w:tcPr>
                <w:p w14:paraId="72793332">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3990</w:t>
                  </w:r>
                </w:p>
              </w:tc>
              <w:tc>
                <w:tcPr>
                  <w:tcW w:w="793" w:type="dxa"/>
                  <w:tcBorders>
                    <w:top w:val="single" w:color="auto" w:sz="4" w:space="0"/>
                    <w:left w:val="single" w:color="auto" w:sz="4" w:space="0"/>
                    <w:bottom w:val="single" w:color="auto" w:sz="4" w:space="0"/>
                    <w:right w:val="single" w:color="auto" w:sz="4" w:space="0"/>
                  </w:tcBorders>
                  <w:vAlign w:val="center"/>
                </w:tcPr>
                <w:p w14:paraId="5F3DA1DB">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10.64</w:t>
                  </w:r>
                </w:p>
              </w:tc>
              <w:tc>
                <w:tcPr>
                  <w:tcW w:w="804" w:type="dxa"/>
                  <w:tcBorders>
                    <w:top w:val="single" w:color="auto" w:sz="4" w:space="0"/>
                    <w:left w:val="single" w:color="auto" w:sz="4" w:space="0"/>
                    <w:bottom w:val="single" w:color="auto" w:sz="4" w:space="0"/>
                    <w:right w:val="single" w:color="auto" w:sz="4" w:space="0"/>
                  </w:tcBorders>
                  <w:vAlign w:val="center"/>
                </w:tcPr>
                <w:p w14:paraId="7DF5E1B9">
                  <w:pPr>
                    <w:pStyle w:val="95"/>
                    <w:spacing w:line="240" w:lineRule="auto"/>
                    <w:ind w:firstLine="0" w:firstLineChars="0"/>
                    <w:rPr>
                      <w:rFonts w:hint="default" w:ascii="Times New Roman"/>
                      <w:color w:val="auto"/>
                      <w:sz w:val="21"/>
                      <w:lang w:val="en-US"/>
                    </w:rPr>
                  </w:pPr>
                  <w:r>
                    <w:rPr>
                      <w:rFonts w:hint="eastAsia" w:ascii="Times New Roman"/>
                      <w:color w:val="auto"/>
                      <w:sz w:val="21"/>
                      <w:lang w:val="en-US" w:eastAsia="zh-CN"/>
                    </w:rPr>
                    <w:t>3192</w:t>
                  </w:r>
                </w:p>
              </w:tc>
              <w:tc>
                <w:tcPr>
                  <w:tcW w:w="1400" w:type="dxa"/>
                  <w:vMerge w:val="continue"/>
                  <w:tcBorders>
                    <w:left w:val="single" w:color="auto" w:sz="4" w:space="0"/>
                    <w:right w:val="single" w:color="auto" w:sz="4" w:space="0"/>
                  </w:tcBorders>
                  <w:vAlign w:val="center"/>
                </w:tcPr>
                <w:p w14:paraId="67D8F8F0">
                  <w:pPr>
                    <w:pStyle w:val="95"/>
                    <w:spacing w:line="240" w:lineRule="auto"/>
                    <w:ind w:firstLine="0" w:firstLineChars="0"/>
                    <w:rPr>
                      <w:rFonts w:ascii="Times New Roman"/>
                      <w:color w:val="auto"/>
                      <w:sz w:val="21"/>
                    </w:rPr>
                  </w:pPr>
                </w:p>
              </w:tc>
            </w:tr>
            <w:tr w14:paraId="27DC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1BA09C1F">
                  <w:pPr>
                    <w:pStyle w:val="95"/>
                    <w:spacing w:line="240" w:lineRule="auto"/>
                    <w:ind w:firstLine="0" w:firstLineChars="0"/>
                    <w:rPr>
                      <w:rFonts w:ascii="Times New Roman"/>
                      <w:color w:val="auto"/>
                      <w:sz w:val="21"/>
                    </w:rPr>
                  </w:pPr>
                  <w:r>
                    <w:rPr>
                      <w:rFonts w:hint="eastAsia" w:ascii="Times New Roman"/>
                      <w:color w:val="auto"/>
                      <w:sz w:val="21"/>
                      <w:lang w:val="en-US" w:eastAsia="zh-CN"/>
                    </w:rPr>
                    <w:t>检验设备用水</w:t>
                  </w:r>
                </w:p>
              </w:tc>
              <w:tc>
                <w:tcPr>
                  <w:tcW w:w="1609" w:type="dxa"/>
                  <w:tcBorders>
                    <w:top w:val="single" w:color="auto" w:sz="4" w:space="0"/>
                    <w:left w:val="single" w:color="auto" w:sz="4" w:space="0"/>
                    <w:bottom w:val="single" w:color="auto" w:sz="4" w:space="0"/>
                    <w:right w:val="single" w:color="auto" w:sz="4" w:space="0"/>
                  </w:tcBorders>
                  <w:vAlign w:val="center"/>
                </w:tcPr>
                <w:p w14:paraId="567F514A">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检验设备</w:t>
                  </w:r>
                </w:p>
              </w:tc>
              <w:tc>
                <w:tcPr>
                  <w:tcW w:w="1225" w:type="dxa"/>
                  <w:tcBorders>
                    <w:top w:val="single" w:color="auto" w:sz="4" w:space="0"/>
                    <w:left w:val="single" w:color="auto" w:sz="4" w:space="0"/>
                    <w:bottom w:val="single" w:color="auto" w:sz="4" w:space="0"/>
                    <w:right w:val="single" w:color="auto" w:sz="4" w:space="0"/>
                  </w:tcBorders>
                  <w:vAlign w:val="center"/>
                </w:tcPr>
                <w:p w14:paraId="184A291E">
                  <w:pPr>
                    <w:pStyle w:val="95"/>
                    <w:spacing w:line="240" w:lineRule="auto"/>
                    <w:ind w:firstLine="0" w:firstLineChars="0"/>
                    <w:rPr>
                      <w:rFonts w:ascii="Times New Roman"/>
                      <w:color w:val="auto"/>
                      <w:sz w:val="21"/>
                    </w:rPr>
                  </w:pPr>
                  <w:r>
                    <w:rPr>
                      <w:rFonts w:hint="eastAsia" w:ascii="Times New Roman"/>
                      <w:color w:val="auto"/>
                      <w:sz w:val="21"/>
                      <w:lang w:val="en-US" w:eastAsia="zh-CN"/>
                    </w:rPr>
                    <w:t>0.2</w:t>
                  </w:r>
                </w:p>
              </w:tc>
              <w:tc>
                <w:tcPr>
                  <w:tcW w:w="1516" w:type="dxa"/>
                  <w:tcBorders>
                    <w:top w:val="single" w:color="auto" w:sz="4" w:space="0"/>
                    <w:left w:val="single" w:color="auto" w:sz="4" w:space="0"/>
                    <w:bottom w:val="single" w:color="auto" w:sz="4" w:space="0"/>
                    <w:right w:val="single" w:color="auto" w:sz="4" w:space="0"/>
                  </w:tcBorders>
                  <w:vAlign w:val="center"/>
                </w:tcPr>
                <w:p w14:paraId="133D4CBB">
                  <w:pPr>
                    <w:pStyle w:val="95"/>
                    <w:spacing w:line="240" w:lineRule="auto"/>
                    <w:ind w:firstLine="0" w:firstLineChars="0"/>
                    <w:rPr>
                      <w:rFonts w:hint="default" w:ascii="Times New Roman"/>
                      <w:color w:val="auto"/>
                      <w:sz w:val="21"/>
                      <w:lang w:val="en-US"/>
                    </w:rPr>
                  </w:pPr>
                  <w:r>
                    <w:rPr>
                      <w:rFonts w:hint="eastAsia" w:ascii="Times New Roman"/>
                      <w:color w:val="auto"/>
                      <w:sz w:val="21"/>
                      <w:lang w:val="en-US" w:eastAsia="zh-CN"/>
                    </w:rPr>
                    <w:t>60</w:t>
                  </w:r>
                </w:p>
              </w:tc>
              <w:tc>
                <w:tcPr>
                  <w:tcW w:w="794" w:type="dxa"/>
                  <w:tcBorders>
                    <w:top w:val="single" w:color="auto" w:sz="4" w:space="0"/>
                    <w:left w:val="single" w:color="auto" w:sz="4" w:space="0"/>
                    <w:bottom w:val="single" w:color="auto" w:sz="4" w:space="0"/>
                    <w:right w:val="single" w:color="auto" w:sz="4" w:space="0"/>
                  </w:tcBorders>
                  <w:vAlign w:val="center"/>
                </w:tcPr>
                <w:p w14:paraId="568BCEB6">
                  <w:pPr>
                    <w:pStyle w:val="95"/>
                    <w:spacing w:line="240" w:lineRule="auto"/>
                    <w:ind w:firstLine="0" w:firstLineChars="0"/>
                    <w:rPr>
                      <w:rFonts w:hint="default" w:ascii="Times New Roman"/>
                      <w:color w:val="auto"/>
                      <w:sz w:val="21"/>
                      <w:lang w:val="en-US"/>
                    </w:rPr>
                  </w:pPr>
                  <w:r>
                    <w:rPr>
                      <w:rFonts w:hint="eastAsia" w:ascii="Times New Roman"/>
                      <w:color w:val="auto"/>
                      <w:sz w:val="21"/>
                      <w:lang w:val="en-US" w:eastAsia="zh-CN"/>
                    </w:rPr>
                    <w:t>0.16</w:t>
                  </w:r>
                </w:p>
              </w:tc>
              <w:tc>
                <w:tcPr>
                  <w:tcW w:w="804" w:type="dxa"/>
                  <w:tcBorders>
                    <w:top w:val="single" w:color="auto" w:sz="4" w:space="0"/>
                    <w:left w:val="single" w:color="auto" w:sz="4" w:space="0"/>
                    <w:bottom w:val="single" w:color="auto" w:sz="4" w:space="0"/>
                    <w:right w:val="single" w:color="auto" w:sz="4" w:space="0"/>
                  </w:tcBorders>
                  <w:vAlign w:val="center"/>
                </w:tcPr>
                <w:p w14:paraId="32BC8DFC">
                  <w:pPr>
                    <w:pStyle w:val="95"/>
                    <w:spacing w:line="240" w:lineRule="auto"/>
                    <w:ind w:firstLine="0" w:firstLineChars="0"/>
                    <w:rPr>
                      <w:rFonts w:hint="default" w:ascii="Times New Roman"/>
                      <w:color w:val="auto"/>
                      <w:sz w:val="21"/>
                      <w:lang w:val="en-US"/>
                    </w:rPr>
                  </w:pPr>
                  <w:r>
                    <w:rPr>
                      <w:rFonts w:hint="eastAsia" w:ascii="Times New Roman"/>
                      <w:color w:val="auto"/>
                      <w:sz w:val="21"/>
                      <w:lang w:val="en-US" w:eastAsia="zh-CN"/>
                    </w:rPr>
                    <w:t>48</w:t>
                  </w:r>
                </w:p>
              </w:tc>
              <w:tc>
                <w:tcPr>
                  <w:tcW w:w="1400" w:type="dxa"/>
                  <w:vMerge w:val="continue"/>
                  <w:tcBorders>
                    <w:left w:val="single" w:color="auto" w:sz="4" w:space="0"/>
                    <w:right w:val="single" w:color="auto" w:sz="4" w:space="0"/>
                  </w:tcBorders>
                  <w:vAlign w:val="center"/>
                </w:tcPr>
                <w:p w14:paraId="090E7015">
                  <w:pPr>
                    <w:pStyle w:val="95"/>
                    <w:spacing w:line="240" w:lineRule="auto"/>
                    <w:ind w:firstLine="0" w:firstLineChars="0"/>
                    <w:rPr>
                      <w:rFonts w:ascii="Times New Roman"/>
                      <w:color w:val="auto"/>
                      <w:sz w:val="21"/>
                    </w:rPr>
                  </w:pPr>
                </w:p>
              </w:tc>
            </w:tr>
            <w:tr w14:paraId="136A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1A8EF948">
                  <w:pPr>
                    <w:pStyle w:val="95"/>
                    <w:spacing w:line="240" w:lineRule="auto"/>
                    <w:ind w:firstLine="0" w:firstLineChars="0"/>
                    <w:rPr>
                      <w:rFonts w:hint="eastAsia" w:ascii="Times New Roman"/>
                      <w:color w:val="auto"/>
                      <w:sz w:val="21"/>
                      <w:lang w:val="en-US" w:eastAsia="zh-CN"/>
                    </w:rPr>
                  </w:pPr>
                  <w:r>
                    <w:rPr>
                      <w:rFonts w:ascii="Times New Roman"/>
                      <w:color w:val="auto"/>
                      <w:sz w:val="21"/>
                    </w:rPr>
                    <w:t>人工洒水降尘</w:t>
                  </w:r>
                </w:p>
              </w:tc>
              <w:tc>
                <w:tcPr>
                  <w:tcW w:w="1588" w:type="dxa"/>
                  <w:tcBorders>
                    <w:top w:val="single" w:color="auto" w:sz="4" w:space="0"/>
                    <w:left w:val="single" w:color="auto" w:sz="4" w:space="0"/>
                    <w:bottom w:val="single" w:color="auto" w:sz="4" w:space="0"/>
                    <w:right w:val="single" w:color="auto" w:sz="4" w:space="0"/>
                  </w:tcBorders>
                  <w:vAlign w:val="center"/>
                </w:tcPr>
                <w:p w14:paraId="533D3955">
                  <w:pPr>
                    <w:pStyle w:val="95"/>
                    <w:spacing w:line="240" w:lineRule="auto"/>
                    <w:ind w:firstLine="0" w:firstLineChars="0"/>
                    <w:rPr>
                      <w:rFonts w:hint="eastAsia" w:ascii="Times New Roman"/>
                      <w:color w:val="auto"/>
                      <w:sz w:val="21"/>
                      <w:lang w:val="en-US" w:eastAsia="zh-CN"/>
                    </w:rPr>
                  </w:pPr>
                  <w:r>
                    <w:rPr>
                      <w:rFonts w:hint="eastAsia" w:ascii="Times New Roman"/>
                      <w:color w:val="auto"/>
                      <w:sz w:val="21"/>
                      <w:lang w:val="en-US" w:eastAsia="zh-CN"/>
                    </w:rPr>
                    <w:t>洒水降尘</w:t>
                  </w:r>
                </w:p>
              </w:tc>
              <w:tc>
                <w:tcPr>
                  <w:tcW w:w="1225" w:type="dxa"/>
                  <w:tcBorders>
                    <w:top w:val="single" w:color="auto" w:sz="4" w:space="0"/>
                    <w:left w:val="single" w:color="auto" w:sz="4" w:space="0"/>
                    <w:bottom w:val="single" w:color="auto" w:sz="4" w:space="0"/>
                    <w:right w:val="single" w:color="auto" w:sz="4" w:space="0"/>
                  </w:tcBorders>
                  <w:vAlign w:val="center"/>
                </w:tcPr>
                <w:p w14:paraId="7B354DD3">
                  <w:pPr>
                    <w:pStyle w:val="95"/>
                    <w:spacing w:line="240" w:lineRule="auto"/>
                    <w:ind w:firstLine="0" w:firstLineChars="0"/>
                    <w:rPr>
                      <w:rFonts w:hint="eastAsia" w:ascii="Times New Roman"/>
                      <w:color w:val="auto"/>
                      <w:sz w:val="21"/>
                      <w:lang w:val="en-US" w:eastAsia="zh-CN"/>
                    </w:rPr>
                  </w:pPr>
                  <w:r>
                    <w:rPr>
                      <w:rFonts w:ascii="Times New Roman"/>
                      <w:color w:val="auto"/>
                      <w:sz w:val="21"/>
                    </w:rPr>
                    <w:t>1.0</w:t>
                  </w:r>
                </w:p>
              </w:tc>
              <w:tc>
                <w:tcPr>
                  <w:tcW w:w="1516" w:type="dxa"/>
                  <w:tcBorders>
                    <w:top w:val="single" w:color="auto" w:sz="4" w:space="0"/>
                    <w:left w:val="single" w:color="auto" w:sz="4" w:space="0"/>
                    <w:bottom w:val="single" w:color="auto" w:sz="4" w:space="0"/>
                    <w:right w:val="single" w:color="auto" w:sz="4" w:space="0"/>
                  </w:tcBorders>
                  <w:vAlign w:val="center"/>
                </w:tcPr>
                <w:p w14:paraId="1ED5B710">
                  <w:pPr>
                    <w:pStyle w:val="95"/>
                    <w:spacing w:line="240" w:lineRule="auto"/>
                    <w:ind w:firstLine="0" w:firstLineChars="0"/>
                    <w:rPr>
                      <w:rFonts w:hint="eastAsia" w:ascii="Times New Roman"/>
                      <w:color w:val="auto"/>
                      <w:sz w:val="21"/>
                      <w:lang w:val="en-US" w:eastAsia="zh-CN"/>
                    </w:rPr>
                  </w:pPr>
                  <w:r>
                    <w:rPr>
                      <w:rFonts w:ascii="Times New Roman"/>
                      <w:color w:val="auto"/>
                      <w:sz w:val="21"/>
                    </w:rPr>
                    <w:t>300</w:t>
                  </w:r>
                </w:p>
              </w:tc>
              <w:tc>
                <w:tcPr>
                  <w:tcW w:w="794" w:type="dxa"/>
                  <w:tcBorders>
                    <w:top w:val="single" w:color="auto" w:sz="4" w:space="0"/>
                    <w:left w:val="single" w:color="auto" w:sz="4" w:space="0"/>
                    <w:bottom w:val="single" w:color="auto" w:sz="4" w:space="0"/>
                    <w:right w:val="single" w:color="auto" w:sz="4" w:space="0"/>
                  </w:tcBorders>
                  <w:vAlign w:val="center"/>
                </w:tcPr>
                <w:p w14:paraId="58A144F1">
                  <w:pPr>
                    <w:pStyle w:val="95"/>
                    <w:spacing w:line="240" w:lineRule="auto"/>
                    <w:ind w:firstLine="0" w:firstLineChars="0"/>
                    <w:rPr>
                      <w:rFonts w:hint="default" w:ascii="Times New Roman"/>
                      <w:color w:val="auto"/>
                      <w:sz w:val="21"/>
                      <w:lang w:val="en-US" w:eastAsia="zh-CN"/>
                    </w:rPr>
                  </w:pPr>
                  <w:r>
                    <w:rPr>
                      <w:rFonts w:hint="eastAsia" w:ascii="Times New Roman"/>
                      <w:color w:val="auto"/>
                      <w:sz w:val="21"/>
                      <w:lang w:val="en-US" w:eastAsia="zh-CN"/>
                    </w:rPr>
                    <w:t>0</w:t>
                  </w:r>
                </w:p>
              </w:tc>
              <w:tc>
                <w:tcPr>
                  <w:tcW w:w="804" w:type="dxa"/>
                  <w:tcBorders>
                    <w:top w:val="single" w:color="auto" w:sz="4" w:space="0"/>
                    <w:left w:val="single" w:color="auto" w:sz="4" w:space="0"/>
                    <w:bottom w:val="single" w:color="auto" w:sz="4" w:space="0"/>
                    <w:right w:val="single" w:color="auto" w:sz="4" w:space="0"/>
                  </w:tcBorders>
                  <w:vAlign w:val="center"/>
                </w:tcPr>
                <w:p w14:paraId="5FB19A4C">
                  <w:pPr>
                    <w:pStyle w:val="95"/>
                    <w:spacing w:line="240" w:lineRule="auto"/>
                    <w:ind w:firstLine="0" w:firstLineChars="0"/>
                    <w:rPr>
                      <w:rFonts w:hint="eastAsia" w:ascii="Times New Roman"/>
                      <w:color w:val="auto"/>
                      <w:sz w:val="21"/>
                      <w:lang w:val="en-US" w:eastAsia="zh-CN"/>
                    </w:rPr>
                  </w:pPr>
                  <w:r>
                    <w:rPr>
                      <w:rFonts w:ascii="Times New Roman"/>
                      <w:color w:val="auto"/>
                      <w:sz w:val="21"/>
                    </w:rPr>
                    <w:t>0</w:t>
                  </w:r>
                </w:p>
              </w:tc>
              <w:tc>
                <w:tcPr>
                  <w:tcW w:w="1400" w:type="dxa"/>
                  <w:vMerge w:val="restart"/>
                  <w:tcBorders>
                    <w:left w:val="single" w:color="auto" w:sz="4" w:space="0"/>
                    <w:right w:val="single" w:color="auto" w:sz="4" w:space="0"/>
                  </w:tcBorders>
                  <w:vAlign w:val="center"/>
                </w:tcPr>
                <w:p w14:paraId="1641685B">
                  <w:pPr>
                    <w:pStyle w:val="95"/>
                    <w:spacing w:line="240" w:lineRule="auto"/>
                    <w:ind w:firstLine="0" w:firstLineChars="0"/>
                    <w:rPr>
                      <w:rFonts w:ascii="Times New Roman"/>
                      <w:color w:val="auto"/>
                      <w:sz w:val="21"/>
                    </w:rPr>
                  </w:pPr>
                  <w:r>
                    <w:rPr>
                      <w:rFonts w:ascii="Times New Roman"/>
                      <w:color w:val="auto"/>
                      <w:sz w:val="21"/>
                    </w:rPr>
                    <w:t>全部蒸发</w:t>
                  </w:r>
                </w:p>
              </w:tc>
            </w:tr>
            <w:tr w14:paraId="3919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46F33B0C">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喷雾用水</w:t>
                  </w:r>
                </w:p>
              </w:tc>
              <w:tc>
                <w:tcPr>
                  <w:tcW w:w="1588" w:type="dxa"/>
                  <w:tcBorders>
                    <w:top w:val="single" w:color="auto" w:sz="4" w:space="0"/>
                    <w:left w:val="single" w:color="auto" w:sz="4" w:space="0"/>
                    <w:bottom w:val="single" w:color="auto" w:sz="4" w:space="0"/>
                    <w:right w:val="single" w:color="auto" w:sz="4" w:space="0"/>
                  </w:tcBorders>
                  <w:vAlign w:val="center"/>
                </w:tcPr>
                <w:p w14:paraId="7C22DDFB">
                  <w:pPr>
                    <w:pStyle w:val="95"/>
                    <w:spacing w:line="240" w:lineRule="auto"/>
                    <w:ind w:firstLine="0" w:firstLineChars="0"/>
                    <w:rPr>
                      <w:rFonts w:hint="eastAsia" w:ascii="Times New Roman" w:eastAsia="宋体"/>
                      <w:color w:val="auto"/>
                      <w:sz w:val="21"/>
                      <w:lang w:eastAsia="zh-CN"/>
                    </w:rPr>
                  </w:pPr>
                  <w:r>
                    <w:rPr>
                      <w:rFonts w:hint="eastAsia" w:ascii="Times New Roman"/>
                      <w:color w:val="auto"/>
                      <w:sz w:val="21"/>
                      <w:lang w:val="en-US" w:eastAsia="zh-CN"/>
                    </w:rPr>
                    <w:t>24</w:t>
                  </w:r>
                  <w:r>
                    <w:rPr>
                      <w:rFonts w:hint="eastAsia" w:ascii="Times New Roman"/>
                      <w:color w:val="auto"/>
                      <w:sz w:val="21"/>
                    </w:rPr>
                    <w:t>00h</w:t>
                  </w:r>
                  <w:r>
                    <w:rPr>
                      <w:rFonts w:hint="eastAsia" w:ascii="Times New Roman"/>
                      <w:color w:val="auto"/>
                      <w:sz w:val="21"/>
                      <w:lang w:eastAsia="zh-CN"/>
                    </w:rPr>
                    <w:t>，</w:t>
                  </w:r>
                  <w:r>
                    <w:rPr>
                      <w:rFonts w:ascii="Times New Roman"/>
                      <w:color w:val="auto"/>
                      <w:sz w:val="21"/>
                    </w:rPr>
                    <w:t>45L/h</w:t>
                  </w:r>
                </w:p>
              </w:tc>
              <w:tc>
                <w:tcPr>
                  <w:tcW w:w="1225" w:type="dxa"/>
                  <w:tcBorders>
                    <w:top w:val="single" w:color="auto" w:sz="4" w:space="0"/>
                    <w:left w:val="single" w:color="auto" w:sz="4" w:space="0"/>
                    <w:bottom w:val="single" w:color="auto" w:sz="4" w:space="0"/>
                    <w:right w:val="single" w:color="auto" w:sz="4" w:space="0"/>
                  </w:tcBorders>
                  <w:vAlign w:val="center"/>
                </w:tcPr>
                <w:p w14:paraId="32269F46">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1.08</w:t>
                  </w:r>
                </w:p>
              </w:tc>
              <w:tc>
                <w:tcPr>
                  <w:tcW w:w="1516" w:type="dxa"/>
                  <w:tcBorders>
                    <w:top w:val="single" w:color="auto" w:sz="4" w:space="0"/>
                    <w:left w:val="single" w:color="auto" w:sz="4" w:space="0"/>
                    <w:bottom w:val="single" w:color="auto" w:sz="4" w:space="0"/>
                    <w:right w:val="single" w:color="auto" w:sz="4" w:space="0"/>
                  </w:tcBorders>
                  <w:vAlign w:val="center"/>
                </w:tcPr>
                <w:p w14:paraId="3F27ACA4">
                  <w:pPr>
                    <w:pStyle w:val="95"/>
                    <w:spacing w:line="240" w:lineRule="auto"/>
                    <w:ind w:firstLine="0" w:firstLineChars="0"/>
                    <w:rPr>
                      <w:rFonts w:hint="default" w:ascii="Times New Roman" w:eastAsia="宋体"/>
                      <w:color w:val="auto"/>
                      <w:sz w:val="21"/>
                      <w:lang w:val="en-US" w:eastAsia="zh-CN"/>
                    </w:rPr>
                  </w:pPr>
                  <w:r>
                    <w:rPr>
                      <w:rFonts w:hint="eastAsia" w:ascii="Times New Roman"/>
                      <w:color w:val="auto"/>
                      <w:sz w:val="21"/>
                      <w:lang w:val="en-US" w:eastAsia="zh-CN"/>
                    </w:rPr>
                    <w:t>324</w:t>
                  </w:r>
                </w:p>
              </w:tc>
              <w:tc>
                <w:tcPr>
                  <w:tcW w:w="793" w:type="dxa"/>
                  <w:tcBorders>
                    <w:top w:val="single" w:color="auto" w:sz="4" w:space="0"/>
                    <w:left w:val="single" w:color="auto" w:sz="4" w:space="0"/>
                    <w:bottom w:val="single" w:color="auto" w:sz="4" w:space="0"/>
                    <w:right w:val="single" w:color="auto" w:sz="4" w:space="0"/>
                  </w:tcBorders>
                  <w:vAlign w:val="center"/>
                </w:tcPr>
                <w:p w14:paraId="1B39B365">
                  <w:pPr>
                    <w:pStyle w:val="95"/>
                    <w:spacing w:line="240" w:lineRule="auto"/>
                    <w:ind w:firstLine="0" w:firstLineChars="0"/>
                    <w:rPr>
                      <w:rFonts w:ascii="Times New Roman"/>
                      <w:color w:val="auto"/>
                      <w:sz w:val="21"/>
                    </w:rPr>
                  </w:pPr>
                  <w:r>
                    <w:rPr>
                      <w:rFonts w:hint="eastAsia" w:ascii="Times New Roman"/>
                      <w:color w:val="auto"/>
                      <w:sz w:val="21"/>
                    </w:rPr>
                    <w:t>0</w:t>
                  </w:r>
                </w:p>
              </w:tc>
              <w:tc>
                <w:tcPr>
                  <w:tcW w:w="804" w:type="dxa"/>
                  <w:tcBorders>
                    <w:top w:val="single" w:color="auto" w:sz="4" w:space="0"/>
                    <w:left w:val="single" w:color="auto" w:sz="4" w:space="0"/>
                    <w:bottom w:val="single" w:color="auto" w:sz="4" w:space="0"/>
                    <w:right w:val="single" w:color="auto" w:sz="4" w:space="0"/>
                  </w:tcBorders>
                  <w:vAlign w:val="center"/>
                </w:tcPr>
                <w:p w14:paraId="25E91DB5">
                  <w:pPr>
                    <w:pStyle w:val="95"/>
                    <w:spacing w:line="240" w:lineRule="auto"/>
                    <w:ind w:firstLine="0" w:firstLineChars="0"/>
                    <w:rPr>
                      <w:rFonts w:ascii="Times New Roman"/>
                      <w:color w:val="auto"/>
                      <w:sz w:val="21"/>
                    </w:rPr>
                  </w:pPr>
                  <w:r>
                    <w:rPr>
                      <w:rFonts w:hint="eastAsia" w:ascii="Times New Roman"/>
                      <w:color w:val="auto"/>
                      <w:sz w:val="21"/>
                    </w:rPr>
                    <w:t>0</w:t>
                  </w:r>
                </w:p>
              </w:tc>
              <w:tc>
                <w:tcPr>
                  <w:tcW w:w="1400" w:type="dxa"/>
                  <w:vMerge w:val="continue"/>
                  <w:tcBorders>
                    <w:left w:val="single" w:color="auto" w:sz="4" w:space="0"/>
                    <w:bottom w:val="single" w:color="auto" w:sz="4" w:space="0"/>
                    <w:right w:val="single" w:color="auto" w:sz="4" w:space="0"/>
                  </w:tcBorders>
                  <w:vAlign w:val="center"/>
                </w:tcPr>
                <w:p w14:paraId="642C4908">
                  <w:pPr>
                    <w:pStyle w:val="95"/>
                    <w:spacing w:line="240" w:lineRule="auto"/>
                    <w:ind w:firstLine="0" w:firstLineChars="0"/>
                    <w:rPr>
                      <w:rFonts w:ascii="Times New Roman"/>
                      <w:color w:val="auto"/>
                      <w:sz w:val="21"/>
                    </w:rPr>
                  </w:pPr>
                </w:p>
              </w:tc>
            </w:tr>
            <w:tr w14:paraId="54F7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A4793CA">
                  <w:pPr>
                    <w:pStyle w:val="95"/>
                    <w:spacing w:line="240" w:lineRule="auto"/>
                    <w:ind w:firstLine="0" w:firstLineChars="0"/>
                    <w:rPr>
                      <w:rFonts w:ascii="Times New Roman"/>
                      <w:color w:val="auto"/>
                      <w:sz w:val="21"/>
                    </w:rPr>
                  </w:pPr>
                  <w:r>
                    <w:rPr>
                      <w:rFonts w:hint="eastAsia" w:ascii="Times New Roman"/>
                      <w:color w:val="auto"/>
                      <w:sz w:val="21"/>
                    </w:rPr>
                    <w:t>生活用水</w:t>
                  </w:r>
                </w:p>
              </w:tc>
              <w:tc>
                <w:tcPr>
                  <w:tcW w:w="1609" w:type="dxa"/>
                  <w:tcBorders>
                    <w:top w:val="single" w:color="auto" w:sz="4" w:space="0"/>
                    <w:left w:val="single" w:color="auto" w:sz="4" w:space="0"/>
                    <w:bottom w:val="single" w:color="auto" w:sz="4" w:space="0"/>
                    <w:right w:val="single" w:color="auto" w:sz="4" w:space="0"/>
                  </w:tcBorders>
                  <w:vAlign w:val="center"/>
                </w:tcPr>
                <w:p w14:paraId="0D442464">
                  <w:pPr>
                    <w:pStyle w:val="95"/>
                    <w:spacing w:line="240" w:lineRule="auto"/>
                    <w:ind w:firstLine="0" w:firstLineChars="0"/>
                    <w:rPr>
                      <w:rFonts w:ascii="Times New Roman"/>
                      <w:color w:val="auto"/>
                      <w:sz w:val="21"/>
                    </w:rPr>
                  </w:pPr>
                  <w:r>
                    <w:rPr>
                      <w:rFonts w:hint="eastAsia" w:ascii="Times New Roman"/>
                      <w:color w:val="auto"/>
                      <w:sz w:val="21"/>
                    </w:rPr>
                    <w:t>/</w:t>
                  </w:r>
                </w:p>
              </w:tc>
              <w:tc>
                <w:tcPr>
                  <w:tcW w:w="1222" w:type="dxa"/>
                  <w:tcBorders>
                    <w:top w:val="single" w:color="auto" w:sz="4" w:space="0"/>
                    <w:left w:val="single" w:color="auto" w:sz="4" w:space="0"/>
                    <w:bottom w:val="single" w:color="auto" w:sz="4" w:space="0"/>
                    <w:right w:val="single" w:color="auto" w:sz="4" w:space="0"/>
                  </w:tcBorders>
                  <w:vAlign w:val="center"/>
                </w:tcPr>
                <w:p w14:paraId="66B272D3">
                  <w:pPr>
                    <w:pStyle w:val="95"/>
                    <w:spacing w:line="240" w:lineRule="auto"/>
                    <w:ind w:firstLine="0" w:firstLineChars="0"/>
                    <w:rPr>
                      <w:rFonts w:ascii="Times New Roman"/>
                      <w:color w:val="auto"/>
                      <w:sz w:val="21"/>
                    </w:rPr>
                  </w:pPr>
                  <w:r>
                    <w:rPr>
                      <w:rFonts w:hint="eastAsia" w:ascii="Times New Roman"/>
                      <w:color w:val="auto"/>
                      <w:sz w:val="21"/>
                    </w:rPr>
                    <w:t>1.8</w:t>
                  </w:r>
                </w:p>
              </w:tc>
              <w:tc>
                <w:tcPr>
                  <w:tcW w:w="1516" w:type="dxa"/>
                  <w:tcBorders>
                    <w:top w:val="single" w:color="auto" w:sz="4" w:space="0"/>
                    <w:left w:val="single" w:color="auto" w:sz="4" w:space="0"/>
                    <w:bottom w:val="single" w:color="auto" w:sz="4" w:space="0"/>
                    <w:right w:val="single" w:color="auto" w:sz="4" w:space="0"/>
                  </w:tcBorders>
                  <w:vAlign w:val="center"/>
                </w:tcPr>
                <w:p w14:paraId="0E88888D">
                  <w:pPr>
                    <w:pStyle w:val="95"/>
                    <w:spacing w:line="240" w:lineRule="auto"/>
                    <w:ind w:firstLine="0" w:firstLineChars="0"/>
                    <w:rPr>
                      <w:rFonts w:ascii="Times New Roman"/>
                      <w:color w:val="auto"/>
                      <w:sz w:val="21"/>
                    </w:rPr>
                  </w:pPr>
                  <w:r>
                    <w:rPr>
                      <w:rFonts w:hint="eastAsia" w:ascii="Times New Roman"/>
                      <w:color w:val="auto"/>
                      <w:sz w:val="21"/>
                    </w:rPr>
                    <w:t>540</w:t>
                  </w:r>
                </w:p>
              </w:tc>
              <w:tc>
                <w:tcPr>
                  <w:tcW w:w="793" w:type="dxa"/>
                  <w:tcBorders>
                    <w:top w:val="single" w:color="auto" w:sz="4" w:space="0"/>
                    <w:left w:val="single" w:color="auto" w:sz="4" w:space="0"/>
                    <w:bottom w:val="single" w:color="auto" w:sz="4" w:space="0"/>
                    <w:right w:val="single" w:color="auto" w:sz="4" w:space="0"/>
                  </w:tcBorders>
                  <w:vAlign w:val="center"/>
                </w:tcPr>
                <w:p w14:paraId="6FDCE864">
                  <w:pPr>
                    <w:pStyle w:val="95"/>
                    <w:spacing w:line="240" w:lineRule="auto"/>
                    <w:ind w:firstLine="0" w:firstLineChars="0"/>
                    <w:rPr>
                      <w:rFonts w:ascii="Times New Roman"/>
                      <w:color w:val="auto"/>
                      <w:sz w:val="21"/>
                    </w:rPr>
                  </w:pPr>
                  <w:r>
                    <w:rPr>
                      <w:rFonts w:hint="eastAsia" w:ascii="Times New Roman"/>
                      <w:color w:val="auto"/>
                      <w:sz w:val="21"/>
                    </w:rPr>
                    <w:t>1.44</w:t>
                  </w:r>
                </w:p>
              </w:tc>
              <w:tc>
                <w:tcPr>
                  <w:tcW w:w="804" w:type="dxa"/>
                  <w:tcBorders>
                    <w:top w:val="single" w:color="auto" w:sz="4" w:space="0"/>
                    <w:left w:val="single" w:color="auto" w:sz="4" w:space="0"/>
                    <w:bottom w:val="single" w:color="auto" w:sz="4" w:space="0"/>
                    <w:right w:val="single" w:color="auto" w:sz="4" w:space="0"/>
                  </w:tcBorders>
                  <w:vAlign w:val="center"/>
                </w:tcPr>
                <w:p w14:paraId="0391F180">
                  <w:pPr>
                    <w:pStyle w:val="95"/>
                    <w:spacing w:line="240" w:lineRule="auto"/>
                    <w:ind w:firstLine="0" w:firstLineChars="0"/>
                    <w:rPr>
                      <w:rFonts w:ascii="Times New Roman"/>
                      <w:color w:val="auto"/>
                      <w:sz w:val="21"/>
                    </w:rPr>
                  </w:pPr>
                  <w:r>
                    <w:rPr>
                      <w:rFonts w:hint="eastAsia" w:ascii="Times New Roman"/>
                      <w:color w:val="auto"/>
                      <w:sz w:val="21"/>
                    </w:rPr>
                    <w:t>432</w:t>
                  </w:r>
                </w:p>
              </w:tc>
              <w:tc>
                <w:tcPr>
                  <w:tcW w:w="1400" w:type="dxa"/>
                  <w:tcBorders>
                    <w:left w:val="single" w:color="auto" w:sz="4" w:space="0"/>
                    <w:bottom w:val="single" w:color="auto" w:sz="4" w:space="0"/>
                    <w:right w:val="single" w:color="auto" w:sz="4" w:space="0"/>
                  </w:tcBorders>
                  <w:vAlign w:val="center"/>
                </w:tcPr>
                <w:p w14:paraId="4DCC232B">
                  <w:pPr>
                    <w:pStyle w:val="95"/>
                    <w:spacing w:line="240" w:lineRule="auto"/>
                    <w:ind w:firstLine="0" w:firstLineChars="0"/>
                    <w:rPr>
                      <w:rFonts w:hint="eastAsia" w:ascii="Times New Roman" w:eastAsia="宋体"/>
                      <w:color w:val="auto"/>
                      <w:sz w:val="21"/>
                      <w:lang w:eastAsia="zh-CN"/>
                    </w:rPr>
                  </w:pPr>
                  <w:r>
                    <w:rPr>
                      <w:rFonts w:ascii="Times New Roman"/>
                      <w:color w:val="auto"/>
                      <w:sz w:val="21"/>
                    </w:rPr>
                    <w:t>项目食堂废水先经隔油池处理后，再同生活污水排入化粪池处理后，用于农田</w:t>
                  </w:r>
                  <w:r>
                    <w:rPr>
                      <w:rFonts w:hint="eastAsia" w:ascii="Times New Roman"/>
                      <w:color w:val="auto"/>
                      <w:sz w:val="21"/>
                      <w:lang w:val="en-US" w:eastAsia="zh-CN"/>
                    </w:rPr>
                    <w:t>施肥</w:t>
                  </w:r>
                </w:p>
              </w:tc>
            </w:tr>
            <w:tr w14:paraId="5EFA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44" w:type="dxa"/>
                  <w:gridSpan w:val="2"/>
                  <w:tcBorders>
                    <w:top w:val="single" w:color="auto" w:sz="4" w:space="0"/>
                    <w:left w:val="single" w:color="auto" w:sz="4" w:space="0"/>
                    <w:bottom w:val="single" w:color="auto" w:sz="4" w:space="0"/>
                    <w:right w:val="single" w:color="auto" w:sz="4" w:space="0"/>
                  </w:tcBorders>
                  <w:vAlign w:val="center"/>
                </w:tcPr>
                <w:p w14:paraId="719D6E96">
                  <w:pPr>
                    <w:pStyle w:val="95"/>
                    <w:spacing w:line="240" w:lineRule="auto"/>
                    <w:ind w:firstLine="0" w:firstLineChars="0"/>
                    <w:rPr>
                      <w:rFonts w:ascii="Times New Roman"/>
                      <w:color w:val="auto"/>
                      <w:sz w:val="21"/>
                    </w:rPr>
                  </w:pPr>
                  <w:r>
                    <w:rPr>
                      <w:rFonts w:ascii="Times New Roman"/>
                      <w:color w:val="auto"/>
                      <w:sz w:val="21"/>
                    </w:rPr>
                    <w:t>小计</w:t>
                  </w:r>
                </w:p>
              </w:tc>
              <w:tc>
                <w:tcPr>
                  <w:tcW w:w="1225" w:type="dxa"/>
                  <w:tcBorders>
                    <w:top w:val="single" w:color="auto" w:sz="4" w:space="0"/>
                    <w:left w:val="single" w:color="auto" w:sz="4" w:space="0"/>
                    <w:bottom w:val="single" w:color="auto" w:sz="4" w:space="0"/>
                    <w:right w:val="single" w:color="auto" w:sz="4" w:space="0"/>
                  </w:tcBorders>
                  <w:vAlign w:val="center"/>
                </w:tcPr>
                <w:p w14:paraId="6CDE92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23</w:t>
                  </w:r>
                  <w:r>
                    <w:rPr>
                      <w:rFonts w:hint="eastAsia" w:cs="Times New Roman"/>
                      <w:i w:val="0"/>
                      <w:iCs w:val="0"/>
                      <w:color w:val="auto"/>
                      <w:kern w:val="0"/>
                      <w:sz w:val="21"/>
                      <w:szCs w:val="21"/>
                      <w:u w:val="none"/>
                      <w:lang w:val="en-US" w:eastAsia="zh-CN" w:bidi="ar"/>
                    </w:rPr>
                    <w:t>5.05</w:t>
                  </w:r>
                </w:p>
              </w:tc>
              <w:tc>
                <w:tcPr>
                  <w:tcW w:w="1516" w:type="dxa"/>
                  <w:tcBorders>
                    <w:top w:val="single" w:color="auto" w:sz="4" w:space="0"/>
                    <w:left w:val="single" w:color="auto" w:sz="4" w:space="0"/>
                    <w:bottom w:val="single" w:color="auto" w:sz="4" w:space="0"/>
                    <w:right w:val="single" w:color="auto" w:sz="4" w:space="0"/>
                  </w:tcBorders>
                  <w:vAlign w:val="center"/>
                </w:tcPr>
                <w:p w14:paraId="1F7CA4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70</w:t>
                  </w:r>
                  <w:r>
                    <w:rPr>
                      <w:rFonts w:hint="eastAsia" w:cs="Times New Roman"/>
                      <w:i w:val="0"/>
                      <w:iCs w:val="0"/>
                      <w:color w:val="auto"/>
                      <w:kern w:val="0"/>
                      <w:sz w:val="21"/>
                      <w:szCs w:val="21"/>
                      <w:u w:val="none"/>
                      <w:lang w:val="en-US" w:eastAsia="zh-CN" w:bidi="ar"/>
                    </w:rPr>
                    <w:t>515</w:t>
                  </w:r>
                </w:p>
              </w:tc>
              <w:tc>
                <w:tcPr>
                  <w:tcW w:w="794" w:type="dxa"/>
                  <w:tcBorders>
                    <w:top w:val="single" w:color="auto" w:sz="4" w:space="0"/>
                    <w:left w:val="single" w:color="auto" w:sz="4" w:space="0"/>
                    <w:bottom w:val="single" w:color="auto" w:sz="4" w:space="0"/>
                    <w:right w:val="single" w:color="auto" w:sz="4" w:space="0"/>
                  </w:tcBorders>
                  <w:vAlign w:val="center"/>
                </w:tcPr>
                <w:p w14:paraId="6B84DB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14.64</w:t>
                  </w:r>
                </w:p>
              </w:tc>
              <w:tc>
                <w:tcPr>
                  <w:tcW w:w="804" w:type="dxa"/>
                  <w:tcBorders>
                    <w:top w:val="single" w:color="auto" w:sz="4" w:space="0"/>
                    <w:left w:val="single" w:color="auto" w:sz="4" w:space="0"/>
                    <w:bottom w:val="single" w:color="auto" w:sz="4" w:space="0"/>
                    <w:right w:val="single" w:color="auto" w:sz="4" w:space="0"/>
                  </w:tcBorders>
                  <w:vAlign w:val="center"/>
                </w:tcPr>
                <w:p w14:paraId="46ABB4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4392</w:t>
                  </w:r>
                </w:p>
              </w:tc>
              <w:tc>
                <w:tcPr>
                  <w:tcW w:w="1400" w:type="dxa"/>
                  <w:tcBorders>
                    <w:top w:val="single" w:color="auto" w:sz="4" w:space="0"/>
                    <w:left w:val="single" w:color="auto" w:sz="4" w:space="0"/>
                    <w:bottom w:val="single" w:color="auto" w:sz="4" w:space="0"/>
                    <w:right w:val="single" w:color="auto" w:sz="4" w:space="0"/>
                  </w:tcBorders>
                  <w:vAlign w:val="center"/>
                </w:tcPr>
                <w:p w14:paraId="7759CC27">
                  <w:pPr>
                    <w:pStyle w:val="95"/>
                    <w:spacing w:line="240" w:lineRule="auto"/>
                    <w:ind w:firstLine="0" w:firstLineChars="0"/>
                    <w:rPr>
                      <w:rFonts w:ascii="Times New Roman"/>
                      <w:color w:val="auto"/>
                      <w:sz w:val="21"/>
                    </w:rPr>
                  </w:pPr>
                  <w:r>
                    <w:rPr>
                      <w:rFonts w:ascii="Times New Roman"/>
                      <w:color w:val="auto"/>
                      <w:sz w:val="21"/>
                      <w:lang w:val="zh-CN"/>
                    </w:rPr>
                    <w:t>/</w:t>
                  </w:r>
                </w:p>
              </w:tc>
            </w:tr>
          </w:tbl>
          <w:p w14:paraId="47EA7B4F">
            <w:pPr>
              <w:spacing w:line="360" w:lineRule="auto"/>
              <w:ind w:firstLine="480"/>
              <w:rPr>
                <w:color w:val="auto"/>
                <w:sz w:val="24"/>
              </w:rPr>
            </w:pPr>
            <w:r>
              <w:rPr>
                <w:color w:val="auto"/>
                <w:sz w:val="24"/>
              </w:rPr>
              <w:t>本</w:t>
            </w:r>
            <w:r>
              <w:rPr>
                <w:rFonts w:hint="eastAsia"/>
                <w:color w:val="auto"/>
                <w:sz w:val="24"/>
              </w:rPr>
              <w:t>次扩建</w:t>
            </w:r>
            <w:r>
              <w:rPr>
                <w:color w:val="auto"/>
                <w:sz w:val="24"/>
              </w:rPr>
              <w:t>项目水平衡图见图2-1</w:t>
            </w:r>
            <w:r>
              <w:rPr>
                <w:rFonts w:hint="eastAsia"/>
                <w:color w:val="auto"/>
                <w:sz w:val="24"/>
                <w:lang w:val="en-US" w:eastAsia="zh-CN"/>
              </w:rPr>
              <w:t>、2-2</w:t>
            </w:r>
            <w:r>
              <w:rPr>
                <w:rFonts w:hint="eastAsia"/>
                <w:color w:val="auto"/>
                <w:sz w:val="24"/>
              </w:rPr>
              <w:t>，扩建后全厂运营期水平衡</w:t>
            </w:r>
            <w:r>
              <w:rPr>
                <w:color w:val="auto"/>
                <w:sz w:val="24"/>
              </w:rPr>
              <w:t>见图2-</w:t>
            </w:r>
            <w:r>
              <w:rPr>
                <w:rFonts w:hint="eastAsia"/>
                <w:color w:val="auto"/>
                <w:sz w:val="24"/>
                <w:lang w:val="en-US" w:eastAsia="zh-CN"/>
              </w:rPr>
              <w:t>3</w:t>
            </w:r>
            <w:r>
              <w:rPr>
                <w:color w:val="auto"/>
                <w:sz w:val="24"/>
              </w:rPr>
              <w:t>：</w:t>
            </w:r>
          </w:p>
          <w:p w14:paraId="2D33EFBA">
            <w:pPr>
              <w:pStyle w:val="26"/>
              <w:ind w:firstLine="480"/>
              <w:rPr>
                <w:rFonts w:ascii="Times New Roman" w:hAnsi="Times New Roman"/>
                <w:color w:val="auto"/>
                <w:sz w:val="24"/>
              </w:rPr>
            </w:pPr>
          </w:p>
          <w:p w14:paraId="41F9A6C4">
            <w:pPr>
              <w:pStyle w:val="7"/>
              <w:rPr>
                <w:color w:val="auto"/>
              </w:rPr>
            </w:pPr>
          </w:p>
          <w:p w14:paraId="4B5BF9B1">
            <w:pPr>
              <w:pStyle w:val="89"/>
              <w:spacing w:line="360" w:lineRule="auto"/>
              <w:ind w:firstLine="0" w:firstLineChars="0"/>
              <w:jc w:val="center"/>
              <w:rPr>
                <w:b/>
                <w:bCs/>
                <w:snapToGrid w:val="0"/>
                <w:color w:val="auto"/>
                <w:sz w:val="21"/>
                <w:szCs w:val="21"/>
              </w:rPr>
            </w:pPr>
            <w:r>
              <w:rPr>
                <w:color w:val="auto"/>
              </w:rPr>
              <w:object>
                <v:shape id="_x0000_i1025" o:spt="75" type="#_x0000_t75" style="height:355.05pt;width:396.05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14:paraId="7CCD5236">
            <w:pPr>
              <w:pStyle w:val="89"/>
              <w:spacing w:line="360" w:lineRule="auto"/>
              <w:ind w:firstLine="0" w:firstLineChars="0"/>
              <w:jc w:val="center"/>
              <w:rPr>
                <w:b/>
                <w:bCs/>
                <w:snapToGrid w:val="0"/>
                <w:color w:val="auto"/>
                <w:sz w:val="21"/>
                <w:szCs w:val="21"/>
              </w:rPr>
            </w:pPr>
            <w:r>
              <w:rPr>
                <w:b/>
                <w:bCs/>
                <w:snapToGrid w:val="0"/>
                <w:color w:val="auto"/>
                <w:sz w:val="21"/>
                <w:szCs w:val="21"/>
              </w:rPr>
              <w:t xml:space="preserve">图2-1   </w:t>
            </w:r>
            <w:r>
              <w:rPr>
                <w:rFonts w:hint="eastAsia"/>
                <w:b/>
                <w:bCs/>
                <w:snapToGrid w:val="0"/>
                <w:color w:val="auto"/>
                <w:sz w:val="21"/>
                <w:szCs w:val="21"/>
              </w:rPr>
              <w:t>本项目</w:t>
            </w:r>
            <w:r>
              <w:rPr>
                <w:b/>
                <w:bCs/>
                <w:snapToGrid w:val="0"/>
                <w:color w:val="auto"/>
                <w:sz w:val="21"/>
                <w:szCs w:val="21"/>
              </w:rPr>
              <w:t>运营期水平衡示意图</w:t>
            </w:r>
            <w:r>
              <w:rPr>
                <w:rFonts w:hint="eastAsia"/>
                <w:b/>
                <w:bCs/>
                <w:snapToGrid w:val="0"/>
                <w:color w:val="auto"/>
                <w:sz w:val="21"/>
                <w:szCs w:val="21"/>
                <w:lang w:eastAsia="zh-CN"/>
              </w:rPr>
              <w:t>（</w:t>
            </w:r>
            <w:r>
              <w:rPr>
                <w:rFonts w:hint="eastAsia"/>
                <w:b/>
                <w:bCs/>
                <w:snapToGrid w:val="0"/>
                <w:color w:val="auto"/>
                <w:sz w:val="21"/>
                <w:szCs w:val="21"/>
                <w:lang w:val="en-US" w:eastAsia="zh-CN"/>
              </w:rPr>
              <w:t>晴天</w:t>
            </w:r>
            <w:r>
              <w:rPr>
                <w:rFonts w:hint="eastAsia"/>
                <w:b/>
                <w:bCs/>
                <w:snapToGrid w:val="0"/>
                <w:color w:val="auto"/>
                <w:sz w:val="21"/>
                <w:szCs w:val="21"/>
                <w:lang w:eastAsia="zh-CN"/>
              </w:rPr>
              <w:t>）</w:t>
            </w:r>
            <w:r>
              <w:rPr>
                <w:b/>
                <w:bCs/>
                <w:snapToGrid w:val="0"/>
                <w:color w:val="auto"/>
                <w:sz w:val="21"/>
                <w:szCs w:val="21"/>
              </w:rPr>
              <w:t xml:space="preserve">   单位：m</w:t>
            </w:r>
            <w:r>
              <w:rPr>
                <w:b/>
                <w:bCs/>
                <w:snapToGrid w:val="0"/>
                <w:color w:val="auto"/>
                <w:sz w:val="21"/>
                <w:szCs w:val="21"/>
                <w:vertAlign w:val="superscript"/>
              </w:rPr>
              <w:t>3</w:t>
            </w:r>
            <w:r>
              <w:rPr>
                <w:b/>
                <w:bCs/>
                <w:snapToGrid w:val="0"/>
                <w:color w:val="auto"/>
                <w:sz w:val="21"/>
                <w:szCs w:val="21"/>
              </w:rPr>
              <w:t>/d</w:t>
            </w:r>
          </w:p>
          <w:p w14:paraId="441B2C80">
            <w:pPr>
              <w:pStyle w:val="89"/>
              <w:spacing w:line="360" w:lineRule="auto"/>
              <w:ind w:firstLine="0" w:firstLineChars="0"/>
              <w:jc w:val="center"/>
              <w:rPr>
                <w:color w:val="auto"/>
              </w:rPr>
            </w:pPr>
            <w:r>
              <w:rPr>
                <w:color w:val="auto"/>
              </w:rPr>
              <w:object>
                <v:shape id="_x0000_i1026" o:spt="75" type="#_x0000_t75" style="height:332.05pt;width:370.35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14:paraId="3A0B68C0">
            <w:pPr>
              <w:pStyle w:val="89"/>
              <w:spacing w:line="360" w:lineRule="auto"/>
              <w:ind w:firstLine="0" w:firstLineChars="0"/>
              <w:jc w:val="center"/>
              <w:rPr>
                <w:b/>
                <w:bCs/>
                <w:snapToGrid w:val="0"/>
                <w:color w:val="auto"/>
                <w:sz w:val="21"/>
                <w:szCs w:val="21"/>
              </w:rPr>
            </w:pPr>
            <w:r>
              <w:rPr>
                <w:b/>
                <w:bCs/>
                <w:snapToGrid w:val="0"/>
                <w:color w:val="auto"/>
                <w:sz w:val="21"/>
                <w:szCs w:val="21"/>
              </w:rPr>
              <w:t>图2-</w:t>
            </w:r>
            <w:r>
              <w:rPr>
                <w:rFonts w:hint="eastAsia"/>
                <w:b/>
                <w:bCs/>
                <w:snapToGrid w:val="0"/>
                <w:color w:val="auto"/>
                <w:sz w:val="21"/>
                <w:szCs w:val="21"/>
                <w:lang w:val="en-US" w:eastAsia="zh-CN"/>
              </w:rPr>
              <w:t>2</w:t>
            </w:r>
            <w:r>
              <w:rPr>
                <w:b/>
                <w:bCs/>
                <w:snapToGrid w:val="0"/>
                <w:color w:val="auto"/>
                <w:sz w:val="21"/>
                <w:szCs w:val="21"/>
              </w:rPr>
              <w:t xml:space="preserve">  </w:t>
            </w:r>
            <w:r>
              <w:rPr>
                <w:rFonts w:hint="eastAsia"/>
                <w:b/>
                <w:bCs/>
                <w:snapToGrid w:val="0"/>
                <w:color w:val="auto"/>
                <w:sz w:val="21"/>
                <w:szCs w:val="21"/>
              </w:rPr>
              <w:t>本项目</w:t>
            </w:r>
            <w:r>
              <w:rPr>
                <w:b/>
                <w:bCs/>
                <w:snapToGrid w:val="0"/>
                <w:color w:val="auto"/>
                <w:sz w:val="21"/>
                <w:szCs w:val="21"/>
              </w:rPr>
              <w:t>运营期水平衡示意图</w:t>
            </w:r>
            <w:r>
              <w:rPr>
                <w:rFonts w:hint="eastAsia"/>
                <w:b/>
                <w:bCs/>
                <w:snapToGrid w:val="0"/>
                <w:color w:val="auto"/>
                <w:sz w:val="21"/>
                <w:szCs w:val="21"/>
                <w:lang w:eastAsia="zh-CN"/>
              </w:rPr>
              <w:t>（</w:t>
            </w:r>
            <w:r>
              <w:rPr>
                <w:rFonts w:hint="eastAsia"/>
                <w:b/>
                <w:bCs/>
                <w:snapToGrid w:val="0"/>
                <w:color w:val="auto"/>
                <w:sz w:val="21"/>
                <w:szCs w:val="21"/>
                <w:lang w:val="en-US" w:eastAsia="zh-CN"/>
              </w:rPr>
              <w:t>雨天</w:t>
            </w:r>
            <w:r>
              <w:rPr>
                <w:rFonts w:hint="eastAsia"/>
                <w:b/>
                <w:bCs/>
                <w:snapToGrid w:val="0"/>
                <w:color w:val="auto"/>
                <w:sz w:val="21"/>
                <w:szCs w:val="21"/>
                <w:lang w:eastAsia="zh-CN"/>
              </w:rPr>
              <w:t>）</w:t>
            </w:r>
            <w:r>
              <w:rPr>
                <w:b/>
                <w:bCs/>
                <w:snapToGrid w:val="0"/>
                <w:color w:val="auto"/>
                <w:sz w:val="21"/>
                <w:szCs w:val="21"/>
              </w:rPr>
              <w:t xml:space="preserve">   单位：m</w:t>
            </w:r>
            <w:r>
              <w:rPr>
                <w:b/>
                <w:bCs/>
                <w:snapToGrid w:val="0"/>
                <w:color w:val="auto"/>
                <w:sz w:val="21"/>
                <w:szCs w:val="21"/>
                <w:vertAlign w:val="superscript"/>
              </w:rPr>
              <w:t>3</w:t>
            </w:r>
            <w:r>
              <w:rPr>
                <w:b/>
                <w:bCs/>
                <w:snapToGrid w:val="0"/>
                <w:color w:val="auto"/>
                <w:sz w:val="21"/>
                <w:szCs w:val="21"/>
              </w:rPr>
              <w:t>/d</w:t>
            </w:r>
          </w:p>
          <w:p w14:paraId="7F77B6D9">
            <w:pPr>
              <w:pStyle w:val="89"/>
              <w:spacing w:line="360" w:lineRule="auto"/>
              <w:ind w:firstLine="0" w:firstLineChars="0"/>
              <w:jc w:val="center"/>
              <w:rPr>
                <w:color w:val="auto"/>
              </w:rPr>
            </w:pPr>
          </w:p>
          <w:p w14:paraId="4E6A3405">
            <w:pPr>
              <w:pStyle w:val="89"/>
              <w:spacing w:line="360" w:lineRule="auto"/>
              <w:ind w:firstLine="0" w:firstLineChars="0"/>
              <w:jc w:val="center"/>
              <w:rPr>
                <w:color w:val="auto"/>
              </w:rPr>
            </w:pPr>
            <w:r>
              <w:rPr>
                <w:color w:val="auto"/>
              </w:rPr>
              <w:object>
                <v:shape id="_x0000_i1027" o:spt="75" type="#_x0000_t75" style="height:389.6pt;width:403.6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p>
          <w:p w14:paraId="4987EDA1">
            <w:pPr>
              <w:pStyle w:val="89"/>
              <w:spacing w:line="360" w:lineRule="auto"/>
              <w:ind w:firstLine="0" w:firstLineChars="0"/>
              <w:jc w:val="center"/>
              <w:rPr>
                <w:color w:val="auto"/>
              </w:rPr>
            </w:pPr>
            <w:r>
              <w:rPr>
                <w:b/>
                <w:bCs/>
                <w:snapToGrid w:val="0"/>
                <w:color w:val="auto"/>
                <w:sz w:val="21"/>
                <w:szCs w:val="21"/>
              </w:rPr>
              <w:t>图2-</w:t>
            </w:r>
            <w:r>
              <w:rPr>
                <w:rFonts w:hint="eastAsia"/>
                <w:b/>
                <w:bCs/>
                <w:snapToGrid w:val="0"/>
                <w:color w:val="auto"/>
                <w:sz w:val="21"/>
                <w:szCs w:val="21"/>
                <w:lang w:val="en-US" w:eastAsia="zh-CN"/>
              </w:rPr>
              <w:t>3</w:t>
            </w:r>
            <w:r>
              <w:rPr>
                <w:b/>
                <w:bCs/>
                <w:snapToGrid w:val="0"/>
                <w:color w:val="auto"/>
                <w:sz w:val="21"/>
                <w:szCs w:val="21"/>
              </w:rPr>
              <w:t xml:space="preserve">  </w:t>
            </w:r>
            <w:r>
              <w:rPr>
                <w:rFonts w:hint="eastAsia"/>
                <w:b/>
                <w:bCs/>
                <w:snapToGrid w:val="0"/>
                <w:color w:val="auto"/>
                <w:sz w:val="21"/>
                <w:szCs w:val="21"/>
              </w:rPr>
              <w:t>扩建后全厂</w:t>
            </w:r>
            <w:r>
              <w:rPr>
                <w:b/>
                <w:bCs/>
                <w:snapToGrid w:val="0"/>
                <w:color w:val="auto"/>
                <w:sz w:val="21"/>
                <w:szCs w:val="21"/>
              </w:rPr>
              <w:t>运营期水平衡示意图   单位：m</w:t>
            </w:r>
            <w:r>
              <w:rPr>
                <w:b/>
                <w:bCs/>
                <w:snapToGrid w:val="0"/>
                <w:color w:val="auto"/>
                <w:sz w:val="21"/>
                <w:szCs w:val="21"/>
                <w:vertAlign w:val="superscript"/>
              </w:rPr>
              <w:t>3</w:t>
            </w:r>
            <w:r>
              <w:rPr>
                <w:b/>
                <w:bCs/>
                <w:snapToGrid w:val="0"/>
                <w:color w:val="auto"/>
                <w:sz w:val="21"/>
                <w:szCs w:val="21"/>
              </w:rPr>
              <w:t>/d</w:t>
            </w:r>
          </w:p>
        </w:tc>
      </w:tr>
      <w:tr w14:paraId="6D8EA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3672B945">
            <w:pPr>
              <w:pStyle w:val="33"/>
              <w:adjustRightInd w:val="0"/>
              <w:snapToGrid w:val="0"/>
              <w:spacing w:before="0" w:beforeAutospacing="0" w:after="0" w:afterAutospacing="0"/>
              <w:ind w:firstLine="0" w:firstLineChars="0"/>
              <w:jc w:val="center"/>
              <w:rPr>
                <w:rFonts w:ascii="Times New Roman" w:hAnsi="Times New Roman"/>
                <w:color w:val="auto"/>
                <w:sz w:val="21"/>
                <w:szCs w:val="21"/>
              </w:rPr>
            </w:pPr>
            <w:r>
              <w:rPr>
                <w:rFonts w:ascii="Times New Roman" w:hAnsi="Times New Roman"/>
                <w:color w:val="auto"/>
                <w:szCs w:val="24"/>
              </w:rPr>
              <w:t>工艺流程和产排污环节</w:t>
            </w:r>
          </w:p>
        </w:tc>
        <w:tc>
          <w:tcPr>
            <w:tcW w:w="8201" w:type="dxa"/>
          </w:tcPr>
          <w:p w14:paraId="47583B1E">
            <w:pPr>
              <w:spacing w:line="351" w:lineRule="auto"/>
              <w:ind w:firstLine="482"/>
              <w:rPr>
                <w:b/>
                <w:color w:val="auto"/>
                <w:sz w:val="24"/>
              </w:rPr>
            </w:pPr>
            <w:bookmarkStart w:id="17" w:name="_Toc16932"/>
            <w:r>
              <w:rPr>
                <w:b/>
                <w:color w:val="auto"/>
                <w:sz w:val="24"/>
              </w:rPr>
              <w:t>一、施工期工艺流程和产排污节点</w:t>
            </w:r>
          </w:p>
          <w:p w14:paraId="1912C680">
            <w:pPr>
              <w:spacing w:line="360" w:lineRule="auto"/>
              <w:ind w:firstLine="480"/>
              <w:rPr>
                <w:color w:val="auto"/>
                <w:kern w:val="0"/>
                <w:sz w:val="24"/>
                <w:lang w:bidi="ar"/>
              </w:rPr>
            </w:pPr>
            <w:r>
              <w:rPr>
                <w:color w:val="auto"/>
                <w:kern w:val="0"/>
                <w:sz w:val="24"/>
                <w:lang w:bidi="ar"/>
              </w:rPr>
              <w:t>本扩建项目原料仓三面围挡、水泥筒仓、粉煤灰筒仓、矿粉筒仓及破碎制砂车间均已安装完成，扩建项目暂未开始设备调试及投入运营，等环评手续及竣工环境保护验收工作结束后将投入运营。</w:t>
            </w:r>
          </w:p>
          <w:p w14:paraId="3A19BC79">
            <w:pPr>
              <w:spacing w:line="351" w:lineRule="auto"/>
              <w:ind w:firstLine="482"/>
              <w:rPr>
                <w:b/>
                <w:color w:val="auto"/>
                <w:sz w:val="24"/>
              </w:rPr>
            </w:pPr>
            <w:r>
              <w:rPr>
                <w:b/>
                <w:color w:val="auto"/>
                <w:sz w:val="24"/>
              </w:rPr>
              <w:t>二、运营期工艺流程和产排污节点</w:t>
            </w:r>
          </w:p>
          <w:p w14:paraId="1863CB1F">
            <w:pPr>
              <w:spacing w:line="351" w:lineRule="auto"/>
              <w:ind w:firstLine="482"/>
              <w:rPr>
                <w:b/>
                <w:bCs/>
                <w:iCs/>
                <w:color w:val="auto"/>
                <w:sz w:val="24"/>
              </w:rPr>
            </w:pPr>
            <w:r>
              <w:rPr>
                <w:b/>
                <w:bCs/>
                <w:iCs/>
                <w:color w:val="auto"/>
                <w:sz w:val="24"/>
              </w:rPr>
              <w:t>（一）运营期</w:t>
            </w:r>
            <w:r>
              <w:rPr>
                <w:b/>
                <w:bCs/>
                <w:color w:val="auto"/>
                <w:sz w:val="24"/>
              </w:rPr>
              <w:t>工艺流程</w:t>
            </w:r>
          </w:p>
          <w:p w14:paraId="5DF46FFD">
            <w:pPr>
              <w:adjustRightInd w:val="0"/>
              <w:snapToGrid w:val="0"/>
              <w:spacing w:line="351" w:lineRule="auto"/>
              <w:ind w:firstLine="482"/>
              <w:rPr>
                <w:color w:val="auto"/>
                <w:sz w:val="24"/>
              </w:rPr>
            </w:pPr>
            <w:r>
              <w:rPr>
                <w:b/>
                <w:bCs/>
                <w:color w:val="auto"/>
                <w:sz w:val="24"/>
              </w:rPr>
              <w:t>1、生产商品混凝土</w:t>
            </w:r>
          </w:p>
          <w:p w14:paraId="3D645063">
            <w:pPr>
              <w:spacing w:line="360" w:lineRule="auto"/>
              <w:ind w:firstLine="480"/>
              <w:rPr>
                <w:color w:val="auto"/>
                <w:sz w:val="24"/>
              </w:rPr>
            </w:pPr>
            <w:r>
              <w:rPr>
                <w:color w:val="auto"/>
                <w:sz w:val="24"/>
              </w:rPr>
              <w:t>项目主要生</w:t>
            </w:r>
            <w:r>
              <w:rPr>
                <w:color w:val="auto"/>
                <w:kern w:val="0"/>
                <w:sz w:val="24"/>
                <w:lang w:bidi="ar"/>
              </w:rPr>
              <w:t>产商品混凝土由骨料、水泥、粉煤灰、矿粉混合拌制而成。进入拌缸的骨料、水泥、粉煤灰、矿粉等经拌合后才成为成品，整个过程都在密闭系统中进行。其一般流程可分为计量、进料，而后进入拌缸拌合后即成为</w:t>
            </w:r>
            <w:r>
              <w:rPr>
                <w:rFonts w:hint="eastAsia"/>
                <w:color w:val="auto"/>
                <w:kern w:val="0"/>
                <w:sz w:val="24"/>
                <w:lang w:bidi="ar"/>
              </w:rPr>
              <w:t>成品</w:t>
            </w:r>
            <w:r>
              <w:rPr>
                <w:color w:val="auto"/>
                <w:kern w:val="0"/>
                <w:sz w:val="24"/>
                <w:lang w:bidi="ar"/>
              </w:rPr>
              <w:t>由汽车运输至施工场地，生产出料过程为间断式，成品从拌缸卸料后直接由汽车运出。</w:t>
            </w:r>
            <w:r>
              <w:rPr>
                <w:color w:val="auto"/>
                <w:sz w:val="24"/>
              </w:rPr>
              <w:t>生产工艺及产排污节点如下图所示：</w:t>
            </w:r>
          </w:p>
          <w:p w14:paraId="0162E117">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48" w:firstLineChars="200"/>
              <w:jc w:val="left"/>
              <w:textAlignment w:val="auto"/>
              <w:rPr>
                <w:color w:val="auto"/>
                <w:spacing w:val="-31"/>
                <w:sz w:val="24"/>
                <w:szCs w:val="24"/>
              </w:rPr>
            </w:pPr>
            <w:r>
              <w:rPr>
                <w:color w:val="auto"/>
                <w:spacing w:val="-8"/>
                <w:sz w:val="24"/>
                <w:szCs w:val="24"/>
              </w:rPr>
              <w:t>废气：水泥筒仓颗粒物（</w:t>
            </w:r>
            <w:r>
              <w:rPr>
                <w:rFonts w:ascii="Times New Roman" w:hAnsi="Times New Roman" w:eastAsia="Times New Roman" w:cs="Times New Roman"/>
                <w:color w:val="auto"/>
                <w:spacing w:val="-8"/>
                <w:sz w:val="24"/>
                <w:szCs w:val="24"/>
              </w:rPr>
              <w:t>G1</w:t>
            </w:r>
            <w:r>
              <w:rPr>
                <w:color w:val="auto"/>
                <w:spacing w:val="-8"/>
                <w:sz w:val="24"/>
                <w:szCs w:val="24"/>
              </w:rPr>
              <w:t>）、粉煤灰</w:t>
            </w:r>
            <w:r>
              <w:rPr>
                <w:rFonts w:hint="eastAsia" w:eastAsia="宋体"/>
                <w:color w:val="auto"/>
                <w:spacing w:val="-8"/>
                <w:sz w:val="24"/>
                <w:szCs w:val="24"/>
                <w:lang w:val="en-US" w:eastAsia="zh-CN"/>
              </w:rPr>
              <w:t>筒仓</w:t>
            </w:r>
            <w:r>
              <w:rPr>
                <w:color w:val="auto"/>
                <w:spacing w:val="-8"/>
                <w:sz w:val="24"/>
                <w:szCs w:val="24"/>
              </w:rPr>
              <w:t>颗粒物（</w:t>
            </w:r>
            <w:r>
              <w:rPr>
                <w:rFonts w:ascii="Times New Roman" w:hAnsi="Times New Roman" w:eastAsia="Times New Roman" w:cs="Times New Roman"/>
                <w:color w:val="auto"/>
                <w:spacing w:val="-8"/>
                <w:sz w:val="24"/>
                <w:szCs w:val="24"/>
              </w:rPr>
              <w:t>G2</w:t>
            </w:r>
            <w:r>
              <w:rPr>
                <w:color w:val="auto"/>
                <w:spacing w:val="-8"/>
                <w:sz w:val="24"/>
                <w:szCs w:val="24"/>
              </w:rPr>
              <w:t>）</w:t>
            </w:r>
            <w:r>
              <w:rPr>
                <w:color w:val="auto"/>
                <w:spacing w:val="-9"/>
                <w:sz w:val="24"/>
                <w:szCs w:val="24"/>
              </w:rPr>
              <w:t>、</w:t>
            </w:r>
            <w:r>
              <w:rPr>
                <w:rFonts w:hint="eastAsia" w:eastAsia="宋体"/>
                <w:color w:val="auto"/>
                <w:spacing w:val="-8"/>
                <w:sz w:val="24"/>
                <w:szCs w:val="24"/>
                <w:lang w:val="en-US" w:eastAsia="zh-CN"/>
              </w:rPr>
              <w:t>矿粉筒仓</w:t>
            </w:r>
            <w:r>
              <w:rPr>
                <w:color w:val="auto"/>
                <w:spacing w:val="-8"/>
                <w:sz w:val="24"/>
                <w:szCs w:val="24"/>
              </w:rPr>
              <w:t>颗粒物（</w:t>
            </w:r>
            <w:r>
              <w:rPr>
                <w:rFonts w:ascii="Times New Roman" w:hAnsi="Times New Roman" w:eastAsia="Times New Roman" w:cs="Times New Roman"/>
                <w:color w:val="auto"/>
                <w:spacing w:val="-8"/>
                <w:sz w:val="24"/>
                <w:szCs w:val="24"/>
              </w:rPr>
              <w:t>G</w:t>
            </w:r>
            <w:r>
              <w:rPr>
                <w:rFonts w:hint="eastAsia" w:ascii="Times New Roman" w:hAnsi="Times New Roman" w:eastAsia="宋体" w:cs="Times New Roman"/>
                <w:color w:val="auto"/>
                <w:spacing w:val="-8"/>
                <w:sz w:val="24"/>
                <w:szCs w:val="24"/>
                <w:lang w:val="en-US" w:eastAsia="zh-CN"/>
              </w:rPr>
              <w:t>3</w:t>
            </w:r>
            <w:r>
              <w:rPr>
                <w:color w:val="auto"/>
                <w:spacing w:val="-8"/>
                <w:sz w:val="24"/>
                <w:szCs w:val="24"/>
              </w:rPr>
              <w:t>）</w:t>
            </w:r>
            <w:r>
              <w:rPr>
                <w:color w:val="auto"/>
                <w:spacing w:val="-9"/>
                <w:sz w:val="24"/>
                <w:szCs w:val="24"/>
              </w:rPr>
              <w:t>搅拌机颗粒物（</w:t>
            </w:r>
            <w:r>
              <w:rPr>
                <w:rFonts w:ascii="Times New Roman" w:hAnsi="Times New Roman" w:eastAsia="Times New Roman" w:cs="Times New Roman"/>
                <w:color w:val="auto"/>
                <w:spacing w:val="-9"/>
                <w:sz w:val="24"/>
                <w:szCs w:val="24"/>
              </w:rPr>
              <w:t>G</w:t>
            </w:r>
            <w:r>
              <w:rPr>
                <w:rFonts w:hint="eastAsia" w:ascii="Times New Roman" w:hAnsi="Times New Roman" w:eastAsia="宋体" w:cs="Times New Roman"/>
                <w:color w:val="auto"/>
                <w:spacing w:val="-9"/>
                <w:sz w:val="24"/>
                <w:szCs w:val="24"/>
                <w:lang w:val="en-US" w:eastAsia="zh-CN"/>
              </w:rPr>
              <w:t>4</w:t>
            </w:r>
            <w:r>
              <w:rPr>
                <w:color w:val="auto"/>
                <w:spacing w:val="-9"/>
                <w:sz w:val="24"/>
                <w:szCs w:val="24"/>
              </w:rPr>
              <w:t>）、</w:t>
            </w:r>
            <w:r>
              <w:rPr>
                <w:color w:val="auto"/>
                <w:sz w:val="24"/>
                <w:szCs w:val="24"/>
              </w:rPr>
              <w:t>砂石料堆颗粒物（</w:t>
            </w:r>
            <w:r>
              <w:rPr>
                <w:rFonts w:ascii="Times New Roman" w:hAnsi="Times New Roman" w:eastAsia="Times New Roman" w:cs="Times New Roman"/>
                <w:color w:val="auto"/>
                <w:sz w:val="24"/>
                <w:szCs w:val="24"/>
              </w:rPr>
              <w:t>G</w:t>
            </w:r>
            <w:r>
              <w:rPr>
                <w:rFonts w:hint="eastAsia" w:ascii="Times New Roman" w:hAnsi="Times New Roman" w:eastAsia="宋体" w:cs="Times New Roman"/>
                <w:color w:val="auto"/>
                <w:sz w:val="24"/>
                <w:szCs w:val="24"/>
                <w:lang w:val="en-US" w:eastAsia="zh-CN"/>
              </w:rPr>
              <w:t>5</w:t>
            </w:r>
            <w:r>
              <w:rPr>
                <w:color w:val="auto"/>
                <w:sz w:val="24"/>
                <w:szCs w:val="24"/>
              </w:rPr>
              <w:t>）、</w:t>
            </w:r>
            <w:r>
              <w:rPr>
                <w:rFonts w:hint="eastAsia" w:eastAsia="宋体"/>
                <w:color w:val="auto"/>
                <w:sz w:val="24"/>
                <w:szCs w:val="24"/>
                <w:lang w:val="en-US" w:eastAsia="zh-CN"/>
              </w:rPr>
              <w:t>砂石料上料</w:t>
            </w:r>
            <w:r>
              <w:rPr>
                <w:color w:val="auto"/>
                <w:sz w:val="24"/>
                <w:szCs w:val="24"/>
              </w:rPr>
              <w:t>颗粒物（</w:t>
            </w:r>
            <w:r>
              <w:rPr>
                <w:rFonts w:ascii="Times New Roman" w:hAnsi="Times New Roman" w:eastAsia="Times New Roman" w:cs="Times New Roman"/>
                <w:color w:val="auto"/>
                <w:sz w:val="24"/>
                <w:szCs w:val="24"/>
              </w:rPr>
              <w:t>G</w:t>
            </w:r>
            <w:r>
              <w:rPr>
                <w:rFonts w:hint="eastAsia" w:ascii="Times New Roman" w:hAnsi="Times New Roman" w:eastAsia="宋体" w:cs="Times New Roman"/>
                <w:color w:val="auto"/>
                <w:sz w:val="24"/>
                <w:szCs w:val="24"/>
                <w:lang w:val="en-US" w:eastAsia="zh-CN"/>
              </w:rPr>
              <w:t>6</w:t>
            </w:r>
            <w:r>
              <w:rPr>
                <w:color w:val="auto"/>
                <w:sz w:val="24"/>
                <w:szCs w:val="24"/>
              </w:rPr>
              <w:t>）</w:t>
            </w:r>
            <w:r>
              <w:rPr>
                <w:color w:val="auto"/>
                <w:spacing w:val="-1"/>
                <w:sz w:val="24"/>
                <w:szCs w:val="24"/>
              </w:rPr>
              <w:t>、车辆运输颗粒物（</w:t>
            </w:r>
            <w:r>
              <w:rPr>
                <w:rFonts w:ascii="Times New Roman" w:hAnsi="Times New Roman" w:eastAsia="Times New Roman" w:cs="Times New Roman"/>
                <w:color w:val="auto"/>
                <w:spacing w:val="-1"/>
                <w:sz w:val="24"/>
                <w:szCs w:val="24"/>
              </w:rPr>
              <w:t>G</w:t>
            </w:r>
            <w:r>
              <w:rPr>
                <w:rFonts w:hint="eastAsia" w:ascii="Times New Roman" w:hAnsi="Times New Roman" w:eastAsia="宋体" w:cs="Times New Roman"/>
                <w:color w:val="auto"/>
                <w:spacing w:val="-1"/>
                <w:sz w:val="24"/>
                <w:szCs w:val="24"/>
                <w:lang w:val="en-US" w:eastAsia="zh-CN"/>
              </w:rPr>
              <w:t>7</w:t>
            </w:r>
            <w:r>
              <w:rPr>
                <w:color w:val="auto"/>
                <w:spacing w:val="-31"/>
                <w:sz w:val="24"/>
                <w:szCs w:val="24"/>
              </w:rPr>
              <w:t>）；</w:t>
            </w:r>
          </w:p>
          <w:p w14:paraId="3D541B0F">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left"/>
              <w:textAlignment w:val="auto"/>
              <w:rPr>
                <w:color w:val="auto"/>
                <w:sz w:val="24"/>
                <w:szCs w:val="24"/>
              </w:rPr>
            </w:pPr>
            <w:r>
              <w:rPr>
                <w:color w:val="auto"/>
                <w:spacing w:val="-2"/>
                <w:sz w:val="24"/>
                <w:szCs w:val="24"/>
              </w:rPr>
              <w:t>固废：沉淀池沉沙（</w:t>
            </w:r>
            <w:r>
              <w:rPr>
                <w:rFonts w:ascii="Times New Roman" w:hAnsi="Times New Roman" w:eastAsia="Times New Roman" w:cs="Times New Roman"/>
                <w:color w:val="auto"/>
                <w:spacing w:val="-2"/>
                <w:sz w:val="24"/>
                <w:szCs w:val="24"/>
              </w:rPr>
              <w:t>S1</w:t>
            </w:r>
            <w:r>
              <w:rPr>
                <w:color w:val="auto"/>
                <w:spacing w:val="-2"/>
                <w:sz w:val="24"/>
                <w:szCs w:val="24"/>
              </w:rPr>
              <w:t>）、除尘器回收粉尘（</w:t>
            </w:r>
            <w:r>
              <w:rPr>
                <w:rFonts w:ascii="Times New Roman" w:hAnsi="Times New Roman" w:eastAsia="Times New Roman" w:cs="Times New Roman"/>
                <w:color w:val="auto"/>
                <w:spacing w:val="-2"/>
                <w:sz w:val="24"/>
                <w:szCs w:val="24"/>
              </w:rPr>
              <w:t>S2</w:t>
            </w:r>
            <w:r>
              <w:rPr>
                <w:color w:val="auto"/>
                <w:spacing w:val="7"/>
                <w:sz w:val="24"/>
                <w:szCs w:val="24"/>
              </w:rPr>
              <w:t>）；</w:t>
            </w:r>
          </w:p>
          <w:p w14:paraId="400EB08D">
            <w:pPr>
              <w:pStyle w:val="26"/>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jc w:val="left"/>
              <w:textAlignment w:val="auto"/>
              <w:rPr>
                <w:color w:val="auto"/>
                <w:spacing w:val="4"/>
                <w:sz w:val="24"/>
                <w:szCs w:val="24"/>
              </w:rPr>
            </w:pPr>
            <w:r>
              <w:rPr>
                <w:color w:val="auto"/>
                <w:spacing w:val="-9"/>
                <w:sz w:val="24"/>
                <w:szCs w:val="24"/>
              </w:rPr>
              <w:t>废水：车辆清洗废水（</w:t>
            </w:r>
            <w:r>
              <w:rPr>
                <w:rFonts w:ascii="Times New Roman" w:hAnsi="Times New Roman" w:eastAsia="Times New Roman" w:cs="Times New Roman"/>
                <w:color w:val="auto"/>
                <w:spacing w:val="-9"/>
                <w:sz w:val="24"/>
                <w:szCs w:val="24"/>
              </w:rPr>
              <w:t>W1</w:t>
            </w:r>
            <w:r>
              <w:rPr>
                <w:color w:val="auto"/>
                <w:spacing w:val="-9"/>
                <w:sz w:val="24"/>
                <w:szCs w:val="24"/>
              </w:rPr>
              <w:t>）、搅拌机清洗废水（</w:t>
            </w:r>
            <w:r>
              <w:rPr>
                <w:rFonts w:ascii="Times New Roman" w:hAnsi="Times New Roman" w:eastAsia="Times New Roman" w:cs="Times New Roman"/>
                <w:color w:val="auto"/>
                <w:spacing w:val="-9"/>
                <w:sz w:val="24"/>
                <w:szCs w:val="24"/>
              </w:rPr>
              <w:t>W</w:t>
            </w:r>
            <w:r>
              <w:rPr>
                <w:rFonts w:hint="eastAsia" w:ascii="Times New Roman" w:hAnsi="Times New Roman" w:eastAsia="宋体" w:cs="Times New Roman"/>
                <w:color w:val="auto"/>
                <w:spacing w:val="-9"/>
                <w:sz w:val="24"/>
                <w:szCs w:val="24"/>
                <w:lang w:val="en-US" w:eastAsia="zh-CN"/>
              </w:rPr>
              <w:t>2</w:t>
            </w:r>
            <w:r>
              <w:rPr>
                <w:color w:val="auto"/>
                <w:spacing w:val="-55"/>
                <w:w w:val="86"/>
                <w:sz w:val="24"/>
                <w:szCs w:val="24"/>
              </w:rPr>
              <w:t>）</w:t>
            </w:r>
            <w:r>
              <w:rPr>
                <w:rFonts w:hint="eastAsia"/>
                <w:color w:val="auto"/>
                <w:spacing w:val="-55"/>
                <w:w w:val="86"/>
                <w:sz w:val="24"/>
                <w:szCs w:val="24"/>
                <w:lang w:eastAsia="zh-CN"/>
              </w:rPr>
              <w:t>、</w:t>
            </w:r>
            <w:r>
              <w:rPr>
                <w:rFonts w:hint="eastAsia"/>
                <w:color w:val="auto"/>
                <w:spacing w:val="0"/>
                <w:w w:val="100"/>
                <w:sz w:val="24"/>
                <w:szCs w:val="24"/>
                <w:lang w:val="en-US" w:eastAsia="zh-CN"/>
              </w:rPr>
              <w:t>检验设备用水</w:t>
            </w:r>
            <w:r>
              <w:rPr>
                <w:color w:val="auto"/>
                <w:spacing w:val="-9"/>
                <w:sz w:val="24"/>
                <w:szCs w:val="24"/>
              </w:rPr>
              <w:t>（</w:t>
            </w:r>
            <w:r>
              <w:rPr>
                <w:rFonts w:ascii="Times New Roman" w:hAnsi="Times New Roman" w:eastAsia="Times New Roman" w:cs="Times New Roman"/>
                <w:color w:val="auto"/>
                <w:spacing w:val="-9"/>
                <w:sz w:val="24"/>
                <w:szCs w:val="24"/>
              </w:rPr>
              <w:t>W</w:t>
            </w:r>
            <w:r>
              <w:rPr>
                <w:rFonts w:hint="eastAsia" w:ascii="Times New Roman" w:hAnsi="Times New Roman" w:cs="Times New Roman"/>
                <w:color w:val="auto"/>
                <w:spacing w:val="-9"/>
                <w:sz w:val="24"/>
                <w:szCs w:val="24"/>
                <w:lang w:val="en-US" w:eastAsia="zh-CN"/>
              </w:rPr>
              <w:t>3</w:t>
            </w:r>
            <w:r>
              <w:rPr>
                <w:color w:val="auto"/>
                <w:spacing w:val="-55"/>
                <w:w w:val="86"/>
                <w:sz w:val="24"/>
                <w:szCs w:val="24"/>
              </w:rPr>
              <w:t>）</w:t>
            </w:r>
            <w:r>
              <w:rPr>
                <w:color w:val="auto"/>
                <w:spacing w:val="0"/>
                <w:w w:val="100"/>
                <w:sz w:val="24"/>
                <w:szCs w:val="24"/>
              </w:rPr>
              <w:t>；</w:t>
            </w:r>
            <w:r>
              <w:rPr>
                <w:color w:val="auto"/>
                <w:spacing w:val="4"/>
                <w:sz w:val="24"/>
                <w:szCs w:val="24"/>
              </w:rPr>
              <w:t xml:space="preserve"> </w:t>
            </w:r>
          </w:p>
          <w:p w14:paraId="1099BF18">
            <w:pPr>
              <w:pStyle w:val="26"/>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left"/>
              <w:textAlignment w:val="auto"/>
              <w:rPr>
                <w:color w:val="auto"/>
              </w:rPr>
            </w:pPr>
            <w:r>
              <w:rPr>
                <w:color w:val="auto"/>
                <w:spacing w:val="-2"/>
                <w:sz w:val="24"/>
                <w:szCs w:val="24"/>
              </w:rPr>
              <w:t>噪声：机械噪声（</w:t>
            </w:r>
            <w:r>
              <w:rPr>
                <w:rFonts w:ascii="Times New Roman" w:hAnsi="Times New Roman" w:eastAsia="Times New Roman" w:cs="Times New Roman"/>
                <w:color w:val="auto"/>
                <w:spacing w:val="-2"/>
                <w:sz w:val="24"/>
                <w:szCs w:val="24"/>
              </w:rPr>
              <w:t>N</w:t>
            </w:r>
            <w:r>
              <w:rPr>
                <w:color w:val="auto"/>
                <w:spacing w:val="-2"/>
                <w:sz w:val="24"/>
                <w:szCs w:val="24"/>
              </w:rPr>
              <w:t>）。</w:t>
            </w:r>
          </w:p>
          <w:p w14:paraId="2E63B6D4">
            <w:pPr>
              <w:pStyle w:val="3"/>
              <w:ind w:firstLine="0" w:firstLineChars="0"/>
              <w:jc w:val="center"/>
              <w:rPr>
                <w:bCs/>
                <w:color w:val="auto"/>
                <w:szCs w:val="21"/>
              </w:rPr>
            </w:pPr>
            <w:r>
              <w:rPr>
                <w:rFonts w:hint="eastAsia"/>
                <w:color w:val="auto"/>
              </w:rPr>
              <w:object>
                <v:shape id="_x0000_i1028" o:spt="75" type="#_x0000_t75" style="height:277.5pt;width:404.75pt;" o:ole="t" filled="f" o:preferrelative="t" stroked="f" coordsize="21600,21600">
                  <v:path/>
                  <v:fill on="f" focussize="0,0"/>
                  <v:stroke on="f"/>
                  <v:imagedata r:id="rId18" o:title=""/>
                  <o:lock v:ext="edit" aspectratio="t"/>
                  <w10:wrap type="none"/>
                  <w10:anchorlock/>
                </v:shape>
                <o:OLEObject Type="Embed" ProgID="Visio.Drawing.11" ShapeID="_x0000_i1028" DrawAspect="Content" ObjectID="_1468075728" r:id="rId17">
                  <o:LockedField>false</o:LockedField>
                </o:OLEObject>
              </w:object>
            </w:r>
            <w:r>
              <w:rPr>
                <w:bCs/>
                <w:color w:val="auto"/>
                <w:sz w:val="21"/>
                <w:szCs w:val="21"/>
              </w:rPr>
              <w:t>图2-</w:t>
            </w:r>
            <w:r>
              <w:rPr>
                <w:rFonts w:hint="eastAsia"/>
                <w:bCs/>
                <w:color w:val="auto"/>
                <w:sz w:val="21"/>
                <w:szCs w:val="21"/>
                <w:lang w:val="en-US" w:eastAsia="zh-CN"/>
              </w:rPr>
              <w:t>4</w:t>
            </w:r>
            <w:r>
              <w:rPr>
                <w:bCs/>
                <w:color w:val="auto"/>
                <w:sz w:val="21"/>
                <w:szCs w:val="21"/>
              </w:rPr>
              <w:t xml:space="preserve">   </w:t>
            </w:r>
            <w:r>
              <w:rPr>
                <w:bCs/>
                <w:color w:val="auto"/>
              </w:rPr>
              <w:t>运营期商品混凝土工艺流程及产污节点图</w:t>
            </w:r>
          </w:p>
          <w:p w14:paraId="1F65DECF">
            <w:pPr>
              <w:adjustRightInd w:val="0"/>
              <w:snapToGrid w:val="0"/>
              <w:spacing w:line="356" w:lineRule="auto"/>
              <w:ind w:firstLine="482"/>
              <w:rPr>
                <w:b/>
                <w:color w:val="auto"/>
                <w:sz w:val="24"/>
              </w:rPr>
            </w:pPr>
            <w:r>
              <w:rPr>
                <w:b/>
                <w:color w:val="auto"/>
                <w:sz w:val="24"/>
              </w:rPr>
              <w:t>工艺流程简述：</w:t>
            </w:r>
          </w:p>
          <w:p w14:paraId="614E964C">
            <w:pPr>
              <w:spacing w:line="360" w:lineRule="auto"/>
              <w:ind w:firstLine="480"/>
              <w:rPr>
                <w:color w:val="auto"/>
                <w:sz w:val="24"/>
              </w:rPr>
            </w:pPr>
            <w:r>
              <w:rPr>
                <w:color w:val="auto"/>
                <w:sz w:val="24"/>
              </w:rPr>
              <w:t>（1）原料</w:t>
            </w:r>
          </w:p>
          <w:p w14:paraId="0A2B7F49">
            <w:pPr>
              <w:spacing w:line="360" w:lineRule="auto"/>
              <w:ind w:firstLine="480"/>
              <w:rPr>
                <w:color w:val="auto"/>
                <w:sz w:val="24"/>
              </w:rPr>
            </w:pPr>
            <w:r>
              <w:rPr>
                <w:color w:val="auto"/>
                <w:sz w:val="24"/>
              </w:rPr>
              <w:t>本项目生产所需要的原料有水泥、矿粉、粉煤灰、砂子、碎石、水，其中水泥、矿粉、粉煤灰等粉状原料采用罐装车运输到厂区后，正压吹入相应原料筒仓内储存；砂、石子由运输车辆运至位于厂区西北侧的砂石料堆场内堆存。项目设置水泥筒仓2座，矿粉筒仓1座，粉煤灰筒仓1座。外加剂</w:t>
            </w:r>
            <w:r>
              <w:rPr>
                <w:rFonts w:hint="eastAsia"/>
                <w:color w:val="auto"/>
                <w:sz w:val="24"/>
                <w:lang w:eastAsia="zh-CN"/>
              </w:rPr>
              <w:t>（</w:t>
            </w:r>
            <w:r>
              <w:rPr>
                <w:rFonts w:hint="eastAsia"/>
                <w:color w:val="auto"/>
                <w:sz w:val="24"/>
                <w:lang w:val="en-US" w:eastAsia="zh-CN"/>
              </w:rPr>
              <w:t>减水剂</w:t>
            </w:r>
            <w:r>
              <w:rPr>
                <w:rFonts w:hint="eastAsia"/>
                <w:color w:val="auto"/>
                <w:sz w:val="24"/>
                <w:lang w:eastAsia="zh-CN"/>
              </w:rPr>
              <w:t>）</w:t>
            </w:r>
            <w:r>
              <w:rPr>
                <w:color w:val="auto"/>
                <w:sz w:val="24"/>
              </w:rPr>
              <w:t>，其作用只是改变混凝土的物理性质，没有化学反应。</w:t>
            </w:r>
          </w:p>
          <w:p w14:paraId="3380A4B0">
            <w:pPr>
              <w:pStyle w:val="94"/>
              <w:spacing w:line="356" w:lineRule="auto"/>
              <w:ind w:firstLine="480"/>
              <w:rPr>
                <w:color w:val="auto"/>
              </w:rPr>
            </w:pPr>
            <w:r>
              <w:rPr>
                <w:color w:val="auto"/>
              </w:rPr>
              <w:t>在卸料过程中，筒仓顶部呼吸口会产生</w:t>
            </w:r>
            <w:r>
              <w:rPr>
                <w:rFonts w:hint="eastAsia"/>
                <w:color w:val="auto"/>
                <w:lang w:val="en-US" w:eastAsia="zh-CN"/>
              </w:rPr>
              <w:t>颗粒物</w:t>
            </w:r>
            <w:r>
              <w:rPr>
                <w:color w:val="auto"/>
              </w:rPr>
              <w:t>和噪声；卸料水泥会产生</w:t>
            </w:r>
            <w:r>
              <w:rPr>
                <w:rFonts w:hint="eastAsia"/>
                <w:color w:val="auto"/>
                <w:lang w:val="en-US" w:eastAsia="zh-CN"/>
              </w:rPr>
              <w:t>固废</w:t>
            </w:r>
            <w:r>
              <w:rPr>
                <w:color w:val="auto"/>
              </w:rPr>
              <w:t>包装袋。</w:t>
            </w:r>
          </w:p>
          <w:p w14:paraId="7D543202">
            <w:pPr>
              <w:spacing w:line="360" w:lineRule="auto"/>
              <w:ind w:firstLine="480"/>
              <w:rPr>
                <w:color w:val="auto"/>
                <w:sz w:val="24"/>
              </w:rPr>
            </w:pPr>
            <w:r>
              <w:rPr>
                <w:color w:val="auto"/>
                <w:sz w:val="24"/>
              </w:rPr>
              <w:t>（2）加料</w:t>
            </w:r>
          </w:p>
          <w:p w14:paraId="5B68ED6C">
            <w:pPr>
              <w:spacing w:line="360" w:lineRule="auto"/>
              <w:ind w:firstLine="480"/>
              <w:rPr>
                <w:color w:val="auto"/>
                <w:sz w:val="24"/>
              </w:rPr>
            </w:pPr>
            <w:r>
              <w:rPr>
                <w:color w:val="auto"/>
                <w:sz w:val="24"/>
              </w:rPr>
              <w:t>储存于砂、石子料场的砂、石，由装载机加入砂、石入料口，再通过封闭皮带输送至加料斗，由加料斗进入搅拌室内；水泥、矿粉等粉状原料则通过螺旋输送机密闭上料至搅拌室内；搅拌用水及液体外加剂采用压力供水及水泵上料。整个过程采用全程自动化操作。</w:t>
            </w:r>
          </w:p>
          <w:p w14:paraId="3DAC9BA3">
            <w:pPr>
              <w:spacing w:line="360" w:lineRule="auto"/>
              <w:ind w:firstLine="480"/>
              <w:rPr>
                <w:color w:val="auto"/>
                <w:sz w:val="24"/>
              </w:rPr>
            </w:pPr>
            <w:r>
              <w:rPr>
                <w:color w:val="auto"/>
                <w:sz w:val="24"/>
              </w:rPr>
              <w:t>骨料输送过程会产生无组织排放粉尘、噪声；细粉料、水、外加剂输送过程会产生噪声。</w:t>
            </w:r>
          </w:p>
          <w:p w14:paraId="02F7FAE9">
            <w:pPr>
              <w:spacing w:line="360" w:lineRule="auto"/>
              <w:ind w:firstLine="496"/>
              <w:rPr>
                <w:color w:val="auto"/>
                <w:spacing w:val="4"/>
                <w:sz w:val="24"/>
              </w:rPr>
            </w:pPr>
            <w:r>
              <w:rPr>
                <w:color w:val="auto"/>
                <w:spacing w:val="4"/>
                <w:sz w:val="24"/>
              </w:rPr>
              <w:t>（3）搅拌</w:t>
            </w:r>
          </w:p>
          <w:p w14:paraId="20450CCD">
            <w:pPr>
              <w:spacing w:line="360" w:lineRule="auto"/>
              <w:ind w:firstLine="480"/>
              <w:rPr>
                <w:color w:val="auto"/>
                <w:kern w:val="0"/>
                <w:sz w:val="24"/>
              </w:rPr>
            </w:pPr>
            <w:r>
              <w:rPr>
                <w:color w:val="auto"/>
                <w:sz w:val="24"/>
              </w:rPr>
              <w:t>进入搅拌室内的各种原料经称斗重量配料之后利用气动放料阀进入搅拌机进行强制搅拌。搅拌机工作原理：</w:t>
            </w:r>
            <w:r>
              <w:rPr>
                <w:color w:val="auto"/>
                <w:kern w:val="0"/>
                <w:sz w:val="24"/>
              </w:rPr>
              <w:t>在搅拌机内相互反转的两根搅拌轴的搅拌下，受到浆片周向、径向、轴向力的作用，使物料一边相互产生挤压、</w:t>
            </w:r>
            <w:r>
              <w:rPr>
                <w:rFonts w:hint="eastAsia"/>
                <w:color w:val="auto"/>
                <w:kern w:val="0"/>
                <w:sz w:val="24"/>
              </w:rPr>
              <w:t>摩擦</w:t>
            </w:r>
            <w:r>
              <w:rPr>
                <w:color w:val="auto"/>
                <w:kern w:val="0"/>
                <w:sz w:val="24"/>
              </w:rPr>
              <w:t>、剪切、对流从而进行剧烈的拌合，一边向出料口推移，当物料到达机内的出料口时，各种物料已相互得到均匀地拌合，并具有压实所需要的含水量。</w:t>
            </w:r>
          </w:p>
          <w:p w14:paraId="6AC99549">
            <w:pPr>
              <w:adjustRightInd w:val="0"/>
              <w:snapToGrid w:val="0"/>
              <w:spacing w:line="356" w:lineRule="auto"/>
              <w:ind w:firstLine="480"/>
              <w:rPr>
                <w:color w:val="auto"/>
                <w:sz w:val="24"/>
              </w:rPr>
            </w:pPr>
            <w:r>
              <w:rPr>
                <w:color w:val="auto"/>
                <w:sz w:val="24"/>
              </w:rPr>
              <w:t>搅拌工序会产生噪声、搅拌机清洗废水</w:t>
            </w:r>
            <w:r>
              <w:rPr>
                <w:rFonts w:hint="eastAsia"/>
                <w:color w:val="auto"/>
                <w:sz w:val="24"/>
              </w:rPr>
              <w:t>，</w:t>
            </w:r>
            <w:r>
              <w:rPr>
                <w:color w:val="auto"/>
                <w:sz w:val="24"/>
              </w:rPr>
              <w:t>根据本项目生产特点，项目混凝土运输车运输结束后进行清洗，搅拌机在每两日生产结束后进行清洗。清洗废水收集后经沉淀池处理后通过水泵将上清液抽取回用于生产，不外排。</w:t>
            </w:r>
          </w:p>
          <w:p w14:paraId="1CB8FED6">
            <w:pPr>
              <w:spacing w:line="360" w:lineRule="auto"/>
              <w:ind w:firstLine="480"/>
              <w:rPr>
                <w:color w:val="auto"/>
                <w:kern w:val="0"/>
                <w:sz w:val="24"/>
              </w:rPr>
            </w:pPr>
            <w:r>
              <w:rPr>
                <w:color w:val="auto"/>
                <w:kern w:val="0"/>
                <w:sz w:val="24"/>
              </w:rPr>
              <w:t>（4）成品</w:t>
            </w:r>
          </w:p>
          <w:p w14:paraId="122C00CF">
            <w:pPr>
              <w:spacing w:line="360" w:lineRule="auto"/>
              <w:ind w:firstLine="480"/>
              <w:rPr>
                <w:color w:val="auto"/>
                <w:kern w:val="0"/>
                <w:sz w:val="24"/>
              </w:rPr>
            </w:pPr>
            <w:r>
              <w:rPr>
                <w:color w:val="auto"/>
                <w:kern w:val="0"/>
                <w:sz w:val="24"/>
              </w:rPr>
              <w:t>生产出的混凝土成品由混凝土运输车直接装运，送往施工工地。</w:t>
            </w:r>
          </w:p>
          <w:p w14:paraId="5736F0E8">
            <w:pPr>
              <w:spacing w:line="360" w:lineRule="auto"/>
              <w:ind w:firstLine="480"/>
              <w:rPr>
                <w:color w:val="auto"/>
                <w:kern w:val="0"/>
                <w:sz w:val="24"/>
              </w:rPr>
            </w:pPr>
            <w:r>
              <w:rPr>
                <w:color w:val="auto"/>
                <w:kern w:val="0"/>
                <w:sz w:val="24"/>
              </w:rPr>
              <w:t>运营期</w:t>
            </w:r>
            <w:r>
              <w:rPr>
                <w:rFonts w:hint="eastAsia"/>
                <w:color w:val="auto"/>
                <w:kern w:val="0"/>
                <w:sz w:val="24"/>
                <w:lang w:val="en-US" w:eastAsia="zh-CN"/>
              </w:rPr>
              <w:t>检验设备检验出</w:t>
            </w:r>
            <w:r>
              <w:rPr>
                <w:color w:val="auto"/>
                <w:kern w:val="0"/>
                <w:sz w:val="24"/>
              </w:rPr>
              <w:t>的不合格的砂石料、剩余的混凝土等。通过</w:t>
            </w:r>
            <w:r>
              <w:rPr>
                <w:rFonts w:hint="eastAsia"/>
                <w:color w:val="auto"/>
                <w:kern w:val="0"/>
                <w:sz w:val="24"/>
                <w:lang w:val="en-US" w:eastAsia="zh-CN"/>
              </w:rPr>
              <w:t>检验</w:t>
            </w:r>
            <w:r>
              <w:rPr>
                <w:color w:val="auto"/>
                <w:kern w:val="0"/>
                <w:sz w:val="24"/>
              </w:rPr>
              <w:t>不合格的砂石料和剩余的混泥土年产生量在40t左右，可用于路面的铺垫料，或者路面的平整料。</w:t>
            </w:r>
          </w:p>
          <w:p w14:paraId="04A6A773">
            <w:pPr>
              <w:adjustRightInd w:val="0"/>
              <w:snapToGrid w:val="0"/>
              <w:spacing w:line="351" w:lineRule="auto"/>
              <w:ind w:firstLine="482"/>
              <w:rPr>
                <w:color w:val="auto"/>
                <w:sz w:val="24"/>
              </w:rPr>
            </w:pPr>
            <w:r>
              <w:rPr>
                <w:b/>
                <w:bCs/>
                <w:color w:val="auto"/>
                <w:sz w:val="24"/>
              </w:rPr>
              <w:t>2、生产机制砂</w:t>
            </w:r>
          </w:p>
          <w:p w14:paraId="5695994E">
            <w:pPr>
              <w:autoSpaceDE w:val="0"/>
              <w:autoSpaceDN w:val="0"/>
              <w:adjustRightInd w:val="0"/>
              <w:snapToGrid w:val="0"/>
              <w:spacing w:line="360" w:lineRule="auto"/>
              <w:ind w:firstLine="480"/>
              <w:rPr>
                <w:rFonts w:hint="default" w:eastAsia="宋体"/>
                <w:color w:val="auto"/>
                <w:sz w:val="24"/>
                <w:lang w:val="en-US" w:eastAsia="zh-CN"/>
              </w:rPr>
            </w:pPr>
            <w:r>
              <w:rPr>
                <w:rFonts w:hint="eastAsia"/>
                <w:color w:val="auto"/>
                <w:sz w:val="24"/>
                <w:szCs w:val="24"/>
                <w:lang w:val="en-US" w:eastAsia="zh-CN"/>
              </w:rPr>
              <w:t>制砂</w:t>
            </w:r>
            <w:r>
              <w:rPr>
                <w:color w:val="auto"/>
                <w:sz w:val="24"/>
                <w:szCs w:val="24"/>
              </w:rPr>
              <w:t>颗粒物（</w:t>
            </w:r>
            <w:r>
              <w:rPr>
                <w:rFonts w:ascii="Times New Roman" w:hAnsi="Times New Roman" w:eastAsia="Times New Roman" w:cs="Times New Roman"/>
                <w:color w:val="auto"/>
                <w:sz w:val="24"/>
                <w:szCs w:val="24"/>
              </w:rPr>
              <w:t>G</w:t>
            </w:r>
            <w:r>
              <w:rPr>
                <w:rFonts w:hint="eastAsia" w:ascii="Times New Roman" w:hAnsi="Times New Roman" w:eastAsia="宋体" w:cs="Times New Roman"/>
                <w:color w:val="auto"/>
                <w:sz w:val="24"/>
                <w:szCs w:val="24"/>
                <w:lang w:val="en-US" w:eastAsia="zh-CN"/>
              </w:rPr>
              <w:t>8</w:t>
            </w:r>
            <w:r>
              <w:rPr>
                <w:color w:val="auto"/>
                <w:sz w:val="24"/>
                <w:szCs w:val="24"/>
              </w:rPr>
              <w:t>）</w:t>
            </w:r>
            <w:r>
              <w:rPr>
                <w:rFonts w:hint="eastAsia"/>
                <w:color w:val="auto"/>
                <w:sz w:val="24"/>
                <w:szCs w:val="24"/>
                <w:lang w:eastAsia="zh-CN"/>
              </w:rPr>
              <w:t>、</w:t>
            </w:r>
            <w:r>
              <w:rPr>
                <w:rFonts w:hint="eastAsia"/>
                <w:color w:val="auto"/>
                <w:sz w:val="24"/>
                <w:szCs w:val="24"/>
                <w:lang w:val="en-US" w:eastAsia="zh-CN"/>
              </w:rPr>
              <w:t>噪声：N</w:t>
            </w:r>
          </w:p>
          <w:p w14:paraId="10FCF78A">
            <w:pPr>
              <w:autoSpaceDE w:val="0"/>
              <w:autoSpaceDN w:val="0"/>
              <w:adjustRightInd w:val="0"/>
              <w:snapToGrid w:val="0"/>
              <w:spacing w:line="360" w:lineRule="auto"/>
              <w:ind w:firstLine="480"/>
              <w:rPr>
                <w:color w:val="auto"/>
                <w:sz w:val="24"/>
              </w:rPr>
            </w:pPr>
            <w:r>
              <w:rPr>
                <w:color w:val="auto"/>
                <w:sz w:val="24"/>
              </w:rPr>
              <w:t>（1）</w:t>
            </w:r>
            <w:r>
              <w:rPr>
                <w:rFonts w:hint="eastAsia"/>
                <w:color w:val="auto"/>
                <w:sz w:val="24"/>
              </w:rPr>
              <w:t>打砂</w:t>
            </w:r>
            <w:r>
              <w:rPr>
                <w:color w:val="auto"/>
                <w:sz w:val="24"/>
              </w:rPr>
              <w:t>：利用</w:t>
            </w:r>
            <w:r>
              <w:rPr>
                <w:rFonts w:hint="eastAsia"/>
                <w:color w:val="auto"/>
                <w:sz w:val="24"/>
              </w:rPr>
              <w:t>打砂机</w:t>
            </w:r>
            <w:r>
              <w:rPr>
                <w:color w:val="auto"/>
                <w:sz w:val="24"/>
              </w:rPr>
              <w:t>对粒径的物料进行破碎，破碎后运往</w:t>
            </w:r>
            <w:r>
              <w:rPr>
                <w:rFonts w:hint="eastAsia"/>
                <w:color w:val="auto"/>
                <w:sz w:val="24"/>
              </w:rPr>
              <w:t>筛分工序</w:t>
            </w:r>
            <w:r>
              <w:rPr>
                <w:color w:val="auto"/>
                <w:sz w:val="24"/>
              </w:rPr>
              <w:t>。</w:t>
            </w:r>
          </w:p>
          <w:p w14:paraId="4A57F186">
            <w:pPr>
              <w:autoSpaceDE w:val="0"/>
              <w:autoSpaceDN w:val="0"/>
              <w:adjustRightInd w:val="0"/>
              <w:snapToGrid w:val="0"/>
              <w:spacing w:line="360" w:lineRule="auto"/>
              <w:ind w:firstLine="480"/>
              <w:rPr>
                <w:color w:val="auto"/>
                <w:sz w:val="24"/>
              </w:rPr>
            </w:pPr>
            <w:r>
              <w:rPr>
                <w:color w:val="auto"/>
                <w:sz w:val="24"/>
              </w:rPr>
              <w:t>（2）</w:t>
            </w:r>
            <w:r>
              <w:rPr>
                <w:rFonts w:hint="eastAsia"/>
                <w:color w:val="auto"/>
                <w:sz w:val="24"/>
              </w:rPr>
              <w:t>筛分</w:t>
            </w:r>
            <w:r>
              <w:rPr>
                <w:color w:val="auto"/>
                <w:sz w:val="24"/>
              </w:rPr>
              <w:t>：打砂后的物料</w:t>
            </w:r>
            <w:r>
              <w:rPr>
                <w:rFonts w:hint="eastAsia"/>
                <w:color w:val="auto"/>
                <w:sz w:val="24"/>
              </w:rPr>
              <w:t>连同</w:t>
            </w:r>
            <w:r>
              <w:rPr>
                <w:color w:val="auto"/>
                <w:sz w:val="24"/>
              </w:rPr>
              <w:t>固定格筛的筛下物一起再次运往筛分机上进行筛分。筛下物料运往双层振动筛，筛上物料</w:t>
            </w:r>
            <w:r>
              <w:rPr>
                <w:rFonts w:hint="eastAsia"/>
                <w:color w:val="auto"/>
                <w:sz w:val="24"/>
              </w:rPr>
              <w:t>重新回到打砂工序进行破碎</w:t>
            </w:r>
            <w:r>
              <w:rPr>
                <w:color w:val="auto"/>
                <w:sz w:val="24"/>
              </w:rPr>
              <w:t>。</w:t>
            </w:r>
          </w:p>
          <w:p w14:paraId="0B1EC4DF">
            <w:pPr>
              <w:ind w:firstLine="0" w:firstLineChars="0"/>
              <w:jc w:val="center"/>
              <w:rPr>
                <w:b/>
                <w:bCs/>
                <w:color w:val="auto"/>
              </w:rPr>
            </w:pPr>
            <w:r>
              <w:rPr>
                <w:color w:val="auto"/>
                <w:sz w:val="24"/>
              </w:rPr>
              <w:object>
                <v:shape id="_x0000_i1029" o:spt="75" type="#_x0000_t75" style="height:295.8pt;width:300.3pt;" o:ole="t" filled="f" o:preferrelative="t" stroked="f" coordsize="21600,21600">
                  <v:path/>
                  <v:fill on="f" focussize="0,0"/>
                  <v:stroke on="f"/>
                  <v:imagedata r:id="rId20" o:title=""/>
                  <o:lock v:ext="edit" aspectratio="t"/>
                  <w10:wrap type="none"/>
                  <w10:anchorlock/>
                </v:shape>
                <o:OLEObject Type="Embed" ProgID="Visio.Drawing.11" ShapeID="_x0000_i1029" DrawAspect="Content" ObjectID="_1468075729" r:id="rId19">
                  <o:LockedField>false</o:LockedField>
                </o:OLEObject>
              </w:object>
            </w:r>
          </w:p>
          <w:p w14:paraId="1E9F8B3F">
            <w:pPr>
              <w:spacing w:line="360" w:lineRule="auto"/>
              <w:ind w:firstLine="0" w:firstLineChars="0"/>
              <w:jc w:val="center"/>
              <w:rPr>
                <w:color w:val="auto"/>
                <w:kern w:val="0"/>
                <w:sz w:val="24"/>
              </w:rPr>
            </w:pPr>
            <w:r>
              <w:rPr>
                <w:b/>
                <w:bCs/>
                <w:color w:val="auto"/>
              </w:rPr>
              <w:t>图2-</w:t>
            </w:r>
            <w:r>
              <w:rPr>
                <w:rFonts w:hint="eastAsia"/>
                <w:b/>
                <w:bCs/>
                <w:color w:val="auto"/>
                <w:lang w:val="en-US" w:eastAsia="zh-CN"/>
              </w:rPr>
              <w:t>5</w:t>
            </w:r>
            <w:r>
              <w:rPr>
                <w:rFonts w:hint="eastAsia"/>
                <w:b/>
                <w:bCs/>
                <w:color w:val="auto"/>
              </w:rPr>
              <w:t xml:space="preserve">    </w:t>
            </w:r>
            <w:r>
              <w:rPr>
                <w:b/>
                <w:bCs/>
                <w:color w:val="auto"/>
              </w:rPr>
              <w:t>运营期制砂工艺流程及产污节点图</w:t>
            </w:r>
          </w:p>
          <w:bookmarkEnd w:id="17"/>
          <w:p w14:paraId="30174792">
            <w:pPr>
              <w:pStyle w:val="36"/>
              <w:spacing w:line="360" w:lineRule="auto"/>
              <w:ind w:firstLine="482"/>
              <w:rPr>
                <w:b/>
                <w:color w:val="auto"/>
                <w:sz w:val="24"/>
              </w:rPr>
            </w:pPr>
            <w:r>
              <w:rPr>
                <w:b/>
                <w:color w:val="auto"/>
                <w:sz w:val="24"/>
              </w:rPr>
              <w:t>（二）项目主要污染工序</w:t>
            </w:r>
          </w:p>
          <w:p w14:paraId="71809D74">
            <w:pPr>
              <w:pStyle w:val="35"/>
              <w:spacing w:after="0" w:line="360" w:lineRule="auto"/>
              <w:ind w:firstLine="480" w:firstLineChars="200"/>
              <w:rPr>
                <w:color w:val="auto"/>
              </w:rPr>
            </w:pPr>
            <w:r>
              <w:rPr>
                <w:color w:val="auto"/>
              </w:rPr>
              <w:t>本项目运营期主要污染工序详见表2-</w:t>
            </w:r>
            <w:r>
              <w:rPr>
                <w:rFonts w:hint="eastAsia"/>
                <w:color w:val="auto"/>
              </w:rPr>
              <w:t>10</w:t>
            </w:r>
            <w:r>
              <w:rPr>
                <w:color w:val="auto"/>
              </w:rPr>
              <w:t>。</w:t>
            </w:r>
          </w:p>
          <w:p w14:paraId="07D838CA">
            <w:pPr>
              <w:pStyle w:val="35"/>
              <w:spacing w:after="0"/>
              <w:ind w:firstLine="0" w:firstLineChars="0"/>
              <w:jc w:val="center"/>
              <w:rPr>
                <w:b/>
                <w:bCs/>
                <w:color w:val="auto"/>
                <w:sz w:val="21"/>
                <w:szCs w:val="21"/>
              </w:rPr>
            </w:pPr>
            <w:r>
              <w:rPr>
                <w:b/>
                <w:bCs/>
                <w:color w:val="auto"/>
                <w:sz w:val="21"/>
                <w:szCs w:val="21"/>
              </w:rPr>
              <w:t>表2-</w:t>
            </w:r>
            <w:r>
              <w:rPr>
                <w:rFonts w:hint="eastAsia"/>
                <w:b/>
                <w:bCs/>
                <w:color w:val="auto"/>
                <w:sz w:val="21"/>
                <w:szCs w:val="21"/>
              </w:rPr>
              <w:t>10</w:t>
            </w:r>
            <w:r>
              <w:rPr>
                <w:b/>
                <w:bCs/>
                <w:color w:val="auto"/>
                <w:sz w:val="21"/>
                <w:szCs w:val="21"/>
              </w:rPr>
              <w:t xml:space="preserve">   运营期主要污染工序一览表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735"/>
              <w:gridCol w:w="863"/>
              <w:gridCol w:w="5753"/>
            </w:tblGrid>
            <w:tr w14:paraId="5724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tcBorders>
                    <w:tl2br w:val="nil"/>
                    <w:tr2bl w:val="nil"/>
                  </w:tcBorders>
                  <w:vAlign w:val="center"/>
                </w:tcPr>
                <w:p w14:paraId="2C7ED0BC">
                  <w:pPr>
                    <w:ind w:firstLine="0" w:firstLineChars="0"/>
                    <w:jc w:val="center"/>
                    <w:rPr>
                      <w:b/>
                      <w:color w:val="auto"/>
                      <w:szCs w:val="21"/>
                    </w:rPr>
                  </w:pPr>
                  <w:r>
                    <w:rPr>
                      <w:b/>
                      <w:color w:val="auto"/>
                      <w:szCs w:val="21"/>
                    </w:rPr>
                    <w:t>污染类别</w:t>
                  </w:r>
                </w:p>
              </w:tc>
              <w:tc>
                <w:tcPr>
                  <w:tcW w:w="766" w:type="dxa"/>
                  <w:tcBorders>
                    <w:tl2br w:val="nil"/>
                    <w:tr2bl w:val="nil"/>
                  </w:tcBorders>
                  <w:vAlign w:val="center"/>
                </w:tcPr>
                <w:p w14:paraId="6AD53150">
                  <w:pPr>
                    <w:ind w:firstLine="0" w:firstLineChars="0"/>
                    <w:jc w:val="center"/>
                    <w:rPr>
                      <w:b/>
                      <w:color w:val="auto"/>
                      <w:szCs w:val="21"/>
                    </w:rPr>
                  </w:pPr>
                  <w:r>
                    <w:rPr>
                      <w:b/>
                      <w:color w:val="auto"/>
                      <w:szCs w:val="21"/>
                    </w:rPr>
                    <w:t>产污环节</w:t>
                  </w:r>
                </w:p>
              </w:tc>
              <w:tc>
                <w:tcPr>
                  <w:tcW w:w="901" w:type="dxa"/>
                  <w:tcBorders>
                    <w:tl2br w:val="nil"/>
                    <w:tr2bl w:val="nil"/>
                  </w:tcBorders>
                  <w:vAlign w:val="center"/>
                </w:tcPr>
                <w:p w14:paraId="6A8CCF20">
                  <w:pPr>
                    <w:ind w:firstLine="0" w:firstLineChars="0"/>
                    <w:jc w:val="center"/>
                    <w:rPr>
                      <w:b/>
                      <w:color w:val="auto"/>
                      <w:szCs w:val="21"/>
                    </w:rPr>
                  </w:pPr>
                  <w:r>
                    <w:rPr>
                      <w:b/>
                      <w:color w:val="auto"/>
                      <w:szCs w:val="21"/>
                    </w:rPr>
                    <w:t>主要污染物</w:t>
                  </w:r>
                </w:p>
              </w:tc>
              <w:tc>
                <w:tcPr>
                  <w:tcW w:w="6085" w:type="dxa"/>
                  <w:tcBorders>
                    <w:tl2br w:val="nil"/>
                    <w:tr2bl w:val="nil"/>
                  </w:tcBorders>
                  <w:vAlign w:val="center"/>
                </w:tcPr>
                <w:p w14:paraId="1E3A6964">
                  <w:pPr>
                    <w:ind w:firstLine="0" w:firstLineChars="0"/>
                    <w:jc w:val="center"/>
                    <w:rPr>
                      <w:b/>
                      <w:color w:val="auto"/>
                      <w:szCs w:val="21"/>
                    </w:rPr>
                  </w:pPr>
                  <w:r>
                    <w:rPr>
                      <w:b/>
                      <w:color w:val="auto"/>
                      <w:szCs w:val="21"/>
                    </w:rPr>
                    <w:t>治理措施</w:t>
                  </w:r>
                </w:p>
              </w:tc>
            </w:tr>
            <w:tr w14:paraId="174E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restart"/>
                  <w:tcBorders>
                    <w:tl2br w:val="nil"/>
                    <w:tr2bl w:val="nil"/>
                  </w:tcBorders>
                  <w:vAlign w:val="center"/>
                </w:tcPr>
                <w:p w14:paraId="3F216D97">
                  <w:pPr>
                    <w:ind w:firstLine="0" w:firstLineChars="0"/>
                    <w:jc w:val="center"/>
                    <w:rPr>
                      <w:color w:val="auto"/>
                      <w:szCs w:val="21"/>
                    </w:rPr>
                  </w:pPr>
                  <w:r>
                    <w:rPr>
                      <w:color w:val="auto"/>
                      <w:szCs w:val="21"/>
                    </w:rPr>
                    <w:t>废气</w:t>
                  </w:r>
                </w:p>
              </w:tc>
              <w:tc>
                <w:tcPr>
                  <w:tcW w:w="766" w:type="dxa"/>
                  <w:tcBorders>
                    <w:tl2br w:val="nil"/>
                    <w:tr2bl w:val="nil"/>
                  </w:tcBorders>
                  <w:vAlign w:val="center"/>
                </w:tcPr>
                <w:p w14:paraId="35C99EEC">
                  <w:pPr>
                    <w:pStyle w:val="35"/>
                    <w:spacing w:after="0"/>
                    <w:ind w:firstLine="0" w:firstLineChars="0"/>
                    <w:jc w:val="center"/>
                    <w:rPr>
                      <w:color w:val="auto"/>
                      <w:sz w:val="21"/>
                      <w:szCs w:val="21"/>
                    </w:rPr>
                  </w:pPr>
                  <w:r>
                    <w:rPr>
                      <w:rFonts w:hint="eastAsia"/>
                      <w:color w:val="auto"/>
                      <w:sz w:val="21"/>
                      <w:szCs w:val="21"/>
                    </w:rPr>
                    <w:t>筒仓</w:t>
                  </w:r>
                </w:p>
              </w:tc>
              <w:tc>
                <w:tcPr>
                  <w:tcW w:w="901" w:type="dxa"/>
                  <w:tcBorders>
                    <w:tl2br w:val="nil"/>
                    <w:tr2bl w:val="nil"/>
                  </w:tcBorders>
                  <w:vAlign w:val="center"/>
                </w:tcPr>
                <w:p w14:paraId="75EF9E36">
                  <w:pPr>
                    <w:ind w:firstLine="0" w:firstLineChars="0"/>
                    <w:jc w:val="center"/>
                    <w:rPr>
                      <w:color w:val="auto"/>
                      <w:szCs w:val="21"/>
                    </w:rPr>
                  </w:pPr>
                  <w:r>
                    <w:rPr>
                      <w:color w:val="auto"/>
                      <w:szCs w:val="21"/>
                    </w:rPr>
                    <w:t>颗粒物</w:t>
                  </w:r>
                </w:p>
              </w:tc>
              <w:tc>
                <w:tcPr>
                  <w:tcW w:w="6085" w:type="dxa"/>
                  <w:tcBorders>
                    <w:tl2br w:val="nil"/>
                    <w:tr2bl w:val="nil"/>
                  </w:tcBorders>
                  <w:vAlign w:val="center"/>
                </w:tcPr>
                <w:p w14:paraId="58757183">
                  <w:pPr>
                    <w:ind w:firstLine="0" w:firstLineChars="0"/>
                    <w:jc w:val="center"/>
                    <w:rPr>
                      <w:color w:val="auto"/>
                      <w:szCs w:val="21"/>
                    </w:rPr>
                  </w:pPr>
                  <w:r>
                    <w:rPr>
                      <w:color w:val="auto"/>
                      <w:szCs w:val="21"/>
                    </w:rPr>
                    <w:t>粉料仓设计为全封闭式，且</w:t>
                  </w:r>
                  <w:r>
                    <w:rPr>
                      <w:rFonts w:hint="eastAsia"/>
                      <w:color w:val="auto"/>
                      <w:szCs w:val="21"/>
                      <w:lang w:val="en-US" w:eastAsia="zh-CN"/>
                    </w:rPr>
                    <w:t>2个水泥筒仓共用一个布袋除尘器，粉煤灰、矿粉</w:t>
                  </w:r>
                  <w:r>
                    <w:rPr>
                      <w:color w:val="auto"/>
                      <w:szCs w:val="21"/>
                    </w:rPr>
                    <w:t>筒仓仓顶</w:t>
                  </w:r>
                  <w:r>
                    <w:rPr>
                      <w:rFonts w:hint="eastAsia"/>
                      <w:color w:val="auto"/>
                      <w:szCs w:val="21"/>
                      <w:lang w:val="en-US" w:eastAsia="zh-CN"/>
                    </w:rPr>
                    <w:t>均单独</w:t>
                  </w:r>
                  <w:r>
                    <w:rPr>
                      <w:color w:val="auto"/>
                      <w:szCs w:val="21"/>
                    </w:rPr>
                    <w:t>设有仓顶布袋除尘器，根据设备生产厂家提供的除尘效率约为99</w:t>
                  </w:r>
                  <w:r>
                    <w:rPr>
                      <w:rFonts w:hint="eastAsia"/>
                      <w:color w:val="auto"/>
                      <w:szCs w:val="21"/>
                      <w:lang w:val="en-US" w:eastAsia="zh-CN"/>
                    </w:rPr>
                    <w:t>.7</w:t>
                  </w:r>
                  <w:r>
                    <w:rPr>
                      <w:color w:val="auto"/>
                      <w:szCs w:val="21"/>
                    </w:rPr>
                    <w:t>%。</w:t>
                  </w:r>
                </w:p>
              </w:tc>
            </w:tr>
            <w:tr w14:paraId="0E95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vAlign w:val="center"/>
                </w:tcPr>
                <w:p w14:paraId="526B2D93">
                  <w:pPr>
                    <w:ind w:firstLine="0" w:firstLineChars="0"/>
                    <w:jc w:val="center"/>
                    <w:rPr>
                      <w:color w:val="auto"/>
                      <w:szCs w:val="21"/>
                    </w:rPr>
                  </w:pPr>
                </w:p>
              </w:tc>
              <w:tc>
                <w:tcPr>
                  <w:tcW w:w="766" w:type="dxa"/>
                  <w:tcBorders>
                    <w:tl2br w:val="nil"/>
                    <w:tr2bl w:val="nil"/>
                  </w:tcBorders>
                  <w:vAlign w:val="center"/>
                </w:tcPr>
                <w:p w14:paraId="26796BCE">
                  <w:pPr>
                    <w:pStyle w:val="35"/>
                    <w:spacing w:after="0"/>
                    <w:ind w:firstLine="0" w:firstLineChars="0"/>
                    <w:jc w:val="center"/>
                    <w:rPr>
                      <w:color w:val="auto"/>
                      <w:sz w:val="21"/>
                      <w:szCs w:val="21"/>
                    </w:rPr>
                  </w:pPr>
                  <w:r>
                    <w:rPr>
                      <w:color w:val="auto"/>
                      <w:sz w:val="21"/>
                      <w:szCs w:val="21"/>
                    </w:rPr>
                    <w:t>拌合站</w:t>
                  </w:r>
                </w:p>
              </w:tc>
              <w:tc>
                <w:tcPr>
                  <w:tcW w:w="901" w:type="dxa"/>
                  <w:tcBorders>
                    <w:tl2br w:val="nil"/>
                    <w:tr2bl w:val="nil"/>
                  </w:tcBorders>
                  <w:vAlign w:val="center"/>
                </w:tcPr>
                <w:p w14:paraId="4714F203">
                  <w:pPr>
                    <w:ind w:firstLine="0" w:firstLineChars="0"/>
                    <w:jc w:val="center"/>
                    <w:rPr>
                      <w:color w:val="auto"/>
                      <w:szCs w:val="21"/>
                    </w:rPr>
                  </w:pPr>
                  <w:r>
                    <w:rPr>
                      <w:color w:val="auto"/>
                      <w:szCs w:val="21"/>
                    </w:rPr>
                    <w:t>颗粒物</w:t>
                  </w:r>
                </w:p>
              </w:tc>
              <w:tc>
                <w:tcPr>
                  <w:tcW w:w="6085" w:type="dxa"/>
                  <w:tcBorders>
                    <w:tl2br w:val="nil"/>
                    <w:tr2bl w:val="nil"/>
                  </w:tcBorders>
                  <w:vAlign w:val="center"/>
                </w:tcPr>
                <w:p w14:paraId="516EC9F6">
                  <w:pPr>
                    <w:ind w:firstLine="0" w:firstLineChars="0"/>
                    <w:jc w:val="center"/>
                    <w:rPr>
                      <w:color w:val="auto"/>
                      <w:szCs w:val="21"/>
                    </w:rPr>
                  </w:pPr>
                  <w:r>
                    <w:rPr>
                      <w:color w:val="auto"/>
                      <w:szCs w:val="21"/>
                    </w:rPr>
                    <w:t>拌合站投料口设置1个集气罩收集，经布袋除尘器处理后的粉尘车间无组织排放</w:t>
                  </w:r>
                  <w:r>
                    <w:rPr>
                      <w:rFonts w:hint="eastAsia"/>
                      <w:color w:val="auto"/>
                      <w:szCs w:val="21"/>
                    </w:rPr>
                    <w:t>，拌合站主体二层及以上部分、原材料上料、配料、搅拌等设施、设备均进行封闭处理。</w:t>
                  </w:r>
                </w:p>
              </w:tc>
            </w:tr>
            <w:tr w14:paraId="4E35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vAlign w:val="center"/>
                </w:tcPr>
                <w:p w14:paraId="129DA5A4">
                  <w:pPr>
                    <w:ind w:firstLine="0" w:firstLineChars="0"/>
                    <w:jc w:val="center"/>
                    <w:rPr>
                      <w:color w:val="auto"/>
                      <w:szCs w:val="21"/>
                    </w:rPr>
                  </w:pPr>
                </w:p>
              </w:tc>
              <w:tc>
                <w:tcPr>
                  <w:tcW w:w="766" w:type="dxa"/>
                  <w:tcBorders>
                    <w:tl2br w:val="nil"/>
                    <w:tr2bl w:val="nil"/>
                  </w:tcBorders>
                  <w:vAlign w:val="center"/>
                </w:tcPr>
                <w:p w14:paraId="79724803">
                  <w:pPr>
                    <w:pStyle w:val="35"/>
                    <w:spacing w:after="0"/>
                    <w:ind w:firstLine="0" w:firstLineChars="0"/>
                    <w:jc w:val="center"/>
                    <w:rPr>
                      <w:color w:val="auto"/>
                      <w:sz w:val="21"/>
                      <w:szCs w:val="21"/>
                    </w:rPr>
                  </w:pPr>
                  <w:r>
                    <w:rPr>
                      <w:rFonts w:hint="eastAsia"/>
                      <w:color w:val="auto"/>
                      <w:sz w:val="21"/>
                      <w:szCs w:val="21"/>
                    </w:rPr>
                    <w:t>原料库</w:t>
                  </w:r>
                </w:p>
              </w:tc>
              <w:tc>
                <w:tcPr>
                  <w:tcW w:w="901" w:type="dxa"/>
                  <w:tcBorders>
                    <w:tl2br w:val="nil"/>
                    <w:tr2bl w:val="nil"/>
                  </w:tcBorders>
                  <w:vAlign w:val="center"/>
                </w:tcPr>
                <w:p w14:paraId="53EE1236">
                  <w:pPr>
                    <w:ind w:firstLine="0" w:firstLineChars="0"/>
                    <w:jc w:val="center"/>
                    <w:rPr>
                      <w:color w:val="auto"/>
                      <w:szCs w:val="21"/>
                    </w:rPr>
                  </w:pPr>
                  <w:r>
                    <w:rPr>
                      <w:color w:val="auto"/>
                      <w:szCs w:val="21"/>
                    </w:rPr>
                    <w:t>颗粒物</w:t>
                  </w:r>
                </w:p>
              </w:tc>
              <w:tc>
                <w:tcPr>
                  <w:tcW w:w="6085" w:type="dxa"/>
                  <w:tcBorders>
                    <w:tl2br w:val="nil"/>
                    <w:tr2bl w:val="nil"/>
                  </w:tcBorders>
                  <w:vAlign w:val="center"/>
                </w:tcPr>
                <w:p w14:paraId="2D2E7091">
                  <w:pPr>
                    <w:ind w:firstLine="0" w:firstLineChars="0"/>
                    <w:jc w:val="center"/>
                    <w:rPr>
                      <w:color w:val="auto"/>
                      <w:szCs w:val="21"/>
                    </w:rPr>
                  </w:pPr>
                  <w:r>
                    <w:rPr>
                      <w:color w:val="auto"/>
                      <w:szCs w:val="21"/>
                    </w:rPr>
                    <w:t>骨料料仓采用彩钢瓦进行整体封闭，仅将进出物料口设置为敞开式，并设置车间喷雾降尘措施。</w:t>
                  </w:r>
                </w:p>
              </w:tc>
            </w:tr>
            <w:tr w14:paraId="1EE1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Borders>
                    <w:tl2br w:val="nil"/>
                    <w:tr2bl w:val="nil"/>
                  </w:tcBorders>
                  <w:vAlign w:val="center"/>
                </w:tcPr>
                <w:p w14:paraId="3B899252">
                  <w:pPr>
                    <w:ind w:firstLine="0" w:firstLineChars="0"/>
                    <w:jc w:val="center"/>
                    <w:rPr>
                      <w:color w:val="auto"/>
                      <w:szCs w:val="21"/>
                    </w:rPr>
                  </w:pPr>
                </w:p>
              </w:tc>
              <w:tc>
                <w:tcPr>
                  <w:tcW w:w="766" w:type="dxa"/>
                  <w:tcBorders>
                    <w:tl2br w:val="nil"/>
                    <w:tr2bl w:val="nil"/>
                  </w:tcBorders>
                  <w:vAlign w:val="center"/>
                </w:tcPr>
                <w:p w14:paraId="38893018">
                  <w:pPr>
                    <w:pStyle w:val="35"/>
                    <w:spacing w:after="0"/>
                    <w:ind w:firstLine="0" w:firstLineChars="0"/>
                    <w:jc w:val="center"/>
                    <w:rPr>
                      <w:color w:val="auto"/>
                      <w:sz w:val="21"/>
                      <w:szCs w:val="21"/>
                    </w:rPr>
                  </w:pPr>
                  <w:r>
                    <w:rPr>
                      <w:rFonts w:hint="eastAsia"/>
                      <w:color w:val="auto"/>
                      <w:sz w:val="21"/>
                      <w:szCs w:val="21"/>
                    </w:rPr>
                    <w:t>制砂车间</w:t>
                  </w:r>
                </w:p>
              </w:tc>
              <w:tc>
                <w:tcPr>
                  <w:tcW w:w="901" w:type="dxa"/>
                  <w:tcBorders>
                    <w:tl2br w:val="nil"/>
                    <w:tr2bl w:val="nil"/>
                  </w:tcBorders>
                  <w:vAlign w:val="center"/>
                </w:tcPr>
                <w:p w14:paraId="60DE603B">
                  <w:pPr>
                    <w:ind w:firstLine="0" w:firstLineChars="0"/>
                    <w:jc w:val="center"/>
                    <w:rPr>
                      <w:color w:val="auto"/>
                      <w:szCs w:val="21"/>
                    </w:rPr>
                  </w:pPr>
                  <w:r>
                    <w:rPr>
                      <w:color w:val="auto"/>
                      <w:szCs w:val="21"/>
                    </w:rPr>
                    <w:t>颗粒物</w:t>
                  </w:r>
                </w:p>
              </w:tc>
              <w:tc>
                <w:tcPr>
                  <w:tcW w:w="6085" w:type="dxa"/>
                  <w:tcBorders>
                    <w:tl2br w:val="nil"/>
                    <w:tr2bl w:val="nil"/>
                  </w:tcBorders>
                  <w:vAlign w:val="center"/>
                </w:tcPr>
                <w:p w14:paraId="7D061702">
                  <w:pPr>
                    <w:ind w:firstLine="0" w:firstLineChars="0"/>
                    <w:jc w:val="center"/>
                    <w:rPr>
                      <w:color w:val="auto"/>
                      <w:szCs w:val="21"/>
                    </w:rPr>
                  </w:pPr>
                  <w:r>
                    <w:rPr>
                      <w:color w:val="auto"/>
                      <w:szCs w:val="21"/>
                    </w:rPr>
                    <w:t>对制砂车间进行</w:t>
                  </w:r>
                  <w:r>
                    <w:rPr>
                      <w:rFonts w:hint="eastAsia"/>
                      <w:color w:val="auto"/>
                      <w:szCs w:val="21"/>
                    </w:rPr>
                    <w:t>彩钢瓦</w:t>
                  </w:r>
                  <w:r>
                    <w:rPr>
                      <w:color w:val="auto"/>
                      <w:szCs w:val="21"/>
                    </w:rPr>
                    <w:t>封闭处理，并设置车间喷雾降尘措施。</w:t>
                  </w:r>
                </w:p>
              </w:tc>
            </w:tr>
            <w:tr w14:paraId="4EA7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tcBorders>
                    <w:tl2br w:val="nil"/>
                    <w:tr2bl w:val="nil"/>
                  </w:tcBorders>
                  <w:vAlign w:val="center"/>
                </w:tcPr>
                <w:p w14:paraId="544175E3">
                  <w:pPr>
                    <w:ind w:firstLine="0" w:firstLineChars="0"/>
                    <w:jc w:val="center"/>
                    <w:rPr>
                      <w:color w:val="auto"/>
                      <w:szCs w:val="21"/>
                    </w:rPr>
                  </w:pPr>
                  <w:r>
                    <w:rPr>
                      <w:color w:val="auto"/>
                      <w:szCs w:val="21"/>
                    </w:rPr>
                    <w:t>废水</w:t>
                  </w:r>
                </w:p>
              </w:tc>
              <w:tc>
                <w:tcPr>
                  <w:tcW w:w="766" w:type="dxa"/>
                  <w:tcBorders>
                    <w:tl2br w:val="nil"/>
                    <w:tr2bl w:val="nil"/>
                  </w:tcBorders>
                  <w:vAlign w:val="center"/>
                </w:tcPr>
                <w:p w14:paraId="1C9FE203">
                  <w:pPr>
                    <w:ind w:firstLine="0" w:firstLineChars="0"/>
                    <w:jc w:val="center"/>
                    <w:rPr>
                      <w:color w:val="auto"/>
                      <w:szCs w:val="21"/>
                    </w:rPr>
                  </w:pPr>
                  <w:r>
                    <w:rPr>
                      <w:color w:val="auto"/>
                      <w:szCs w:val="21"/>
                    </w:rPr>
                    <w:t>生产清洗废水</w:t>
                  </w:r>
                </w:p>
              </w:tc>
              <w:tc>
                <w:tcPr>
                  <w:tcW w:w="901" w:type="dxa"/>
                  <w:tcBorders>
                    <w:tl2br w:val="nil"/>
                    <w:tr2bl w:val="nil"/>
                  </w:tcBorders>
                  <w:vAlign w:val="center"/>
                </w:tcPr>
                <w:p w14:paraId="2B146BF5">
                  <w:pPr>
                    <w:ind w:firstLine="0" w:firstLineChars="0"/>
                    <w:jc w:val="center"/>
                    <w:rPr>
                      <w:color w:val="auto"/>
                      <w:szCs w:val="21"/>
                    </w:rPr>
                  </w:pPr>
                  <w:r>
                    <w:rPr>
                      <w:color w:val="auto"/>
                      <w:szCs w:val="21"/>
                    </w:rPr>
                    <w:t>含泥沙废水</w:t>
                  </w:r>
                </w:p>
              </w:tc>
              <w:tc>
                <w:tcPr>
                  <w:tcW w:w="6085" w:type="dxa"/>
                  <w:tcBorders>
                    <w:tl2br w:val="nil"/>
                    <w:tr2bl w:val="nil"/>
                  </w:tcBorders>
                  <w:vAlign w:val="center"/>
                </w:tcPr>
                <w:p w14:paraId="61D85AE0">
                  <w:pPr>
                    <w:ind w:firstLine="0" w:firstLineChars="0"/>
                    <w:jc w:val="center"/>
                    <w:rPr>
                      <w:color w:val="auto"/>
                      <w:szCs w:val="21"/>
                    </w:rPr>
                  </w:pPr>
                  <w:r>
                    <w:rPr>
                      <w:color w:val="auto"/>
                      <w:szCs w:val="21"/>
                    </w:rPr>
                    <w:t>项目搅拌机清洗废水</w:t>
                  </w:r>
                  <w:r>
                    <w:rPr>
                      <w:rFonts w:hint="eastAsia"/>
                      <w:color w:val="auto"/>
                      <w:szCs w:val="21"/>
                    </w:rPr>
                    <w:t>、</w:t>
                  </w:r>
                  <w:r>
                    <w:rPr>
                      <w:color w:val="auto"/>
                      <w:szCs w:val="21"/>
                    </w:rPr>
                    <w:t>混凝土罐车清洗废水、</w:t>
                  </w:r>
                  <w:r>
                    <w:rPr>
                      <w:rFonts w:hint="eastAsia"/>
                      <w:color w:val="auto"/>
                      <w:szCs w:val="21"/>
                      <w:lang w:val="en-US" w:eastAsia="zh-CN"/>
                    </w:rPr>
                    <w:t>检验设备</w:t>
                  </w:r>
                  <w:r>
                    <w:rPr>
                      <w:rFonts w:hint="eastAsia"/>
                      <w:color w:val="auto"/>
                      <w:szCs w:val="21"/>
                      <w:lang w:eastAsia="zh-CN"/>
                    </w:rPr>
                    <w:t>废水</w:t>
                  </w:r>
                  <w:r>
                    <w:rPr>
                      <w:color w:val="auto"/>
                      <w:szCs w:val="21"/>
                    </w:rPr>
                    <w:t>经沉淀池处理后回用于项目生产过程。</w:t>
                  </w:r>
                </w:p>
              </w:tc>
            </w:tr>
            <w:tr w14:paraId="499C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Merge w:val="restart"/>
                  <w:tcBorders>
                    <w:tl2br w:val="nil"/>
                    <w:tr2bl w:val="nil"/>
                  </w:tcBorders>
                  <w:vAlign w:val="center"/>
                </w:tcPr>
                <w:p w14:paraId="62E2D766">
                  <w:pPr>
                    <w:ind w:firstLine="0" w:firstLineChars="0"/>
                    <w:jc w:val="center"/>
                    <w:rPr>
                      <w:color w:val="auto"/>
                      <w:szCs w:val="21"/>
                    </w:rPr>
                  </w:pPr>
                  <w:r>
                    <w:rPr>
                      <w:color w:val="auto"/>
                      <w:szCs w:val="21"/>
                    </w:rPr>
                    <w:t>固废</w:t>
                  </w:r>
                </w:p>
              </w:tc>
              <w:tc>
                <w:tcPr>
                  <w:tcW w:w="766" w:type="dxa"/>
                  <w:tcBorders>
                    <w:tl2br w:val="nil"/>
                    <w:tr2bl w:val="nil"/>
                  </w:tcBorders>
                  <w:vAlign w:val="center"/>
                </w:tcPr>
                <w:p w14:paraId="75796E22">
                  <w:pPr>
                    <w:ind w:firstLine="0" w:firstLineChars="0"/>
                    <w:jc w:val="center"/>
                    <w:rPr>
                      <w:color w:val="auto"/>
                      <w:szCs w:val="21"/>
                    </w:rPr>
                  </w:pPr>
                  <w:r>
                    <w:rPr>
                      <w:color w:val="auto"/>
                      <w:szCs w:val="21"/>
                    </w:rPr>
                    <w:t>机械维修</w:t>
                  </w:r>
                </w:p>
              </w:tc>
              <w:tc>
                <w:tcPr>
                  <w:tcW w:w="901" w:type="dxa"/>
                  <w:tcBorders>
                    <w:tl2br w:val="nil"/>
                    <w:tr2bl w:val="nil"/>
                  </w:tcBorders>
                  <w:vAlign w:val="center"/>
                </w:tcPr>
                <w:p w14:paraId="0C486824">
                  <w:pPr>
                    <w:ind w:firstLine="0" w:firstLineChars="0"/>
                    <w:jc w:val="center"/>
                    <w:rPr>
                      <w:color w:val="auto"/>
                      <w:szCs w:val="21"/>
                    </w:rPr>
                  </w:pPr>
                  <w:r>
                    <w:rPr>
                      <w:color w:val="auto"/>
                      <w:szCs w:val="21"/>
                    </w:rPr>
                    <w:t>废机油及其包装桶</w:t>
                  </w:r>
                </w:p>
              </w:tc>
              <w:tc>
                <w:tcPr>
                  <w:tcW w:w="6085" w:type="dxa"/>
                  <w:tcBorders>
                    <w:tl2br w:val="nil"/>
                    <w:tr2bl w:val="nil"/>
                  </w:tcBorders>
                  <w:vAlign w:val="center"/>
                </w:tcPr>
                <w:p w14:paraId="48B9D726">
                  <w:pPr>
                    <w:ind w:firstLine="0" w:firstLineChars="0"/>
                    <w:jc w:val="center"/>
                    <w:rPr>
                      <w:color w:val="auto"/>
                      <w:szCs w:val="21"/>
                    </w:rPr>
                  </w:pPr>
                  <w:r>
                    <w:rPr>
                      <w:color w:val="auto"/>
                      <w:szCs w:val="21"/>
                    </w:rPr>
                    <w:t>统一收集后暂存于危废暂存间，委托有资质的单位定期清运处置。</w:t>
                  </w:r>
                </w:p>
              </w:tc>
            </w:tr>
            <w:tr w14:paraId="1C35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31" w:type="dxa"/>
                  <w:vMerge w:val="continue"/>
                  <w:tcBorders>
                    <w:tl2br w:val="nil"/>
                    <w:tr2bl w:val="nil"/>
                  </w:tcBorders>
                  <w:vAlign w:val="center"/>
                </w:tcPr>
                <w:p w14:paraId="4BCC08C9">
                  <w:pPr>
                    <w:ind w:firstLine="0" w:firstLineChars="0"/>
                    <w:jc w:val="center"/>
                    <w:rPr>
                      <w:color w:val="auto"/>
                      <w:szCs w:val="21"/>
                    </w:rPr>
                  </w:pPr>
                </w:p>
              </w:tc>
              <w:tc>
                <w:tcPr>
                  <w:tcW w:w="766" w:type="dxa"/>
                  <w:tcBorders>
                    <w:tl2br w:val="nil"/>
                    <w:tr2bl w:val="nil"/>
                  </w:tcBorders>
                  <w:vAlign w:val="center"/>
                </w:tcPr>
                <w:p w14:paraId="50BE103B">
                  <w:pPr>
                    <w:ind w:firstLine="0" w:firstLineChars="0"/>
                    <w:jc w:val="center"/>
                    <w:rPr>
                      <w:color w:val="auto"/>
                      <w:szCs w:val="21"/>
                    </w:rPr>
                  </w:pPr>
                  <w:r>
                    <w:rPr>
                      <w:color w:val="auto"/>
                      <w:szCs w:val="21"/>
                    </w:rPr>
                    <w:t>沉淀池</w:t>
                  </w:r>
                </w:p>
              </w:tc>
              <w:tc>
                <w:tcPr>
                  <w:tcW w:w="901" w:type="dxa"/>
                  <w:tcBorders>
                    <w:tl2br w:val="nil"/>
                    <w:tr2bl w:val="nil"/>
                  </w:tcBorders>
                  <w:vAlign w:val="center"/>
                </w:tcPr>
                <w:p w14:paraId="7D7B38BE">
                  <w:pPr>
                    <w:ind w:firstLine="0" w:firstLineChars="0"/>
                    <w:jc w:val="center"/>
                    <w:rPr>
                      <w:color w:val="auto"/>
                      <w:szCs w:val="21"/>
                    </w:rPr>
                  </w:pPr>
                  <w:r>
                    <w:rPr>
                      <w:color w:val="auto"/>
                      <w:szCs w:val="21"/>
                    </w:rPr>
                    <w:t>沉淀池底泥</w:t>
                  </w:r>
                </w:p>
              </w:tc>
              <w:tc>
                <w:tcPr>
                  <w:tcW w:w="6085" w:type="dxa"/>
                  <w:tcBorders>
                    <w:tl2br w:val="nil"/>
                    <w:tr2bl w:val="nil"/>
                  </w:tcBorders>
                  <w:vAlign w:val="center"/>
                </w:tcPr>
                <w:p w14:paraId="37FF7032">
                  <w:pPr>
                    <w:ind w:firstLine="0" w:firstLineChars="0"/>
                    <w:jc w:val="center"/>
                    <w:rPr>
                      <w:color w:val="auto"/>
                      <w:szCs w:val="21"/>
                    </w:rPr>
                  </w:pPr>
                  <w:r>
                    <w:rPr>
                      <w:color w:val="auto"/>
                      <w:szCs w:val="21"/>
                    </w:rPr>
                    <w:t>底泥定期清理后暂存于原料堆场，用作原料回用于搅拌生产</w:t>
                  </w:r>
                  <w:r>
                    <w:rPr>
                      <w:rFonts w:hint="eastAsia"/>
                      <w:color w:val="auto"/>
                      <w:szCs w:val="21"/>
                    </w:rPr>
                    <w:t>。</w:t>
                  </w:r>
                </w:p>
              </w:tc>
            </w:tr>
            <w:tr w14:paraId="6218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tcBorders>
                    <w:tl2br w:val="nil"/>
                    <w:tr2bl w:val="nil"/>
                  </w:tcBorders>
                  <w:vAlign w:val="center"/>
                </w:tcPr>
                <w:p w14:paraId="0F8B6E2E">
                  <w:pPr>
                    <w:ind w:firstLine="0" w:firstLineChars="0"/>
                    <w:jc w:val="center"/>
                    <w:rPr>
                      <w:color w:val="auto"/>
                      <w:szCs w:val="21"/>
                    </w:rPr>
                  </w:pPr>
                </w:p>
              </w:tc>
              <w:tc>
                <w:tcPr>
                  <w:tcW w:w="766" w:type="dxa"/>
                  <w:tcBorders>
                    <w:tl2br w:val="nil"/>
                    <w:tr2bl w:val="nil"/>
                  </w:tcBorders>
                  <w:vAlign w:val="center"/>
                </w:tcPr>
                <w:p w14:paraId="5FD599BF">
                  <w:pPr>
                    <w:ind w:firstLine="0" w:firstLineChars="0"/>
                    <w:jc w:val="center"/>
                    <w:rPr>
                      <w:color w:val="auto"/>
                      <w:szCs w:val="21"/>
                    </w:rPr>
                  </w:pPr>
                  <w:r>
                    <w:rPr>
                      <w:rFonts w:hint="eastAsia"/>
                      <w:color w:val="auto"/>
                      <w:szCs w:val="21"/>
                    </w:rPr>
                    <w:t>布袋</w:t>
                  </w:r>
                  <w:r>
                    <w:rPr>
                      <w:color w:val="auto"/>
                      <w:szCs w:val="21"/>
                    </w:rPr>
                    <w:t>除尘器</w:t>
                  </w:r>
                </w:p>
              </w:tc>
              <w:tc>
                <w:tcPr>
                  <w:tcW w:w="901" w:type="dxa"/>
                  <w:tcBorders>
                    <w:tl2br w:val="nil"/>
                    <w:tr2bl w:val="nil"/>
                  </w:tcBorders>
                  <w:vAlign w:val="center"/>
                </w:tcPr>
                <w:p w14:paraId="5A5A8A04">
                  <w:pPr>
                    <w:ind w:firstLine="0" w:firstLineChars="0"/>
                    <w:jc w:val="center"/>
                    <w:rPr>
                      <w:color w:val="auto"/>
                      <w:szCs w:val="21"/>
                    </w:rPr>
                  </w:pPr>
                  <w:r>
                    <w:rPr>
                      <w:rFonts w:hint="eastAsia"/>
                      <w:color w:val="auto"/>
                      <w:szCs w:val="21"/>
                    </w:rPr>
                    <w:t>布袋</w:t>
                  </w:r>
                  <w:r>
                    <w:rPr>
                      <w:color w:val="auto"/>
                      <w:szCs w:val="21"/>
                    </w:rPr>
                    <w:t>除尘器收尘灰</w:t>
                  </w:r>
                </w:p>
              </w:tc>
              <w:tc>
                <w:tcPr>
                  <w:tcW w:w="6085" w:type="dxa"/>
                  <w:tcBorders>
                    <w:tl2br w:val="nil"/>
                    <w:tr2bl w:val="nil"/>
                  </w:tcBorders>
                  <w:vAlign w:val="center"/>
                </w:tcPr>
                <w:p w14:paraId="23DFF24A">
                  <w:pPr>
                    <w:ind w:firstLine="0" w:firstLineChars="0"/>
                    <w:jc w:val="center"/>
                    <w:rPr>
                      <w:color w:val="auto"/>
                      <w:szCs w:val="21"/>
                    </w:rPr>
                  </w:pPr>
                  <w:r>
                    <w:rPr>
                      <w:color w:val="auto"/>
                      <w:szCs w:val="21"/>
                    </w:rPr>
                    <w:t>作为原料回用于混凝土生产</w:t>
                  </w:r>
                  <w:r>
                    <w:rPr>
                      <w:rFonts w:hint="eastAsia"/>
                      <w:color w:val="auto"/>
                      <w:szCs w:val="21"/>
                    </w:rPr>
                    <w:t>。</w:t>
                  </w:r>
                </w:p>
              </w:tc>
            </w:tr>
            <w:tr w14:paraId="5B77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31" w:type="dxa"/>
                  <w:tcBorders>
                    <w:tl2br w:val="nil"/>
                    <w:tr2bl w:val="nil"/>
                  </w:tcBorders>
                  <w:vAlign w:val="center"/>
                </w:tcPr>
                <w:p w14:paraId="70091D25">
                  <w:pPr>
                    <w:ind w:firstLine="0" w:firstLineChars="0"/>
                    <w:jc w:val="center"/>
                    <w:rPr>
                      <w:color w:val="auto"/>
                      <w:szCs w:val="21"/>
                    </w:rPr>
                  </w:pPr>
                  <w:r>
                    <w:rPr>
                      <w:color w:val="auto"/>
                      <w:szCs w:val="21"/>
                    </w:rPr>
                    <w:t>噪声</w:t>
                  </w:r>
                </w:p>
              </w:tc>
              <w:tc>
                <w:tcPr>
                  <w:tcW w:w="766" w:type="dxa"/>
                  <w:tcBorders>
                    <w:tl2br w:val="nil"/>
                    <w:tr2bl w:val="nil"/>
                  </w:tcBorders>
                  <w:vAlign w:val="center"/>
                </w:tcPr>
                <w:p w14:paraId="58825EA0">
                  <w:pPr>
                    <w:ind w:firstLine="0" w:firstLineChars="0"/>
                    <w:jc w:val="center"/>
                    <w:rPr>
                      <w:color w:val="auto"/>
                      <w:szCs w:val="21"/>
                    </w:rPr>
                  </w:pPr>
                  <w:r>
                    <w:rPr>
                      <w:color w:val="auto"/>
                      <w:szCs w:val="21"/>
                    </w:rPr>
                    <w:t>生产工序</w:t>
                  </w:r>
                </w:p>
              </w:tc>
              <w:tc>
                <w:tcPr>
                  <w:tcW w:w="901" w:type="dxa"/>
                  <w:tcBorders>
                    <w:tl2br w:val="nil"/>
                    <w:tr2bl w:val="nil"/>
                  </w:tcBorders>
                  <w:vAlign w:val="center"/>
                </w:tcPr>
                <w:p w14:paraId="04C49DD4">
                  <w:pPr>
                    <w:ind w:firstLine="0" w:firstLineChars="0"/>
                    <w:jc w:val="center"/>
                    <w:rPr>
                      <w:color w:val="auto"/>
                      <w:szCs w:val="21"/>
                    </w:rPr>
                  </w:pPr>
                  <w:r>
                    <w:rPr>
                      <w:color w:val="auto"/>
                      <w:szCs w:val="21"/>
                    </w:rPr>
                    <w:t>设备噪声</w:t>
                  </w:r>
                </w:p>
              </w:tc>
              <w:tc>
                <w:tcPr>
                  <w:tcW w:w="6085" w:type="dxa"/>
                  <w:tcBorders>
                    <w:tl2br w:val="nil"/>
                    <w:tr2bl w:val="nil"/>
                  </w:tcBorders>
                  <w:vAlign w:val="center"/>
                </w:tcPr>
                <w:p w14:paraId="09597C55">
                  <w:pPr>
                    <w:ind w:firstLine="0" w:firstLineChars="0"/>
                    <w:jc w:val="center"/>
                    <w:rPr>
                      <w:color w:val="auto"/>
                      <w:szCs w:val="21"/>
                    </w:rPr>
                  </w:pPr>
                  <w:r>
                    <w:rPr>
                      <w:color w:val="auto"/>
                      <w:kern w:val="0"/>
                      <w:szCs w:val="21"/>
                      <w:lang w:bidi="ar"/>
                    </w:rPr>
                    <w:t>设置减震垫、隔声设施</w:t>
                  </w:r>
                </w:p>
              </w:tc>
            </w:tr>
          </w:tbl>
          <w:p w14:paraId="077CF454">
            <w:pPr>
              <w:pStyle w:val="35"/>
              <w:spacing w:after="0" w:line="360" w:lineRule="auto"/>
              <w:ind w:firstLine="0" w:firstLineChars="0"/>
              <w:rPr>
                <w:b/>
                <w:bCs/>
                <w:color w:val="auto"/>
                <w:sz w:val="21"/>
                <w:szCs w:val="21"/>
              </w:rPr>
            </w:pPr>
          </w:p>
        </w:tc>
      </w:tr>
      <w:tr w14:paraId="105DA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6" w:type="dxa"/>
            <w:vAlign w:val="center"/>
          </w:tcPr>
          <w:p w14:paraId="258F3846">
            <w:pPr>
              <w:pStyle w:val="33"/>
              <w:adjustRightInd w:val="0"/>
              <w:snapToGrid w:val="0"/>
              <w:spacing w:before="0" w:beforeAutospacing="0" w:after="0" w:afterAutospacing="0"/>
              <w:ind w:firstLine="0" w:firstLineChars="0"/>
              <w:jc w:val="center"/>
              <w:rPr>
                <w:rFonts w:ascii="Times New Roman" w:hAnsi="Times New Roman"/>
                <w:color w:val="auto"/>
                <w:sz w:val="21"/>
                <w:szCs w:val="21"/>
              </w:rPr>
            </w:pPr>
            <w:r>
              <w:rPr>
                <w:rFonts w:ascii="Times New Roman" w:hAnsi="Times New Roman"/>
                <w:bCs/>
                <w:color w:val="auto"/>
                <w:kern w:val="2"/>
                <w:szCs w:val="24"/>
              </w:rPr>
              <w:t>与项目有关的原有环境污染问题</w:t>
            </w:r>
          </w:p>
        </w:tc>
        <w:tc>
          <w:tcPr>
            <w:tcW w:w="8201" w:type="dxa"/>
          </w:tcPr>
          <w:p w14:paraId="7B6AEC4E">
            <w:pPr>
              <w:adjustRightInd w:val="0"/>
              <w:snapToGrid w:val="0"/>
              <w:spacing w:line="360" w:lineRule="auto"/>
              <w:ind w:firstLine="480"/>
              <w:rPr>
                <w:color w:val="auto"/>
                <w:sz w:val="24"/>
              </w:rPr>
            </w:pPr>
            <w:r>
              <w:rPr>
                <w:color w:val="auto"/>
                <w:sz w:val="24"/>
              </w:rPr>
              <w:t>本次扩建项目在原项目已建</w:t>
            </w:r>
            <w:r>
              <w:rPr>
                <w:rStyle w:val="44"/>
                <w:rFonts w:hint="eastAsia"/>
                <w:color w:val="auto"/>
                <w:lang w:val="en-US" w:eastAsia="zh-CN"/>
              </w:rPr>
              <w:t>场区</w:t>
            </w:r>
            <w:r>
              <w:rPr>
                <w:color w:val="auto"/>
                <w:sz w:val="24"/>
              </w:rPr>
              <w:t>内划定部分闲置区域进行</w:t>
            </w:r>
            <w:r>
              <w:rPr>
                <w:rFonts w:hint="eastAsia"/>
                <w:color w:val="auto"/>
                <w:sz w:val="24"/>
                <w:lang w:val="en-US" w:eastAsia="zh-CN"/>
              </w:rPr>
              <w:t>建设</w:t>
            </w:r>
            <w:r>
              <w:rPr>
                <w:color w:val="auto"/>
                <w:sz w:val="24"/>
              </w:rPr>
              <w:t>。</w:t>
            </w:r>
          </w:p>
          <w:p w14:paraId="2EC95A50">
            <w:pPr>
              <w:adjustRightInd w:val="0"/>
              <w:snapToGrid w:val="0"/>
              <w:spacing w:line="360" w:lineRule="auto"/>
              <w:ind w:firstLine="482"/>
              <w:rPr>
                <w:b/>
                <w:bCs/>
                <w:color w:val="auto"/>
                <w:sz w:val="24"/>
              </w:rPr>
            </w:pPr>
            <w:r>
              <w:rPr>
                <w:b/>
                <w:bCs/>
                <w:color w:val="auto"/>
                <w:sz w:val="24"/>
              </w:rPr>
              <w:t>一、原项目环保手续履行情况</w:t>
            </w:r>
          </w:p>
          <w:p w14:paraId="2F7B3C21">
            <w:pPr>
              <w:adjustRightInd w:val="0"/>
              <w:snapToGrid w:val="0"/>
              <w:spacing w:line="360" w:lineRule="auto"/>
              <w:ind w:firstLine="480"/>
              <w:rPr>
                <w:color w:val="auto"/>
                <w:sz w:val="24"/>
              </w:rPr>
            </w:pPr>
            <w:r>
              <w:rPr>
                <w:color w:val="auto"/>
                <w:sz w:val="24"/>
              </w:rPr>
              <w:t>原项目环保手续履行情况如下：</w:t>
            </w:r>
          </w:p>
          <w:p w14:paraId="7456D2CA">
            <w:pPr>
              <w:adjustRightInd w:val="0"/>
              <w:snapToGrid w:val="0"/>
              <w:spacing w:line="360" w:lineRule="auto"/>
              <w:ind w:firstLine="480"/>
              <w:rPr>
                <w:color w:val="auto"/>
                <w:sz w:val="24"/>
              </w:rPr>
            </w:pPr>
            <w:r>
              <w:rPr>
                <w:color w:val="auto"/>
                <w:sz w:val="24"/>
              </w:rPr>
              <w:t>①建设单位于2009年8月已委托广州市环境保护工程设计院有限公司编制了《年产25万吨商品混凝土生产线建设项目环境影响评价报告表》，</w:t>
            </w:r>
            <w:r>
              <w:rPr>
                <w:rFonts w:eastAsiaTheme="minorEastAsia"/>
                <w:color w:val="auto"/>
                <w:sz w:val="24"/>
              </w:rPr>
              <w:t>并于2009年11月11日取得了寻甸回族彝族自治县环境保护局关于对《年产25万吨商品混凝土生产线建设项目环境影响评价报告表》的批复（寻环[2009]111号），项目属于新建项目</w:t>
            </w:r>
            <w:r>
              <w:rPr>
                <w:color w:val="auto"/>
                <w:sz w:val="24"/>
              </w:rPr>
              <w:t>；</w:t>
            </w:r>
          </w:p>
          <w:p w14:paraId="35659EE7">
            <w:pPr>
              <w:adjustRightInd w:val="0"/>
              <w:snapToGrid w:val="0"/>
              <w:spacing w:line="360" w:lineRule="auto"/>
              <w:ind w:firstLine="480"/>
              <w:rPr>
                <w:color w:val="auto"/>
                <w:sz w:val="24"/>
              </w:rPr>
            </w:pPr>
            <w:r>
              <w:rPr>
                <w:color w:val="auto"/>
                <w:sz w:val="24"/>
              </w:rPr>
              <w:t>②原项目已于2020年2月完成项目竣工环境保护验收手续，验收组同意验收合格，取得了验收意见。</w:t>
            </w:r>
          </w:p>
          <w:p w14:paraId="01964D0D">
            <w:pPr>
              <w:adjustRightInd w:val="0"/>
              <w:snapToGrid w:val="0"/>
              <w:spacing w:line="360" w:lineRule="auto"/>
              <w:ind w:firstLine="480"/>
              <w:rPr>
                <w:rFonts w:hint="default" w:eastAsia="宋体"/>
                <w:color w:val="auto"/>
                <w:sz w:val="24"/>
                <w:lang w:val="en-US" w:eastAsia="zh-CN"/>
              </w:rPr>
            </w:pPr>
            <w:r>
              <w:rPr>
                <w:color w:val="auto"/>
                <w:sz w:val="24"/>
              </w:rPr>
              <w:t>③</w:t>
            </w:r>
            <w:r>
              <w:rPr>
                <w:rFonts w:hint="eastAsia"/>
                <w:color w:val="auto"/>
                <w:sz w:val="24"/>
                <w:lang w:val="en-US" w:eastAsia="zh-CN"/>
              </w:rPr>
              <w:t>原项目搅拌站于2024年5月</w:t>
            </w:r>
            <w:r>
              <w:rPr>
                <w:rFonts w:hint="eastAsia"/>
                <w:color w:val="auto"/>
                <w:sz w:val="24"/>
              </w:rPr>
              <w:t>安装</w:t>
            </w:r>
            <w:r>
              <w:rPr>
                <w:rFonts w:hint="eastAsia"/>
                <w:color w:val="auto"/>
                <w:sz w:val="24"/>
                <w:lang w:val="en-US" w:eastAsia="zh-CN"/>
              </w:rPr>
              <w:t>布袋除尘器，之前主要由搅拌设备密闭措施控制粉尘呈无组织排放，生产废水沉淀池处理后回用，生活废水经化粪池处理后用于农田施肥，未办理排污许可手续；</w:t>
            </w:r>
          </w:p>
          <w:p w14:paraId="4F294A93">
            <w:pPr>
              <w:adjustRightInd w:val="0"/>
              <w:snapToGrid w:val="0"/>
              <w:spacing w:line="360" w:lineRule="auto"/>
              <w:ind w:firstLine="482"/>
              <w:rPr>
                <w:b/>
                <w:bCs/>
                <w:color w:val="auto"/>
                <w:sz w:val="24"/>
              </w:rPr>
            </w:pPr>
            <w:r>
              <w:rPr>
                <w:b/>
                <w:bCs/>
                <w:color w:val="auto"/>
                <w:sz w:val="24"/>
              </w:rPr>
              <w:t>二、原项目现有工程概况</w:t>
            </w:r>
          </w:p>
          <w:p w14:paraId="7030F8B5">
            <w:pPr>
              <w:adjustRightInd w:val="0"/>
              <w:snapToGrid w:val="0"/>
              <w:spacing w:line="360" w:lineRule="auto"/>
              <w:ind w:firstLine="482"/>
              <w:rPr>
                <w:b/>
                <w:bCs/>
                <w:color w:val="auto"/>
                <w:sz w:val="24"/>
              </w:rPr>
            </w:pPr>
            <w:r>
              <w:rPr>
                <w:rFonts w:hint="eastAsia"/>
                <w:b/>
                <w:bCs/>
                <w:color w:val="auto"/>
                <w:sz w:val="24"/>
              </w:rPr>
              <w:t>1</w:t>
            </w:r>
            <w:r>
              <w:rPr>
                <w:b/>
                <w:bCs/>
                <w:color w:val="auto"/>
                <w:sz w:val="24"/>
              </w:rPr>
              <w:t>、原项目建设内容</w:t>
            </w:r>
          </w:p>
          <w:p w14:paraId="463721D1">
            <w:pPr>
              <w:adjustRightInd w:val="0"/>
              <w:snapToGrid w:val="0"/>
              <w:spacing w:line="360" w:lineRule="auto"/>
              <w:ind w:firstLine="480"/>
              <w:rPr>
                <w:color w:val="auto"/>
                <w:lang w:val="zh-CN"/>
              </w:rPr>
            </w:pPr>
            <w:r>
              <w:rPr>
                <w:color w:val="auto"/>
                <w:sz w:val="24"/>
              </w:rPr>
              <w:t>原项目</w:t>
            </w:r>
            <w:r>
              <w:rPr>
                <w:rFonts w:eastAsiaTheme="minorEastAsia"/>
                <w:color w:val="auto"/>
                <w:sz w:val="24"/>
              </w:rPr>
              <w:t>占地面积10005</w:t>
            </w:r>
            <w:r>
              <w:rPr>
                <w:rFonts w:hint="eastAsia" w:eastAsiaTheme="minorEastAsia"/>
                <w:color w:val="auto"/>
                <w:sz w:val="24"/>
              </w:rPr>
              <w:t>m</w:t>
            </w:r>
            <w:r>
              <w:rPr>
                <w:rFonts w:hint="eastAsia" w:eastAsiaTheme="minorEastAsia"/>
                <w:color w:val="auto"/>
                <w:sz w:val="24"/>
                <w:vertAlign w:val="superscript"/>
              </w:rPr>
              <w:t>2</w:t>
            </w:r>
            <w:r>
              <w:rPr>
                <w:rFonts w:eastAsiaTheme="minorEastAsia"/>
                <w:color w:val="auto"/>
                <w:sz w:val="24"/>
              </w:rPr>
              <w:t>，主要建设内容为：年产25万吨商品混凝土生产线一条（搅拌线筒库数量为4个，其中水泥仓</w:t>
            </w:r>
            <w:r>
              <w:rPr>
                <w:rFonts w:hint="eastAsia" w:eastAsiaTheme="minorEastAsia"/>
                <w:color w:val="auto"/>
                <w:sz w:val="24"/>
                <w:lang w:val="en-US" w:eastAsia="zh-CN"/>
              </w:rPr>
              <w:t>2</w:t>
            </w:r>
            <w:r>
              <w:rPr>
                <w:rFonts w:eastAsiaTheme="minorEastAsia"/>
                <w:color w:val="auto"/>
                <w:sz w:val="24"/>
              </w:rPr>
              <w:t>个</w:t>
            </w:r>
            <w:r>
              <w:rPr>
                <w:rFonts w:hint="eastAsia" w:eastAsiaTheme="minorEastAsia"/>
                <w:color w:val="auto"/>
                <w:sz w:val="24"/>
                <w:lang w:eastAsia="zh-CN"/>
              </w:rPr>
              <w:t>、</w:t>
            </w:r>
            <w:r>
              <w:rPr>
                <w:rFonts w:eastAsiaTheme="minorEastAsia"/>
                <w:color w:val="auto"/>
                <w:sz w:val="24"/>
              </w:rPr>
              <w:t>粉煤灰仓1个</w:t>
            </w:r>
            <w:r>
              <w:rPr>
                <w:rFonts w:hint="eastAsia"/>
                <w:color w:val="auto"/>
                <w:lang w:eastAsia="zh-CN"/>
              </w:rPr>
              <w:t>、</w:t>
            </w:r>
            <w:r>
              <w:rPr>
                <w:rFonts w:hint="eastAsia" w:eastAsiaTheme="minorEastAsia"/>
                <w:color w:val="auto"/>
                <w:sz w:val="24"/>
                <w:lang w:val="en-US" w:eastAsia="zh-CN"/>
              </w:rPr>
              <w:t>矿粉仓1个</w:t>
            </w:r>
            <w:r>
              <w:rPr>
                <w:rFonts w:eastAsiaTheme="minorEastAsia"/>
                <w:color w:val="auto"/>
                <w:sz w:val="24"/>
              </w:rPr>
              <w:t>）、砂石料仓、洗车场、职工宿舍、食堂及办公用房。</w:t>
            </w:r>
            <w:r>
              <w:rPr>
                <w:color w:val="auto"/>
                <w:sz w:val="24"/>
                <w:lang w:val="zh-CN"/>
              </w:rPr>
              <w:t>原项目</w:t>
            </w:r>
            <w:r>
              <w:rPr>
                <w:color w:val="auto"/>
                <w:sz w:val="24"/>
              </w:rPr>
              <w:t>实际</w:t>
            </w:r>
            <w:r>
              <w:rPr>
                <w:color w:val="auto"/>
                <w:sz w:val="24"/>
                <w:lang w:val="zh-CN"/>
              </w:rPr>
              <w:t>组成情况见表</w:t>
            </w:r>
            <w:r>
              <w:rPr>
                <w:color w:val="auto"/>
                <w:sz w:val="24"/>
              </w:rPr>
              <w:t>2-1</w:t>
            </w:r>
            <w:r>
              <w:rPr>
                <w:rFonts w:hint="eastAsia"/>
                <w:color w:val="auto"/>
                <w:sz w:val="24"/>
              </w:rPr>
              <w:t>1</w:t>
            </w:r>
            <w:r>
              <w:rPr>
                <w:color w:val="auto"/>
                <w:sz w:val="24"/>
                <w:lang w:val="zh-CN"/>
              </w:rPr>
              <w:t>。</w:t>
            </w:r>
          </w:p>
          <w:p w14:paraId="52CC7BB9">
            <w:pPr>
              <w:adjustRightInd w:val="0"/>
              <w:snapToGrid w:val="0"/>
              <w:ind w:firstLine="422"/>
              <w:jc w:val="center"/>
              <w:rPr>
                <w:b/>
                <w:bCs/>
                <w:color w:val="auto"/>
                <w:szCs w:val="21"/>
              </w:rPr>
            </w:pPr>
            <w:r>
              <w:rPr>
                <w:b/>
                <w:bCs/>
                <w:color w:val="auto"/>
                <w:szCs w:val="21"/>
                <w:lang w:val="zh-CN"/>
              </w:rPr>
              <w:t>表</w:t>
            </w:r>
            <w:r>
              <w:rPr>
                <w:b/>
                <w:bCs/>
                <w:color w:val="auto"/>
                <w:szCs w:val="21"/>
              </w:rPr>
              <w:t>2-</w:t>
            </w:r>
            <w:r>
              <w:rPr>
                <w:rFonts w:hint="eastAsia"/>
                <w:b/>
                <w:bCs/>
                <w:color w:val="auto"/>
                <w:szCs w:val="21"/>
              </w:rPr>
              <w:t>11</w:t>
            </w:r>
            <w:r>
              <w:rPr>
                <w:b/>
                <w:bCs/>
                <w:color w:val="auto"/>
                <w:szCs w:val="21"/>
              </w:rPr>
              <w:t xml:space="preserve">   原项目实际工程组成</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414"/>
              <w:gridCol w:w="698"/>
              <w:gridCol w:w="5109"/>
              <w:gridCol w:w="1324"/>
            </w:tblGrid>
            <w:tr w14:paraId="0176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gridSpan w:val="3"/>
                  <w:vAlign w:val="center"/>
                </w:tcPr>
                <w:p w14:paraId="1822386D">
                  <w:pPr>
                    <w:pStyle w:val="26"/>
                    <w:ind w:firstLine="0" w:firstLineChars="0"/>
                    <w:jc w:val="center"/>
                    <w:rPr>
                      <w:rFonts w:ascii="Times New Roman" w:hAnsi="Times New Roman"/>
                      <w:color w:val="auto"/>
                      <w:sz w:val="24"/>
                    </w:rPr>
                  </w:pPr>
                  <w:r>
                    <w:rPr>
                      <w:rFonts w:ascii="Times New Roman" w:hAnsi="Times New Roman"/>
                      <w:b/>
                      <w:bCs/>
                      <w:color w:val="auto"/>
                    </w:rPr>
                    <w:t>项目</w:t>
                  </w:r>
                </w:p>
              </w:tc>
              <w:tc>
                <w:tcPr>
                  <w:tcW w:w="5109" w:type="dxa"/>
                  <w:vAlign w:val="center"/>
                </w:tcPr>
                <w:p w14:paraId="4F3A0DD7">
                  <w:pPr>
                    <w:pStyle w:val="26"/>
                    <w:ind w:firstLine="0" w:firstLineChars="0"/>
                    <w:jc w:val="center"/>
                    <w:rPr>
                      <w:rFonts w:ascii="Times New Roman" w:hAnsi="Times New Roman"/>
                      <w:color w:val="auto"/>
                      <w:sz w:val="24"/>
                    </w:rPr>
                  </w:pPr>
                  <w:r>
                    <w:rPr>
                      <w:rFonts w:ascii="Times New Roman" w:hAnsi="Times New Roman"/>
                      <w:b/>
                      <w:color w:val="auto"/>
                      <w:szCs w:val="21"/>
                    </w:rPr>
                    <w:t>建设内容及规模</w:t>
                  </w:r>
                </w:p>
              </w:tc>
              <w:tc>
                <w:tcPr>
                  <w:tcW w:w="1324" w:type="dxa"/>
                  <w:vAlign w:val="center"/>
                </w:tcPr>
                <w:p w14:paraId="4AB41AD2">
                  <w:pPr>
                    <w:pStyle w:val="26"/>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eastAsia" w:ascii="Times New Roman" w:hAnsi="Times New Roman" w:eastAsia="宋体"/>
                      <w:b/>
                      <w:color w:val="auto"/>
                      <w:szCs w:val="21"/>
                      <w:lang w:val="en-US" w:eastAsia="zh-CN"/>
                    </w:rPr>
                  </w:pPr>
                  <w:r>
                    <w:rPr>
                      <w:rFonts w:hint="eastAsia" w:ascii="Times New Roman" w:hAnsi="Times New Roman"/>
                      <w:b/>
                      <w:color w:val="auto"/>
                      <w:szCs w:val="21"/>
                      <w:lang w:val="en-US" w:eastAsia="zh-CN"/>
                    </w:rPr>
                    <w:t>备注</w:t>
                  </w:r>
                </w:p>
              </w:tc>
            </w:tr>
            <w:tr w14:paraId="2C18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restart"/>
                  <w:vAlign w:val="center"/>
                </w:tcPr>
                <w:p w14:paraId="7F4D7AB2">
                  <w:pPr>
                    <w:pStyle w:val="26"/>
                    <w:ind w:firstLine="0" w:firstLineChars="0"/>
                    <w:jc w:val="center"/>
                    <w:rPr>
                      <w:rFonts w:ascii="Times New Roman" w:hAnsi="Times New Roman"/>
                      <w:color w:val="auto"/>
                      <w:sz w:val="24"/>
                    </w:rPr>
                  </w:pPr>
                  <w:r>
                    <w:rPr>
                      <w:rFonts w:ascii="Times New Roman" w:hAnsi="Times New Roman"/>
                      <w:color w:val="auto"/>
                    </w:rPr>
                    <w:t>主体工程</w:t>
                  </w:r>
                </w:p>
              </w:tc>
              <w:tc>
                <w:tcPr>
                  <w:tcW w:w="414" w:type="dxa"/>
                  <w:vMerge w:val="restart"/>
                  <w:vAlign w:val="center"/>
                </w:tcPr>
                <w:p w14:paraId="4A0BDA18">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25万吨</w:t>
                  </w:r>
                  <w:r>
                    <w:rPr>
                      <w:rFonts w:hint="eastAsia" w:ascii="Times New Roman" w:hAnsi="Times New Roman" w:eastAsia="Times New Roman"/>
                      <w:color w:val="auto"/>
                      <w:szCs w:val="21"/>
                    </w:rPr>
                    <w:t>混凝土</w:t>
                  </w:r>
                  <w:r>
                    <w:rPr>
                      <w:rFonts w:ascii="Times New Roman" w:hAnsi="Times New Roman" w:eastAsia="Times New Roman"/>
                      <w:color w:val="auto"/>
                      <w:szCs w:val="21"/>
                    </w:rPr>
                    <w:t>生产线</w:t>
                  </w:r>
                </w:p>
              </w:tc>
              <w:tc>
                <w:tcPr>
                  <w:tcW w:w="698" w:type="dxa"/>
                  <w:vAlign w:val="center"/>
                </w:tcPr>
                <w:p w14:paraId="5F2CF0B8">
                  <w:pPr>
                    <w:pStyle w:val="95"/>
                    <w:spacing w:line="240" w:lineRule="auto"/>
                    <w:ind w:firstLine="0" w:firstLineChars="0"/>
                    <w:rPr>
                      <w:rFonts w:ascii="Times New Roman" w:eastAsia="Times New Roman"/>
                      <w:color w:val="auto"/>
                      <w:kern w:val="2"/>
                      <w:sz w:val="21"/>
                      <w:szCs w:val="21"/>
                    </w:rPr>
                  </w:pPr>
                  <w:r>
                    <w:rPr>
                      <w:rFonts w:hint="eastAsia" w:ascii="Times New Roman" w:eastAsia="Times New Roman"/>
                      <w:color w:val="auto"/>
                      <w:kern w:val="2"/>
                      <w:sz w:val="21"/>
                      <w:szCs w:val="21"/>
                    </w:rPr>
                    <w:t>拌合站</w:t>
                  </w:r>
                </w:p>
              </w:tc>
              <w:tc>
                <w:tcPr>
                  <w:tcW w:w="5109" w:type="dxa"/>
                  <w:vAlign w:val="center"/>
                </w:tcPr>
                <w:p w14:paraId="12711DAE">
                  <w:pPr>
                    <w:pStyle w:val="95"/>
                    <w:spacing w:line="240" w:lineRule="auto"/>
                    <w:ind w:firstLine="0" w:firstLineChars="0"/>
                    <w:rPr>
                      <w:rFonts w:ascii="Times New Roman" w:eastAsia="Times New Roman"/>
                      <w:color w:val="auto"/>
                      <w:kern w:val="2"/>
                      <w:sz w:val="21"/>
                      <w:szCs w:val="21"/>
                    </w:rPr>
                  </w:pPr>
                  <w:r>
                    <w:rPr>
                      <w:rFonts w:hint="eastAsia" w:ascii="Times New Roman" w:eastAsia="Times New Roman"/>
                      <w:color w:val="auto"/>
                      <w:kern w:val="2"/>
                      <w:sz w:val="21"/>
                      <w:szCs w:val="21"/>
                    </w:rPr>
                    <w:t>拌合站</w:t>
                  </w:r>
                  <w:r>
                    <w:rPr>
                      <w:rFonts w:ascii="Times New Roman" w:eastAsia="Times New Roman"/>
                      <w:color w:val="auto"/>
                      <w:kern w:val="2"/>
                      <w:sz w:val="21"/>
                      <w:szCs w:val="21"/>
                    </w:rPr>
                    <w:t>建筑面积142.8m</w:t>
                  </w:r>
                  <w:r>
                    <w:rPr>
                      <w:rFonts w:ascii="Times New Roman" w:eastAsia="Times New Roman"/>
                      <w:color w:val="auto"/>
                      <w:kern w:val="2"/>
                      <w:sz w:val="21"/>
                      <w:szCs w:val="21"/>
                      <w:vertAlign w:val="superscript"/>
                    </w:rPr>
                    <w:t>2</w:t>
                  </w:r>
                  <w:r>
                    <w:rPr>
                      <w:rFonts w:ascii="Times New Roman" w:eastAsia="Times New Roman"/>
                      <w:color w:val="auto"/>
                      <w:kern w:val="2"/>
                      <w:sz w:val="21"/>
                      <w:szCs w:val="21"/>
                    </w:rPr>
                    <w:t>，配套品控楼建筑面积114m</w:t>
                  </w:r>
                  <w:r>
                    <w:rPr>
                      <w:rFonts w:ascii="Times New Roman" w:eastAsia="Times New Roman"/>
                      <w:color w:val="auto"/>
                      <w:kern w:val="2"/>
                      <w:sz w:val="21"/>
                      <w:szCs w:val="21"/>
                      <w:vertAlign w:val="superscript"/>
                    </w:rPr>
                    <w:t>2</w:t>
                  </w:r>
                  <w:r>
                    <w:rPr>
                      <w:rFonts w:ascii="Times New Roman" w:eastAsia="Times New Roman"/>
                      <w:color w:val="auto"/>
                      <w:kern w:val="2"/>
                      <w:sz w:val="21"/>
                      <w:szCs w:val="21"/>
                    </w:rPr>
                    <w:t>，设置HZS180</w:t>
                  </w:r>
                  <w:r>
                    <w:rPr>
                      <w:rFonts w:hint="eastAsia" w:ascii="Times New Roman" w:eastAsia="宋体"/>
                      <w:color w:val="auto"/>
                      <w:kern w:val="2"/>
                      <w:sz w:val="21"/>
                      <w:szCs w:val="21"/>
                      <w:lang w:val="en-US" w:eastAsia="zh-CN"/>
                    </w:rPr>
                    <w:t>搅拌设备2台</w:t>
                  </w:r>
                  <w:r>
                    <w:rPr>
                      <w:rFonts w:ascii="Times New Roman" w:eastAsia="Times New Roman"/>
                      <w:color w:val="auto"/>
                      <w:kern w:val="2"/>
                      <w:sz w:val="21"/>
                      <w:szCs w:val="21"/>
                    </w:rPr>
                    <w:t>。</w:t>
                  </w:r>
                </w:p>
              </w:tc>
              <w:tc>
                <w:tcPr>
                  <w:tcW w:w="1324" w:type="dxa"/>
                  <w:vAlign w:val="center"/>
                </w:tcPr>
                <w:p w14:paraId="76D43926">
                  <w:pPr>
                    <w:pStyle w:val="9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w:t>
                  </w:r>
                </w:p>
              </w:tc>
            </w:tr>
            <w:tr w14:paraId="2D57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414" w:type="dxa"/>
                  <w:vMerge w:val="continue"/>
                  <w:vAlign w:val="center"/>
                </w:tcPr>
                <w:p w14:paraId="392C9031">
                  <w:pPr>
                    <w:pStyle w:val="26"/>
                    <w:ind w:firstLine="0" w:firstLineChars="0"/>
                    <w:jc w:val="center"/>
                    <w:rPr>
                      <w:rFonts w:ascii="Times New Roman" w:hAnsi="Times New Roman"/>
                      <w:color w:val="auto"/>
                      <w:sz w:val="24"/>
                    </w:rPr>
                  </w:pPr>
                </w:p>
              </w:tc>
              <w:tc>
                <w:tcPr>
                  <w:tcW w:w="414" w:type="dxa"/>
                  <w:vMerge w:val="continue"/>
                  <w:vAlign w:val="center"/>
                </w:tcPr>
                <w:p w14:paraId="4A3C0FBA">
                  <w:pPr>
                    <w:pStyle w:val="26"/>
                    <w:ind w:firstLine="0" w:firstLineChars="0"/>
                    <w:jc w:val="center"/>
                    <w:rPr>
                      <w:rFonts w:ascii="Times New Roman" w:hAnsi="Times New Roman" w:eastAsia="Times New Roman"/>
                      <w:color w:val="auto"/>
                      <w:szCs w:val="21"/>
                    </w:rPr>
                  </w:pPr>
                </w:p>
              </w:tc>
              <w:tc>
                <w:tcPr>
                  <w:tcW w:w="698" w:type="dxa"/>
                  <w:vAlign w:val="center"/>
                </w:tcPr>
                <w:p w14:paraId="52A455C2">
                  <w:pPr>
                    <w:pStyle w:val="26"/>
                    <w:ind w:firstLine="0" w:firstLineChars="0"/>
                    <w:jc w:val="center"/>
                    <w:rPr>
                      <w:rFonts w:ascii="Times New Roman" w:hAnsi="Times New Roman" w:eastAsia="Times New Roman"/>
                      <w:color w:val="auto"/>
                      <w:szCs w:val="21"/>
                    </w:rPr>
                  </w:pPr>
                  <w:r>
                    <w:rPr>
                      <w:rFonts w:hint="eastAsia" w:ascii="Times New Roman" w:hAnsi="Times New Roman" w:eastAsia="Times New Roman"/>
                      <w:color w:val="auto"/>
                      <w:szCs w:val="21"/>
                    </w:rPr>
                    <w:t>筒仓</w:t>
                  </w:r>
                </w:p>
              </w:tc>
              <w:tc>
                <w:tcPr>
                  <w:tcW w:w="5109" w:type="dxa"/>
                  <w:vAlign w:val="center"/>
                </w:tcPr>
                <w:p w14:paraId="7E5E144E">
                  <w:pPr>
                    <w:pStyle w:val="26"/>
                    <w:ind w:firstLine="0" w:firstLineChars="0"/>
                    <w:jc w:val="center"/>
                    <w:rPr>
                      <w:rFonts w:ascii="Times New Roman" w:hAnsi="Times New Roman" w:eastAsia="Times New Roman"/>
                      <w:color w:val="auto"/>
                      <w:szCs w:val="21"/>
                    </w:rPr>
                  </w:pPr>
                  <w:r>
                    <w:rPr>
                      <w:rFonts w:hint="eastAsia" w:ascii="Times New Roman" w:hAnsi="Times New Roman" w:eastAsia="宋体"/>
                      <w:color w:val="auto"/>
                      <w:szCs w:val="21"/>
                      <w:lang w:val="en-US" w:eastAsia="zh-CN"/>
                    </w:rPr>
                    <w:t>设置在整个场区的中间位置，</w:t>
                  </w:r>
                  <w:r>
                    <w:rPr>
                      <w:rFonts w:hint="eastAsia" w:ascii="Times New Roman" w:hAnsi="Times New Roman" w:eastAsia="Times New Roman"/>
                      <w:color w:val="auto"/>
                      <w:szCs w:val="21"/>
                    </w:rPr>
                    <w:t>1</w:t>
                  </w:r>
                  <w:r>
                    <w:rPr>
                      <w:rFonts w:ascii="Times New Roman" w:hAnsi="Times New Roman" w:eastAsia="Times New Roman"/>
                      <w:color w:val="auto"/>
                      <w:szCs w:val="21"/>
                    </w:rPr>
                    <w:t>#、</w:t>
                  </w:r>
                  <w:r>
                    <w:rPr>
                      <w:rFonts w:hint="eastAsia" w:ascii="Times New Roman" w:hAnsi="Times New Roman" w:eastAsia="Times New Roman"/>
                      <w:color w:val="auto"/>
                      <w:szCs w:val="21"/>
                    </w:rPr>
                    <w:t>2</w:t>
                  </w:r>
                  <w:r>
                    <w:rPr>
                      <w:rFonts w:ascii="Times New Roman" w:hAnsi="Times New Roman" w:eastAsia="Times New Roman"/>
                      <w:color w:val="auto"/>
                      <w:szCs w:val="21"/>
                    </w:rPr>
                    <w:t>#筒仓为水泥筒仓，</w:t>
                  </w:r>
                  <w:r>
                    <w:rPr>
                      <w:rFonts w:hint="eastAsia" w:ascii="Times New Roman" w:hAnsi="Times New Roman" w:eastAsia="Times New Roman"/>
                      <w:color w:val="auto"/>
                      <w:szCs w:val="21"/>
                    </w:rPr>
                    <w:t>3</w:t>
                  </w:r>
                  <w:r>
                    <w:rPr>
                      <w:rFonts w:ascii="Times New Roman" w:hAnsi="Times New Roman" w:eastAsia="Times New Roman"/>
                      <w:color w:val="auto"/>
                      <w:szCs w:val="21"/>
                    </w:rPr>
                    <w:t>#筒仓为粉煤灰筒仓</w:t>
                  </w:r>
                  <w:r>
                    <w:rPr>
                      <w:rFonts w:hint="eastAsia" w:ascii="Times New Roman" w:hAnsi="Times New Roman" w:eastAsia="Times New Roman"/>
                      <w:color w:val="auto"/>
                      <w:szCs w:val="21"/>
                    </w:rPr>
                    <w:t>，4</w:t>
                  </w:r>
                  <w:r>
                    <w:rPr>
                      <w:rFonts w:ascii="Times New Roman" w:hAnsi="Times New Roman" w:eastAsia="Times New Roman"/>
                      <w:color w:val="auto"/>
                      <w:szCs w:val="21"/>
                    </w:rPr>
                    <w:t>#筒仓为矿粉筒仓</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筒仓容积均为400m</w:t>
                  </w:r>
                  <w:r>
                    <w:rPr>
                      <w:rFonts w:hint="eastAsia" w:ascii="Times New Roman" w:hAnsi="Times New Roman" w:eastAsia="宋体"/>
                      <w:color w:val="auto"/>
                      <w:szCs w:val="21"/>
                      <w:vertAlign w:val="superscript"/>
                      <w:lang w:val="en-US" w:eastAsia="zh-CN"/>
                    </w:rPr>
                    <w:t>3</w:t>
                  </w:r>
                  <w:r>
                    <w:rPr>
                      <w:rFonts w:ascii="Times New Roman" w:hAnsi="Times New Roman" w:eastAsia="Times New Roman"/>
                      <w:color w:val="auto"/>
                      <w:szCs w:val="21"/>
                    </w:rPr>
                    <w:t>。</w:t>
                  </w:r>
                </w:p>
              </w:tc>
              <w:tc>
                <w:tcPr>
                  <w:tcW w:w="1324" w:type="dxa"/>
                  <w:vAlign w:val="center"/>
                </w:tcPr>
                <w:p w14:paraId="1A802D9D">
                  <w:pPr>
                    <w:pStyle w:val="9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lang w:val="en-US" w:eastAsia="zh-CN"/>
                    </w:rPr>
                  </w:pPr>
                  <w:r>
                    <w:rPr>
                      <w:rFonts w:hint="eastAsia"/>
                      <w:color w:val="auto"/>
                      <w:lang w:val="en-US" w:eastAsia="zh-CN"/>
                    </w:rPr>
                    <w:t>/</w:t>
                  </w:r>
                </w:p>
              </w:tc>
            </w:tr>
            <w:tr w14:paraId="0D33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vAlign w:val="center"/>
                </w:tcPr>
                <w:p w14:paraId="2ED16C23">
                  <w:pPr>
                    <w:pStyle w:val="26"/>
                    <w:ind w:firstLine="0" w:firstLineChars="0"/>
                    <w:jc w:val="center"/>
                    <w:rPr>
                      <w:rFonts w:ascii="Times New Roman" w:hAnsi="Times New Roman"/>
                      <w:color w:val="auto"/>
                      <w:sz w:val="24"/>
                    </w:rPr>
                  </w:pPr>
                </w:p>
              </w:tc>
              <w:tc>
                <w:tcPr>
                  <w:tcW w:w="1112" w:type="dxa"/>
                  <w:gridSpan w:val="2"/>
                  <w:vAlign w:val="center"/>
                </w:tcPr>
                <w:p w14:paraId="1ED2C447">
                  <w:pPr>
                    <w:pStyle w:val="26"/>
                    <w:ind w:firstLine="0" w:firstLineChars="0"/>
                    <w:jc w:val="center"/>
                    <w:rPr>
                      <w:rFonts w:ascii="Times New Roman" w:hAnsi="Times New Roman" w:eastAsia="Times New Roman"/>
                      <w:color w:val="auto"/>
                      <w:szCs w:val="21"/>
                    </w:rPr>
                  </w:pPr>
                  <w:r>
                    <w:rPr>
                      <w:rFonts w:hint="eastAsia" w:ascii="Times New Roman" w:hAnsi="Times New Roman" w:eastAsia="宋体"/>
                      <w:color w:val="auto"/>
                      <w:szCs w:val="21"/>
                      <w:lang w:val="en-US" w:eastAsia="zh-CN"/>
                    </w:rPr>
                    <w:t>骨料</w:t>
                  </w:r>
                  <w:r>
                    <w:rPr>
                      <w:rFonts w:ascii="Times New Roman" w:hAnsi="Times New Roman" w:eastAsia="Times New Roman"/>
                      <w:color w:val="auto"/>
                      <w:szCs w:val="21"/>
                    </w:rPr>
                    <w:t>仓库</w:t>
                  </w:r>
                </w:p>
              </w:tc>
              <w:tc>
                <w:tcPr>
                  <w:tcW w:w="5109" w:type="dxa"/>
                  <w:vAlign w:val="center"/>
                </w:tcPr>
                <w:p w14:paraId="220C67CB">
                  <w:pPr>
                    <w:pStyle w:val="26"/>
                    <w:ind w:firstLine="0" w:firstLineChars="0"/>
                    <w:jc w:val="center"/>
                    <w:rPr>
                      <w:rFonts w:ascii="Times New Roman" w:hAnsi="Times New Roman" w:eastAsia="Times New Roman"/>
                      <w:color w:val="auto"/>
                      <w:szCs w:val="21"/>
                    </w:rPr>
                  </w:pPr>
                  <w:r>
                    <w:rPr>
                      <w:rFonts w:ascii="Times New Roman" w:hAnsi="Times New Roman"/>
                      <w:color w:val="auto"/>
                      <w:kern w:val="0"/>
                      <w:szCs w:val="21"/>
                    </w:rPr>
                    <w:t>位于整个项目区东北侧，总建筑面积为1500m</w:t>
                  </w:r>
                  <w:r>
                    <w:rPr>
                      <w:rFonts w:ascii="Times New Roman" w:hAnsi="Times New Roman"/>
                      <w:color w:val="auto"/>
                      <w:kern w:val="0"/>
                      <w:szCs w:val="21"/>
                      <w:vertAlign w:val="superscript"/>
                    </w:rPr>
                    <w:t>2</w:t>
                  </w:r>
                  <w:r>
                    <w:rPr>
                      <w:rFonts w:ascii="Times New Roman" w:hAnsi="Times New Roman"/>
                      <w:color w:val="auto"/>
                      <w:kern w:val="0"/>
                      <w:szCs w:val="21"/>
                    </w:rPr>
                    <w:t>，仓库</w:t>
                  </w:r>
                  <w:r>
                    <w:rPr>
                      <w:rFonts w:ascii="Times New Roman" w:hAnsi="Times New Roman" w:eastAsiaTheme="minorEastAsia"/>
                      <w:color w:val="auto"/>
                      <w:szCs w:val="21"/>
                    </w:rPr>
                    <w:t>地面水泥固化，三面密闭，设施顶盖</w:t>
                  </w:r>
                </w:p>
              </w:tc>
              <w:tc>
                <w:tcPr>
                  <w:tcW w:w="1324" w:type="dxa"/>
                  <w:vAlign w:val="center"/>
                </w:tcPr>
                <w:p w14:paraId="5ACA03A1">
                  <w:pPr>
                    <w:pStyle w:val="26"/>
                    <w:keepNext w:val="0"/>
                    <w:keepLines w:val="0"/>
                    <w:pageBreakBefore w:val="0"/>
                    <w:widowControl w:val="0"/>
                    <w:kinsoku/>
                    <w:wordWrap w:val="0"/>
                    <w:overflowPunct/>
                    <w:topLinePunct/>
                    <w:autoSpaceDE/>
                    <w:autoSpaceDN/>
                    <w:bidi w:val="0"/>
                    <w:adjustRightInd/>
                    <w:snapToGrid/>
                    <w:ind w:firstLine="0" w:firstLineChars="0"/>
                    <w:jc w:val="left"/>
                    <w:textAlignment w:val="auto"/>
                    <w:rPr>
                      <w:rFonts w:ascii="Times New Roman" w:hAnsi="Times New Roman"/>
                      <w:color w:val="auto"/>
                      <w:kern w:val="0"/>
                      <w:szCs w:val="21"/>
                    </w:rPr>
                  </w:pPr>
                  <w:r>
                    <w:rPr>
                      <w:rFonts w:hint="eastAsia" w:ascii="Times New Roman" w:hAnsi="Times New Roman"/>
                      <w:color w:val="auto"/>
                      <w:kern w:val="0"/>
                      <w:szCs w:val="21"/>
                    </w:rPr>
                    <w:t>根据昆生环改字〔2023﹞11-30号处罚文件的整改要求2024年5月对</w:t>
                  </w:r>
                  <w:r>
                    <w:rPr>
                      <w:rFonts w:hint="eastAsia" w:ascii="Times New Roman" w:hAnsi="Times New Roman"/>
                      <w:color w:val="auto"/>
                      <w:kern w:val="0"/>
                      <w:szCs w:val="21"/>
                      <w:lang w:val="en-US" w:eastAsia="zh-CN"/>
                    </w:rPr>
                    <w:t>骨料仓库设置三面围挡+顶棚</w:t>
                  </w:r>
                  <w:r>
                    <w:rPr>
                      <w:rFonts w:hint="eastAsia" w:ascii="Times New Roman" w:hAnsi="Times New Roman"/>
                      <w:color w:val="auto"/>
                      <w:kern w:val="0"/>
                      <w:szCs w:val="21"/>
                    </w:rPr>
                    <w:t>；</w:t>
                  </w:r>
                </w:p>
              </w:tc>
            </w:tr>
            <w:tr w14:paraId="7DCC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restart"/>
                  <w:vAlign w:val="center"/>
                </w:tcPr>
                <w:p w14:paraId="3DBD4725">
                  <w:pPr>
                    <w:pStyle w:val="26"/>
                    <w:ind w:firstLine="0" w:firstLineChars="0"/>
                    <w:jc w:val="center"/>
                    <w:rPr>
                      <w:rFonts w:ascii="Times New Roman" w:hAnsi="Times New Roman"/>
                      <w:color w:val="auto"/>
                      <w:kern w:val="0"/>
                      <w:szCs w:val="21"/>
                    </w:rPr>
                  </w:pPr>
                  <w:r>
                    <w:rPr>
                      <w:rFonts w:ascii="Times New Roman" w:hAnsi="Times New Roman"/>
                      <w:color w:val="auto"/>
                      <w:kern w:val="0"/>
                      <w:szCs w:val="21"/>
                    </w:rPr>
                    <w:t>辅助工程</w:t>
                  </w:r>
                </w:p>
              </w:tc>
              <w:tc>
                <w:tcPr>
                  <w:tcW w:w="1112" w:type="dxa"/>
                  <w:gridSpan w:val="2"/>
                  <w:vAlign w:val="center"/>
                </w:tcPr>
                <w:p w14:paraId="62F7A0E7">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综合住房楼</w:t>
                  </w:r>
                </w:p>
              </w:tc>
              <w:tc>
                <w:tcPr>
                  <w:tcW w:w="5109" w:type="dxa"/>
                  <w:vAlign w:val="center"/>
                </w:tcPr>
                <w:p w14:paraId="726C582C">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1栋2层的砖混结构综合楼和1栋2层的彩钢瓦结构住宿楼位于项目地块西部，总建筑面积为2000m</w:t>
                  </w:r>
                  <w:r>
                    <w:rPr>
                      <w:rFonts w:ascii="Times New Roman" w:eastAsia="Times New Roman"/>
                      <w:color w:val="auto"/>
                      <w:kern w:val="2"/>
                      <w:sz w:val="21"/>
                      <w:szCs w:val="21"/>
                      <w:vertAlign w:val="superscript"/>
                    </w:rPr>
                    <w:t>2</w:t>
                  </w:r>
                  <w:r>
                    <w:rPr>
                      <w:rFonts w:ascii="Times New Roman" w:eastAsia="Times New Roman"/>
                      <w:color w:val="auto"/>
                      <w:kern w:val="2"/>
                      <w:sz w:val="21"/>
                      <w:szCs w:val="21"/>
                    </w:rPr>
                    <w:t>，高度为12.1m；综合楼主要包含办公室、危废暂存间，住宿楼包含宿舍、食堂。</w:t>
                  </w:r>
                </w:p>
              </w:tc>
              <w:tc>
                <w:tcPr>
                  <w:tcW w:w="1324" w:type="dxa"/>
                  <w:vMerge w:val="restart"/>
                  <w:vAlign w:val="center"/>
                </w:tcPr>
                <w:p w14:paraId="5516C52B">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w:t>
                  </w:r>
                </w:p>
              </w:tc>
            </w:tr>
            <w:tr w14:paraId="5ADC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14" w:type="dxa"/>
                  <w:vMerge w:val="continue"/>
                  <w:vAlign w:val="center"/>
                </w:tcPr>
                <w:p w14:paraId="4C5203CE">
                  <w:pPr>
                    <w:pStyle w:val="26"/>
                    <w:ind w:firstLine="0" w:firstLineChars="0"/>
                    <w:jc w:val="center"/>
                    <w:rPr>
                      <w:rFonts w:ascii="Times New Roman" w:hAnsi="Times New Roman"/>
                      <w:color w:val="auto"/>
                      <w:kern w:val="0"/>
                      <w:szCs w:val="21"/>
                    </w:rPr>
                  </w:pPr>
                </w:p>
              </w:tc>
              <w:tc>
                <w:tcPr>
                  <w:tcW w:w="1112" w:type="dxa"/>
                  <w:gridSpan w:val="2"/>
                  <w:vAlign w:val="center"/>
                </w:tcPr>
                <w:p w14:paraId="77FC3153">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办公楼</w:t>
                  </w:r>
                </w:p>
              </w:tc>
              <w:tc>
                <w:tcPr>
                  <w:tcW w:w="5109" w:type="dxa"/>
                  <w:vAlign w:val="center"/>
                </w:tcPr>
                <w:p w14:paraId="52EE9596">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位于综合楼的1F，主要作为办公及会议使用。</w:t>
                  </w:r>
                </w:p>
              </w:tc>
              <w:tc>
                <w:tcPr>
                  <w:tcW w:w="1324" w:type="dxa"/>
                  <w:vMerge w:val="continue"/>
                  <w:vAlign w:val="center"/>
                </w:tcPr>
                <w:p w14:paraId="46520AB3">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5D74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34B9762D">
                  <w:pPr>
                    <w:pStyle w:val="26"/>
                    <w:ind w:firstLine="0" w:firstLineChars="0"/>
                    <w:jc w:val="center"/>
                    <w:rPr>
                      <w:rFonts w:ascii="Times New Roman" w:hAnsi="Times New Roman"/>
                      <w:color w:val="auto"/>
                      <w:kern w:val="0"/>
                      <w:szCs w:val="21"/>
                    </w:rPr>
                  </w:pPr>
                </w:p>
              </w:tc>
              <w:tc>
                <w:tcPr>
                  <w:tcW w:w="1112" w:type="dxa"/>
                  <w:gridSpan w:val="2"/>
                  <w:vAlign w:val="center"/>
                </w:tcPr>
                <w:p w14:paraId="38685D24">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宿舍</w:t>
                  </w:r>
                </w:p>
              </w:tc>
              <w:tc>
                <w:tcPr>
                  <w:tcW w:w="5109" w:type="dxa"/>
                  <w:vAlign w:val="center"/>
                </w:tcPr>
                <w:p w14:paraId="10A61097">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位于综合楼1楼、住宿楼2层，用于员工日常生活。</w:t>
                  </w:r>
                </w:p>
              </w:tc>
              <w:tc>
                <w:tcPr>
                  <w:tcW w:w="1324" w:type="dxa"/>
                  <w:vMerge w:val="continue"/>
                  <w:vAlign w:val="center"/>
                </w:tcPr>
                <w:p w14:paraId="279486BF">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2A82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6B2B400D">
                  <w:pPr>
                    <w:pStyle w:val="26"/>
                    <w:ind w:firstLine="0" w:firstLineChars="0"/>
                    <w:jc w:val="center"/>
                    <w:rPr>
                      <w:rFonts w:ascii="Times New Roman" w:hAnsi="Times New Roman"/>
                      <w:color w:val="auto"/>
                      <w:kern w:val="0"/>
                      <w:szCs w:val="21"/>
                    </w:rPr>
                  </w:pPr>
                </w:p>
              </w:tc>
              <w:tc>
                <w:tcPr>
                  <w:tcW w:w="1112" w:type="dxa"/>
                  <w:gridSpan w:val="2"/>
                  <w:vAlign w:val="center"/>
                </w:tcPr>
                <w:p w14:paraId="4455D68B">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食堂</w:t>
                  </w:r>
                </w:p>
              </w:tc>
              <w:tc>
                <w:tcPr>
                  <w:tcW w:w="5109" w:type="dxa"/>
                  <w:vAlign w:val="center"/>
                </w:tcPr>
                <w:p w14:paraId="1B8E9FE3">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位于住宿楼1层</w:t>
                  </w:r>
                </w:p>
              </w:tc>
              <w:tc>
                <w:tcPr>
                  <w:tcW w:w="1324" w:type="dxa"/>
                  <w:vMerge w:val="continue"/>
                  <w:vAlign w:val="center"/>
                </w:tcPr>
                <w:p w14:paraId="715F747C">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3885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0F038AA6">
                  <w:pPr>
                    <w:pStyle w:val="26"/>
                    <w:ind w:firstLine="0" w:firstLineChars="0"/>
                    <w:jc w:val="center"/>
                    <w:rPr>
                      <w:rFonts w:ascii="Times New Roman" w:hAnsi="Times New Roman"/>
                      <w:color w:val="auto"/>
                      <w:kern w:val="0"/>
                      <w:szCs w:val="21"/>
                    </w:rPr>
                  </w:pPr>
                </w:p>
              </w:tc>
              <w:tc>
                <w:tcPr>
                  <w:tcW w:w="1112" w:type="dxa"/>
                  <w:gridSpan w:val="2"/>
                  <w:vAlign w:val="center"/>
                </w:tcPr>
                <w:p w14:paraId="19CBEF2B">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门卫室</w:t>
                  </w:r>
                </w:p>
              </w:tc>
              <w:tc>
                <w:tcPr>
                  <w:tcW w:w="5109" w:type="dxa"/>
                  <w:vAlign w:val="center"/>
                </w:tcPr>
                <w:p w14:paraId="6802D0C5">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项目区出入口旁设置1栋门卫室</w:t>
                  </w:r>
                </w:p>
              </w:tc>
              <w:tc>
                <w:tcPr>
                  <w:tcW w:w="1324" w:type="dxa"/>
                  <w:vMerge w:val="continue"/>
                  <w:vAlign w:val="center"/>
                </w:tcPr>
                <w:p w14:paraId="089AF6C2">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2EA9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48A44A6B">
                  <w:pPr>
                    <w:pStyle w:val="26"/>
                    <w:ind w:firstLine="0" w:firstLineChars="0"/>
                    <w:jc w:val="center"/>
                    <w:rPr>
                      <w:rFonts w:ascii="Times New Roman" w:hAnsi="Times New Roman"/>
                      <w:color w:val="auto"/>
                      <w:kern w:val="0"/>
                      <w:szCs w:val="21"/>
                    </w:rPr>
                  </w:pPr>
                </w:p>
              </w:tc>
              <w:tc>
                <w:tcPr>
                  <w:tcW w:w="1112" w:type="dxa"/>
                  <w:gridSpan w:val="2"/>
                  <w:vAlign w:val="center"/>
                </w:tcPr>
                <w:p w14:paraId="0D63D640">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物资仓库</w:t>
                  </w:r>
                </w:p>
              </w:tc>
              <w:tc>
                <w:tcPr>
                  <w:tcW w:w="5109" w:type="dxa"/>
                  <w:vAlign w:val="center"/>
                </w:tcPr>
                <w:p w14:paraId="0A1BE698">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设置1间物资仓库，位于项目区西北部，储存机油、润滑油等。</w:t>
                  </w:r>
                </w:p>
              </w:tc>
              <w:tc>
                <w:tcPr>
                  <w:tcW w:w="1324" w:type="dxa"/>
                  <w:vMerge w:val="continue"/>
                  <w:vAlign w:val="center"/>
                </w:tcPr>
                <w:p w14:paraId="32CC9BBA">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2413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vAlign w:val="center"/>
                </w:tcPr>
                <w:p w14:paraId="5B294AAA">
                  <w:pPr>
                    <w:pStyle w:val="26"/>
                    <w:ind w:firstLine="0" w:firstLineChars="0"/>
                    <w:jc w:val="center"/>
                    <w:rPr>
                      <w:rFonts w:ascii="Times New Roman" w:hAnsi="Times New Roman"/>
                      <w:color w:val="auto"/>
                      <w:kern w:val="0"/>
                      <w:szCs w:val="21"/>
                    </w:rPr>
                  </w:pPr>
                </w:p>
              </w:tc>
              <w:tc>
                <w:tcPr>
                  <w:tcW w:w="1112" w:type="dxa"/>
                  <w:gridSpan w:val="2"/>
                  <w:vAlign w:val="center"/>
                </w:tcPr>
                <w:p w14:paraId="79B7A227">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厂区运输道路</w:t>
                  </w:r>
                </w:p>
              </w:tc>
              <w:tc>
                <w:tcPr>
                  <w:tcW w:w="5109" w:type="dxa"/>
                  <w:vAlign w:val="center"/>
                </w:tcPr>
                <w:p w14:paraId="3CB69751">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用于厂区内运输道路。</w:t>
                  </w:r>
                </w:p>
              </w:tc>
              <w:tc>
                <w:tcPr>
                  <w:tcW w:w="1324" w:type="dxa"/>
                  <w:vMerge w:val="continue"/>
                  <w:vAlign w:val="center"/>
                </w:tcPr>
                <w:p w14:paraId="60F22C8E">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6178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1B5EEEC5">
                  <w:pPr>
                    <w:pStyle w:val="26"/>
                    <w:ind w:firstLine="0" w:firstLineChars="0"/>
                    <w:jc w:val="center"/>
                    <w:rPr>
                      <w:rFonts w:ascii="Times New Roman" w:hAnsi="Times New Roman"/>
                      <w:color w:val="auto"/>
                      <w:kern w:val="0"/>
                      <w:szCs w:val="21"/>
                    </w:rPr>
                  </w:pPr>
                </w:p>
              </w:tc>
              <w:tc>
                <w:tcPr>
                  <w:tcW w:w="1112" w:type="dxa"/>
                  <w:gridSpan w:val="2"/>
                  <w:vAlign w:val="center"/>
                </w:tcPr>
                <w:p w14:paraId="33C45AA8">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停车区</w:t>
                  </w:r>
                </w:p>
              </w:tc>
              <w:tc>
                <w:tcPr>
                  <w:tcW w:w="5109" w:type="dxa"/>
                  <w:vAlign w:val="center"/>
                </w:tcPr>
                <w:p w14:paraId="5DB957D6">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停放运输车辆及员工车辆。</w:t>
                  </w:r>
                </w:p>
              </w:tc>
              <w:tc>
                <w:tcPr>
                  <w:tcW w:w="1324" w:type="dxa"/>
                  <w:vMerge w:val="continue"/>
                  <w:vAlign w:val="center"/>
                </w:tcPr>
                <w:p w14:paraId="78C17C9B">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2ADE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2F4CE54C">
                  <w:pPr>
                    <w:pStyle w:val="26"/>
                    <w:ind w:firstLine="0" w:firstLineChars="0"/>
                    <w:jc w:val="center"/>
                    <w:rPr>
                      <w:rFonts w:ascii="Times New Roman" w:hAnsi="Times New Roman"/>
                      <w:color w:val="auto"/>
                      <w:kern w:val="0"/>
                      <w:szCs w:val="21"/>
                    </w:rPr>
                  </w:pPr>
                </w:p>
              </w:tc>
              <w:tc>
                <w:tcPr>
                  <w:tcW w:w="1112" w:type="dxa"/>
                  <w:gridSpan w:val="2"/>
                  <w:vAlign w:val="center"/>
                </w:tcPr>
                <w:p w14:paraId="0FD6D498">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输送皮带</w:t>
                  </w:r>
                </w:p>
              </w:tc>
              <w:tc>
                <w:tcPr>
                  <w:tcW w:w="5109" w:type="dxa"/>
                  <w:vAlign w:val="center"/>
                </w:tcPr>
                <w:p w14:paraId="4C87D7D8">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生产过程物料输送使用密闭皮带运输</w:t>
                  </w:r>
                  <w:r>
                    <w:rPr>
                      <w:rFonts w:hint="eastAsia" w:ascii="Times New Roman" w:eastAsia="Times New Roman"/>
                      <w:color w:val="auto"/>
                      <w:kern w:val="2"/>
                      <w:sz w:val="21"/>
                      <w:szCs w:val="21"/>
                    </w:rPr>
                    <w:t>约50m。</w:t>
                  </w:r>
                </w:p>
              </w:tc>
              <w:tc>
                <w:tcPr>
                  <w:tcW w:w="1324" w:type="dxa"/>
                  <w:vMerge w:val="continue"/>
                  <w:vAlign w:val="center"/>
                </w:tcPr>
                <w:p w14:paraId="17A58D15">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06FF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14" w:type="dxa"/>
                  <w:vMerge w:val="restart"/>
                  <w:vAlign w:val="center"/>
                </w:tcPr>
                <w:p w14:paraId="21BB7B21">
                  <w:pPr>
                    <w:pStyle w:val="26"/>
                    <w:ind w:firstLine="0" w:firstLineChars="0"/>
                    <w:jc w:val="center"/>
                    <w:rPr>
                      <w:rFonts w:ascii="Times New Roman" w:hAnsi="Times New Roman"/>
                      <w:color w:val="auto"/>
                      <w:kern w:val="0"/>
                      <w:szCs w:val="21"/>
                    </w:rPr>
                  </w:pPr>
                  <w:r>
                    <w:rPr>
                      <w:rFonts w:ascii="Times New Roman" w:hAnsi="Times New Roman"/>
                      <w:color w:val="auto"/>
                    </w:rPr>
                    <w:t>公用工程</w:t>
                  </w:r>
                </w:p>
              </w:tc>
              <w:tc>
                <w:tcPr>
                  <w:tcW w:w="1112" w:type="dxa"/>
                  <w:gridSpan w:val="2"/>
                  <w:vAlign w:val="center"/>
                </w:tcPr>
                <w:p w14:paraId="7902C67E">
                  <w:pPr>
                    <w:widowControl/>
                    <w:adjustRightInd w:val="0"/>
                    <w:snapToGrid w:val="0"/>
                    <w:ind w:firstLine="0" w:firstLineChars="0"/>
                    <w:jc w:val="center"/>
                    <w:rPr>
                      <w:rFonts w:eastAsia="Times New Roman"/>
                      <w:color w:val="auto"/>
                      <w:szCs w:val="21"/>
                    </w:rPr>
                  </w:pPr>
                  <w:r>
                    <w:rPr>
                      <w:color w:val="auto"/>
                      <w:kern w:val="0"/>
                      <w:szCs w:val="21"/>
                    </w:rPr>
                    <w:t>供水</w:t>
                  </w:r>
                </w:p>
              </w:tc>
              <w:tc>
                <w:tcPr>
                  <w:tcW w:w="5109" w:type="dxa"/>
                  <w:vAlign w:val="center"/>
                </w:tcPr>
                <w:p w14:paraId="42CDAA10">
                  <w:pPr>
                    <w:widowControl/>
                    <w:adjustRightInd w:val="0"/>
                    <w:snapToGrid w:val="0"/>
                    <w:ind w:firstLine="0" w:firstLineChars="0"/>
                    <w:jc w:val="center"/>
                    <w:rPr>
                      <w:rFonts w:eastAsia="Times New Roman"/>
                      <w:color w:val="auto"/>
                      <w:szCs w:val="21"/>
                    </w:rPr>
                  </w:pPr>
                  <w:r>
                    <w:rPr>
                      <w:color w:val="auto"/>
                      <w:kern w:val="0"/>
                      <w:szCs w:val="21"/>
                    </w:rPr>
                    <w:t>由哨上大村供水管网供给。</w:t>
                  </w:r>
                </w:p>
              </w:tc>
              <w:tc>
                <w:tcPr>
                  <w:tcW w:w="1324" w:type="dxa"/>
                  <w:vMerge w:val="restart"/>
                  <w:vAlign w:val="center"/>
                </w:tcPr>
                <w:p w14:paraId="284E6AD6">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eastAsia" w:eastAsia="宋体"/>
                      <w:color w:val="auto"/>
                      <w:kern w:val="0"/>
                      <w:szCs w:val="21"/>
                      <w:lang w:val="en-US" w:eastAsia="zh-CN"/>
                    </w:rPr>
                  </w:pPr>
                  <w:r>
                    <w:rPr>
                      <w:rFonts w:hint="eastAsia"/>
                      <w:color w:val="auto"/>
                      <w:kern w:val="0"/>
                      <w:szCs w:val="21"/>
                      <w:lang w:val="en-US" w:eastAsia="zh-CN"/>
                    </w:rPr>
                    <w:t>/</w:t>
                  </w:r>
                </w:p>
              </w:tc>
            </w:tr>
            <w:tr w14:paraId="0AE2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6C893611">
                  <w:pPr>
                    <w:pStyle w:val="26"/>
                    <w:ind w:firstLine="0" w:firstLineChars="0"/>
                    <w:jc w:val="center"/>
                    <w:rPr>
                      <w:rFonts w:ascii="Times New Roman" w:hAnsi="Times New Roman"/>
                      <w:color w:val="auto"/>
                      <w:kern w:val="0"/>
                      <w:szCs w:val="21"/>
                    </w:rPr>
                  </w:pPr>
                </w:p>
              </w:tc>
              <w:tc>
                <w:tcPr>
                  <w:tcW w:w="1112" w:type="dxa"/>
                  <w:gridSpan w:val="2"/>
                  <w:vAlign w:val="center"/>
                </w:tcPr>
                <w:p w14:paraId="4CDD3C0F">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排水</w:t>
                  </w:r>
                </w:p>
              </w:tc>
              <w:tc>
                <w:tcPr>
                  <w:tcW w:w="5109" w:type="dxa"/>
                  <w:vAlign w:val="center"/>
                </w:tcPr>
                <w:p w14:paraId="46D8754D">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采取雨污分流系统</w:t>
                  </w:r>
                </w:p>
                <w:p w14:paraId="7AA1754D">
                  <w:pPr>
                    <w:pStyle w:val="95"/>
                    <w:spacing w:line="240" w:lineRule="auto"/>
                    <w:ind w:firstLine="0" w:firstLineChars="0"/>
                    <w:jc w:val="left"/>
                    <w:rPr>
                      <w:rFonts w:ascii="Times New Roman" w:eastAsia="Times New Roman"/>
                      <w:color w:val="auto"/>
                      <w:kern w:val="2"/>
                      <w:sz w:val="21"/>
                      <w:szCs w:val="21"/>
                    </w:rPr>
                  </w:pPr>
                  <w:r>
                    <w:rPr>
                      <w:rFonts w:ascii="Times New Roman" w:eastAsia="Times New Roman"/>
                      <w:color w:val="auto"/>
                      <w:kern w:val="2"/>
                      <w:sz w:val="21"/>
                      <w:szCs w:val="21"/>
                    </w:rPr>
                    <w:t>①雨水：厂区硬化地上雨水经地势北高南低汇入“沉淀池”系统处理后回用于项目生产过程，厂区周边设有雨水沟，</w:t>
                  </w:r>
                  <w:r>
                    <w:rPr>
                      <w:rFonts w:hint="eastAsia" w:ascii="Times New Roman" w:eastAsia="宋体"/>
                      <w:color w:val="auto"/>
                      <w:kern w:val="2"/>
                      <w:sz w:val="21"/>
                      <w:szCs w:val="21"/>
                      <w:lang w:val="en-US" w:eastAsia="zh-CN"/>
                    </w:rPr>
                    <w:t>初期雨水在沉淀池沉淀后抽至集水池位于厂区东侧容积300m</w:t>
                  </w:r>
                  <w:r>
                    <w:rPr>
                      <w:rFonts w:hint="eastAsia" w:ascii="Times New Roman" w:eastAsia="宋体"/>
                      <w:color w:val="auto"/>
                      <w:kern w:val="2"/>
                      <w:sz w:val="21"/>
                      <w:szCs w:val="21"/>
                      <w:vertAlign w:val="superscript"/>
                      <w:lang w:val="en-US" w:eastAsia="zh-CN"/>
                    </w:rPr>
                    <w:t>3</w:t>
                  </w:r>
                  <w:r>
                    <w:rPr>
                      <w:rFonts w:ascii="Times New Roman" w:eastAsia="Times New Roman"/>
                      <w:color w:val="auto"/>
                      <w:kern w:val="2"/>
                      <w:sz w:val="21"/>
                      <w:szCs w:val="21"/>
                    </w:rPr>
                    <w:t>。</w:t>
                  </w:r>
                </w:p>
                <w:p w14:paraId="06F77A71">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②污水：项目食堂废水先经隔油池处理后，再同生活污水排入化粪池处理后，用于农田</w:t>
                  </w:r>
                  <w:r>
                    <w:rPr>
                      <w:rFonts w:hint="eastAsia" w:ascii="Times New Roman" w:eastAsia="宋体"/>
                      <w:color w:val="auto"/>
                      <w:kern w:val="2"/>
                      <w:sz w:val="21"/>
                      <w:szCs w:val="21"/>
                      <w:lang w:val="en-US" w:eastAsia="zh-CN"/>
                    </w:rPr>
                    <w:t>施肥</w:t>
                  </w:r>
                  <w:r>
                    <w:rPr>
                      <w:rFonts w:ascii="Times New Roman" w:eastAsia="Times New Roman"/>
                      <w:color w:val="auto"/>
                      <w:kern w:val="2"/>
                      <w:sz w:val="21"/>
                      <w:szCs w:val="21"/>
                    </w:rPr>
                    <w:t>；项目搅拌机清洗废水混凝土运输车辆罐体内部及罐车外部清洗废水、</w:t>
                  </w:r>
                  <w:r>
                    <w:rPr>
                      <w:rFonts w:hint="eastAsia" w:ascii="Times New Roman" w:eastAsia="宋体"/>
                      <w:color w:val="auto"/>
                      <w:kern w:val="2"/>
                      <w:sz w:val="21"/>
                      <w:szCs w:val="21"/>
                      <w:lang w:val="en-US" w:eastAsia="zh-CN"/>
                    </w:rPr>
                    <w:t>检验设备</w:t>
                  </w:r>
                  <w:r>
                    <w:rPr>
                      <w:rFonts w:hint="eastAsia" w:ascii="Times New Roman" w:eastAsia="宋体"/>
                      <w:color w:val="auto"/>
                      <w:kern w:val="2"/>
                      <w:sz w:val="21"/>
                      <w:szCs w:val="21"/>
                      <w:lang w:eastAsia="zh-CN"/>
                    </w:rPr>
                    <w:t>废水</w:t>
                  </w:r>
                  <w:r>
                    <w:rPr>
                      <w:rFonts w:ascii="Times New Roman" w:eastAsia="Times New Roman"/>
                      <w:color w:val="auto"/>
                      <w:kern w:val="2"/>
                      <w:sz w:val="21"/>
                      <w:szCs w:val="21"/>
                    </w:rPr>
                    <w:t>经沉淀池处理后回用于项目生产过程，不外排。</w:t>
                  </w:r>
                </w:p>
              </w:tc>
              <w:tc>
                <w:tcPr>
                  <w:tcW w:w="1324" w:type="dxa"/>
                  <w:vMerge w:val="continue"/>
                  <w:vAlign w:val="center"/>
                </w:tcPr>
                <w:p w14:paraId="51E210D7">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76C1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4C0E337A">
                  <w:pPr>
                    <w:pStyle w:val="26"/>
                    <w:ind w:firstLine="0" w:firstLineChars="0"/>
                    <w:jc w:val="center"/>
                    <w:rPr>
                      <w:rFonts w:ascii="Times New Roman" w:hAnsi="Times New Roman"/>
                      <w:color w:val="auto"/>
                      <w:kern w:val="0"/>
                      <w:szCs w:val="21"/>
                    </w:rPr>
                  </w:pPr>
                </w:p>
              </w:tc>
              <w:tc>
                <w:tcPr>
                  <w:tcW w:w="1112" w:type="dxa"/>
                  <w:gridSpan w:val="2"/>
                  <w:vAlign w:val="center"/>
                </w:tcPr>
                <w:p w14:paraId="7D181C27">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道路、地面硬化区</w:t>
                  </w:r>
                </w:p>
              </w:tc>
              <w:tc>
                <w:tcPr>
                  <w:tcW w:w="5109" w:type="dxa"/>
                  <w:vAlign w:val="center"/>
                </w:tcPr>
                <w:p w14:paraId="3BBFD0A8">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占地面积3800m</w:t>
                  </w:r>
                  <w:r>
                    <w:rPr>
                      <w:rFonts w:ascii="Times New Roman" w:eastAsia="Times New Roman"/>
                      <w:color w:val="auto"/>
                      <w:kern w:val="2"/>
                      <w:sz w:val="21"/>
                      <w:szCs w:val="21"/>
                      <w:vertAlign w:val="superscript"/>
                    </w:rPr>
                    <w:t>2</w:t>
                  </w:r>
                  <w:r>
                    <w:rPr>
                      <w:rFonts w:ascii="Times New Roman" w:eastAsia="Times New Roman"/>
                      <w:color w:val="auto"/>
                      <w:kern w:val="2"/>
                      <w:sz w:val="21"/>
                      <w:szCs w:val="21"/>
                    </w:rPr>
                    <w:t>。</w:t>
                  </w:r>
                </w:p>
              </w:tc>
              <w:tc>
                <w:tcPr>
                  <w:tcW w:w="1324" w:type="dxa"/>
                  <w:vMerge w:val="continue"/>
                  <w:vAlign w:val="center"/>
                </w:tcPr>
                <w:p w14:paraId="1F580CCC">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03EC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709791E4">
                  <w:pPr>
                    <w:pStyle w:val="26"/>
                    <w:ind w:firstLine="0" w:firstLineChars="0"/>
                    <w:jc w:val="center"/>
                    <w:rPr>
                      <w:rFonts w:ascii="Times New Roman" w:hAnsi="Times New Roman"/>
                      <w:color w:val="auto"/>
                      <w:kern w:val="0"/>
                      <w:szCs w:val="21"/>
                    </w:rPr>
                  </w:pPr>
                </w:p>
              </w:tc>
              <w:tc>
                <w:tcPr>
                  <w:tcW w:w="1112" w:type="dxa"/>
                  <w:gridSpan w:val="2"/>
                  <w:vAlign w:val="center"/>
                </w:tcPr>
                <w:p w14:paraId="52695057">
                  <w:pPr>
                    <w:widowControl/>
                    <w:adjustRightInd w:val="0"/>
                    <w:snapToGrid w:val="0"/>
                    <w:ind w:firstLine="0" w:firstLineChars="0"/>
                    <w:jc w:val="center"/>
                    <w:rPr>
                      <w:rFonts w:eastAsia="Times New Roman"/>
                      <w:color w:val="auto"/>
                      <w:szCs w:val="21"/>
                    </w:rPr>
                  </w:pPr>
                  <w:r>
                    <w:rPr>
                      <w:color w:val="auto"/>
                      <w:kern w:val="0"/>
                      <w:szCs w:val="21"/>
                    </w:rPr>
                    <w:t>供电</w:t>
                  </w:r>
                </w:p>
              </w:tc>
              <w:tc>
                <w:tcPr>
                  <w:tcW w:w="5109" w:type="dxa"/>
                  <w:vAlign w:val="center"/>
                </w:tcPr>
                <w:p w14:paraId="1BB83862">
                  <w:pPr>
                    <w:widowControl/>
                    <w:adjustRightInd w:val="0"/>
                    <w:snapToGrid w:val="0"/>
                    <w:ind w:firstLine="0" w:firstLineChars="0"/>
                    <w:jc w:val="center"/>
                    <w:rPr>
                      <w:rFonts w:eastAsia="Times New Roman"/>
                      <w:color w:val="auto"/>
                      <w:szCs w:val="21"/>
                    </w:rPr>
                  </w:pPr>
                  <w:r>
                    <w:rPr>
                      <w:color w:val="auto"/>
                      <w:kern w:val="0"/>
                      <w:szCs w:val="21"/>
                    </w:rPr>
                    <w:t>从</w:t>
                  </w:r>
                  <w:r>
                    <w:rPr>
                      <w:color w:val="auto"/>
                    </w:rPr>
                    <w:t>金所乡哨上大村输电线路，输电线缆引入电力变压器，再经电力变压器降压后为380/220V供项目用电。</w:t>
                  </w:r>
                </w:p>
              </w:tc>
              <w:tc>
                <w:tcPr>
                  <w:tcW w:w="1324" w:type="dxa"/>
                  <w:vMerge w:val="continue"/>
                  <w:vAlign w:val="center"/>
                </w:tcPr>
                <w:p w14:paraId="2F2F6635">
                  <w:pPr>
                    <w:keepNext w:val="0"/>
                    <w:keepLines w:val="0"/>
                    <w:pageBreakBefore w:val="0"/>
                    <w:widowControl w:val="0"/>
                    <w:kinsoku/>
                    <w:wordWrap w:val="0"/>
                    <w:overflowPunct/>
                    <w:topLinePunct/>
                    <w:autoSpaceDE/>
                    <w:autoSpaceDN/>
                    <w:bidi w:val="0"/>
                    <w:adjustRightInd/>
                    <w:snapToGrid/>
                    <w:ind w:firstLine="0" w:firstLineChars="0"/>
                    <w:jc w:val="left"/>
                    <w:textAlignment w:val="auto"/>
                    <w:rPr>
                      <w:color w:val="auto"/>
                      <w:kern w:val="0"/>
                      <w:szCs w:val="21"/>
                    </w:rPr>
                  </w:pPr>
                </w:p>
              </w:tc>
            </w:tr>
            <w:tr w14:paraId="1461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7D27CA1C">
                  <w:pPr>
                    <w:pStyle w:val="26"/>
                    <w:ind w:firstLine="0" w:firstLineChars="0"/>
                    <w:jc w:val="center"/>
                    <w:rPr>
                      <w:rFonts w:ascii="Times New Roman" w:hAnsi="Times New Roman"/>
                      <w:color w:val="auto"/>
                      <w:kern w:val="0"/>
                      <w:szCs w:val="21"/>
                    </w:rPr>
                  </w:pPr>
                </w:p>
              </w:tc>
              <w:tc>
                <w:tcPr>
                  <w:tcW w:w="1112" w:type="dxa"/>
                  <w:gridSpan w:val="2"/>
                  <w:vAlign w:val="center"/>
                </w:tcPr>
                <w:p w14:paraId="3D0D6B7B">
                  <w:pPr>
                    <w:widowControl/>
                    <w:adjustRightInd w:val="0"/>
                    <w:snapToGrid w:val="0"/>
                    <w:ind w:firstLine="0" w:firstLineChars="0"/>
                    <w:jc w:val="center"/>
                    <w:rPr>
                      <w:rFonts w:eastAsia="Times New Roman"/>
                      <w:color w:val="auto"/>
                      <w:szCs w:val="21"/>
                    </w:rPr>
                  </w:pPr>
                  <w:r>
                    <w:rPr>
                      <w:color w:val="auto"/>
                      <w:kern w:val="0"/>
                      <w:szCs w:val="21"/>
                    </w:rPr>
                    <w:t>消防</w:t>
                  </w:r>
                </w:p>
              </w:tc>
              <w:tc>
                <w:tcPr>
                  <w:tcW w:w="5109" w:type="dxa"/>
                  <w:vAlign w:val="center"/>
                </w:tcPr>
                <w:p w14:paraId="5B8551A7">
                  <w:pPr>
                    <w:widowControl/>
                    <w:adjustRightInd w:val="0"/>
                    <w:snapToGrid w:val="0"/>
                    <w:ind w:firstLine="0" w:firstLineChars="0"/>
                    <w:jc w:val="center"/>
                    <w:rPr>
                      <w:rFonts w:eastAsia="Times New Roman"/>
                      <w:color w:val="auto"/>
                      <w:szCs w:val="21"/>
                    </w:rPr>
                  </w:pPr>
                  <w:r>
                    <w:rPr>
                      <w:color w:val="auto"/>
                      <w:kern w:val="0"/>
                      <w:szCs w:val="21"/>
                    </w:rPr>
                    <w:t>项目建筑均配有灭火器</w:t>
                  </w:r>
                </w:p>
              </w:tc>
              <w:tc>
                <w:tcPr>
                  <w:tcW w:w="1324" w:type="dxa"/>
                  <w:vMerge w:val="continue"/>
                  <w:vAlign w:val="center"/>
                </w:tcPr>
                <w:p w14:paraId="492F44E7">
                  <w:pPr>
                    <w:keepNext w:val="0"/>
                    <w:keepLines w:val="0"/>
                    <w:pageBreakBefore w:val="0"/>
                    <w:widowControl w:val="0"/>
                    <w:kinsoku/>
                    <w:wordWrap w:val="0"/>
                    <w:overflowPunct/>
                    <w:topLinePunct/>
                    <w:autoSpaceDE/>
                    <w:autoSpaceDN/>
                    <w:bidi w:val="0"/>
                    <w:adjustRightInd/>
                    <w:snapToGrid/>
                    <w:ind w:firstLine="0" w:firstLineChars="0"/>
                    <w:jc w:val="left"/>
                    <w:textAlignment w:val="auto"/>
                    <w:rPr>
                      <w:color w:val="auto"/>
                      <w:kern w:val="0"/>
                      <w:szCs w:val="21"/>
                    </w:rPr>
                  </w:pPr>
                </w:p>
              </w:tc>
            </w:tr>
            <w:tr w14:paraId="01D1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restart"/>
                  <w:vAlign w:val="center"/>
                </w:tcPr>
                <w:p w14:paraId="6F6A649C">
                  <w:pPr>
                    <w:pStyle w:val="26"/>
                    <w:ind w:firstLine="0" w:firstLineChars="0"/>
                    <w:jc w:val="center"/>
                    <w:rPr>
                      <w:rFonts w:ascii="Times New Roman" w:hAnsi="Times New Roman"/>
                      <w:color w:val="auto"/>
                      <w:kern w:val="0"/>
                      <w:szCs w:val="21"/>
                    </w:rPr>
                  </w:pPr>
                  <w:r>
                    <w:rPr>
                      <w:rFonts w:ascii="Times New Roman" w:hAnsi="Times New Roman"/>
                      <w:color w:val="auto"/>
                    </w:rPr>
                    <w:t>环保工程</w:t>
                  </w:r>
                </w:p>
              </w:tc>
              <w:tc>
                <w:tcPr>
                  <w:tcW w:w="414" w:type="dxa"/>
                  <w:vAlign w:val="center"/>
                </w:tcPr>
                <w:p w14:paraId="40E58D42">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生活污水处理设施</w:t>
                  </w:r>
                </w:p>
              </w:tc>
              <w:tc>
                <w:tcPr>
                  <w:tcW w:w="698" w:type="dxa"/>
                  <w:vAlign w:val="center"/>
                </w:tcPr>
                <w:p w14:paraId="2CB43580">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隔油池</w:t>
                  </w:r>
                </w:p>
              </w:tc>
              <w:tc>
                <w:tcPr>
                  <w:tcW w:w="5109" w:type="dxa"/>
                  <w:vAlign w:val="center"/>
                </w:tcPr>
                <w:p w14:paraId="51E96B2F">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容积2m</w:t>
                  </w:r>
                  <w:r>
                    <w:rPr>
                      <w:rFonts w:ascii="Times New Roman" w:eastAsia="Times New Roman"/>
                      <w:color w:val="auto"/>
                      <w:kern w:val="2"/>
                      <w:sz w:val="21"/>
                      <w:szCs w:val="21"/>
                      <w:vertAlign w:val="superscript"/>
                    </w:rPr>
                    <w:t>3</w:t>
                  </w:r>
                  <w:r>
                    <w:rPr>
                      <w:rFonts w:ascii="Times New Roman" w:eastAsia="Times New Roman"/>
                      <w:color w:val="auto"/>
                      <w:kern w:val="2"/>
                      <w:sz w:val="21"/>
                      <w:szCs w:val="21"/>
                    </w:rPr>
                    <w:t>的三级隔油池1座，用于含油废水隔油预处理。</w:t>
                  </w:r>
                </w:p>
              </w:tc>
              <w:tc>
                <w:tcPr>
                  <w:tcW w:w="1324" w:type="dxa"/>
                  <w:vMerge w:val="restart"/>
                  <w:vAlign w:val="center"/>
                </w:tcPr>
                <w:p w14:paraId="11EFD471">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w:t>
                  </w:r>
                </w:p>
              </w:tc>
            </w:tr>
            <w:tr w14:paraId="2B00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141ABFDD">
                  <w:pPr>
                    <w:pStyle w:val="26"/>
                    <w:ind w:firstLine="0" w:firstLineChars="0"/>
                    <w:jc w:val="center"/>
                    <w:rPr>
                      <w:rFonts w:ascii="Times New Roman" w:hAnsi="Times New Roman"/>
                      <w:color w:val="auto"/>
                      <w:kern w:val="0"/>
                      <w:szCs w:val="21"/>
                    </w:rPr>
                  </w:pPr>
                </w:p>
              </w:tc>
              <w:tc>
                <w:tcPr>
                  <w:tcW w:w="414" w:type="dxa"/>
                  <w:vAlign w:val="center"/>
                </w:tcPr>
                <w:p w14:paraId="7C08957B">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生产废水处理设施</w:t>
                  </w:r>
                </w:p>
              </w:tc>
              <w:tc>
                <w:tcPr>
                  <w:tcW w:w="698" w:type="dxa"/>
                  <w:vAlign w:val="center"/>
                </w:tcPr>
                <w:p w14:paraId="0EDD2AB1">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沉淀池</w:t>
                  </w:r>
                </w:p>
              </w:tc>
              <w:tc>
                <w:tcPr>
                  <w:tcW w:w="5109" w:type="dxa"/>
                  <w:vAlign w:val="center"/>
                </w:tcPr>
                <w:p w14:paraId="0E617F64">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设置1个三级沉淀池：容积150m</w:t>
                  </w:r>
                  <w:r>
                    <w:rPr>
                      <w:rFonts w:ascii="Times New Roman" w:eastAsia="Times New Roman"/>
                      <w:color w:val="auto"/>
                      <w:kern w:val="2"/>
                      <w:sz w:val="21"/>
                      <w:szCs w:val="21"/>
                      <w:vertAlign w:val="superscript"/>
                    </w:rPr>
                    <w:t>3</w:t>
                  </w:r>
                  <w:r>
                    <w:rPr>
                      <w:rFonts w:ascii="Times New Roman" w:eastAsia="Times New Roman"/>
                      <w:color w:val="auto"/>
                      <w:kern w:val="2"/>
                      <w:sz w:val="21"/>
                      <w:szCs w:val="21"/>
                    </w:rPr>
                    <w:t>。</w:t>
                  </w:r>
                </w:p>
              </w:tc>
              <w:tc>
                <w:tcPr>
                  <w:tcW w:w="1324" w:type="dxa"/>
                  <w:vMerge w:val="continue"/>
                  <w:vAlign w:val="center"/>
                </w:tcPr>
                <w:p w14:paraId="5E06267A">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2CE0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68533C03">
                  <w:pPr>
                    <w:pStyle w:val="26"/>
                    <w:ind w:firstLine="0" w:firstLineChars="0"/>
                    <w:jc w:val="center"/>
                    <w:rPr>
                      <w:rFonts w:ascii="Times New Roman" w:hAnsi="Times New Roman"/>
                      <w:color w:val="auto"/>
                      <w:kern w:val="0"/>
                      <w:szCs w:val="21"/>
                    </w:rPr>
                  </w:pPr>
                </w:p>
              </w:tc>
              <w:tc>
                <w:tcPr>
                  <w:tcW w:w="414" w:type="dxa"/>
                  <w:vAlign w:val="center"/>
                </w:tcPr>
                <w:p w14:paraId="1FD2EC8B">
                  <w:pPr>
                    <w:pStyle w:val="26"/>
                    <w:ind w:firstLine="0" w:firstLineChars="0"/>
                    <w:jc w:val="center"/>
                    <w:rPr>
                      <w:rFonts w:ascii="Times New Roman" w:hAnsi="Times New Roman" w:eastAsia="Times New Roman"/>
                      <w:color w:val="auto"/>
                      <w:szCs w:val="21"/>
                    </w:rPr>
                  </w:pPr>
                  <w:r>
                    <w:rPr>
                      <w:rFonts w:hint="eastAsia" w:ascii="Times New Roman" w:hAnsi="Times New Roman" w:eastAsia="宋体"/>
                      <w:color w:val="auto"/>
                      <w:szCs w:val="21"/>
                      <w:lang w:val="en-US" w:eastAsia="zh-CN"/>
                    </w:rPr>
                    <w:t>初期雨水</w:t>
                  </w:r>
                </w:p>
              </w:tc>
              <w:tc>
                <w:tcPr>
                  <w:tcW w:w="698" w:type="dxa"/>
                  <w:vAlign w:val="center"/>
                </w:tcPr>
                <w:p w14:paraId="286BD35B">
                  <w:pPr>
                    <w:pStyle w:val="95"/>
                    <w:spacing w:line="240" w:lineRule="auto"/>
                    <w:ind w:firstLine="0" w:firstLineChars="0"/>
                    <w:rPr>
                      <w:rFonts w:ascii="Times New Roman" w:eastAsia="Times New Roman"/>
                      <w:color w:val="auto"/>
                      <w:kern w:val="2"/>
                      <w:sz w:val="21"/>
                      <w:szCs w:val="21"/>
                    </w:rPr>
                  </w:pPr>
                  <w:r>
                    <w:rPr>
                      <w:rFonts w:hint="eastAsia" w:ascii="Times New Roman" w:eastAsia="宋体"/>
                      <w:color w:val="auto"/>
                      <w:kern w:val="2"/>
                      <w:sz w:val="21"/>
                      <w:szCs w:val="21"/>
                      <w:lang w:val="en-US" w:eastAsia="zh-CN"/>
                    </w:rPr>
                    <w:t>集水池</w:t>
                  </w:r>
                </w:p>
              </w:tc>
              <w:tc>
                <w:tcPr>
                  <w:tcW w:w="5109" w:type="dxa"/>
                  <w:vAlign w:val="center"/>
                </w:tcPr>
                <w:p w14:paraId="2657FCD1">
                  <w:pPr>
                    <w:pStyle w:val="95"/>
                    <w:spacing w:line="240" w:lineRule="auto"/>
                    <w:ind w:firstLine="0" w:firstLineChars="0"/>
                    <w:jc w:val="left"/>
                    <w:rPr>
                      <w:rFonts w:ascii="Times New Roman" w:eastAsia="Times New Roman"/>
                      <w:color w:val="auto"/>
                      <w:kern w:val="2"/>
                      <w:sz w:val="21"/>
                      <w:szCs w:val="21"/>
                    </w:rPr>
                  </w:pPr>
                  <w:r>
                    <w:rPr>
                      <w:rFonts w:hint="eastAsia" w:ascii="Times New Roman" w:eastAsia="宋体"/>
                      <w:color w:val="auto"/>
                      <w:kern w:val="2"/>
                      <w:sz w:val="21"/>
                      <w:szCs w:val="21"/>
                      <w:lang w:val="en-US" w:eastAsia="zh-CN"/>
                    </w:rPr>
                    <w:t>位于厂区的东侧，容积300</w:t>
                  </w:r>
                  <w:r>
                    <w:rPr>
                      <w:rFonts w:ascii="Times New Roman" w:eastAsia="Times New Roman"/>
                      <w:color w:val="auto"/>
                      <w:kern w:val="2"/>
                      <w:sz w:val="21"/>
                      <w:szCs w:val="21"/>
                    </w:rPr>
                    <w:t>m</w:t>
                  </w:r>
                  <w:r>
                    <w:rPr>
                      <w:rFonts w:ascii="Times New Roman" w:eastAsia="Times New Roman"/>
                      <w:color w:val="auto"/>
                      <w:kern w:val="2"/>
                      <w:sz w:val="21"/>
                      <w:szCs w:val="21"/>
                      <w:vertAlign w:val="superscript"/>
                    </w:rPr>
                    <w:t>3</w:t>
                  </w:r>
                  <w:r>
                    <w:rPr>
                      <w:rFonts w:hint="eastAsia" w:ascii="Times New Roman" w:eastAsia="宋体"/>
                      <w:color w:val="auto"/>
                      <w:kern w:val="2"/>
                      <w:sz w:val="21"/>
                      <w:szCs w:val="21"/>
                      <w:vertAlign w:val="baseline"/>
                      <w:lang w:val="en-US" w:eastAsia="zh-CN"/>
                    </w:rPr>
                    <w:t>。</w:t>
                  </w:r>
                </w:p>
              </w:tc>
              <w:tc>
                <w:tcPr>
                  <w:tcW w:w="1324" w:type="dxa"/>
                  <w:vMerge w:val="continue"/>
                  <w:vAlign w:val="center"/>
                </w:tcPr>
                <w:p w14:paraId="630C4AA7">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hint="eastAsia" w:ascii="Times New Roman" w:eastAsia="宋体"/>
                      <w:color w:val="auto"/>
                      <w:kern w:val="2"/>
                      <w:sz w:val="21"/>
                      <w:szCs w:val="21"/>
                      <w:lang w:val="en-US" w:eastAsia="zh-CN"/>
                    </w:rPr>
                  </w:pPr>
                </w:p>
              </w:tc>
            </w:tr>
            <w:tr w14:paraId="03BF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1E5CE4F1">
                  <w:pPr>
                    <w:pStyle w:val="26"/>
                    <w:ind w:firstLine="0" w:firstLineChars="0"/>
                    <w:jc w:val="center"/>
                    <w:rPr>
                      <w:rFonts w:ascii="Times New Roman" w:hAnsi="Times New Roman"/>
                      <w:color w:val="auto"/>
                      <w:kern w:val="0"/>
                      <w:szCs w:val="21"/>
                    </w:rPr>
                  </w:pPr>
                </w:p>
              </w:tc>
              <w:tc>
                <w:tcPr>
                  <w:tcW w:w="414" w:type="dxa"/>
                  <w:vAlign w:val="center"/>
                </w:tcPr>
                <w:p w14:paraId="39204081">
                  <w:pPr>
                    <w:pStyle w:val="26"/>
                    <w:ind w:firstLine="0" w:firstLineChars="0"/>
                    <w:jc w:val="center"/>
                    <w:rPr>
                      <w:rFonts w:ascii="Times New Roman" w:hAnsi="Times New Roman" w:eastAsia="Times New Roman"/>
                      <w:color w:val="auto"/>
                      <w:szCs w:val="21"/>
                    </w:rPr>
                  </w:pPr>
                  <w:r>
                    <w:rPr>
                      <w:rFonts w:ascii="Times New Roman" w:hAnsi="Times New Roman" w:eastAsia="Times New Roman"/>
                      <w:color w:val="auto"/>
                      <w:szCs w:val="21"/>
                    </w:rPr>
                    <w:t>化粪池</w:t>
                  </w:r>
                </w:p>
              </w:tc>
              <w:tc>
                <w:tcPr>
                  <w:tcW w:w="698" w:type="dxa"/>
                  <w:vAlign w:val="center"/>
                </w:tcPr>
                <w:p w14:paraId="1ADCF009">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卫生间</w:t>
                  </w:r>
                </w:p>
              </w:tc>
              <w:tc>
                <w:tcPr>
                  <w:tcW w:w="5109" w:type="dxa"/>
                  <w:vAlign w:val="center"/>
                </w:tcPr>
                <w:p w14:paraId="7D01F751">
                  <w:pPr>
                    <w:pStyle w:val="95"/>
                    <w:spacing w:line="240" w:lineRule="auto"/>
                    <w:ind w:firstLine="0" w:firstLineChars="0"/>
                    <w:rPr>
                      <w:rFonts w:ascii="Times New Roman" w:eastAsia="Times New Roman"/>
                      <w:color w:val="auto"/>
                      <w:kern w:val="2"/>
                      <w:sz w:val="21"/>
                      <w:szCs w:val="21"/>
                    </w:rPr>
                  </w:pPr>
                  <w:r>
                    <w:rPr>
                      <w:rFonts w:ascii="Times New Roman" w:eastAsia="Times New Roman"/>
                      <w:color w:val="auto"/>
                      <w:kern w:val="2"/>
                      <w:sz w:val="21"/>
                      <w:szCs w:val="21"/>
                    </w:rPr>
                    <w:t>在项目地块南侧，用于处理排泄污染物</w:t>
                  </w:r>
                  <w:r>
                    <w:rPr>
                      <w:rFonts w:hint="eastAsia" w:ascii="Times New Roman" w:eastAsia="Times New Roman"/>
                      <w:color w:val="auto"/>
                      <w:kern w:val="2"/>
                      <w:sz w:val="21"/>
                      <w:szCs w:val="21"/>
                    </w:rPr>
                    <w:t>，化粪池容积5</w:t>
                  </w:r>
                  <w:r>
                    <w:rPr>
                      <w:rFonts w:ascii="Times New Roman" w:eastAsia="Times New Roman"/>
                      <w:color w:val="auto"/>
                      <w:kern w:val="2"/>
                      <w:sz w:val="21"/>
                      <w:szCs w:val="21"/>
                    </w:rPr>
                    <w:t>m</w:t>
                  </w:r>
                  <w:r>
                    <w:rPr>
                      <w:rFonts w:ascii="Times New Roman" w:eastAsia="Times New Roman"/>
                      <w:color w:val="auto"/>
                      <w:kern w:val="2"/>
                      <w:sz w:val="21"/>
                      <w:szCs w:val="21"/>
                      <w:vertAlign w:val="superscript"/>
                    </w:rPr>
                    <w:t>3</w:t>
                  </w:r>
                  <w:r>
                    <w:rPr>
                      <w:rFonts w:ascii="Times New Roman" w:eastAsia="Times New Roman"/>
                      <w:color w:val="auto"/>
                      <w:kern w:val="2"/>
                      <w:sz w:val="21"/>
                      <w:szCs w:val="21"/>
                    </w:rPr>
                    <w:t>。</w:t>
                  </w:r>
                </w:p>
              </w:tc>
              <w:tc>
                <w:tcPr>
                  <w:tcW w:w="1324" w:type="dxa"/>
                  <w:vMerge w:val="continue"/>
                  <w:vAlign w:val="center"/>
                </w:tcPr>
                <w:p w14:paraId="514DDE2A">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ascii="Times New Roman" w:eastAsia="Times New Roman"/>
                      <w:color w:val="auto"/>
                      <w:kern w:val="2"/>
                      <w:sz w:val="21"/>
                      <w:szCs w:val="21"/>
                    </w:rPr>
                  </w:pPr>
                </w:p>
              </w:tc>
            </w:tr>
            <w:tr w14:paraId="37F2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vAlign w:val="center"/>
                </w:tcPr>
                <w:p w14:paraId="3DE3F179">
                  <w:pPr>
                    <w:pStyle w:val="26"/>
                    <w:ind w:firstLine="0" w:firstLineChars="0"/>
                    <w:jc w:val="center"/>
                    <w:rPr>
                      <w:rFonts w:ascii="Times New Roman" w:hAnsi="Times New Roman"/>
                      <w:color w:val="auto"/>
                      <w:kern w:val="0"/>
                      <w:szCs w:val="21"/>
                    </w:rPr>
                  </w:pPr>
                </w:p>
              </w:tc>
              <w:tc>
                <w:tcPr>
                  <w:tcW w:w="414" w:type="dxa"/>
                  <w:vMerge w:val="restart"/>
                  <w:vAlign w:val="center"/>
                </w:tcPr>
                <w:p w14:paraId="021FD663">
                  <w:pPr>
                    <w:pStyle w:val="93"/>
                    <w:ind w:firstLine="0" w:firstLineChars="0"/>
                    <w:rPr>
                      <w:color w:val="auto"/>
                    </w:rPr>
                  </w:pPr>
                  <w:r>
                    <w:rPr>
                      <w:color w:val="auto"/>
                    </w:rPr>
                    <w:t>有组织</w:t>
                  </w:r>
                </w:p>
                <w:p w14:paraId="08D71B99">
                  <w:pPr>
                    <w:pStyle w:val="93"/>
                    <w:ind w:firstLine="0" w:firstLineChars="0"/>
                    <w:rPr>
                      <w:rFonts w:eastAsia="宋体"/>
                      <w:color w:val="auto"/>
                      <w:kern w:val="0"/>
                    </w:rPr>
                  </w:pPr>
                  <w:r>
                    <w:rPr>
                      <w:color w:val="auto"/>
                    </w:rPr>
                    <w:t>粉尘治理设施</w:t>
                  </w:r>
                </w:p>
              </w:tc>
              <w:tc>
                <w:tcPr>
                  <w:tcW w:w="698" w:type="dxa"/>
                  <w:vMerge w:val="restart"/>
                  <w:vAlign w:val="center"/>
                </w:tcPr>
                <w:p w14:paraId="26B7953C">
                  <w:pPr>
                    <w:pStyle w:val="93"/>
                    <w:ind w:firstLine="0" w:firstLineChars="0"/>
                    <w:rPr>
                      <w:rFonts w:eastAsia="宋体"/>
                      <w:color w:val="auto"/>
                      <w:kern w:val="0"/>
                    </w:rPr>
                  </w:pPr>
                  <w:r>
                    <w:rPr>
                      <w:rFonts w:eastAsia="宋体"/>
                      <w:color w:val="auto"/>
                      <w:kern w:val="0"/>
                    </w:rPr>
                    <w:t>筒仓</w:t>
                  </w:r>
                </w:p>
              </w:tc>
              <w:tc>
                <w:tcPr>
                  <w:tcW w:w="5109" w:type="dxa"/>
                  <w:vAlign w:val="center"/>
                </w:tcPr>
                <w:p w14:paraId="2550024D">
                  <w:pPr>
                    <w:pStyle w:val="95"/>
                    <w:spacing w:line="240" w:lineRule="auto"/>
                    <w:ind w:firstLine="0" w:firstLineChars="0"/>
                    <w:jc w:val="both"/>
                    <w:rPr>
                      <w:rFonts w:ascii="Times New Roman"/>
                      <w:color w:val="auto"/>
                      <w:sz w:val="21"/>
                      <w:szCs w:val="21"/>
                    </w:rPr>
                  </w:pPr>
                  <w:r>
                    <w:rPr>
                      <w:rFonts w:hint="eastAsia" w:ascii="Times New Roman" w:eastAsia="Times New Roman"/>
                      <w:color w:val="auto"/>
                      <w:kern w:val="2"/>
                      <w:sz w:val="21"/>
                      <w:szCs w:val="21"/>
                    </w:rPr>
                    <w:t>1#</w:t>
                  </w:r>
                  <w:r>
                    <w:rPr>
                      <w:rFonts w:ascii="Times New Roman" w:eastAsia="Times New Roman"/>
                      <w:color w:val="auto"/>
                      <w:kern w:val="2"/>
                      <w:sz w:val="21"/>
                      <w:szCs w:val="21"/>
                    </w:rPr>
                    <w:t>水泥筒仓</w:t>
                  </w:r>
                  <w:r>
                    <w:rPr>
                      <w:rFonts w:hint="eastAsia" w:ascii="Times New Roman" w:eastAsia="宋体"/>
                      <w:color w:val="auto"/>
                      <w:kern w:val="2"/>
                      <w:sz w:val="21"/>
                      <w:szCs w:val="21"/>
                      <w:lang w:eastAsia="zh-CN"/>
                    </w:rPr>
                    <w:t>、</w:t>
                  </w:r>
                  <w:r>
                    <w:rPr>
                      <w:rFonts w:hint="eastAsia" w:ascii="Times New Roman" w:eastAsia="Times New Roman"/>
                      <w:color w:val="auto"/>
                      <w:kern w:val="2"/>
                      <w:sz w:val="21"/>
                      <w:szCs w:val="21"/>
                    </w:rPr>
                    <w:t>2#</w:t>
                  </w:r>
                  <w:r>
                    <w:rPr>
                      <w:rFonts w:ascii="Times New Roman" w:eastAsia="Times New Roman"/>
                      <w:color w:val="auto"/>
                      <w:kern w:val="2"/>
                      <w:sz w:val="21"/>
                      <w:szCs w:val="21"/>
                    </w:rPr>
                    <w:t>水泥筒仓顶部</w:t>
                  </w:r>
                  <w:r>
                    <w:rPr>
                      <w:rFonts w:hint="eastAsia" w:ascii="Times New Roman" w:eastAsia="宋体"/>
                      <w:color w:val="auto"/>
                      <w:kern w:val="2"/>
                      <w:sz w:val="21"/>
                      <w:szCs w:val="21"/>
                      <w:lang w:val="en-US" w:eastAsia="zh-CN"/>
                    </w:rPr>
                    <w:t>共</w:t>
                  </w:r>
                  <w:r>
                    <w:rPr>
                      <w:rFonts w:ascii="Times New Roman" w:eastAsia="Times New Roman"/>
                      <w:color w:val="auto"/>
                      <w:kern w:val="2"/>
                      <w:sz w:val="21"/>
                      <w:szCs w:val="21"/>
                    </w:rPr>
                    <w:t>设置</w:t>
                  </w:r>
                  <w:r>
                    <w:rPr>
                      <w:rFonts w:hint="eastAsia" w:ascii="Times New Roman" w:eastAsia="Times New Roman"/>
                      <w:color w:val="auto"/>
                      <w:kern w:val="2"/>
                      <w:sz w:val="21"/>
                      <w:szCs w:val="21"/>
                      <w:lang w:val="en-US" w:eastAsia="zh-CN"/>
                    </w:rPr>
                    <w:t>1台</w:t>
                  </w:r>
                  <w:r>
                    <w:rPr>
                      <w:rFonts w:ascii="Times New Roman" w:eastAsia="Times New Roman"/>
                      <w:color w:val="auto"/>
                      <w:kern w:val="2"/>
                      <w:sz w:val="21"/>
                      <w:szCs w:val="21"/>
                    </w:rPr>
                    <w:t>布袋除尘器</w:t>
                  </w:r>
                  <w:r>
                    <w:rPr>
                      <w:rFonts w:hint="eastAsia" w:ascii="Times New Roman" w:eastAsia="Times New Roman"/>
                      <w:color w:val="auto"/>
                      <w:kern w:val="2"/>
                      <w:sz w:val="21"/>
                      <w:szCs w:val="21"/>
                    </w:rPr>
                    <w:t>，处理后的废气经仓顶呼吸口（DA001）排放。</w:t>
                  </w:r>
                </w:p>
              </w:tc>
              <w:tc>
                <w:tcPr>
                  <w:tcW w:w="1324" w:type="dxa"/>
                  <w:vMerge w:val="restart"/>
                  <w:vAlign w:val="center"/>
                </w:tcPr>
                <w:p w14:paraId="50705B55">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hint="default" w:ascii="Times New Roman" w:eastAsia="宋体"/>
                      <w:color w:val="auto"/>
                      <w:kern w:val="2"/>
                      <w:sz w:val="21"/>
                      <w:szCs w:val="21"/>
                      <w:lang w:val="en-US" w:eastAsia="zh-CN"/>
                    </w:rPr>
                  </w:pPr>
                  <w:r>
                    <w:rPr>
                      <w:rFonts w:hint="eastAsia" w:ascii="Times New Roman" w:eastAsia="Times New Roman"/>
                      <w:color w:val="auto"/>
                      <w:kern w:val="2"/>
                      <w:sz w:val="21"/>
                      <w:szCs w:val="21"/>
                    </w:rPr>
                    <w:t>现有项目根据昆生环改字〔2023﹞11-30号</w:t>
                  </w:r>
                  <w:r>
                    <w:rPr>
                      <w:rFonts w:hint="eastAsia" w:ascii="Times New Roman" w:eastAsia="宋体"/>
                      <w:color w:val="auto"/>
                      <w:kern w:val="2"/>
                      <w:sz w:val="21"/>
                      <w:szCs w:val="21"/>
                      <w:lang w:val="en-US" w:eastAsia="zh-CN"/>
                    </w:rPr>
                    <w:t>处罚文件的</w:t>
                  </w:r>
                  <w:r>
                    <w:rPr>
                      <w:rFonts w:hint="eastAsia" w:ascii="Times New Roman" w:eastAsia="Times New Roman"/>
                      <w:color w:val="auto"/>
                      <w:kern w:val="2"/>
                      <w:sz w:val="21"/>
                      <w:szCs w:val="21"/>
                    </w:rPr>
                    <w:t>整改要求已</w:t>
                  </w:r>
                  <w:r>
                    <w:rPr>
                      <w:rFonts w:hint="eastAsia" w:ascii="Times New Roman" w:eastAsia="宋体"/>
                      <w:color w:val="auto"/>
                      <w:kern w:val="2"/>
                      <w:sz w:val="21"/>
                      <w:szCs w:val="21"/>
                      <w:lang w:val="en-US" w:eastAsia="zh-CN"/>
                    </w:rPr>
                    <w:t>于2024年5月</w:t>
                  </w:r>
                  <w:r>
                    <w:rPr>
                      <w:rFonts w:hint="eastAsia" w:ascii="Times New Roman" w:eastAsia="Times New Roman"/>
                      <w:color w:val="auto"/>
                      <w:kern w:val="2"/>
                      <w:sz w:val="21"/>
                      <w:szCs w:val="21"/>
                    </w:rPr>
                    <w:t>安装</w:t>
                  </w:r>
                  <w:r>
                    <w:rPr>
                      <w:rFonts w:hint="eastAsia" w:ascii="Times New Roman" w:eastAsia="宋体"/>
                      <w:color w:val="auto"/>
                      <w:kern w:val="2"/>
                      <w:sz w:val="21"/>
                      <w:szCs w:val="21"/>
                      <w:lang w:val="en-US" w:eastAsia="zh-CN"/>
                    </w:rPr>
                    <w:t>布袋除尘器；</w:t>
                  </w:r>
                </w:p>
              </w:tc>
            </w:tr>
            <w:tr w14:paraId="1BC8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vAlign w:val="center"/>
                </w:tcPr>
                <w:p w14:paraId="1E12EFA4">
                  <w:pPr>
                    <w:pStyle w:val="26"/>
                    <w:ind w:firstLine="0" w:firstLineChars="0"/>
                    <w:jc w:val="center"/>
                    <w:rPr>
                      <w:rFonts w:ascii="Times New Roman" w:hAnsi="Times New Roman"/>
                      <w:color w:val="auto"/>
                      <w:kern w:val="0"/>
                      <w:szCs w:val="21"/>
                    </w:rPr>
                  </w:pPr>
                </w:p>
              </w:tc>
              <w:tc>
                <w:tcPr>
                  <w:tcW w:w="414" w:type="dxa"/>
                  <w:vMerge w:val="continue"/>
                  <w:vAlign w:val="center"/>
                </w:tcPr>
                <w:p w14:paraId="61D942F3">
                  <w:pPr>
                    <w:pStyle w:val="93"/>
                    <w:ind w:firstLine="0" w:firstLineChars="0"/>
                    <w:rPr>
                      <w:color w:val="auto"/>
                    </w:rPr>
                  </w:pPr>
                </w:p>
              </w:tc>
              <w:tc>
                <w:tcPr>
                  <w:tcW w:w="698" w:type="dxa"/>
                  <w:vMerge w:val="continue"/>
                  <w:vAlign w:val="center"/>
                </w:tcPr>
                <w:p w14:paraId="5A80647F">
                  <w:pPr>
                    <w:pStyle w:val="93"/>
                    <w:ind w:firstLine="0" w:firstLineChars="0"/>
                    <w:rPr>
                      <w:rFonts w:eastAsia="宋体"/>
                      <w:color w:val="auto"/>
                      <w:kern w:val="0"/>
                    </w:rPr>
                  </w:pPr>
                </w:p>
              </w:tc>
              <w:tc>
                <w:tcPr>
                  <w:tcW w:w="5109" w:type="dxa"/>
                  <w:vAlign w:val="center"/>
                </w:tcPr>
                <w:p w14:paraId="5F49A947">
                  <w:pPr>
                    <w:pStyle w:val="95"/>
                    <w:spacing w:line="240" w:lineRule="auto"/>
                    <w:ind w:firstLine="0" w:firstLineChars="0"/>
                    <w:jc w:val="both"/>
                    <w:rPr>
                      <w:rFonts w:ascii="Times New Roman" w:eastAsia="Times New Roman"/>
                      <w:color w:val="auto"/>
                      <w:kern w:val="2"/>
                      <w:sz w:val="21"/>
                      <w:szCs w:val="21"/>
                    </w:rPr>
                  </w:pPr>
                  <w:r>
                    <w:rPr>
                      <w:rFonts w:hint="eastAsia" w:ascii="Times New Roman" w:eastAsia="Times New Roman"/>
                      <w:color w:val="auto"/>
                      <w:kern w:val="2"/>
                      <w:sz w:val="21"/>
                      <w:szCs w:val="21"/>
                    </w:rPr>
                    <w:t>3#粉煤灰</w:t>
                  </w:r>
                  <w:r>
                    <w:rPr>
                      <w:rFonts w:ascii="Times New Roman" w:eastAsia="Times New Roman"/>
                      <w:color w:val="auto"/>
                      <w:kern w:val="2"/>
                      <w:sz w:val="21"/>
                      <w:szCs w:val="21"/>
                    </w:rPr>
                    <w:t>筒仓顶部设置布袋除尘器</w:t>
                  </w:r>
                  <w:r>
                    <w:rPr>
                      <w:rFonts w:hint="eastAsia" w:ascii="Times New Roman" w:eastAsia="Times New Roman"/>
                      <w:color w:val="auto"/>
                      <w:kern w:val="2"/>
                      <w:sz w:val="21"/>
                      <w:szCs w:val="21"/>
                    </w:rPr>
                    <w:t>，处理后的废气经仓顶呼吸口（DA00</w:t>
                  </w:r>
                  <w:r>
                    <w:rPr>
                      <w:rFonts w:hint="eastAsia" w:ascii="Times New Roman" w:eastAsia="宋体"/>
                      <w:color w:val="auto"/>
                      <w:kern w:val="2"/>
                      <w:sz w:val="21"/>
                      <w:szCs w:val="21"/>
                      <w:lang w:val="en-US" w:eastAsia="zh-CN"/>
                    </w:rPr>
                    <w:t>2</w:t>
                  </w:r>
                  <w:r>
                    <w:rPr>
                      <w:rFonts w:hint="eastAsia" w:ascii="Times New Roman" w:eastAsia="Times New Roman"/>
                      <w:color w:val="auto"/>
                      <w:kern w:val="2"/>
                      <w:sz w:val="21"/>
                      <w:szCs w:val="21"/>
                    </w:rPr>
                    <w:t>）排放。</w:t>
                  </w:r>
                </w:p>
              </w:tc>
              <w:tc>
                <w:tcPr>
                  <w:tcW w:w="1324" w:type="dxa"/>
                  <w:vMerge w:val="continue"/>
                  <w:vAlign w:val="center"/>
                </w:tcPr>
                <w:p w14:paraId="6D27214A">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hint="eastAsia" w:ascii="Times New Roman" w:eastAsia="Times New Roman"/>
                      <w:color w:val="auto"/>
                      <w:kern w:val="2"/>
                      <w:sz w:val="21"/>
                      <w:szCs w:val="21"/>
                    </w:rPr>
                  </w:pPr>
                </w:p>
              </w:tc>
            </w:tr>
            <w:tr w14:paraId="4B80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vAlign w:val="center"/>
                </w:tcPr>
                <w:p w14:paraId="18986DF2">
                  <w:pPr>
                    <w:pStyle w:val="26"/>
                    <w:ind w:firstLine="0" w:firstLineChars="0"/>
                    <w:jc w:val="center"/>
                    <w:rPr>
                      <w:rFonts w:ascii="Times New Roman" w:hAnsi="Times New Roman"/>
                      <w:color w:val="auto"/>
                      <w:kern w:val="0"/>
                      <w:szCs w:val="21"/>
                    </w:rPr>
                  </w:pPr>
                </w:p>
              </w:tc>
              <w:tc>
                <w:tcPr>
                  <w:tcW w:w="414" w:type="dxa"/>
                  <w:vMerge w:val="continue"/>
                  <w:vAlign w:val="center"/>
                </w:tcPr>
                <w:p w14:paraId="0FBB30E9">
                  <w:pPr>
                    <w:pStyle w:val="93"/>
                    <w:ind w:firstLine="0" w:firstLineChars="0"/>
                    <w:rPr>
                      <w:color w:val="auto"/>
                    </w:rPr>
                  </w:pPr>
                </w:p>
              </w:tc>
              <w:tc>
                <w:tcPr>
                  <w:tcW w:w="698" w:type="dxa"/>
                  <w:vMerge w:val="continue"/>
                  <w:vAlign w:val="center"/>
                </w:tcPr>
                <w:p w14:paraId="041C651B">
                  <w:pPr>
                    <w:pStyle w:val="93"/>
                    <w:ind w:firstLine="0" w:firstLineChars="0"/>
                    <w:rPr>
                      <w:rFonts w:eastAsia="宋体"/>
                      <w:color w:val="auto"/>
                      <w:kern w:val="0"/>
                    </w:rPr>
                  </w:pPr>
                </w:p>
              </w:tc>
              <w:tc>
                <w:tcPr>
                  <w:tcW w:w="5109" w:type="dxa"/>
                  <w:vAlign w:val="center"/>
                </w:tcPr>
                <w:p w14:paraId="4B5FCE9A">
                  <w:pPr>
                    <w:pStyle w:val="95"/>
                    <w:spacing w:line="240" w:lineRule="auto"/>
                    <w:ind w:firstLine="0" w:firstLineChars="0"/>
                    <w:jc w:val="both"/>
                    <w:rPr>
                      <w:rFonts w:ascii="Times New Roman" w:eastAsia="Times New Roman"/>
                      <w:color w:val="auto"/>
                      <w:kern w:val="2"/>
                      <w:sz w:val="21"/>
                      <w:szCs w:val="21"/>
                    </w:rPr>
                  </w:pPr>
                  <w:r>
                    <w:rPr>
                      <w:rFonts w:hint="eastAsia" w:ascii="Times New Roman" w:eastAsia="Times New Roman"/>
                      <w:color w:val="auto"/>
                      <w:kern w:val="2"/>
                      <w:sz w:val="21"/>
                      <w:szCs w:val="21"/>
                    </w:rPr>
                    <w:t>4#</w:t>
                  </w:r>
                  <w:r>
                    <w:rPr>
                      <w:rFonts w:hint="eastAsia"/>
                      <w:color w:val="auto"/>
                      <w:sz w:val="21"/>
                      <w:szCs w:val="21"/>
                    </w:rPr>
                    <w:t>矿粉</w:t>
                  </w:r>
                  <w:r>
                    <w:rPr>
                      <w:rFonts w:ascii="Times New Roman" w:eastAsia="Times New Roman"/>
                      <w:color w:val="auto"/>
                      <w:kern w:val="2"/>
                      <w:sz w:val="21"/>
                      <w:szCs w:val="21"/>
                    </w:rPr>
                    <w:t>筒仓顶部设置布袋除尘器</w:t>
                  </w:r>
                  <w:r>
                    <w:rPr>
                      <w:rFonts w:hint="eastAsia" w:ascii="Times New Roman" w:eastAsia="Times New Roman"/>
                      <w:color w:val="auto"/>
                      <w:kern w:val="2"/>
                      <w:sz w:val="21"/>
                      <w:szCs w:val="21"/>
                    </w:rPr>
                    <w:t>，处理后的废气经仓顶呼吸口（DA00</w:t>
                  </w:r>
                  <w:r>
                    <w:rPr>
                      <w:rFonts w:hint="eastAsia" w:ascii="Times New Roman" w:eastAsia="宋体"/>
                      <w:color w:val="auto"/>
                      <w:kern w:val="2"/>
                      <w:sz w:val="21"/>
                      <w:szCs w:val="21"/>
                      <w:lang w:val="en-US" w:eastAsia="zh-CN"/>
                    </w:rPr>
                    <w:t>3</w:t>
                  </w:r>
                  <w:r>
                    <w:rPr>
                      <w:rFonts w:hint="eastAsia" w:ascii="Times New Roman" w:eastAsia="Times New Roman"/>
                      <w:color w:val="auto"/>
                      <w:kern w:val="2"/>
                      <w:sz w:val="21"/>
                      <w:szCs w:val="21"/>
                    </w:rPr>
                    <w:t>）排放。</w:t>
                  </w:r>
                </w:p>
              </w:tc>
              <w:tc>
                <w:tcPr>
                  <w:tcW w:w="1324" w:type="dxa"/>
                  <w:vMerge w:val="continue"/>
                  <w:vAlign w:val="center"/>
                </w:tcPr>
                <w:p w14:paraId="68EB0ED3">
                  <w:pPr>
                    <w:pStyle w:val="95"/>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hint="eastAsia" w:ascii="Times New Roman" w:eastAsia="Times New Roman"/>
                      <w:color w:val="auto"/>
                      <w:kern w:val="2"/>
                      <w:sz w:val="21"/>
                      <w:szCs w:val="21"/>
                    </w:rPr>
                  </w:pPr>
                </w:p>
              </w:tc>
            </w:tr>
            <w:tr w14:paraId="3A98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14" w:type="dxa"/>
                  <w:vMerge w:val="continue"/>
                  <w:vAlign w:val="center"/>
                </w:tcPr>
                <w:p w14:paraId="286500A0">
                  <w:pPr>
                    <w:pStyle w:val="26"/>
                    <w:ind w:firstLine="0" w:firstLineChars="0"/>
                    <w:jc w:val="center"/>
                    <w:rPr>
                      <w:rFonts w:ascii="Times New Roman" w:hAnsi="Times New Roman"/>
                      <w:color w:val="auto"/>
                      <w:kern w:val="0"/>
                      <w:szCs w:val="21"/>
                    </w:rPr>
                  </w:pPr>
                </w:p>
              </w:tc>
              <w:tc>
                <w:tcPr>
                  <w:tcW w:w="414" w:type="dxa"/>
                  <w:vMerge w:val="restart"/>
                  <w:vAlign w:val="center"/>
                </w:tcPr>
                <w:p w14:paraId="145D3963">
                  <w:pPr>
                    <w:widowControl/>
                    <w:ind w:firstLine="0" w:firstLineChars="0"/>
                    <w:jc w:val="center"/>
                    <w:rPr>
                      <w:color w:val="auto"/>
                      <w:szCs w:val="21"/>
                    </w:rPr>
                  </w:pPr>
                  <w:r>
                    <w:rPr>
                      <w:color w:val="auto"/>
                      <w:kern w:val="0"/>
                      <w:szCs w:val="21"/>
                      <w:lang w:bidi="ar"/>
                    </w:rPr>
                    <w:t>无组织</w:t>
                  </w:r>
                </w:p>
                <w:p w14:paraId="2B91BB40">
                  <w:pPr>
                    <w:widowControl/>
                    <w:ind w:firstLine="0" w:firstLineChars="0"/>
                    <w:jc w:val="center"/>
                    <w:rPr>
                      <w:color w:val="auto"/>
                      <w:kern w:val="0"/>
                      <w:szCs w:val="21"/>
                    </w:rPr>
                  </w:pPr>
                  <w:r>
                    <w:rPr>
                      <w:color w:val="auto"/>
                      <w:kern w:val="0"/>
                      <w:szCs w:val="21"/>
                      <w:lang w:bidi="ar"/>
                    </w:rPr>
                    <w:t>粉尘治理</w:t>
                  </w:r>
                </w:p>
              </w:tc>
              <w:tc>
                <w:tcPr>
                  <w:tcW w:w="698" w:type="dxa"/>
                  <w:vAlign w:val="center"/>
                </w:tcPr>
                <w:p w14:paraId="0AC43901">
                  <w:pPr>
                    <w:widowControl/>
                    <w:ind w:firstLine="0" w:firstLineChars="0"/>
                    <w:jc w:val="center"/>
                    <w:rPr>
                      <w:color w:val="auto"/>
                      <w:kern w:val="0"/>
                      <w:szCs w:val="21"/>
                    </w:rPr>
                  </w:pPr>
                  <w:r>
                    <w:rPr>
                      <w:color w:val="auto"/>
                      <w:kern w:val="0"/>
                      <w:szCs w:val="21"/>
                      <w:lang w:bidi="ar"/>
                    </w:rPr>
                    <w:t>混凝土</w:t>
                  </w:r>
                  <w:r>
                    <w:rPr>
                      <w:rFonts w:hint="eastAsia"/>
                      <w:color w:val="auto"/>
                      <w:kern w:val="0"/>
                      <w:szCs w:val="21"/>
                      <w:lang w:bidi="ar"/>
                    </w:rPr>
                    <w:t>拌合站</w:t>
                  </w:r>
                  <w:r>
                    <w:rPr>
                      <w:color w:val="auto"/>
                      <w:kern w:val="0"/>
                      <w:szCs w:val="21"/>
                      <w:lang w:bidi="ar"/>
                    </w:rPr>
                    <w:t>封闭措施</w:t>
                  </w:r>
                </w:p>
              </w:tc>
              <w:tc>
                <w:tcPr>
                  <w:tcW w:w="5109" w:type="dxa"/>
                  <w:vAlign w:val="center"/>
                </w:tcPr>
                <w:p w14:paraId="41724FAE">
                  <w:pPr>
                    <w:widowControl/>
                    <w:ind w:firstLine="0" w:firstLineChars="0"/>
                    <w:jc w:val="left"/>
                    <w:rPr>
                      <w:color w:val="auto"/>
                      <w:szCs w:val="21"/>
                    </w:rPr>
                  </w:pPr>
                  <w:r>
                    <w:rPr>
                      <w:rFonts w:hint="eastAsia"/>
                      <w:color w:val="auto"/>
                      <w:kern w:val="0"/>
                      <w:szCs w:val="21"/>
                      <w:lang w:bidi="ar"/>
                    </w:rPr>
                    <w:t>拌合站</w:t>
                  </w:r>
                  <w:r>
                    <w:rPr>
                      <w:color w:val="auto"/>
                      <w:kern w:val="0"/>
                      <w:szCs w:val="21"/>
                      <w:lang w:bidi="ar"/>
                    </w:rPr>
                    <w:t>主体二层及以上部分、原材料上料、配料、搅拌等设施、设备均进行封闭处理。</w:t>
                  </w:r>
                </w:p>
              </w:tc>
              <w:tc>
                <w:tcPr>
                  <w:tcW w:w="1324" w:type="dxa"/>
                  <w:vAlign w:val="center"/>
                </w:tcPr>
                <w:p w14:paraId="099D0EB1">
                  <w:pPr>
                    <w:keepNext w:val="0"/>
                    <w:keepLines w:val="0"/>
                    <w:pageBreakBefore w:val="0"/>
                    <w:widowControl w:val="0"/>
                    <w:kinsoku/>
                    <w:wordWrap w:val="0"/>
                    <w:overflowPunct/>
                    <w:topLinePunct/>
                    <w:autoSpaceDE/>
                    <w:autoSpaceDN/>
                    <w:bidi w:val="0"/>
                    <w:adjustRightInd/>
                    <w:snapToGrid/>
                    <w:ind w:firstLine="0" w:firstLineChars="0"/>
                    <w:jc w:val="left"/>
                    <w:textAlignment w:val="auto"/>
                    <w:rPr>
                      <w:rFonts w:hint="default" w:eastAsia="宋体"/>
                      <w:color w:val="auto"/>
                      <w:kern w:val="0"/>
                      <w:szCs w:val="21"/>
                      <w:lang w:val="en-US" w:eastAsia="zh-CN" w:bidi="ar"/>
                    </w:rPr>
                  </w:pPr>
                  <w:r>
                    <w:rPr>
                      <w:rFonts w:hint="eastAsia" w:ascii="Times New Roman" w:eastAsia="Times New Roman"/>
                      <w:color w:val="auto"/>
                      <w:kern w:val="2"/>
                      <w:sz w:val="21"/>
                      <w:szCs w:val="21"/>
                    </w:rPr>
                    <w:t>根据昆生环改字〔2023﹞11-30号</w:t>
                  </w:r>
                  <w:r>
                    <w:rPr>
                      <w:rFonts w:hint="eastAsia" w:ascii="Times New Roman" w:eastAsia="宋体"/>
                      <w:color w:val="auto"/>
                      <w:kern w:val="2"/>
                      <w:sz w:val="21"/>
                      <w:szCs w:val="21"/>
                      <w:lang w:val="en-US" w:eastAsia="zh-CN"/>
                    </w:rPr>
                    <w:t>处罚文件的</w:t>
                  </w:r>
                  <w:r>
                    <w:rPr>
                      <w:rFonts w:hint="eastAsia" w:ascii="Times New Roman" w:eastAsia="Times New Roman"/>
                      <w:color w:val="auto"/>
                      <w:kern w:val="2"/>
                      <w:sz w:val="21"/>
                      <w:szCs w:val="21"/>
                    </w:rPr>
                    <w:t>整改要求</w:t>
                  </w:r>
                  <w:r>
                    <w:rPr>
                      <w:rFonts w:hint="eastAsia"/>
                      <w:color w:val="auto"/>
                      <w:kern w:val="2"/>
                      <w:sz w:val="21"/>
                      <w:szCs w:val="21"/>
                      <w:lang w:val="en-US" w:eastAsia="zh-CN"/>
                    </w:rPr>
                    <w:t>2024年5月</w:t>
                  </w:r>
                  <w:r>
                    <w:rPr>
                      <w:rFonts w:hint="eastAsia" w:eastAsia="宋体"/>
                      <w:color w:val="auto"/>
                      <w:kern w:val="2"/>
                      <w:sz w:val="21"/>
                      <w:szCs w:val="21"/>
                      <w:lang w:val="en-US" w:eastAsia="zh-CN"/>
                    </w:rPr>
                    <w:t>对混凝土搅拌站设置</w:t>
                  </w:r>
                  <w:r>
                    <w:rPr>
                      <w:rFonts w:hint="eastAsia"/>
                      <w:color w:val="auto"/>
                      <w:kern w:val="2"/>
                      <w:sz w:val="21"/>
                      <w:szCs w:val="21"/>
                      <w:lang w:val="en-US" w:eastAsia="zh-CN"/>
                    </w:rPr>
                    <w:t>1台</w:t>
                  </w:r>
                  <w:r>
                    <w:rPr>
                      <w:rFonts w:hint="eastAsia" w:eastAsia="宋体"/>
                      <w:color w:val="auto"/>
                      <w:kern w:val="2"/>
                      <w:sz w:val="21"/>
                      <w:szCs w:val="21"/>
                      <w:lang w:val="en-US" w:eastAsia="zh-CN"/>
                    </w:rPr>
                    <w:t>布袋除尘器；</w:t>
                  </w:r>
                </w:p>
              </w:tc>
            </w:tr>
            <w:tr w14:paraId="34D6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48F768CB">
                  <w:pPr>
                    <w:pStyle w:val="26"/>
                    <w:ind w:firstLine="0" w:firstLineChars="0"/>
                    <w:jc w:val="center"/>
                    <w:rPr>
                      <w:rFonts w:ascii="Times New Roman" w:hAnsi="Times New Roman"/>
                      <w:color w:val="auto"/>
                      <w:kern w:val="0"/>
                      <w:szCs w:val="21"/>
                    </w:rPr>
                  </w:pPr>
                </w:p>
              </w:tc>
              <w:tc>
                <w:tcPr>
                  <w:tcW w:w="414" w:type="dxa"/>
                  <w:vMerge w:val="continue"/>
                  <w:vAlign w:val="center"/>
                </w:tcPr>
                <w:p w14:paraId="2DFC65D2">
                  <w:pPr>
                    <w:pStyle w:val="26"/>
                    <w:ind w:firstLine="0" w:firstLineChars="0"/>
                    <w:jc w:val="center"/>
                    <w:rPr>
                      <w:rFonts w:ascii="Times New Roman" w:hAnsi="Times New Roman"/>
                      <w:color w:val="auto"/>
                      <w:kern w:val="0"/>
                      <w:szCs w:val="21"/>
                    </w:rPr>
                  </w:pPr>
                </w:p>
              </w:tc>
              <w:tc>
                <w:tcPr>
                  <w:tcW w:w="698" w:type="dxa"/>
                  <w:vAlign w:val="center"/>
                </w:tcPr>
                <w:p w14:paraId="083C5831">
                  <w:pPr>
                    <w:widowControl/>
                    <w:ind w:firstLine="0" w:firstLineChars="0"/>
                    <w:jc w:val="center"/>
                    <w:rPr>
                      <w:color w:val="auto"/>
                      <w:kern w:val="0"/>
                      <w:szCs w:val="21"/>
                    </w:rPr>
                  </w:pPr>
                  <w:r>
                    <w:rPr>
                      <w:color w:val="auto"/>
                      <w:kern w:val="0"/>
                      <w:szCs w:val="21"/>
                      <w:lang w:bidi="ar"/>
                    </w:rPr>
                    <w:t>骨料皮带输送机抑尘措施</w:t>
                  </w:r>
                </w:p>
              </w:tc>
              <w:tc>
                <w:tcPr>
                  <w:tcW w:w="5109" w:type="dxa"/>
                  <w:vAlign w:val="center"/>
                </w:tcPr>
                <w:p w14:paraId="45334098">
                  <w:pPr>
                    <w:widowControl/>
                    <w:ind w:firstLine="0" w:firstLineChars="0"/>
                    <w:jc w:val="left"/>
                    <w:rPr>
                      <w:color w:val="auto"/>
                      <w:szCs w:val="21"/>
                    </w:rPr>
                  </w:pPr>
                  <w:r>
                    <w:rPr>
                      <w:color w:val="auto"/>
                      <w:kern w:val="0"/>
                      <w:szCs w:val="21"/>
                      <w:lang w:bidi="ar"/>
                    </w:rPr>
                    <w:t>皮带输送机廊道设置全封闭皮带输送系统。</w:t>
                  </w:r>
                </w:p>
              </w:tc>
              <w:tc>
                <w:tcPr>
                  <w:tcW w:w="1324" w:type="dxa"/>
                  <w:vAlign w:val="center"/>
                </w:tcPr>
                <w:p w14:paraId="61E82A68">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eastAsia" w:eastAsia="宋体"/>
                      <w:color w:val="auto"/>
                      <w:kern w:val="0"/>
                      <w:szCs w:val="21"/>
                      <w:lang w:val="en-US" w:eastAsia="zh-CN" w:bidi="ar"/>
                    </w:rPr>
                  </w:pPr>
                  <w:r>
                    <w:rPr>
                      <w:rFonts w:hint="eastAsia"/>
                      <w:color w:val="auto"/>
                      <w:kern w:val="0"/>
                      <w:szCs w:val="21"/>
                      <w:lang w:val="en-US" w:eastAsia="zh-CN" w:bidi="ar"/>
                    </w:rPr>
                    <w:t>/</w:t>
                  </w:r>
                </w:p>
              </w:tc>
            </w:tr>
            <w:tr w14:paraId="07ED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47C8729F">
                  <w:pPr>
                    <w:pStyle w:val="26"/>
                    <w:ind w:firstLine="0" w:firstLineChars="0"/>
                    <w:jc w:val="center"/>
                    <w:rPr>
                      <w:rFonts w:ascii="Times New Roman" w:hAnsi="Times New Roman"/>
                      <w:color w:val="auto"/>
                      <w:kern w:val="0"/>
                      <w:szCs w:val="21"/>
                    </w:rPr>
                  </w:pPr>
                </w:p>
              </w:tc>
              <w:tc>
                <w:tcPr>
                  <w:tcW w:w="414" w:type="dxa"/>
                  <w:vMerge w:val="continue"/>
                  <w:vAlign w:val="center"/>
                </w:tcPr>
                <w:p w14:paraId="6201CC52">
                  <w:pPr>
                    <w:pStyle w:val="26"/>
                    <w:ind w:firstLine="0" w:firstLineChars="0"/>
                    <w:jc w:val="center"/>
                    <w:rPr>
                      <w:rFonts w:ascii="Times New Roman" w:hAnsi="Times New Roman"/>
                      <w:color w:val="auto"/>
                      <w:kern w:val="0"/>
                      <w:szCs w:val="21"/>
                    </w:rPr>
                  </w:pPr>
                </w:p>
              </w:tc>
              <w:tc>
                <w:tcPr>
                  <w:tcW w:w="698" w:type="dxa"/>
                  <w:vAlign w:val="center"/>
                </w:tcPr>
                <w:p w14:paraId="5761C4B9">
                  <w:pPr>
                    <w:widowControl/>
                    <w:ind w:firstLine="0" w:firstLineChars="0"/>
                    <w:jc w:val="center"/>
                    <w:rPr>
                      <w:color w:val="auto"/>
                      <w:kern w:val="0"/>
                      <w:szCs w:val="21"/>
                    </w:rPr>
                  </w:pPr>
                  <w:r>
                    <w:rPr>
                      <w:color w:val="auto"/>
                      <w:kern w:val="0"/>
                      <w:szCs w:val="21"/>
                      <w:lang w:bidi="ar"/>
                    </w:rPr>
                    <w:t>骨料料仓抑尘措施</w:t>
                  </w:r>
                </w:p>
              </w:tc>
              <w:tc>
                <w:tcPr>
                  <w:tcW w:w="5109" w:type="dxa"/>
                  <w:vAlign w:val="center"/>
                </w:tcPr>
                <w:p w14:paraId="3CE78D6B">
                  <w:pPr>
                    <w:widowControl/>
                    <w:ind w:firstLine="0" w:firstLineChars="0"/>
                    <w:jc w:val="left"/>
                    <w:rPr>
                      <w:color w:val="auto"/>
                      <w:szCs w:val="21"/>
                    </w:rPr>
                  </w:pPr>
                  <w:r>
                    <w:rPr>
                      <w:color w:val="auto"/>
                      <w:kern w:val="0"/>
                      <w:szCs w:val="21"/>
                      <w:lang w:bidi="ar"/>
                    </w:rPr>
                    <w:t>骨料料仓采用彩钢瓦进行整体封闭，仅将进出物料口设置为敞开式</w:t>
                  </w:r>
                  <w:r>
                    <w:rPr>
                      <w:rFonts w:hint="eastAsia"/>
                      <w:color w:val="auto"/>
                      <w:kern w:val="0"/>
                      <w:szCs w:val="21"/>
                      <w:lang w:bidi="ar"/>
                    </w:rPr>
                    <w:t>，并设置车间喷雾降尘措施</w:t>
                  </w:r>
                  <w:r>
                    <w:rPr>
                      <w:color w:val="auto"/>
                      <w:kern w:val="0"/>
                      <w:szCs w:val="21"/>
                      <w:lang w:bidi="ar"/>
                    </w:rPr>
                    <w:t>。</w:t>
                  </w:r>
                </w:p>
              </w:tc>
              <w:tc>
                <w:tcPr>
                  <w:tcW w:w="1324" w:type="dxa"/>
                  <w:shd w:val="clear" w:color="auto" w:fill="auto"/>
                  <w:vAlign w:val="center"/>
                </w:tcPr>
                <w:p w14:paraId="2285742E">
                  <w:pPr>
                    <w:pStyle w:val="26"/>
                    <w:keepNext w:val="0"/>
                    <w:keepLines w:val="0"/>
                    <w:pageBreakBefore w:val="0"/>
                    <w:widowControl w:val="0"/>
                    <w:kinsoku/>
                    <w:wordWrap w:val="0"/>
                    <w:overflowPunct/>
                    <w:topLinePunct/>
                    <w:autoSpaceDE/>
                    <w:autoSpaceDN/>
                    <w:bidi w:val="0"/>
                    <w:adjustRightInd/>
                    <w:snapToGrid/>
                    <w:ind w:firstLine="0" w:firstLineChars="0"/>
                    <w:jc w:val="left"/>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rPr>
                    <w:t>根据昆生环改字〔2023﹞11-30号处罚文件的整改要求2024年5月对</w:t>
                  </w:r>
                  <w:r>
                    <w:rPr>
                      <w:rFonts w:hint="eastAsia" w:ascii="Times New Roman" w:hAnsi="Times New Roman"/>
                      <w:color w:val="auto"/>
                      <w:kern w:val="0"/>
                      <w:szCs w:val="21"/>
                      <w:lang w:val="en-US" w:eastAsia="zh-CN"/>
                    </w:rPr>
                    <w:t>骨料仓库设置三面围挡+顶棚</w:t>
                  </w:r>
                  <w:r>
                    <w:rPr>
                      <w:rFonts w:hint="eastAsia" w:ascii="Times New Roman" w:hAnsi="Times New Roman"/>
                      <w:color w:val="auto"/>
                      <w:kern w:val="0"/>
                      <w:szCs w:val="21"/>
                    </w:rPr>
                    <w:t>；</w:t>
                  </w:r>
                </w:p>
              </w:tc>
            </w:tr>
            <w:tr w14:paraId="4A16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4D4033BA">
                  <w:pPr>
                    <w:pStyle w:val="26"/>
                    <w:ind w:firstLine="0" w:firstLineChars="0"/>
                    <w:jc w:val="center"/>
                    <w:rPr>
                      <w:rFonts w:ascii="Times New Roman" w:hAnsi="Times New Roman"/>
                      <w:color w:val="auto"/>
                      <w:kern w:val="0"/>
                      <w:szCs w:val="21"/>
                    </w:rPr>
                  </w:pPr>
                </w:p>
              </w:tc>
              <w:tc>
                <w:tcPr>
                  <w:tcW w:w="414" w:type="dxa"/>
                  <w:vMerge w:val="continue"/>
                  <w:vAlign w:val="center"/>
                </w:tcPr>
                <w:p w14:paraId="5DD1AE75">
                  <w:pPr>
                    <w:pStyle w:val="26"/>
                    <w:ind w:firstLine="0" w:firstLineChars="0"/>
                    <w:jc w:val="center"/>
                    <w:rPr>
                      <w:rFonts w:ascii="Times New Roman" w:hAnsi="Times New Roman"/>
                      <w:color w:val="auto"/>
                      <w:kern w:val="0"/>
                      <w:szCs w:val="21"/>
                    </w:rPr>
                  </w:pPr>
                </w:p>
              </w:tc>
              <w:tc>
                <w:tcPr>
                  <w:tcW w:w="698" w:type="dxa"/>
                  <w:vAlign w:val="center"/>
                </w:tcPr>
                <w:p w14:paraId="55ECA4EA">
                  <w:pPr>
                    <w:pStyle w:val="26"/>
                    <w:ind w:firstLine="0" w:firstLineChars="0"/>
                    <w:jc w:val="center"/>
                    <w:rPr>
                      <w:rFonts w:ascii="Times New Roman" w:hAnsi="Times New Roman"/>
                      <w:color w:val="auto"/>
                      <w:kern w:val="0"/>
                      <w:szCs w:val="21"/>
                    </w:rPr>
                  </w:pPr>
                  <w:r>
                    <w:rPr>
                      <w:rFonts w:ascii="Times New Roman" w:hAnsi="Times New Roman"/>
                      <w:color w:val="auto"/>
                      <w:kern w:val="0"/>
                      <w:szCs w:val="21"/>
                      <w:lang w:bidi="ar"/>
                    </w:rPr>
                    <w:t>车辆清洗设施</w:t>
                  </w:r>
                </w:p>
              </w:tc>
              <w:tc>
                <w:tcPr>
                  <w:tcW w:w="5109" w:type="dxa"/>
                  <w:vAlign w:val="center"/>
                </w:tcPr>
                <w:p w14:paraId="18BD9F43">
                  <w:pPr>
                    <w:widowControl/>
                    <w:ind w:firstLine="0" w:firstLineChars="0"/>
                    <w:jc w:val="left"/>
                    <w:rPr>
                      <w:color w:val="auto"/>
                      <w:szCs w:val="21"/>
                    </w:rPr>
                  </w:pPr>
                  <w:r>
                    <w:rPr>
                      <w:color w:val="auto"/>
                      <w:kern w:val="0"/>
                      <w:szCs w:val="21"/>
                      <w:lang w:bidi="ar"/>
                    </w:rPr>
                    <w:t>在搅拌机主楼前方设1个车辆清洗设施，配套2个高压水枪，对运输罐车外部进行清洗。</w:t>
                  </w:r>
                </w:p>
              </w:tc>
              <w:tc>
                <w:tcPr>
                  <w:tcW w:w="1324" w:type="dxa"/>
                  <w:vMerge w:val="restart"/>
                  <w:vAlign w:val="center"/>
                </w:tcPr>
                <w:p w14:paraId="7289061B">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eastAsia" w:eastAsia="宋体"/>
                      <w:color w:val="auto"/>
                      <w:kern w:val="0"/>
                      <w:szCs w:val="21"/>
                      <w:lang w:val="en-US" w:eastAsia="zh-CN" w:bidi="ar"/>
                    </w:rPr>
                  </w:pPr>
                  <w:r>
                    <w:rPr>
                      <w:rFonts w:hint="eastAsia"/>
                      <w:color w:val="auto"/>
                      <w:kern w:val="0"/>
                      <w:szCs w:val="21"/>
                      <w:lang w:val="en-US" w:eastAsia="zh-CN" w:bidi="ar"/>
                    </w:rPr>
                    <w:t>/</w:t>
                  </w:r>
                </w:p>
              </w:tc>
            </w:tr>
            <w:tr w14:paraId="2EE2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2D1C9BFC">
                  <w:pPr>
                    <w:pStyle w:val="26"/>
                    <w:ind w:firstLine="0" w:firstLineChars="0"/>
                    <w:jc w:val="center"/>
                    <w:rPr>
                      <w:rFonts w:ascii="Times New Roman" w:hAnsi="Times New Roman"/>
                      <w:color w:val="auto"/>
                      <w:kern w:val="0"/>
                      <w:szCs w:val="21"/>
                    </w:rPr>
                  </w:pPr>
                </w:p>
              </w:tc>
              <w:tc>
                <w:tcPr>
                  <w:tcW w:w="414" w:type="dxa"/>
                  <w:vMerge w:val="continue"/>
                  <w:vAlign w:val="center"/>
                </w:tcPr>
                <w:p w14:paraId="36F5B3EA">
                  <w:pPr>
                    <w:pStyle w:val="26"/>
                    <w:ind w:firstLine="0" w:firstLineChars="0"/>
                    <w:jc w:val="center"/>
                    <w:rPr>
                      <w:rFonts w:ascii="Times New Roman" w:hAnsi="Times New Roman"/>
                      <w:color w:val="auto"/>
                      <w:kern w:val="0"/>
                      <w:szCs w:val="21"/>
                    </w:rPr>
                  </w:pPr>
                </w:p>
              </w:tc>
              <w:tc>
                <w:tcPr>
                  <w:tcW w:w="698" w:type="dxa"/>
                  <w:vAlign w:val="center"/>
                </w:tcPr>
                <w:p w14:paraId="084622CF">
                  <w:pPr>
                    <w:pStyle w:val="26"/>
                    <w:ind w:firstLine="0" w:firstLineChars="0"/>
                    <w:jc w:val="center"/>
                    <w:rPr>
                      <w:rFonts w:ascii="Times New Roman" w:hAnsi="Times New Roman"/>
                      <w:color w:val="auto"/>
                      <w:kern w:val="0"/>
                      <w:szCs w:val="21"/>
                      <w:lang w:bidi="ar"/>
                    </w:rPr>
                  </w:pPr>
                  <w:r>
                    <w:rPr>
                      <w:rFonts w:ascii="Times New Roman" w:hAnsi="Times New Roman"/>
                      <w:color w:val="auto"/>
                      <w:kern w:val="0"/>
                      <w:szCs w:val="21"/>
                      <w:lang w:bidi="ar"/>
                    </w:rPr>
                    <w:t>厂区粉尘、运输粉尘抑尘措施</w:t>
                  </w:r>
                </w:p>
              </w:tc>
              <w:tc>
                <w:tcPr>
                  <w:tcW w:w="5109" w:type="dxa"/>
                  <w:vAlign w:val="center"/>
                </w:tcPr>
                <w:p w14:paraId="1FC064CC">
                  <w:pPr>
                    <w:widowControl/>
                    <w:ind w:firstLine="0" w:firstLineChars="0"/>
                    <w:jc w:val="center"/>
                    <w:rPr>
                      <w:color w:val="auto"/>
                      <w:kern w:val="0"/>
                      <w:szCs w:val="21"/>
                      <w:lang w:bidi="ar"/>
                    </w:rPr>
                  </w:pPr>
                  <w:r>
                    <w:rPr>
                      <w:color w:val="auto"/>
                      <w:kern w:val="0"/>
                      <w:szCs w:val="21"/>
                      <w:lang w:bidi="ar"/>
                    </w:rPr>
                    <w:t>文明装卸，物料输送采用封闭式输送带，加强绿化，加强厂区内的清扫工作，定时洒水，建立健全科学的操作规章和制度，加强管理。</w:t>
                  </w:r>
                </w:p>
              </w:tc>
              <w:tc>
                <w:tcPr>
                  <w:tcW w:w="1324" w:type="dxa"/>
                  <w:vMerge w:val="continue"/>
                  <w:vAlign w:val="center"/>
                </w:tcPr>
                <w:p w14:paraId="080C6EFB">
                  <w:pPr>
                    <w:keepNext w:val="0"/>
                    <w:keepLines w:val="0"/>
                    <w:pageBreakBefore w:val="0"/>
                    <w:widowControl w:val="0"/>
                    <w:kinsoku/>
                    <w:wordWrap w:val="0"/>
                    <w:overflowPunct/>
                    <w:topLinePunct/>
                    <w:autoSpaceDE/>
                    <w:autoSpaceDN/>
                    <w:bidi w:val="0"/>
                    <w:adjustRightInd/>
                    <w:snapToGrid/>
                    <w:ind w:firstLine="0" w:firstLineChars="0"/>
                    <w:jc w:val="left"/>
                    <w:textAlignment w:val="auto"/>
                    <w:rPr>
                      <w:color w:val="auto"/>
                      <w:kern w:val="0"/>
                      <w:szCs w:val="21"/>
                      <w:lang w:bidi="ar"/>
                    </w:rPr>
                  </w:pPr>
                </w:p>
              </w:tc>
            </w:tr>
            <w:tr w14:paraId="1214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752DEBDE">
                  <w:pPr>
                    <w:pStyle w:val="26"/>
                    <w:ind w:firstLine="0" w:firstLineChars="0"/>
                    <w:jc w:val="center"/>
                    <w:rPr>
                      <w:rFonts w:ascii="Times New Roman" w:hAnsi="Times New Roman"/>
                      <w:color w:val="auto"/>
                      <w:kern w:val="0"/>
                      <w:szCs w:val="21"/>
                    </w:rPr>
                  </w:pPr>
                </w:p>
              </w:tc>
              <w:tc>
                <w:tcPr>
                  <w:tcW w:w="414" w:type="dxa"/>
                  <w:vAlign w:val="center"/>
                </w:tcPr>
                <w:p w14:paraId="473F94A2">
                  <w:pPr>
                    <w:widowControl/>
                    <w:ind w:firstLine="0" w:firstLineChars="0"/>
                    <w:jc w:val="center"/>
                    <w:rPr>
                      <w:color w:val="auto"/>
                      <w:kern w:val="0"/>
                      <w:szCs w:val="21"/>
                    </w:rPr>
                  </w:pPr>
                  <w:r>
                    <w:rPr>
                      <w:color w:val="auto"/>
                      <w:kern w:val="0"/>
                      <w:szCs w:val="21"/>
                      <w:lang w:bidi="ar"/>
                    </w:rPr>
                    <w:t>食堂油烟治理</w:t>
                  </w:r>
                </w:p>
              </w:tc>
              <w:tc>
                <w:tcPr>
                  <w:tcW w:w="698" w:type="dxa"/>
                  <w:vAlign w:val="center"/>
                </w:tcPr>
                <w:p w14:paraId="73D715B3">
                  <w:pPr>
                    <w:widowControl/>
                    <w:ind w:firstLine="0" w:firstLineChars="0"/>
                    <w:jc w:val="center"/>
                    <w:rPr>
                      <w:color w:val="auto"/>
                      <w:kern w:val="0"/>
                      <w:szCs w:val="21"/>
                    </w:rPr>
                  </w:pPr>
                  <w:r>
                    <w:rPr>
                      <w:color w:val="auto"/>
                      <w:kern w:val="0"/>
                      <w:szCs w:val="21"/>
                    </w:rPr>
                    <w:t>油烟净化器</w:t>
                  </w:r>
                </w:p>
              </w:tc>
              <w:tc>
                <w:tcPr>
                  <w:tcW w:w="5109" w:type="dxa"/>
                  <w:vAlign w:val="center"/>
                </w:tcPr>
                <w:p w14:paraId="10223551">
                  <w:pPr>
                    <w:widowControl/>
                    <w:ind w:firstLine="0" w:firstLineChars="0"/>
                    <w:rPr>
                      <w:color w:val="auto"/>
                      <w:szCs w:val="21"/>
                    </w:rPr>
                  </w:pPr>
                  <w:r>
                    <w:rPr>
                      <w:color w:val="auto"/>
                      <w:szCs w:val="21"/>
                    </w:rPr>
                    <w:t>配备了一台型号为FNT-JD-6A，风量为6000</w:t>
                  </w:r>
                  <w:r>
                    <w:rPr>
                      <w:rFonts w:eastAsia="Times New Roman"/>
                      <w:color w:val="auto"/>
                      <w:szCs w:val="21"/>
                    </w:rPr>
                    <w:t>m</w:t>
                  </w:r>
                  <w:r>
                    <w:rPr>
                      <w:rFonts w:eastAsia="Times New Roman"/>
                      <w:color w:val="auto"/>
                      <w:szCs w:val="21"/>
                      <w:vertAlign w:val="superscript"/>
                    </w:rPr>
                    <w:t>3</w:t>
                  </w:r>
                  <w:r>
                    <w:rPr>
                      <w:color w:val="auto"/>
                      <w:szCs w:val="21"/>
                    </w:rPr>
                    <w:t>/h的静点式饮食业油烟净化器，则油烟排放浓度能够达到《饮食业油烟排放标准》（GB18483-2001）中≤2.0mg/</w:t>
                  </w:r>
                  <w:r>
                    <w:rPr>
                      <w:rFonts w:eastAsia="Times New Roman"/>
                      <w:color w:val="auto"/>
                      <w:szCs w:val="21"/>
                    </w:rPr>
                    <w:t>m</w:t>
                  </w:r>
                  <w:r>
                    <w:rPr>
                      <w:rFonts w:eastAsia="Times New Roman"/>
                      <w:color w:val="auto"/>
                      <w:szCs w:val="21"/>
                      <w:vertAlign w:val="superscript"/>
                    </w:rPr>
                    <w:t>3</w:t>
                  </w:r>
                  <w:r>
                    <w:rPr>
                      <w:color w:val="auto"/>
                      <w:szCs w:val="21"/>
                    </w:rPr>
                    <w:t>的要求后排放。</w:t>
                  </w:r>
                </w:p>
              </w:tc>
              <w:tc>
                <w:tcPr>
                  <w:tcW w:w="1324" w:type="dxa"/>
                  <w:vMerge w:val="continue"/>
                  <w:vAlign w:val="center"/>
                </w:tcPr>
                <w:p w14:paraId="4AA311E5">
                  <w:pPr>
                    <w:keepNext w:val="0"/>
                    <w:keepLines w:val="0"/>
                    <w:pageBreakBefore w:val="0"/>
                    <w:widowControl w:val="0"/>
                    <w:kinsoku/>
                    <w:wordWrap w:val="0"/>
                    <w:overflowPunct/>
                    <w:topLinePunct/>
                    <w:autoSpaceDE/>
                    <w:autoSpaceDN/>
                    <w:bidi w:val="0"/>
                    <w:adjustRightInd/>
                    <w:snapToGrid/>
                    <w:ind w:firstLine="0" w:firstLineChars="0"/>
                    <w:jc w:val="left"/>
                    <w:textAlignment w:val="auto"/>
                    <w:rPr>
                      <w:color w:val="auto"/>
                      <w:szCs w:val="21"/>
                    </w:rPr>
                  </w:pPr>
                </w:p>
              </w:tc>
            </w:tr>
            <w:tr w14:paraId="0339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4E21E235">
                  <w:pPr>
                    <w:pStyle w:val="26"/>
                    <w:ind w:firstLine="0" w:firstLineChars="0"/>
                    <w:jc w:val="center"/>
                    <w:rPr>
                      <w:rFonts w:ascii="Times New Roman" w:hAnsi="Times New Roman"/>
                      <w:color w:val="auto"/>
                      <w:kern w:val="0"/>
                      <w:szCs w:val="21"/>
                    </w:rPr>
                  </w:pPr>
                </w:p>
              </w:tc>
              <w:tc>
                <w:tcPr>
                  <w:tcW w:w="1112" w:type="dxa"/>
                  <w:gridSpan w:val="2"/>
                  <w:vAlign w:val="center"/>
                </w:tcPr>
                <w:p w14:paraId="194567A4">
                  <w:pPr>
                    <w:widowControl/>
                    <w:ind w:firstLine="0" w:firstLineChars="0"/>
                    <w:jc w:val="center"/>
                    <w:rPr>
                      <w:color w:val="auto"/>
                      <w:kern w:val="0"/>
                      <w:szCs w:val="21"/>
                    </w:rPr>
                  </w:pPr>
                  <w:r>
                    <w:rPr>
                      <w:color w:val="auto"/>
                      <w:kern w:val="0"/>
                      <w:szCs w:val="21"/>
                      <w:lang w:bidi="ar"/>
                    </w:rPr>
                    <w:t>设备噪声</w:t>
                  </w:r>
                </w:p>
              </w:tc>
              <w:tc>
                <w:tcPr>
                  <w:tcW w:w="5109" w:type="dxa"/>
                  <w:vAlign w:val="center"/>
                </w:tcPr>
                <w:p w14:paraId="1DAE67A0">
                  <w:pPr>
                    <w:widowControl/>
                    <w:ind w:firstLine="0" w:firstLineChars="0"/>
                    <w:jc w:val="center"/>
                    <w:rPr>
                      <w:color w:val="auto"/>
                      <w:szCs w:val="21"/>
                    </w:rPr>
                  </w:pPr>
                  <w:r>
                    <w:rPr>
                      <w:color w:val="auto"/>
                      <w:kern w:val="0"/>
                      <w:szCs w:val="21"/>
                      <w:lang w:bidi="ar"/>
                    </w:rPr>
                    <w:t>设置减震垫、隔声设施。</w:t>
                  </w:r>
                </w:p>
              </w:tc>
              <w:tc>
                <w:tcPr>
                  <w:tcW w:w="1324" w:type="dxa"/>
                  <w:vMerge w:val="continue"/>
                  <w:vAlign w:val="center"/>
                </w:tcPr>
                <w:p w14:paraId="14188743">
                  <w:pPr>
                    <w:keepNext w:val="0"/>
                    <w:keepLines w:val="0"/>
                    <w:pageBreakBefore w:val="0"/>
                    <w:widowControl w:val="0"/>
                    <w:kinsoku/>
                    <w:wordWrap w:val="0"/>
                    <w:overflowPunct/>
                    <w:topLinePunct/>
                    <w:autoSpaceDE/>
                    <w:autoSpaceDN/>
                    <w:bidi w:val="0"/>
                    <w:adjustRightInd/>
                    <w:snapToGrid/>
                    <w:ind w:firstLine="0" w:firstLineChars="0"/>
                    <w:jc w:val="left"/>
                    <w:textAlignment w:val="auto"/>
                    <w:rPr>
                      <w:color w:val="auto"/>
                      <w:kern w:val="0"/>
                      <w:szCs w:val="21"/>
                      <w:lang w:bidi="ar"/>
                    </w:rPr>
                  </w:pPr>
                </w:p>
              </w:tc>
            </w:tr>
            <w:tr w14:paraId="1C7A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63505419">
                  <w:pPr>
                    <w:pStyle w:val="26"/>
                    <w:ind w:firstLine="0" w:firstLineChars="0"/>
                    <w:jc w:val="center"/>
                    <w:rPr>
                      <w:rFonts w:ascii="Times New Roman" w:hAnsi="Times New Roman"/>
                      <w:color w:val="auto"/>
                      <w:kern w:val="0"/>
                      <w:szCs w:val="21"/>
                    </w:rPr>
                  </w:pPr>
                </w:p>
              </w:tc>
              <w:tc>
                <w:tcPr>
                  <w:tcW w:w="414" w:type="dxa"/>
                  <w:vMerge w:val="restart"/>
                  <w:vAlign w:val="center"/>
                </w:tcPr>
                <w:p w14:paraId="389122D4">
                  <w:pPr>
                    <w:widowControl/>
                    <w:ind w:firstLine="0" w:firstLineChars="0"/>
                    <w:jc w:val="center"/>
                    <w:rPr>
                      <w:color w:val="auto"/>
                      <w:kern w:val="0"/>
                      <w:szCs w:val="21"/>
                    </w:rPr>
                  </w:pPr>
                  <w:r>
                    <w:rPr>
                      <w:color w:val="auto"/>
                      <w:kern w:val="0"/>
                      <w:szCs w:val="21"/>
                      <w:lang w:bidi="ar"/>
                    </w:rPr>
                    <w:t>固废处置</w:t>
                  </w:r>
                </w:p>
              </w:tc>
              <w:tc>
                <w:tcPr>
                  <w:tcW w:w="698" w:type="dxa"/>
                  <w:vAlign w:val="center"/>
                </w:tcPr>
                <w:p w14:paraId="20237C6F">
                  <w:pPr>
                    <w:widowControl/>
                    <w:ind w:firstLine="0" w:firstLineChars="0"/>
                    <w:jc w:val="center"/>
                    <w:rPr>
                      <w:color w:val="auto"/>
                      <w:kern w:val="0"/>
                      <w:szCs w:val="21"/>
                    </w:rPr>
                  </w:pPr>
                  <w:r>
                    <w:rPr>
                      <w:color w:val="auto"/>
                      <w:kern w:val="0"/>
                      <w:szCs w:val="21"/>
                      <w:lang w:bidi="ar"/>
                    </w:rPr>
                    <w:t>生活垃圾箱</w:t>
                  </w:r>
                </w:p>
              </w:tc>
              <w:tc>
                <w:tcPr>
                  <w:tcW w:w="5109" w:type="dxa"/>
                  <w:vAlign w:val="center"/>
                </w:tcPr>
                <w:p w14:paraId="2EBB3FA5">
                  <w:pPr>
                    <w:widowControl/>
                    <w:ind w:firstLine="0" w:firstLineChars="0"/>
                    <w:jc w:val="center"/>
                    <w:rPr>
                      <w:color w:val="auto"/>
                      <w:szCs w:val="21"/>
                    </w:rPr>
                  </w:pPr>
                  <w:r>
                    <w:rPr>
                      <w:color w:val="auto"/>
                      <w:kern w:val="0"/>
                      <w:szCs w:val="21"/>
                      <w:lang w:bidi="ar"/>
                    </w:rPr>
                    <w:t>若干，分布设置于办公生活区。</w:t>
                  </w:r>
                </w:p>
              </w:tc>
              <w:tc>
                <w:tcPr>
                  <w:tcW w:w="1324" w:type="dxa"/>
                  <w:vMerge w:val="continue"/>
                  <w:vAlign w:val="center"/>
                </w:tcPr>
                <w:p w14:paraId="1949E82D">
                  <w:pPr>
                    <w:keepNext w:val="0"/>
                    <w:keepLines w:val="0"/>
                    <w:pageBreakBefore w:val="0"/>
                    <w:widowControl w:val="0"/>
                    <w:kinsoku/>
                    <w:wordWrap w:val="0"/>
                    <w:overflowPunct/>
                    <w:topLinePunct/>
                    <w:autoSpaceDE/>
                    <w:autoSpaceDN/>
                    <w:bidi w:val="0"/>
                    <w:adjustRightInd/>
                    <w:snapToGrid/>
                    <w:ind w:firstLine="0" w:firstLineChars="0"/>
                    <w:jc w:val="left"/>
                    <w:textAlignment w:val="auto"/>
                    <w:rPr>
                      <w:color w:val="auto"/>
                      <w:kern w:val="0"/>
                      <w:szCs w:val="21"/>
                      <w:lang w:bidi="ar"/>
                    </w:rPr>
                  </w:pPr>
                </w:p>
              </w:tc>
            </w:tr>
            <w:tr w14:paraId="7623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Merge w:val="continue"/>
                  <w:vAlign w:val="center"/>
                </w:tcPr>
                <w:p w14:paraId="719235B2">
                  <w:pPr>
                    <w:pStyle w:val="26"/>
                    <w:ind w:firstLine="0" w:firstLineChars="0"/>
                    <w:jc w:val="center"/>
                    <w:rPr>
                      <w:rFonts w:ascii="Times New Roman" w:hAnsi="Times New Roman"/>
                      <w:color w:val="auto"/>
                      <w:kern w:val="0"/>
                      <w:szCs w:val="21"/>
                    </w:rPr>
                  </w:pPr>
                </w:p>
              </w:tc>
              <w:tc>
                <w:tcPr>
                  <w:tcW w:w="414" w:type="dxa"/>
                  <w:vMerge w:val="continue"/>
                  <w:vAlign w:val="center"/>
                </w:tcPr>
                <w:p w14:paraId="5F3DBD4E">
                  <w:pPr>
                    <w:pStyle w:val="26"/>
                    <w:ind w:firstLine="0" w:firstLineChars="0"/>
                    <w:jc w:val="center"/>
                    <w:rPr>
                      <w:rFonts w:ascii="Times New Roman" w:hAnsi="Times New Roman"/>
                      <w:color w:val="auto"/>
                      <w:kern w:val="0"/>
                      <w:szCs w:val="21"/>
                    </w:rPr>
                  </w:pPr>
                </w:p>
              </w:tc>
              <w:tc>
                <w:tcPr>
                  <w:tcW w:w="698" w:type="dxa"/>
                  <w:vAlign w:val="center"/>
                </w:tcPr>
                <w:p w14:paraId="4F700569">
                  <w:pPr>
                    <w:widowControl/>
                    <w:ind w:firstLine="0" w:firstLineChars="0"/>
                    <w:jc w:val="center"/>
                    <w:rPr>
                      <w:color w:val="auto"/>
                      <w:kern w:val="0"/>
                      <w:szCs w:val="21"/>
                      <w:lang w:bidi="ar"/>
                    </w:rPr>
                  </w:pPr>
                  <w:r>
                    <w:rPr>
                      <w:color w:val="auto"/>
                      <w:kern w:val="0"/>
                      <w:szCs w:val="21"/>
                      <w:lang w:bidi="ar"/>
                    </w:rPr>
                    <w:t>生产固废</w:t>
                  </w:r>
                </w:p>
              </w:tc>
              <w:tc>
                <w:tcPr>
                  <w:tcW w:w="5109" w:type="dxa"/>
                  <w:vAlign w:val="center"/>
                </w:tcPr>
                <w:p w14:paraId="34B960F6">
                  <w:pPr>
                    <w:widowControl/>
                    <w:ind w:firstLine="0" w:firstLineChars="0"/>
                    <w:jc w:val="center"/>
                    <w:rPr>
                      <w:color w:val="auto"/>
                      <w:kern w:val="0"/>
                      <w:szCs w:val="21"/>
                      <w:lang w:bidi="ar"/>
                    </w:rPr>
                  </w:pPr>
                  <w:r>
                    <w:rPr>
                      <w:color w:val="auto"/>
                      <w:kern w:val="0"/>
                      <w:szCs w:val="21"/>
                      <w:lang w:bidi="ar"/>
                    </w:rPr>
                    <w:t>不合格的砂石料、剩余的混凝土、沉淀池沉淀渣等。沉淀池的沉渣晾干后可作为填方材料，可用于铺设次要道路等。</w:t>
                  </w:r>
                </w:p>
              </w:tc>
              <w:tc>
                <w:tcPr>
                  <w:tcW w:w="1324" w:type="dxa"/>
                  <w:vMerge w:val="continue"/>
                  <w:vAlign w:val="center"/>
                </w:tcPr>
                <w:p w14:paraId="4BFDD403">
                  <w:pPr>
                    <w:keepNext w:val="0"/>
                    <w:keepLines w:val="0"/>
                    <w:pageBreakBefore w:val="0"/>
                    <w:widowControl w:val="0"/>
                    <w:kinsoku/>
                    <w:wordWrap w:val="0"/>
                    <w:overflowPunct/>
                    <w:topLinePunct/>
                    <w:autoSpaceDE/>
                    <w:autoSpaceDN/>
                    <w:bidi w:val="0"/>
                    <w:adjustRightInd/>
                    <w:snapToGrid/>
                    <w:ind w:firstLine="0" w:firstLineChars="0"/>
                    <w:jc w:val="left"/>
                    <w:textAlignment w:val="auto"/>
                    <w:rPr>
                      <w:color w:val="auto"/>
                      <w:kern w:val="0"/>
                      <w:szCs w:val="21"/>
                      <w:lang w:bidi="ar"/>
                    </w:rPr>
                  </w:pPr>
                </w:p>
              </w:tc>
            </w:tr>
          </w:tbl>
          <w:p w14:paraId="0D56F148">
            <w:pPr>
              <w:adjustRightInd w:val="0"/>
              <w:snapToGrid w:val="0"/>
              <w:spacing w:line="360" w:lineRule="auto"/>
              <w:ind w:firstLine="482"/>
              <w:rPr>
                <w:b/>
                <w:bCs/>
                <w:color w:val="auto"/>
                <w:sz w:val="24"/>
              </w:rPr>
            </w:pPr>
            <w:r>
              <w:rPr>
                <w:b/>
                <w:bCs/>
                <w:color w:val="auto"/>
                <w:sz w:val="24"/>
              </w:rPr>
              <w:t>3、原项目主要生产设备</w:t>
            </w:r>
          </w:p>
          <w:p w14:paraId="47E1259B">
            <w:pPr>
              <w:tabs>
                <w:tab w:val="left" w:pos="450"/>
              </w:tabs>
              <w:adjustRightInd w:val="0"/>
              <w:snapToGrid w:val="0"/>
              <w:spacing w:line="360" w:lineRule="auto"/>
              <w:ind w:firstLine="480"/>
              <w:jc w:val="left"/>
              <w:rPr>
                <w:color w:val="auto"/>
                <w:sz w:val="24"/>
              </w:rPr>
            </w:pPr>
            <w:r>
              <w:rPr>
                <w:color w:val="auto"/>
                <w:sz w:val="24"/>
              </w:rPr>
              <w:t>原项目实际主要生产设备如下表所示。</w:t>
            </w:r>
          </w:p>
          <w:p w14:paraId="2FC4183D">
            <w:pPr>
              <w:tabs>
                <w:tab w:val="left" w:pos="450"/>
              </w:tabs>
              <w:adjustRightInd w:val="0"/>
              <w:snapToGrid w:val="0"/>
              <w:ind w:firstLine="0" w:firstLineChars="0"/>
              <w:jc w:val="center"/>
              <w:rPr>
                <w:b/>
                <w:bCs/>
                <w:color w:val="auto"/>
                <w:szCs w:val="21"/>
              </w:rPr>
            </w:pPr>
            <w:r>
              <w:rPr>
                <w:b/>
                <w:bCs/>
                <w:color w:val="auto"/>
                <w:szCs w:val="21"/>
                <w:lang w:val="zh-CN"/>
              </w:rPr>
              <w:t>表</w:t>
            </w:r>
            <w:r>
              <w:rPr>
                <w:b/>
                <w:bCs/>
                <w:color w:val="auto"/>
                <w:szCs w:val="21"/>
              </w:rPr>
              <w:t>2-1</w:t>
            </w:r>
            <w:r>
              <w:rPr>
                <w:rFonts w:hint="eastAsia"/>
                <w:b/>
                <w:bCs/>
                <w:color w:val="auto"/>
                <w:szCs w:val="21"/>
              </w:rPr>
              <w:t>2</w:t>
            </w:r>
            <w:r>
              <w:rPr>
                <w:b/>
                <w:bCs/>
                <w:color w:val="auto"/>
                <w:szCs w:val="21"/>
              </w:rPr>
              <w:t xml:space="preserve">   原项目实际主要生产设备一览表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4021"/>
              <w:gridCol w:w="1312"/>
              <w:gridCol w:w="1312"/>
            </w:tblGrid>
            <w:tr w14:paraId="0103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3FC81798">
                  <w:pPr>
                    <w:ind w:firstLine="0" w:firstLineChars="0"/>
                    <w:jc w:val="center"/>
                    <w:rPr>
                      <w:rFonts w:eastAsiaTheme="minorEastAsia"/>
                      <w:color w:val="auto"/>
                      <w:szCs w:val="21"/>
                    </w:rPr>
                  </w:pPr>
                  <w:r>
                    <w:rPr>
                      <w:rFonts w:eastAsiaTheme="minorEastAsia"/>
                      <w:color w:val="auto"/>
                      <w:szCs w:val="21"/>
                    </w:rPr>
                    <w:t>序号</w:t>
                  </w:r>
                </w:p>
              </w:tc>
              <w:tc>
                <w:tcPr>
                  <w:tcW w:w="2526" w:type="pct"/>
                  <w:vAlign w:val="center"/>
                </w:tcPr>
                <w:p w14:paraId="1751BF65">
                  <w:pPr>
                    <w:ind w:firstLine="0" w:firstLineChars="0"/>
                    <w:jc w:val="center"/>
                    <w:rPr>
                      <w:rFonts w:eastAsiaTheme="minorEastAsia"/>
                      <w:color w:val="auto"/>
                      <w:szCs w:val="21"/>
                    </w:rPr>
                  </w:pPr>
                  <w:r>
                    <w:rPr>
                      <w:rFonts w:eastAsiaTheme="minorEastAsia"/>
                      <w:color w:val="auto"/>
                      <w:szCs w:val="21"/>
                    </w:rPr>
                    <w:t>设备名称</w:t>
                  </w:r>
                </w:p>
              </w:tc>
              <w:tc>
                <w:tcPr>
                  <w:tcW w:w="824" w:type="pct"/>
                  <w:vAlign w:val="center"/>
                </w:tcPr>
                <w:p w14:paraId="67567D39">
                  <w:pPr>
                    <w:ind w:firstLine="0" w:firstLineChars="0"/>
                    <w:jc w:val="center"/>
                    <w:rPr>
                      <w:rFonts w:eastAsiaTheme="minorEastAsia"/>
                      <w:color w:val="auto"/>
                      <w:szCs w:val="21"/>
                    </w:rPr>
                  </w:pPr>
                  <w:r>
                    <w:rPr>
                      <w:rFonts w:eastAsiaTheme="minorEastAsia"/>
                      <w:color w:val="auto"/>
                      <w:szCs w:val="21"/>
                    </w:rPr>
                    <w:t>单位</w:t>
                  </w:r>
                </w:p>
              </w:tc>
              <w:tc>
                <w:tcPr>
                  <w:tcW w:w="824" w:type="pct"/>
                  <w:vAlign w:val="center"/>
                </w:tcPr>
                <w:p w14:paraId="63D62C17">
                  <w:pPr>
                    <w:ind w:firstLine="0" w:firstLineChars="0"/>
                    <w:jc w:val="center"/>
                    <w:rPr>
                      <w:rFonts w:eastAsiaTheme="minorEastAsia"/>
                      <w:color w:val="auto"/>
                      <w:szCs w:val="21"/>
                    </w:rPr>
                  </w:pPr>
                  <w:r>
                    <w:rPr>
                      <w:rFonts w:eastAsiaTheme="minorEastAsia"/>
                      <w:color w:val="auto"/>
                      <w:szCs w:val="21"/>
                    </w:rPr>
                    <w:t>数量</w:t>
                  </w:r>
                </w:p>
              </w:tc>
            </w:tr>
            <w:tr w14:paraId="5AD3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413ED9A1">
                  <w:pPr>
                    <w:ind w:firstLine="0" w:firstLineChars="0"/>
                    <w:jc w:val="center"/>
                    <w:rPr>
                      <w:rFonts w:eastAsiaTheme="minorEastAsia"/>
                      <w:color w:val="auto"/>
                      <w:szCs w:val="21"/>
                    </w:rPr>
                  </w:pPr>
                  <w:r>
                    <w:rPr>
                      <w:rFonts w:eastAsiaTheme="minorEastAsia"/>
                      <w:color w:val="auto"/>
                      <w:szCs w:val="21"/>
                    </w:rPr>
                    <w:t>1</w:t>
                  </w:r>
                </w:p>
              </w:tc>
              <w:tc>
                <w:tcPr>
                  <w:tcW w:w="2526" w:type="pct"/>
                  <w:vAlign w:val="center"/>
                </w:tcPr>
                <w:p w14:paraId="262C98C1">
                  <w:pPr>
                    <w:ind w:firstLine="0" w:firstLineChars="0"/>
                    <w:jc w:val="center"/>
                    <w:rPr>
                      <w:rFonts w:eastAsiaTheme="minorEastAsia"/>
                      <w:color w:val="auto"/>
                      <w:szCs w:val="21"/>
                    </w:rPr>
                  </w:pPr>
                  <w:r>
                    <w:rPr>
                      <w:rFonts w:eastAsiaTheme="minorEastAsia"/>
                      <w:color w:val="auto"/>
                      <w:szCs w:val="21"/>
                    </w:rPr>
                    <w:t>10m³</w:t>
                  </w:r>
                  <w:r>
                    <w:rPr>
                      <w:rFonts w:hint="eastAsia" w:eastAsiaTheme="minorEastAsia"/>
                      <w:color w:val="auto"/>
                      <w:szCs w:val="21"/>
                    </w:rPr>
                    <w:t>混凝土</w:t>
                  </w:r>
                  <w:r>
                    <w:rPr>
                      <w:rFonts w:eastAsiaTheme="minorEastAsia"/>
                      <w:color w:val="auto"/>
                      <w:szCs w:val="21"/>
                    </w:rPr>
                    <w:t>运输车</w:t>
                  </w:r>
                </w:p>
              </w:tc>
              <w:tc>
                <w:tcPr>
                  <w:tcW w:w="824" w:type="pct"/>
                  <w:vAlign w:val="center"/>
                </w:tcPr>
                <w:p w14:paraId="23989E6B">
                  <w:pPr>
                    <w:ind w:firstLine="0" w:firstLineChars="0"/>
                    <w:jc w:val="center"/>
                    <w:rPr>
                      <w:rFonts w:eastAsiaTheme="minorEastAsia"/>
                      <w:color w:val="auto"/>
                      <w:szCs w:val="21"/>
                    </w:rPr>
                  </w:pPr>
                  <w:r>
                    <w:rPr>
                      <w:rFonts w:eastAsiaTheme="minorEastAsia"/>
                      <w:color w:val="auto"/>
                      <w:szCs w:val="21"/>
                    </w:rPr>
                    <w:t>辆</w:t>
                  </w:r>
                </w:p>
              </w:tc>
              <w:tc>
                <w:tcPr>
                  <w:tcW w:w="824" w:type="pct"/>
                  <w:vAlign w:val="center"/>
                </w:tcPr>
                <w:p w14:paraId="3ABDAE1F">
                  <w:pPr>
                    <w:ind w:firstLine="0" w:firstLineChars="0"/>
                    <w:jc w:val="center"/>
                    <w:rPr>
                      <w:rFonts w:eastAsiaTheme="minorEastAsia"/>
                      <w:color w:val="auto"/>
                      <w:szCs w:val="21"/>
                    </w:rPr>
                  </w:pPr>
                  <w:r>
                    <w:rPr>
                      <w:rFonts w:eastAsiaTheme="minorEastAsia"/>
                      <w:color w:val="auto"/>
                      <w:szCs w:val="21"/>
                    </w:rPr>
                    <w:t>12</w:t>
                  </w:r>
                </w:p>
              </w:tc>
            </w:tr>
            <w:tr w14:paraId="6179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3569B69C">
                  <w:pPr>
                    <w:ind w:firstLine="0" w:firstLineChars="0"/>
                    <w:jc w:val="center"/>
                    <w:rPr>
                      <w:rFonts w:eastAsiaTheme="minorEastAsia"/>
                      <w:color w:val="auto"/>
                      <w:szCs w:val="21"/>
                    </w:rPr>
                  </w:pPr>
                  <w:r>
                    <w:rPr>
                      <w:rFonts w:eastAsiaTheme="minorEastAsia"/>
                      <w:color w:val="auto"/>
                      <w:szCs w:val="21"/>
                    </w:rPr>
                    <w:t>2</w:t>
                  </w:r>
                </w:p>
              </w:tc>
              <w:tc>
                <w:tcPr>
                  <w:tcW w:w="2526" w:type="pct"/>
                  <w:vAlign w:val="center"/>
                </w:tcPr>
                <w:p w14:paraId="773D95A9">
                  <w:pPr>
                    <w:ind w:firstLine="0" w:firstLineChars="0"/>
                    <w:jc w:val="center"/>
                    <w:rPr>
                      <w:rFonts w:eastAsiaTheme="minorEastAsia"/>
                      <w:color w:val="auto"/>
                      <w:szCs w:val="21"/>
                    </w:rPr>
                  </w:pPr>
                  <w:r>
                    <w:rPr>
                      <w:rFonts w:eastAsiaTheme="minorEastAsia"/>
                      <w:color w:val="auto"/>
                      <w:szCs w:val="21"/>
                    </w:rPr>
                    <w:t>37m泵车</w:t>
                  </w:r>
                </w:p>
              </w:tc>
              <w:tc>
                <w:tcPr>
                  <w:tcW w:w="824" w:type="pct"/>
                  <w:vAlign w:val="center"/>
                </w:tcPr>
                <w:p w14:paraId="01971E6A">
                  <w:pPr>
                    <w:ind w:firstLine="0" w:firstLineChars="0"/>
                    <w:jc w:val="center"/>
                    <w:rPr>
                      <w:rFonts w:eastAsiaTheme="minorEastAsia"/>
                      <w:color w:val="auto"/>
                      <w:szCs w:val="21"/>
                    </w:rPr>
                  </w:pPr>
                  <w:r>
                    <w:rPr>
                      <w:rFonts w:eastAsiaTheme="minorEastAsia"/>
                      <w:color w:val="auto"/>
                      <w:szCs w:val="21"/>
                    </w:rPr>
                    <w:t>台</w:t>
                  </w:r>
                </w:p>
              </w:tc>
              <w:tc>
                <w:tcPr>
                  <w:tcW w:w="824" w:type="pct"/>
                  <w:vAlign w:val="center"/>
                </w:tcPr>
                <w:p w14:paraId="7359323D">
                  <w:pPr>
                    <w:ind w:firstLine="0" w:firstLineChars="0"/>
                    <w:jc w:val="center"/>
                    <w:rPr>
                      <w:rFonts w:eastAsiaTheme="minorEastAsia"/>
                      <w:color w:val="auto"/>
                      <w:szCs w:val="21"/>
                    </w:rPr>
                  </w:pPr>
                  <w:r>
                    <w:rPr>
                      <w:rFonts w:eastAsiaTheme="minorEastAsia"/>
                      <w:color w:val="auto"/>
                      <w:szCs w:val="21"/>
                    </w:rPr>
                    <w:t>2</w:t>
                  </w:r>
                </w:p>
              </w:tc>
            </w:tr>
            <w:tr w14:paraId="5BD3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679693C1">
                  <w:pPr>
                    <w:ind w:firstLine="0" w:firstLineChars="0"/>
                    <w:jc w:val="center"/>
                    <w:rPr>
                      <w:rFonts w:eastAsiaTheme="minorEastAsia"/>
                      <w:color w:val="auto"/>
                      <w:szCs w:val="21"/>
                    </w:rPr>
                  </w:pPr>
                  <w:r>
                    <w:rPr>
                      <w:rFonts w:eastAsiaTheme="minorEastAsia"/>
                      <w:color w:val="auto"/>
                      <w:szCs w:val="21"/>
                    </w:rPr>
                    <w:t>3</w:t>
                  </w:r>
                </w:p>
              </w:tc>
              <w:tc>
                <w:tcPr>
                  <w:tcW w:w="2526" w:type="pct"/>
                  <w:vAlign w:val="center"/>
                </w:tcPr>
                <w:p w14:paraId="74F4EA1E">
                  <w:pPr>
                    <w:ind w:firstLine="0" w:firstLineChars="0"/>
                    <w:jc w:val="center"/>
                    <w:rPr>
                      <w:rFonts w:eastAsiaTheme="minorEastAsia"/>
                      <w:color w:val="auto"/>
                      <w:szCs w:val="21"/>
                    </w:rPr>
                  </w:pPr>
                  <w:r>
                    <w:rPr>
                      <w:rFonts w:eastAsiaTheme="minorEastAsia"/>
                      <w:color w:val="auto"/>
                      <w:szCs w:val="21"/>
                    </w:rPr>
                    <w:t>80吨地磅</w:t>
                  </w:r>
                </w:p>
              </w:tc>
              <w:tc>
                <w:tcPr>
                  <w:tcW w:w="824" w:type="pct"/>
                  <w:vAlign w:val="center"/>
                </w:tcPr>
                <w:p w14:paraId="52127A9E">
                  <w:pPr>
                    <w:ind w:firstLine="0" w:firstLineChars="0"/>
                    <w:jc w:val="center"/>
                    <w:rPr>
                      <w:rFonts w:eastAsiaTheme="minorEastAsia"/>
                      <w:color w:val="auto"/>
                      <w:szCs w:val="21"/>
                    </w:rPr>
                  </w:pPr>
                  <w:r>
                    <w:rPr>
                      <w:rFonts w:hint="eastAsia" w:eastAsiaTheme="minorEastAsia"/>
                      <w:color w:val="auto"/>
                      <w:szCs w:val="21"/>
                    </w:rPr>
                    <w:t>套</w:t>
                  </w:r>
                </w:p>
              </w:tc>
              <w:tc>
                <w:tcPr>
                  <w:tcW w:w="824" w:type="pct"/>
                  <w:vAlign w:val="center"/>
                </w:tcPr>
                <w:p w14:paraId="3C377A1D">
                  <w:pPr>
                    <w:ind w:firstLine="0" w:firstLineChars="0"/>
                    <w:jc w:val="center"/>
                    <w:rPr>
                      <w:rFonts w:eastAsiaTheme="minorEastAsia"/>
                      <w:color w:val="auto"/>
                      <w:szCs w:val="21"/>
                    </w:rPr>
                  </w:pPr>
                  <w:r>
                    <w:rPr>
                      <w:rFonts w:eastAsiaTheme="minorEastAsia"/>
                      <w:color w:val="auto"/>
                      <w:szCs w:val="21"/>
                    </w:rPr>
                    <w:t>1</w:t>
                  </w:r>
                </w:p>
              </w:tc>
            </w:tr>
            <w:tr w14:paraId="7FAF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35F0381D">
                  <w:pPr>
                    <w:ind w:firstLine="0" w:firstLineChars="0"/>
                    <w:jc w:val="center"/>
                    <w:rPr>
                      <w:rFonts w:eastAsiaTheme="minorEastAsia"/>
                      <w:color w:val="auto"/>
                      <w:szCs w:val="21"/>
                    </w:rPr>
                  </w:pPr>
                  <w:r>
                    <w:rPr>
                      <w:rFonts w:eastAsiaTheme="minorEastAsia"/>
                      <w:color w:val="auto"/>
                      <w:szCs w:val="21"/>
                    </w:rPr>
                    <w:t>4</w:t>
                  </w:r>
                </w:p>
              </w:tc>
              <w:tc>
                <w:tcPr>
                  <w:tcW w:w="2526" w:type="pct"/>
                  <w:vAlign w:val="center"/>
                </w:tcPr>
                <w:p w14:paraId="1B24FF05">
                  <w:pPr>
                    <w:ind w:firstLine="0" w:firstLineChars="0"/>
                    <w:jc w:val="center"/>
                    <w:rPr>
                      <w:rFonts w:eastAsiaTheme="minorEastAsia"/>
                      <w:color w:val="auto"/>
                      <w:szCs w:val="21"/>
                    </w:rPr>
                  </w:pPr>
                  <w:r>
                    <w:rPr>
                      <w:rFonts w:eastAsiaTheme="minorEastAsia"/>
                      <w:color w:val="auto"/>
                      <w:szCs w:val="21"/>
                    </w:rPr>
                    <w:t>ZL50装载机</w:t>
                  </w:r>
                </w:p>
              </w:tc>
              <w:tc>
                <w:tcPr>
                  <w:tcW w:w="824" w:type="pct"/>
                  <w:vAlign w:val="center"/>
                </w:tcPr>
                <w:p w14:paraId="399308D7">
                  <w:pPr>
                    <w:ind w:firstLine="0" w:firstLineChars="0"/>
                    <w:jc w:val="center"/>
                    <w:rPr>
                      <w:rFonts w:eastAsiaTheme="minorEastAsia"/>
                      <w:color w:val="auto"/>
                      <w:szCs w:val="21"/>
                    </w:rPr>
                  </w:pPr>
                  <w:r>
                    <w:rPr>
                      <w:rFonts w:eastAsiaTheme="minorEastAsia"/>
                      <w:color w:val="auto"/>
                      <w:szCs w:val="21"/>
                    </w:rPr>
                    <w:t>台</w:t>
                  </w:r>
                </w:p>
              </w:tc>
              <w:tc>
                <w:tcPr>
                  <w:tcW w:w="824" w:type="pct"/>
                  <w:vAlign w:val="center"/>
                </w:tcPr>
                <w:p w14:paraId="6ECCD544">
                  <w:pPr>
                    <w:ind w:firstLine="0" w:firstLineChars="0"/>
                    <w:jc w:val="center"/>
                    <w:rPr>
                      <w:rFonts w:eastAsiaTheme="minorEastAsia"/>
                      <w:color w:val="auto"/>
                      <w:szCs w:val="21"/>
                    </w:rPr>
                  </w:pPr>
                  <w:r>
                    <w:rPr>
                      <w:rFonts w:eastAsiaTheme="minorEastAsia"/>
                      <w:color w:val="auto"/>
                      <w:szCs w:val="21"/>
                    </w:rPr>
                    <w:t>2</w:t>
                  </w:r>
                </w:p>
              </w:tc>
            </w:tr>
            <w:tr w14:paraId="0315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4" w:type="pct"/>
                  <w:vAlign w:val="center"/>
                </w:tcPr>
                <w:p w14:paraId="32AF041B">
                  <w:pPr>
                    <w:ind w:firstLine="0" w:firstLineChars="0"/>
                    <w:jc w:val="center"/>
                    <w:rPr>
                      <w:rFonts w:eastAsiaTheme="minorEastAsia"/>
                      <w:color w:val="auto"/>
                      <w:szCs w:val="21"/>
                    </w:rPr>
                  </w:pPr>
                  <w:r>
                    <w:rPr>
                      <w:rFonts w:eastAsiaTheme="minorEastAsia"/>
                      <w:color w:val="auto"/>
                      <w:szCs w:val="21"/>
                    </w:rPr>
                    <w:t>5</w:t>
                  </w:r>
                </w:p>
              </w:tc>
              <w:tc>
                <w:tcPr>
                  <w:tcW w:w="2526" w:type="pct"/>
                  <w:vAlign w:val="center"/>
                </w:tcPr>
                <w:p w14:paraId="1892E2E8">
                  <w:pPr>
                    <w:ind w:firstLine="0" w:firstLineChars="0"/>
                    <w:jc w:val="center"/>
                    <w:rPr>
                      <w:rFonts w:eastAsiaTheme="minorEastAsia"/>
                      <w:color w:val="auto"/>
                      <w:szCs w:val="21"/>
                    </w:rPr>
                  </w:pPr>
                  <w:r>
                    <w:rPr>
                      <w:rFonts w:eastAsiaTheme="minorEastAsia"/>
                      <w:color w:val="auto"/>
                      <w:szCs w:val="21"/>
                    </w:rPr>
                    <w:t>HBT混泥土运输泵</w:t>
                  </w:r>
                </w:p>
              </w:tc>
              <w:tc>
                <w:tcPr>
                  <w:tcW w:w="824" w:type="pct"/>
                  <w:vAlign w:val="center"/>
                </w:tcPr>
                <w:p w14:paraId="75FA35FF">
                  <w:pPr>
                    <w:ind w:firstLine="0" w:firstLineChars="0"/>
                    <w:jc w:val="center"/>
                    <w:rPr>
                      <w:rFonts w:eastAsiaTheme="minorEastAsia"/>
                      <w:color w:val="auto"/>
                      <w:szCs w:val="21"/>
                    </w:rPr>
                  </w:pPr>
                  <w:r>
                    <w:rPr>
                      <w:rFonts w:eastAsiaTheme="minorEastAsia"/>
                      <w:color w:val="auto"/>
                      <w:szCs w:val="21"/>
                    </w:rPr>
                    <w:t>台</w:t>
                  </w:r>
                </w:p>
              </w:tc>
              <w:tc>
                <w:tcPr>
                  <w:tcW w:w="824" w:type="pct"/>
                  <w:vAlign w:val="center"/>
                </w:tcPr>
                <w:p w14:paraId="2D6A350C">
                  <w:pPr>
                    <w:ind w:firstLine="0" w:firstLineChars="0"/>
                    <w:jc w:val="center"/>
                    <w:rPr>
                      <w:rFonts w:eastAsiaTheme="minorEastAsia"/>
                      <w:color w:val="auto"/>
                      <w:szCs w:val="21"/>
                    </w:rPr>
                  </w:pPr>
                  <w:r>
                    <w:rPr>
                      <w:rFonts w:eastAsiaTheme="minorEastAsia"/>
                      <w:color w:val="auto"/>
                      <w:szCs w:val="21"/>
                    </w:rPr>
                    <w:t>2</w:t>
                  </w:r>
                </w:p>
              </w:tc>
            </w:tr>
            <w:tr w14:paraId="72B5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3CDE9E62">
                  <w:pPr>
                    <w:ind w:firstLine="0" w:firstLineChars="0"/>
                    <w:jc w:val="center"/>
                    <w:rPr>
                      <w:rFonts w:eastAsiaTheme="minorEastAsia"/>
                      <w:color w:val="auto"/>
                      <w:szCs w:val="21"/>
                    </w:rPr>
                  </w:pPr>
                  <w:r>
                    <w:rPr>
                      <w:rFonts w:eastAsiaTheme="minorEastAsia"/>
                      <w:color w:val="auto"/>
                      <w:szCs w:val="21"/>
                    </w:rPr>
                    <w:t>6</w:t>
                  </w:r>
                </w:p>
              </w:tc>
              <w:tc>
                <w:tcPr>
                  <w:tcW w:w="2526" w:type="pct"/>
                  <w:vAlign w:val="center"/>
                </w:tcPr>
                <w:p w14:paraId="068542B2">
                  <w:pPr>
                    <w:ind w:firstLine="0" w:firstLineChars="0"/>
                    <w:jc w:val="center"/>
                    <w:rPr>
                      <w:rFonts w:eastAsiaTheme="minorEastAsia"/>
                      <w:color w:val="auto"/>
                      <w:szCs w:val="21"/>
                    </w:rPr>
                  </w:pPr>
                  <w:r>
                    <w:rPr>
                      <w:rFonts w:eastAsiaTheme="minorEastAsia"/>
                      <w:color w:val="auto"/>
                      <w:szCs w:val="21"/>
                    </w:rPr>
                    <w:t>电子秤</w:t>
                  </w:r>
                </w:p>
              </w:tc>
              <w:tc>
                <w:tcPr>
                  <w:tcW w:w="824" w:type="pct"/>
                  <w:vAlign w:val="center"/>
                </w:tcPr>
                <w:p w14:paraId="0EAF0F4C">
                  <w:pPr>
                    <w:ind w:firstLine="0" w:firstLineChars="0"/>
                    <w:jc w:val="center"/>
                    <w:rPr>
                      <w:rFonts w:eastAsiaTheme="minorEastAsia"/>
                      <w:color w:val="auto"/>
                      <w:szCs w:val="21"/>
                    </w:rPr>
                  </w:pPr>
                  <w:r>
                    <w:rPr>
                      <w:rFonts w:eastAsiaTheme="minorEastAsia"/>
                      <w:color w:val="auto"/>
                      <w:szCs w:val="21"/>
                    </w:rPr>
                    <w:t>个</w:t>
                  </w:r>
                </w:p>
              </w:tc>
              <w:tc>
                <w:tcPr>
                  <w:tcW w:w="824" w:type="pct"/>
                  <w:vAlign w:val="center"/>
                </w:tcPr>
                <w:p w14:paraId="5059CE92">
                  <w:pPr>
                    <w:ind w:firstLine="0" w:firstLineChars="0"/>
                    <w:jc w:val="center"/>
                    <w:rPr>
                      <w:rFonts w:eastAsiaTheme="minorEastAsia"/>
                      <w:color w:val="auto"/>
                      <w:szCs w:val="21"/>
                    </w:rPr>
                  </w:pPr>
                  <w:r>
                    <w:rPr>
                      <w:rFonts w:eastAsiaTheme="minorEastAsia"/>
                      <w:color w:val="auto"/>
                      <w:szCs w:val="21"/>
                    </w:rPr>
                    <w:t>1</w:t>
                  </w:r>
                </w:p>
              </w:tc>
            </w:tr>
            <w:tr w14:paraId="6FB7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2AD42EAB">
                  <w:pPr>
                    <w:ind w:firstLine="0" w:firstLineChars="0"/>
                    <w:jc w:val="center"/>
                    <w:rPr>
                      <w:rFonts w:eastAsiaTheme="minorEastAsia"/>
                      <w:color w:val="auto"/>
                      <w:szCs w:val="21"/>
                    </w:rPr>
                  </w:pPr>
                  <w:r>
                    <w:rPr>
                      <w:rFonts w:eastAsiaTheme="minorEastAsia"/>
                      <w:color w:val="auto"/>
                      <w:szCs w:val="21"/>
                    </w:rPr>
                    <w:t>7</w:t>
                  </w:r>
                </w:p>
              </w:tc>
              <w:tc>
                <w:tcPr>
                  <w:tcW w:w="2526" w:type="pct"/>
                  <w:vAlign w:val="center"/>
                </w:tcPr>
                <w:p w14:paraId="1E7C91BA">
                  <w:pPr>
                    <w:ind w:firstLine="0" w:firstLineChars="0"/>
                    <w:jc w:val="center"/>
                    <w:rPr>
                      <w:rFonts w:eastAsiaTheme="minorEastAsia"/>
                      <w:color w:val="auto"/>
                      <w:szCs w:val="21"/>
                    </w:rPr>
                  </w:pPr>
                  <w:r>
                    <w:rPr>
                      <w:rFonts w:eastAsiaTheme="minorEastAsia"/>
                      <w:color w:val="auto"/>
                      <w:szCs w:val="21"/>
                    </w:rPr>
                    <w:t>HZS</w:t>
                  </w:r>
                  <w:r>
                    <w:rPr>
                      <w:rFonts w:hint="eastAsia" w:eastAsiaTheme="minorEastAsia"/>
                      <w:color w:val="auto"/>
                      <w:szCs w:val="21"/>
                      <w:lang w:val="en-US" w:eastAsia="zh-CN"/>
                    </w:rPr>
                    <w:t>180</w:t>
                  </w:r>
                  <w:r>
                    <w:rPr>
                      <w:rFonts w:eastAsiaTheme="minorEastAsia"/>
                      <w:color w:val="auto"/>
                      <w:szCs w:val="21"/>
                    </w:rPr>
                    <w:t>搅拌站</w:t>
                  </w:r>
                </w:p>
              </w:tc>
              <w:tc>
                <w:tcPr>
                  <w:tcW w:w="824" w:type="pct"/>
                  <w:vAlign w:val="center"/>
                </w:tcPr>
                <w:p w14:paraId="413D54AB">
                  <w:pPr>
                    <w:ind w:firstLine="0" w:firstLineChars="0"/>
                    <w:jc w:val="center"/>
                    <w:rPr>
                      <w:rFonts w:eastAsiaTheme="minorEastAsia"/>
                      <w:color w:val="auto"/>
                      <w:szCs w:val="21"/>
                    </w:rPr>
                  </w:pPr>
                  <w:r>
                    <w:rPr>
                      <w:rFonts w:eastAsiaTheme="minorEastAsia"/>
                      <w:color w:val="auto"/>
                      <w:szCs w:val="21"/>
                    </w:rPr>
                    <w:t>个</w:t>
                  </w:r>
                </w:p>
              </w:tc>
              <w:tc>
                <w:tcPr>
                  <w:tcW w:w="824" w:type="pct"/>
                  <w:vAlign w:val="center"/>
                </w:tcPr>
                <w:p w14:paraId="3120BF4F">
                  <w:pPr>
                    <w:ind w:firstLine="0" w:firstLineChars="0"/>
                    <w:jc w:val="center"/>
                    <w:rPr>
                      <w:rFonts w:eastAsiaTheme="minorEastAsia"/>
                      <w:color w:val="auto"/>
                      <w:szCs w:val="21"/>
                    </w:rPr>
                  </w:pPr>
                  <w:r>
                    <w:rPr>
                      <w:rFonts w:eastAsiaTheme="minorEastAsia"/>
                      <w:color w:val="auto"/>
                      <w:szCs w:val="21"/>
                    </w:rPr>
                    <w:t>2</w:t>
                  </w:r>
                </w:p>
              </w:tc>
            </w:tr>
            <w:tr w14:paraId="08A2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5BEC1837">
                  <w:pPr>
                    <w:ind w:firstLine="0" w:firstLineChars="0"/>
                    <w:jc w:val="center"/>
                    <w:rPr>
                      <w:rFonts w:eastAsiaTheme="minorEastAsia"/>
                      <w:color w:val="auto"/>
                      <w:szCs w:val="21"/>
                    </w:rPr>
                  </w:pPr>
                  <w:r>
                    <w:rPr>
                      <w:rFonts w:eastAsiaTheme="minorEastAsia"/>
                      <w:color w:val="auto"/>
                      <w:szCs w:val="21"/>
                    </w:rPr>
                    <w:t>8</w:t>
                  </w:r>
                </w:p>
              </w:tc>
              <w:tc>
                <w:tcPr>
                  <w:tcW w:w="2526" w:type="pct"/>
                  <w:vAlign w:val="center"/>
                </w:tcPr>
                <w:p w14:paraId="46F2B7F4">
                  <w:pPr>
                    <w:ind w:firstLine="0" w:firstLineChars="0"/>
                    <w:jc w:val="center"/>
                    <w:rPr>
                      <w:rFonts w:eastAsiaTheme="minorEastAsia"/>
                      <w:color w:val="auto"/>
                      <w:szCs w:val="21"/>
                    </w:rPr>
                  </w:pPr>
                  <w:r>
                    <w:rPr>
                      <w:rFonts w:hint="eastAsia" w:eastAsiaTheme="minorEastAsia"/>
                      <w:color w:val="auto"/>
                      <w:szCs w:val="21"/>
                    </w:rPr>
                    <w:t>输送皮带</w:t>
                  </w:r>
                </w:p>
              </w:tc>
              <w:tc>
                <w:tcPr>
                  <w:tcW w:w="824" w:type="pct"/>
                  <w:vAlign w:val="center"/>
                </w:tcPr>
                <w:p w14:paraId="290F7B73">
                  <w:pPr>
                    <w:ind w:firstLine="0" w:firstLineChars="0"/>
                    <w:jc w:val="center"/>
                    <w:rPr>
                      <w:rFonts w:eastAsiaTheme="minorEastAsia"/>
                      <w:color w:val="auto"/>
                      <w:szCs w:val="21"/>
                    </w:rPr>
                  </w:pPr>
                  <w:r>
                    <w:rPr>
                      <w:rFonts w:eastAsiaTheme="minorEastAsia"/>
                      <w:color w:val="auto"/>
                      <w:szCs w:val="21"/>
                    </w:rPr>
                    <w:t>套</w:t>
                  </w:r>
                </w:p>
              </w:tc>
              <w:tc>
                <w:tcPr>
                  <w:tcW w:w="824" w:type="pct"/>
                  <w:vAlign w:val="center"/>
                </w:tcPr>
                <w:p w14:paraId="20EEBF5A">
                  <w:pPr>
                    <w:ind w:firstLine="0" w:firstLineChars="0"/>
                    <w:jc w:val="center"/>
                    <w:rPr>
                      <w:rFonts w:eastAsiaTheme="minorEastAsia"/>
                      <w:color w:val="auto"/>
                      <w:szCs w:val="21"/>
                    </w:rPr>
                  </w:pPr>
                  <w:r>
                    <w:rPr>
                      <w:rFonts w:hint="eastAsia" w:eastAsiaTheme="minorEastAsia"/>
                      <w:color w:val="auto"/>
                      <w:szCs w:val="21"/>
                    </w:rPr>
                    <w:t>2</w:t>
                  </w:r>
                </w:p>
              </w:tc>
            </w:tr>
            <w:tr w14:paraId="2330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68873DB1">
                  <w:pPr>
                    <w:ind w:firstLine="0" w:firstLineChars="0"/>
                    <w:jc w:val="center"/>
                    <w:rPr>
                      <w:rFonts w:eastAsiaTheme="minorEastAsia"/>
                      <w:color w:val="auto"/>
                      <w:szCs w:val="21"/>
                    </w:rPr>
                  </w:pPr>
                  <w:r>
                    <w:rPr>
                      <w:rFonts w:eastAsiaTheme="minorEastAsia"/>
                      <w:color w:val="auto"/>
                      <w:szCs w:val="21"/>
                    </w:rPr>
                    <w:t>9</w:t>
                  </w:r>
                </w:p>
              </w:tc>
              <w:tc>
                <w:tcPr>
                  <w:tcW w:w="2526" w:type="pct"/>
                  <w:vAlign w:val="center"/>
                </w:tcPr>
                <w:p w14:paraId="7BC6F3F0">
                  <w:pPr>
                    <w:ind w:firstLine="0" w:firstLineChars="0"/>
                    <w:jc w:val="center"/>
                    <w:rPr>
                      <w:rFonts w:eastAsiaTheme="minorEastAsia"/>
                      <w:color w:val="auto"/>
                      <w:szCs w:val="21"/>
                    </w:rPr>
                  </w:pPr>
                  <w:r>
                    <w:rPr>
                      <w:rFonts w:eastAsiaTheme="minorEastAsia"/>
                      <w:color w:val="auto"/>
                      <w:szCs w:val="21"/>
                    </w:rPr>
                    <w:t>进料系统</w:t>
                  </w:r>
                </w:p>
              </w:tc>
              <w:tc>
                <w:tcPr>
                  <w:tcW w:w="824" w:type="pct"/>
                  <w:vAlign w:val="center"/>
                </w:tcPr>
                <w:p w14:paraId="7E169512">
                  <w:pPr>
                    <w:ind w:firstLine="0" w:firstLineChars="0"/>
                    <w:jc w:val="center"/>
                    <w:rPr>
                      <w:rFonts w:eastAsiaTheme="minorEastAsia"/>
                      <w:color w:val="auto"/>
                      <w:szCs w:val="21"/>
                    </w:rPr>
                  </w:pPr>
                  <w:r>
                    <w:rPr>
                      <w:rFonts w:eastAsiaTheme="minorEastAsia"/>
                      <w:color w:val="auto"/>
                      <w:szCs w:val="21"/>
                    </w:rPr>
                    <w:t>套</w:t>
                  </w:r>
                </w:p>
              </w:tc>
              <w:tc>
                <w:tcPr>
                  <w:tcW w:w="824" w:type="pct"/>
                  <w:vAlign w:val="center"/>
                </w:tcPr>
                <w:p w14:paraId="01E1920F">
                  <w:pPr>
                    <w:ind w:firstLine="0" w:firstLineChars="0"/>
                    <w:jc w:val="center"/>
                    <w:rPr>
                      <w:rFonts w:eastAsiaTheme="minorEastAsia"/>
                      <w:color w:val="auto"/>
                      <w:szCs w:val="21"/>
                    </w:rPr>
                  </w:pPr>
                  <w:r>
                    <w:rPr>
                      <w:rFonts w:eastAsiaTheme="minorEastAsia"/>
                      <w:color w:val="auto"/>
                      <w:szCs w:val="21"/>
                    </w:rPr>
                    <w:t>1</w:t>
                  </w:r>
                </w:p>
              </w:tc>
            </w:tr>
            <w:tr w14:paraId="5BBA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4B1FF1D4">
                  <w:pPr>
                    <w:ind w:firstLine="0" w:firstLineChars="0"/>
                    <w:jc w:val="center"/>
                    <w:rPr>
                      <w:rFonts w:eastAsiaTheme="minorEastAsia"/>
                      <w:color w:val="auto"/>
                      <w:szCs w:val="21"/>
                    </w:rPr>
                  </w:pPr>
                  <w:r>
                    <w:rPr>
                      <w:rFonts w:eastAsiaTheme="minorEastAsia"/>
                      <w:color w:val="auto"/>
                      <w:szCs w:val="21"/>
                    </w:rPr>
                    <w:t>10</w:t>
                  </w:r>
                </w:p>
              </w:tc>
              <w:tc>
                <w:tcPr>
                  <w:tcW w:w="2526" w:type="pct"/>
                  <w:vAlign w:val="center"/>
                </w:tcPr>
                <w:p w14:paraId="72B0D124">
                  <w:pPr>
                    <w:ind w:firstLine="0" w:firstLineChars="0"/>
                    <w:jc w:val="center"/>
                    <w:rPr>
                      <w:rFonts w:eastAsiaTheme="minorEastAsia"/>
                      <w:color w:val="auto"/>
                      <w:szCs w:val="21"/>
                    </w:rPr>
                  </w:pPr>
                  <w:r>
                    <w:rPr>
                      <w:rFonts w:eastAsiaTheme="minorEastAsia"/>
                      <w:color w:val="auto"/>
                      <w:szCs w:val="21"/>
                    </w:rPr>
                    <w:t>筒库</w:t>
                  </w:r>
                </w:p>
              </w:tc>
              <w:tc>
                <w:tcPr>
                  <w:tcW w:w="824" w:type="pct"/>
                  <w:vAlign w:val="center"/>
                </w:tcPr>
                <w:p w14:paraId="5554BEC9">
                  <w:pPr>
                    <w:ind w:firstLine="0" w:firstLineChars="0"/>
                    <w:jc w:val="center"/>
                    <w:rPr>
                      <w:rFonts w:eastAsiaTheme="minorEastAsia"/>
                      <w:color w:val="auto"/>
                      <w:szCs w:val="21"/>
                    </w:rPr>
                  </w:pPr>
                  <w:r>
                    <w:rPr>
                      <w:rFonts w:eastAsiaTheme="minorEastAsia"/>
                      <w:color w:val="auto"/>
                      <w:szCs w:val="21"/>
                    </w:rPr>
                    <w:t>个</w:t>
                  </w:r>
                </w:p>
              </w:tc>
              <w:tc>
                <w:tcPr>
                  <w:tcW w:w="824" w:type="pct"/>
                  <w:vAlign w:val="center"/>
                </w:tcPr>
                <w:p w14:paraId="716524FC">
                  <w:pPr>
                    <w:ind w:firstLine="0" w:firstLineChars="0"/>
                    <w:jc w:val="center"/>
                    <w:rPr>
                      <w:rFonts w:eastAsiaTheme="minorEastAsia"/>
                      <w:color w:val="auto"/>
                      <w:szCs w:val="21"/>
                    </w:rPr>
                  </w:pPr>
                  <w:r>
                    <w:rPr>
                      <w:rFonts w:eastAsiaTheme="minorEastAsia"/>
                      <w:color w:val="auto"/>
                      <w:szCs w:val="21"/>
                    </w:rPr>
                    <w:t>4</w:t>
                  </w:r>
                </w:p>
              </w:tc>
            </w:tr>
            <w:tr w14:paraId="6521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029BEDEB">
                  <w:pPr>
                    <w:ind w:firstLine="0" w:firstLineChars="0"/>
                    <w:jc w:val="center"/>
                    <w:rPr>
                      <w:rFonts w:eastAsiaTheme="minorEastAsia"/>
                      <w:color w:val="auto"/>
                      <w:szCs w:val="21"/>
                    </w:rPr>
                  </w:pPr>
                  <w:r>
                    <w:rPr>
                      <w:rFonts w:eastAsiaTheme="minorEastAsia"/>
                      <w:color w:val="auto"/>
                      <w:szCs w:val="21"/>
                    </w:rPr>
                    <w:t>11</w:t>
                  </w:r>
                </w:p>
              </w:tc>
              <w:tc>
                <w:tcPr>
                  <w:tcW w:w="2526" w:type="pct"/>
                  <w:vAlign w:val="center"/>
                </w:tcPr>
                <w:p w14:paraId="056F05E6">
                  <w:pPr>
                    <w:ind w:firstLine="0" w:firstLineChars="0"/>
                    <w:jc w:val="center"/>
                    <w:rPr>
                      <w:rFonts w:eastAsiaTheme="minorEastAsia"/>
                      <w:color w:val="auto"/>
                      <w:szCs w:val="21"/>
                    </w:rPr>
                  </w:pPr>
                  <w:r>
                    <w:rPr>
                      <w:rFonts w:eastAsiaTheme="minorEastAsia"/>
                      <w:color w:val="auto"/>
                      <w:szCs w:val="21"/>
                    </w:rPr>
                    <w:t>水泥运输车</w:t>
                  </w:r>
                </w:p>
              </w:tc>
              <w:tc>
                <w:tcPr>
                  <w:tcW w:w="824" w:type="pct"/>
                  <w:vAlign w:val="center"/>
                </w:tcPr>
                <w:p w14:paraId="038B9649">
                  <w:pPr>
                    <w:ind w:firstLine="0" w:firstLineChars="0"/>
                    <w:jc w:val="center"/>
                    <w:rPr>
                      <w:rFonts w:eastAsiaTheme="minorEastAsia"/>
                      <w:color w:val="auto"/>
                      <w:szCs w:val="21"/>
                    </w:rPr>
                  </w:pPr>
                  <w:r>
                    <w:rPr>
                      <w:rFonts w:eastAsiaTheme="minorEastAsia"/>
                      <w:color w:val="auto"/>
                      <w:szCs w:val="21"/>
                    </w:rPr>
                    <w:t>辆</w:t>
                  </w:r>
                </w:p>
              </w:tc>
              <w:tc>
                <w:tcPr>
                  <w:tcW w:w="824" w:type="pct"/>
                  <w:vAlign w:val="center"/>
                </w:tcPr>
                <w:p w14:paraId="71FE3F71">
                  <w:pPr>
                    <w:ind w:firstLine="0" w:firstLineChars="0"/>
                    <w:jc w:val="center"/>
                    <w:rPr>
                      <w:rFonts w:eastAsiaTheme="minorEastAsia"/>
                      <w:color w:val="auto"/>
                      <w:szCs w:val="21"/>
                    </w:rPr>
                  </w:pPr>
                  <w:r>
                    <w:rPr>
                      <w:rFonts w:eastAsiaTheme="minorEastAsia"/>
                      <w:color w:val="auto"/>
                      <w:szCs w:val="21"/>
                    </w:rPr>
                    <w:t>2</w:t>
                  </w:r>
                </w:p>
              </w:tc>
            </w:tr>
          </w:tbl>
          <w:p w14:paraId="69140A18">
            <w:pPr>
              <w:adjustRightInd w:val="0"/>
              <w:snapToGrid w:val="0"/>
              <w:spacing w:before="120" w:beforeLines="50" w:line="360" w:lineRule="auto"/>
              <w:ind w:firstLine="482"/>
              <w:rPr>
                <w:b/>
                <w:bCs/>
                <w:color w:val="auto"/>
                <w:sz w:val="24"/>
              </w:rPr>
            </w:pPr>
            <w:r>
              <w:rPr>
                <w:b/>
                <w:bCs/>
                <w:color w:val="auto"/>
                <w:sz w:val="24"/>
              </w:rPr>
              <w:t>4、原项目产品方案</w:t>
            </w:r>
          </w:p>
          <w:p w14:paraId="73D968D4">
            <w:pPr>
              <w:pStyle w:val="26"/>
              <w:adjustRightInd w:val="0"/>
              <w:snapToGrid w:val="0"/>
              <w:spacing w:line="360" w:lineRule="auto"/>
              <w:ind w:firstLine="480"/>
              <w:rPr>
                <w:rFonts w:ascii="Times New Roman" w:hAnsi="Times New Roman"/>
                <w:bCs/>
                <w:color w:val="auto"/>
                <w:sz w:val="24"/>
              </w:rPr>
            </w:pPr>
            <w:r>
              <w:rPr>
                <w:rFonts w:ascii="Times New Roman" w:hAnsi="Times New Roman"/>
                <w:color w:val="auto"/>
                <w:sz w:val="24"/>
              </w:rPr>
              <w:t>原项目实际产品方案</w:t>
            </w:r>
            <w:r>
              <w:rPr>
                <w:rFonts w:ascii="Times New Roman" w:hAnsi="Times New Roman"/>
                <w:bCs/>
                <w:color w:val="auto"/>
                <w:sz w:val="24"/>
              </w:rPr>
              <w:t>表2-1</w:t>
            </w:r>
            <w:r>
              <w:rPr>
                <w:rFonts w:hint="eastAsia" w:ascii="Times New Roman" w:hAnsi="Times New Roman"/>
                <w:bCs/>
                <w:color w:val="auto"/>
                <w:sz w:val="24"/>
              </w:rPr>
              <w:t>3</w:t>
            </w:r>
            <w:r>
              <w:rPr>
                <w:rFonts w:ascii="Times New Roman" w:hAnsi="Times New Roman"/>
                <w:bCs/>
                <w:color w:val="auto"/>
                <w:sz w:val="24"/>
              </w:rPr>
              <w:t>所示。</w:t>
            </w:r>
          </w:p>
          <w:p w14:paraId="1E6FAF3D">
            <w:pPr>
              <w:pStyle w:val="26"/>
              <w:adjustRightInd w:val="0"/>
              <w:snapToGrid w:val="0"/>
              <w:ind w:firstLine="0" w:firstLineChars="0"/>
              <w:jc w:val="center"/>
              <w:rPr>
                <w:rFonts w:ascii="Times New Roman" w:hAnsi="Times New Roman"/>
                <w:b/>
                <w:color w:val="auto"/>
                <w:szCs w:val="21"/>
              </w:rPr>
            </w:pPr>
            <w:r>
              <w:rPr>
                <w:rFonts w:ascii="Times New Roman" w:hAnsi="Times New Roman"/>
                <w:b/>
                <w:color w:val="auto"/>
                <w:szCs w:val="21"/>
              </w:rPr>
              <w:t>表2-1</w:t>
            </w:r>
            <w:r>
              <w:rPr>
                <w:rFonts w:hint="eastAsia" w:ascii="Times New Roman" w:hAnsi="Times New Roman"/>
                <w:b/>
                <w:color w:val="auto"/>
                <w:szCs w:val="21"/>
              </w:rPr>
              <w:t>3</w:t>
            </w:r>
            <w:r>
              <w:rPr>
                <w:rFonts w:ascii="Times New Roman" w:hAnsi="Times New Roman"/>
                <w:b/>
                <w:color w:val="auto"/>
                <w:szCs w:val="21"/>
              </w:rPr>
              <w:t xml:space="preserve">   原项目实际产品方案一览表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964"/>
              <w:gridCol w:w="1312"/>
              <w:gridCol w:w="1638"/>
              <w:gridCol w:w="1730"/>
            </w:tblGrid>
            <w:tr w14:paraId="490B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noWrap/>
                  <w:vAlign w:val="center"/>
                </w:tcPr>
                <w:p w14:paraId="1BCB31EF">
                  <w:pPr>
                    <w:pStyle w:val="53"/>
                    <w:spacing w:beforeLines="0" w:afterLines="0" w:line="240" w:lineRule="auto"/>
                    <w:ind w:firstLine="0" w:firstLineChars="0"/>
                    <w:rPr>
                      <w:rFonts w:ascii="Times New Roman"/>
                      <w:b/>
                      <w:bCs/>
                      <w:color w:val="auto"/>
                      <w:szCs w:val="21"/>
                    </w:rPr>
                  </w:pPr>
                  <w:r>
                    <w:rPr>
                      <w:rFonts w:ascii="Times New Roman"/>
                      <w:b/>
                      <w:bCs/>
                      <w:color w:val="auto"/>
                      <w:szCs w:val="21"/>
                    </w:rPr>
                    <w:t>序号</w:t>
                  </w:r>
                </w:p>
              </w:tc>
              <w:tc>
                <w:tcPr>
                  <w:tcW w:w="1234" w:type="pct"/>
                  <w:noWrap/>
                  <w:vAlign w:val="center"/>
                </w:tcPr>
                <w:p w14:paraId="5D5BBB90">
                  <w:pPr>
                    <w:pStyle w:val="53"/>
                    <w:spacing w:beforeLines="0" w:afterLines="0" w:line="240" w:lineRule="auto"/>
                    <w:ind w:firstLine="0" w:firstLineChars="0"/>
                    <w:rPr>
                      <w:rFonts w:ascii="Times New Roman"/>
                      <w:b/>
                      <w:bCs/>
                      <w:color w:val="auto"/>
                      <w:szCs w:val="21"/>
                    </w:rPr>
                  </w:pPr>
                  <w:r>
                    <w:rPr>
                      <w:rFonts w:ascii="Times New Roman"/>
                      <w:b/>
                      <w:bCs/>
                      <w:color w:val="auto"/>
                      <w:szCs w:val="21"/>
                    </w:rPr>
                    <w:t>产品名称</w:t>
                  </w:r>
                </w:p>
              </w:tc>
              <w:tc>
                <w:tcPr>
                  <w:tcW w:w="824" w:type="pct"/>
                  <w:noWrap/>
                  <w:vAlign w:val="center"/>
                </w:tcPr>
                <w:p w14:paraId="010B643E">
                  <w:pPr>
                    <w:pStyle w:val="53"/>
                    <w:spacing w:beforeLines="0" w:afterLines="0" w:line="240" w:lineRule="auto"/>
                    <w:ind w:firstLine="0" w:firstLineChars="0"/>
                    <w:rPr>
                      <w:rFonts w:ascii="Times New Roman"/>
                      <w:b/>
                      <w:bCs/>
                      <w:color w:val="auto"/>
                      <w:szCs w:val="21"/>
                    </w:rPr>
                  </w:pPr>
                  <w:r>
                    <w:rPr>
                      <w:rFonts w:ascii="Times New Roman"/>
                      <w:b/>
                      <w:bCs/>
                      <w:color w:val="auto"/>
                      <w:szCs w:val="21"/>
                    </w:rPr>
                    <w:t>单位</w:t>
                  </w:r>
                </w:p>
              </w:tc>
              <w:tc>
                <w:tcPr>
                  <w:tcW w:w="1029" w:type="pct"/>
                  <w:noWrap/>
                  <w:vAlign w:val="center"/>
                </w:tcPr>
                <w:p w14:paraId="1CFFD7BF">
                  <w:pPr>
                    <w:pStyle w:val="53"/>
                    <w:spacing w:beforeLines="0" w:afterLines="0" w:line="240" w:lineRule="auto"/>
                    <w:ind w:firstLine="0" w:firstLineChars="0"/>
                    <w:rPr>
                      <w:rFonts w:ascii="Times New Roman"/>
                      <w:b/>
                      <w:bCs/>
                      <w:color w:val="auto"/>
                      <w:szCs w:val="21"/>
                    </w:rPr>
                  </w:pPr>
                  <w:r>
                    <w:rPr>
                      <w:rFonts w:ascii="Times New Roman"/>
                      <w:b/>
                      <w:bCs/>
                      <w:color w:val="auto"/>
                      <w:szCs w:val="21"/>
                    </w:rPr>
                    <w:t>年产量</w:t>
                  </w:r>
                </w:p>
              </w:tc>
              <w:tc>
                <w:tcPr>
                  <w:tcW w:w="1087" w:type="pct"/>
                  <w:vAlign w:val="center"/>
                </w:tcPr>
                <w:p w14:paraId="03D2F719">
                  <w:pPr>
                    <w:pStyle w:val="53"/>
                    <w:spacing w:beforeLines="0" w:afterLines="0" w:line="240" w:lineRule="auto"/>
                    <w:ind w:firstLine="0" w:firstLineChars="0"/>
                    <w:rPr>
                      <w:rFonts w:ascii="Times New Roman"/>
                      <w:b/>
                      <w:bCs/>
                      <w:color w:val="auto"/>
                      <w:szCs w:val="21"/>
                    </w:rPr>
                  </w:pPr>
                  <w:r>
                    <w:rPr>
                      <w:rFonts w:ascii="Times New Roman"/>
                      <w:b/>
                      <w:bCs/>
                      <w:color w:val="auto"/>
                      <w:szCs w:val="21"/>
                    </w:rPr>
                    <w:t>备注</w:t>
                  </w:r>
                </w:p>
              </w:tc>
            </w:tr>
            <w:tr w14:paraId="3C29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noWrap/>
                  <w:vAlign w:val="center"/>
                </w:tcPr>
                <w:p w14:paraId="4B03CEDA">
                  <w:pPr>
                    <w:pStyle w:val="53"/>
                    <w:spacing w:beforeLines="0" w:afterLines="0" w:line="240" w:lineRule="auto"/>
                    <w:ind w:firstLine="0" w:firstLineChars="0"/>
                    <w:rPr>
                      <w:rFonts w:ascii="Times New Roman"/>
                      <w:color w:val="auto"/>
                      <w:szCs w:val="21"/>
                    </w:rPr>
                  </w:pPr>
                  <w:r>
                    <w:rPr>
                      <w:rFonts w:ascii="Times New Roman"/>
                      <w:color w:val="auto"/>
                      <w:szCs w:val="21"/>
                    </w:rPr>
                    <w:t>1</w:t>
                  </w:r>
                </w:p>
              </w:tc>
              <w:tc>
                <w:tcPr>
                  <w:tcW w:w="1234" w:type="pct"/>
                  <w:noWrap/>
                  <w:vAlign w:val="center"/>
                </w:tcPr>
                <w:p w14:paraId="18BCC42F">
                  <w:pPr>
                    <w:pStyle w:val="53"/>
                    <w:spacing w:beforeLines="0" w:afterLines="0" w:line="240" w:lineRule="auto"/>
                    <w:ind w:firstLine="0" w:firstLineChars="0"/>
                    <w:rPr>
                      <w:rFonts w:ascii="Times New Roman"/>
                      <w:color w:val="auto"/>
                      <w:szCs w:val="21"/>
                    </w:rPr>
                  </w:pPr>
                  <w:r>
                    <w:rPr>
                      <w:rFonts w:ascii="Times New Roman"/>
                      <w:color w:val="auto"/>
                      <w:szCs w:val="21"/>
                    </w:rPr>
                    <w:t>商品</w:t>
                  </w:r>
                  <w:r>
                    <w:rPr>
                      <w:rFonts w:hint="eastAsia" w:ascii="Times New Roman"/>
                      <w:color w:val="auto"/>
                      <w:szCs w:val="21"/>
                    </w:rPr>
                    <w:t>混凝土</w:t>
                  </w:r>
                </w:p>
              </w:tc>
              <w:tc>
                <w:tcPr>
                  <w:tcW w:w="824" w:type="pct"/>
                  <w:noWrap/>
                  <w:vAlign w:val="center"/>
                </w:tcPr>
                <w:p w14:paraId="1DB20B37">
                  <w:pPr>
                    <w:pStyle w:val="53"/>
                    <w:spacing w:beforeLines="0" w:afterLines="0" w:line="240" w:lineRule="auto"/>
                    <w:ind w:firstLine="0" w:firstLineChars="0"/>
                    <w:rPr>
                      <w:rFonts w:ascii="Times New Roman"/>
                      <w:color w:val="auto"/>
                      <w:szCs w:val="21"/>
                    </w:rPr>
                  </w:pPr>
                  <w:r>
                    <w:rPr>
                      <w:rFonts w:ascii="Times New Roman"/>
                      <w:color w:val="auto"/>
                      <w:szCs w:val="21"/>
                    </w:rPr>
                    <w:t>t</w:t>
                  </w:r>
                </w:p>
              </w:tc>
              <w:tc>
                <w:tcPr>
                  <w:tcW w:w="1029" w:type="pct"/>
                  <w:noWrap/>
                  <w:vAlign w:val="center"/>
                </w:tcPr>
                <w:p w14:paraId="3B9A19EC">
                  <w:pPr>
                    <w:pStyle w:val="53"/>
                    <w:spacing w:beforeLines="0" w:afterLines="0" w:line="240" w:lineRule="auto"/>
                    <w:ind w:firstLine="0" w:firstLineChars="0"/>
                    <w:rPr>
                      <w:rFonts w:hint="eastAsia" w:ascii="Times New Roman" w:eastAsia="宋体"/>
                      <w:color w:val="auto"/>
                      <w:szCs w:val="21"/>
                      <w:lang w:val="en-US" w:eastAsia="zh-CN"/>
                    </w:rPr>
                  </w:pPr>
                  <w:r>
                    <w:rPr>
                      <w:rFonts w:ascii="Times New Roman"/>
                      <w:color w:val="auto"/>
                      <w:szCs w:val="21"/>
                    </w:rPr>
                    <w:t>25</w:t>
                  </w:r>
                  <w:r>
                    <w:rPr>
                      <w:rFonts w:hint="eastAsia" w:ascii="Times New Roman"/>
                      <w:color w:val="auto"/>
                      <w:szCs w:val="21"/>
                      <w:lang w:val="en-US" w:eastAsia="zh-CN"/>
                    </w:rPr>
                    <w:t>万</w:t>
                  </w:r>
                </w:p>
              </w:tc>
              <w:tc>
                <w:tcPr>
                  <w:tcW w:w="1087" w:type="pct"/>
                  <w:vAlign w:val="center"/>
                </w:tcPr>
                <w:p w14:paraId="0F01394F">
                  <w:pPr>
                    <w:pStyle w:val="53"/>
                    <w:spacing w:beforeLines="0" w:afterLines="0" w:line="240" w:lineRule="auto"/>
                    <w:ind w:firstLine="0" w:firstLineChars="0"/>
                    <w:rPr>
                      <w:rFonts w:ascii="Times New Roman"/>
                      <w:color w:val="auto"/>
                      <w:szCs w:val="21"/>
                    </w:rPr>
                  </w:pPr>
                  <w:r>
                    <w:rPr>
                      <w:rFonts w:ascii="Times New Roman"/>
                      <w:color w:val="auto"/>
                      <w:szCs w:val="21"/>
                    </w:rPr>
                    <w:t>外售</w:t>
                  </w:r>
                </w:p>
              </w:tc>
            </w:tr>
          </w:tbl>
          <w:p w14:paraId="783A74E9">
            <w:pPr>
              <w:adjustRightInd w:val="0"/>
              <w:snapToGrid w:val="0"/>
              <w:spacing w:line="360" w:lineRule="auto"/>
              <w:ind w:firstLine="482"/>
              <w:rPr>
                <w:b/>
                <w:bCs/>
                <w:color w:val="auto"/>
                <w:sz w:val="24"/>
              </w:rPr>
            </w:pPr>
            <w:r>
              <w:rPr>
                <w:b/>
                <w:bCs/>
                <w:color w:val="auto"/>
                <w:sz w:val="24"/>
              </w:rPr>
              <w:t>5、原项目原辅材料</w:t>
            </w:r>
          </w:p>
          <w:p w14:paraId="53B1B0EC">
            <w:pPr>
              <w:adjustRightInd w:val="0"/>
              <w:snapToGrid w:val="0"/>
              <w:spacing w:line="360" w:lineRule="auto"/>
              <w:ind w:firstLine="480"/>
              <w:rPr>
                <w:color w:val="auto"/>
                <w:sz w:val="24"/>
              </w:rPr>
            </w:pPr>
            <w:r>
              <w:rPr>
                <w:color w:val="auto"/>
                <w:sz w:val="24"/>
              </w:rPr>
              <w:t>原项目实际原辅材料一览表。</w:t>
            </w:r>
          </w:p>
          <w:p w14:paraId="14A01913">
            <w:pPr>
              <w:pStyle w:val="48"/>
              <w:spacing w:line="240" w:lineRule="auto"/>
              <w:ind w:firstLine="413"/>
              <w:rPr>
                <w:rFonts w:eastAsia="宋体"/>
                <w:b/>
                <w:color w:val="auto"/>
                <w:sz w:val="21"/>
                <w:szCs w:val="21"/>
              </w:rPr>
            </w:pPr>
            <w:r>
              <w:rPr>
                <w:rFonts w:eastAsia="宋体"/>
                <w:b/>
                <w:color w:val="auto"/>
                <w:sz w:val="21"/>
                <w:szCs w:val="21"/>
              </w:rPr>
              <w:t>表2-1</w:t>
            </w:r>
            <w:r>
              <w:rPr>
                <w:rFonts w:hint="eastAsia" w:eastAsia="宋体"/>
                <w:b/>
                <w:color w:val="auto"/>
                <w:sz w:val="21"/>
                <w:szCs w:val="21"/>
              </w:rPr>
              <w:t>4</w:t>
            </w:r>
            <w:r>
              <w:rPr>
                <w:rFonts w:eastAsia="宋体"/>
                <w:b/>
                <w:color w:val="auto"/>
                <w:sz w:val="21"/>
                <w:szCs w:val="21"/>
              </w:rPr>
              <w:t xml:space="preserve">   原项目主要原辅材料及能源消耗</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955"/>
              <w:gridCol w:w="1286"/>
              <w:gridCol w:w="1121"/>
              <w:gridCol w:w="2606"/>
              <w:gridCol w:w="1011"/>
            </w:tblGrid>
            <w:tr w14:paraId="60C3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67802EB6">
                  <w:pPr>
                    <w:adjustRightInd w:val="0"/>
                    <w:snapToGrid w:val="0"/>
                    <w:ind w:firstLine="0" w:firstLineChars="0"/>
                    <w:jc w:val="center"/>
                    <w:rPr>
                      <w:b/>
                      <w:bCs/>
                      <w:color w:val="auto"/>
                      <w:sz w:val="24"/>
                    </w:rPr>
                  </w:pPr>
                  <w:r>
                    <w:rPr>
                      <w:b/>
                      <w:bCs/>
                      <w:color w:val="auto"/>
                      <w:szCs w:val="21"/>
                    </w:rPr>
                    <w:t>序号</w:t>
                  </w:r>
                </w:p>
              </w:tc>
              <w:tc>
                <w:tcPr>
                  <w:tcW w:w="600" w:type="pct"/>
                  <w:vAlign w:val="center"/>
                </w:tcPr>
                <w:p w14:paraId="5E328B24">
                  <w:pPr>
                    <w:adjustRightInd w:val="0"/>
                    <w:snapToGrid w:val="0"/>
                    <w:ind w:firstLine="0" w:firstLineChars="0"/>
                    <w:jc w:val="center"/>
                    <w:rPr>
                      <w:b/>
                      <w:bCs/>
                      <w:color w:val="auto"/>
                      <w:sz w:val="24"/>
                    </w:rPr>
                  </w:pPr>
                  <w:r>
                    <w:rPr>
                      <w:b/>
                      <w:bCs/>
                      <w:color w:val="auto"/>
                      <w:szCs w:val="21"/>
                    </w:rPr>
                    <w:t>材料名称</w:t>
                  </w:r>
                </w:p>
              </w:tc>
              <w:tc>
                <w:tcPr>
                  <w:tcW w:w="808" w:type="pct"/>
                  <w:vAlign w:val="center"/>
                </w:tcPr>
                <w:p w14:paraId="3FFB0162">
                  <w:pPr>
                    <w:adjustRightInd w:val="0"/>
                    <w:snapToGrid w:val="0"/>
                    <w:ind w:firstLine="0" w:firstLineChars="0"/>
                    <w:jc w:val="center"/>
                    <w:rPr>
                      <w:b/>
                      <w:bCs/>
                      <w:color w:val="auto"/>
                      <w:sz w:val="24"/>
                    </w:rPr>
                  </w:pPr>
                  <w:r>
                    <w:rPr>
                      <w:b/>
                      <w:bCs/>
                      <w:color w:val="auto"/>
                      <w:szCs w:val="21"/>
                    </w:rPr>
                    <w:t>年耗量（t/a）</w:t>
                  </w:r>
                </w:p>
              </w:tc>
              <w:tc>
                <w:tcPr>
                  <w:tcW w:w="704" w:type="pct"/>
                  <w:vAlign w:val="center"/>
                </w:tcPr>
                <w:p w14:paraId="1A485658">
                  <w:pPr>
                    <w:adjustRightInd w:val="0"/>
                    <w:snapToGrid w:val="0"/>
                    <w:ind w:firstLine="0" w:firstLineChars="0"/>
                    <w:jc w:val="center"/>
                    <w:rPr>
                      <w:b/>
                      <w:bCs/>
                      <w:color w:val="auto"/>
                      <w:sz w:val="24"/>
                    </w:rPr>
                  </w:pPr>
                  <w:r>
                    <w:rPr>
                      <w:b/>
                      <w:bCs/>
                      <w:color w:val="auto"/>
                      <w:szCs w:val="21"/>
                    </w:rPr>
                    <w:t>来源</w:t>
                  </w:r>
                </w:p>
              </w:tc>
              <w:tc>
                <w:tcPr>
                  <w:tcW w:w="1637" w:type="pct"/>
                  <w:vAlign w:val="center"/>
                </w:tcPr>
                <w:p w14:paraId="59945A12">
                  <w:pPr>
                    <w:adjustRightInd w:val="0"/>
                    <w:snapToGrid w:val="0"/>
                    <w:ind w:firstLine="0" w:firstLineChars="0"/>
                    <w:jc w:val="center"/>
                    <w:rPr>
                      <w:b/>
                      <w:bCs/>
                      <w:color w:val="auto"/>
                      <w:sz w:val="24"/>
                    </w:rPr>
                  </w:pPr>
                  <w:r>
                    <w:rPr>
                      <w:b/>
                      <w:bCs/>
                      <w:color w:val="auto"/>
                      <w:szCs w:val="21"/>
                    </w:rPr>
                    <w:t>原料质量控制标准</w:t>
                  </w:r>
                </w:p>
              </w:tc>
              <w:tc>
                <w:tcPr>
                  <w:tcW w:w="635" w:type="pct"/>
                  <w:vAlign w:val="center"/>
                </w:tcPr>
                <w:p w14:paraId="20E0C5B7">
                  <w:pPr>
                    <w:adjustRightInd w:val="0"/>
                    <w:snapToGrid w:val="0"/>
                    <w:ind w:firstLine="0" w:firstLineChars="0"/>
                    <w:jc w:val="center"/>
                    <w:rPr>
                      <w:b/>
                      <w:bCs/>
                      <w:color w:val="auto"/>
                      <w:sz w:val="24"/>
                    </w:rPr>
                  </w:pPr>
                  <w:r>
                    <w:rPr>
                      <w:b/>
                      <w:bCs/>
                      <w:color w:val="auto"/>
                      <w:szCs w:val="21"/>
                    </w:rPr>
                    <w:t>储存方式</w:t>
                  </w:r>
                </w:p>
              </w:tc>
            </w:tr>
            <w:tr w14:paraId="3F0B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7D411891">
                  <w:pPr>
                    <w:adjustRightInd w:val="0"/>
                    <w:snapToGrid w:val="0"/>
                    <w:ind w:firstLine="0" w:firstLineChars="0"/>
                    <w:jc w:val="center"/>
                    <w:rPr>
                      <w:b/>
                      <w:bCs/>
                      <w:color w:val="auto"/>
                      <w:sz w:val="24"/>
                    </w:rPr>
                  </w:pPr>
                  <w:r>
                    <w:rPr>
                      <w:color w:val="auto"/>
                      <w:kern w:val="0"/>
                      <w:szCs w:val="21"/>
                      <w:lang w:bidi="ar"/>
                    </w:rPr>
                    <w:t>1</w:t>
                  </w:r>
                </w:p>
              </w:tc>
              <w:tc>
                <w:tcPr>
                  <w:tcW w:w="600" w:type="pct"/>
                  <w:vAlign w:val="center"/>
                </w:tcPr>
                <w:p w14:paraId="1A1433B4">
                  <w:pPr>
                    <w:pStyle w:val="53"/>
                    <w:spacing w:beforeLines="0" w:afterLines="0" w:line="240" w:lineRule="auto"/>
                    <w:ind w:firstLine="0" w:firstLineChars="0"/>
                    <w:rPr>
                      <w:rFonts w:ascii="Times New Roman"/>
                      <w:b/>
                      <w:bCs/>
                      <w:color w:val="auto"/>
                      <w:sz w:val="24"/>
                    </w:rPr>
                  </w:pPr>
                  <w:r>
                    <w:rPr>
                      <w:rFonts w:ascii="Times New Roman"/>
                      <w:color w:val="auto"/>
                      <w:szCs w:val="21"/>
                    </w:rPr>
                    <w:t>碎石</w:t>
                  </w:r>
                </w:p>
              </w:tc>
              <w:tc>
                <w:tcPr>
                  <w:tcW w:w="808" w:type="pct"/>
                  <w:vAlign w:val="center"/>
                </w:tcPr>
                <w:p w14:paraId="6262ADCB">
                  <w:pPr>
                    <w:pStyle w:val="53"/>
                    <w:spacing w:beforeLines="0" w:afterLines="0" w:line="240" w:lineRule="auto"/>
                    <w:ind w:firstLine="0" w:firstLineChars="0"/>
                    <w:rPr>
                      <w:rFonts w:ascii="Times New Roman"/>
                      <w:b/>
                      <w:bCs/>
                      <w:color w:val="auto"/>
                      <w:sz w:val="24"/>
                    </w:rPr>
                  </w:pPr>
                  <w:r>
                    <w:rPr>
                      <w:rFonts w:ascii="Times New Roman"/>
                      <w:color w:val="auto"/>
                      <w:szCs w:val="21"/>
                    </w:rPr>
                    <w:t>125000</w:t>
                  </w:r>
                </w:p>
              </w:tc>
              <w:tc>
                <w:tcPr>
                  <w:tcW w:w="704" w:type="pct"/>
                  <w:vAlign w:val="center"/>
                </w:tcPr>
                <w:p w14:paraId="14155579">
                  <w:pPr>
                    <w:pStyle w:val="53"/>
                    <w:spacing w:beforeLines="0" w:afterLines="0" w:line="240" w:lineRule="auto"/>
                    <w:ind w:firstLine="0" w:firstLineChars="0"/>
                    <w:rPr>
                      <w:rFonts w:ascii="Times New Roman"/>
                      <w:b/>
                      <w:bCs/>
                      <w:color w:val="auto"/>
                      <w:sz w:val="24"/>
                    </w:rPr>
                  </w:pPr>
                  <w:r>
                    <w:rPr>
                      <w:rFonts w:ascii="Times New Roman"/>
                      <w:color w:val="auto"/>
                      <w:szCs w:val="21"/>
                    </w:rPr>
                    <w:t>外购</w:t>
                  </w:r>
                </w:p>
              </w:tc>
              <w:tc>
                <w:tcPr>
                  <w:tcW w:w="1637" w:type="pct"/>
                  <w:vAlign w:val="center"/>
                </w:tcPr>
                <w:p w14:paraId="3E904446">
                  <w:pPr>
                    <w:pStyle w:val="53"/>
                    <w:spacing w:beforeLines="0" w:afterLines="0" w:line="240" w:lineRule="auto"/>
                    <w:ind w:firstLine="0" w:firstLineChars="0"/>
                    <w:rPr>
                      <w:rFonts w:ascii="Times New Roman"/>
                      <w:b/>
                      <w:bCs/>
                      <w:color w:val="auto"/>
                      <w:sz w:val="24"/>
                    </w:rPr>
                  </w:pPr>
                  <w:r>
                    <w:rPr>
                      <w:rFonts w:ascii="Times New Roman"/>
                      <w:color w:val="auto"/>
                      <w:szCs w:val="21"/>
                    </w:rPr>
                    <w:t>JGJ52-2006《普通混凝土用砂、石质量及检验方法标准》</w:t>
                  </w:r>
                </w:p>
              </w:tc>
              <w:tc>
                <w:tcPr>
                  <w:tcW w:w="635" w:type="pct"/>
                  <w:vAlign w:val="center"/>
                </w:tcPr>
                <w:p w14:paraId="5D3B2658">
                  <w:pPr>
                    <w:pStyle w:val="53"/>
                    <w:spacing w:beforeLines="0" w:afterLines="0" w:line="240" w:lineRule="auto"/>
                    <w:ind w:firstLine="0" w:firstLineChars="0"/>
                    <w:rPr>
                      <w:rFonts w:ascii="Times New Roman"/>
                      <w:b/>
                      <w:bCs/>
                      <w:color w:val="auto"/>
                      <w:sz w:val="24"/>
                    </w:rPr>
                  </w:pPr>
                  <w:r>
                    <w:rPr>
                      <w:rFonts w:ascii="Times New Roman"/>
                      <w:color w:val="auto"/>
                      <w:szCs w:val="21"/>
                    </w:rPr>
                    <w:t>原料堆场</w:t>
                  </w:r>
                </w:p>
              </w:tc>
            </w:tr>
            <w:tr w14:paraId="2B77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655CFFC4">
                  <w:pPr>
                    <w:adjustRightInd w:val="0"/>
                    <w:snapToGrid w:val="0"/>
                    <w:ind w:firstLine="0" w:firstLineChars="0"/>
                    <w:jc w:val="center"/>
                    <w:rPr>
                      <w:b/>
                      <w:bCs/>
                      <w:color w:val="auto"/>
                      <w:sz w:val="24"/>
                    </w:rPr>
                  </w:pPr>
                  <w:r>
                    <w:rPr>
                      <w:color w:val="auto"/>
                      <w:kern w:val="0"/>
                      <w:szCs w:val="21"/>
                      <w:lang w:bidi="ar"/>
                    </w:rPr>
                    <w:t>2</w:t>
                  </w:r>
                </w:p>
              </w:tc>
              <w:tc>
                <w:tcPr>
                  <w:tcW w:w="600" w:type="pct"/>
                  <w:vAlign w:val="center"/>
                </w:tcPr>
                <w:p w14:paraId="0D262989">
                  <w:pPr>
                    <w:pStyle w:val="53"/>
                    <w:spacing w:beforeLines="0" w:afterLines="0" w:line="240" w:lineRule="auto"/>
                    <w:ind w:firstLine="0" w:firstLineChars="0"/>
                    <w:rPr>
                      <w:rFonts w:ascii="Times New Roman"/>
                      <w:b/>
                      <w:bCs/>
                      <w:color w:val="auto"/>
                      <w:sz w:val="24"/>
                    </w:rPr>
                  </w:pPr>
                  <w:r>
                    <w:rPr>
                      <w:rFonts w:ascii="Times New Roman"/>
                      <w:color w:val="auto"/>
                      <w:szCs w:val="21"/>
                    </w:rPr>
                    <w:t>机制砂</w:t>
                  </w:r>
                </w:p>
              </w:tc>
              <w:tc>
                <w:tcPr>
                  <w:tcW w:w="808" w:type="pct"/>
                  <w:vAlign w:val="center"/>
                </w:tcPr>
                <w:p w14:paraId="5359DEB5">
                  <w:pPr>
                    <w:pStyle w:val="53"/>
                    <w:spacing w:beforeLines="0" w:afterLines="0" w:line="240" w:lineRule="auto"/>
                    <w:ind w:firstLine="0" w:firstLineChars="0"/>
                    <w:rPr>
                      <w:rFonts w:ascii="Times New Roman"/>
                      <w:b/>
                      <w:bCs/>
                      <w:color w:val="auto"/>
                      <w:sz w:val="24"/>
                    </w:rPr>
                  </w:pPr>
                  <w:r>
                    <w:rPr>
                      <w:rFonts w:ascii="Times New Roman"/>
                      <w:color w:val="auto"/>
                      <w:szCs w:val="21"/>
                    </w:rPr>
                    <w:t>83000</w:t>
                  </w:r>
                </w:p>
              </w:tc>
              <w:tc>
                <w:tcPr>
                  <w:tcW w:w="704" w:type="pct"/>
                  <w:vAlign w:val="center"/>
                </w:tcPr>
                <w:p w14:paraId="126B46E0">
                  <w:pPr>
                    <w:pStyle w:val="53"/>
                    <w:spacing w:beforeLines="0" w:afterLines="0" w:line="240" w:lineRule="auto"/>
                    <w:ind w:firstLine="0" w:firstLineChars="0"/>
                    <w:rPr>
                      <w:rFonts w:ascii="Times New Roman"/>
                      <w:b/>
                      <w:bCs/>
                      <w:color w:val="auto"/>
                      <w:sz w:val="24"/>
                    </w:rPr>
                  </w:pPr>
                  <w:r>
                    <w:rPr>
                      <w:rFonts w:ascii="Times New Roman"/>
                      <w:color w:val="auto"/>
                      <w:szCs w:val="21"/>
                    </w:rPr>
                    <w:t>外购</w:t>
                  </w:r>
                </w:p>
              </w:tc>
              <w:tc>
                <w:tcPr>
                  <w:tcW w:w="1637" w:type="pct"/>
                  <w:vAlign w:val="center"/>
                </w:tcPr>
                <w:p w14:paraId="1C3AAD0B">
                  <w:pPr>
                    <w:pStyle w:val="53"/>
                    <w:spacing w:beforeLines="0" w:afterLines="0" w:line="240" w:lineRule="auto"/>
                    <w:ind w:firstLine="0" w:firstLineChars="0"/>
                    <w:rPr>
                      <w:rFonts w:ascii="Times New Roman"/>
                      <w:b/>
                      <w:bCs/>
                      <w:color w:val="auto"/>
                      <w:sz w:val="24"/>
                    </w:rPr>
                  </w:pPr>
                  <w:r>
                    <w:rPr>
                      <w:rFonts w:ascii="Times New Roman"/>
                      <w:color w:val="auto"/>
                      <w:szCs w:val="21"/>
                    </w:rPr>
                    <w:t>/</w:t>
                  </w:r>
                </w:p>
              </w:tc>
              <w:tc>
                <w:tcPr>
                  <w:tcW w:w="635" w:type="pct"/>
                  <w:vAlign w:val="center"/>
                </w:tcPr>
                <w:p w14:paraId="15E24EB7">
                  <w:pPr>
                    <w:pStyle w:val="53"/>
                    <w:spacing w:beforeLines="0" w:afterLines="0" w:line="240" w:lineRule="auto"/>
                    <w:ind w:firstLine="0" w:firstLineChars="0"/>
                    <w:rPr>
                      <w:rFonts w:ascii="Times New Roman"/>
                      <w:b/>
                      <w:bCs/>
                      <w:color w:val="auto"/>
                      <w:sz w:val="24"/>
                    </w:rPr>
                  </w:pPr>
                  <w:r>
                    <w:rPr>
                      <w:rFonts w:ascii="Times New Roman"/>
                      <w:color w:val="auto"/>
                      <w:szCs w:val="21"/>
                    </w:rPr>
                    <w:t>原料堆场</w:t>
                  </w:r>
                </w:p>
              </w:tc>
            </w:tr>
            <w:tr w14:paraId="2058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2068F090">
                  <w:pPr>
                    <w:adjustRightInd w:val="0"/>
                    <w:snapToGrid w:val="0"/>
                    <w:ind w:firstLine="0" w:firstLineChars="0"/>
                    <w:jc w:val="center"/>
                    <w:rPr>
                      <w:b/>
                      <w:bCs/>
                      <w:color w:val="auto"/>
                      <w:sz w:val="24"/>
                    </w:rPr>
                  </w:pPr>
                  <w:r>
                    <w:rPr>
                      <w:color w:val="auto"/>
                      <w:kern w:val="0"/>
                      <w:szCs w:val="21"/>
                      <w:lang w:bidi="ar"/>
                    </w:rPr>
                    <w:t>3</w:t>
                  </w:r>
                </w:p>
              </w:tc>
              <w:tc>
                <w:tcPr>
                  <w:tcW w:w="600" w:type="pct"/>
                  <w:vAlign w:val="center"/>
                </w:tcPr>
                <w:p w14:paraId="701F108F">
                  <w:pPr>
                    <w:pStyle w:val="53"/>
                    <w:spacing w:beforeLines="0" w:afterLines="0" w:line="240" w:lineRule="auto"/>
                    <w:ind w:firstLine="0" w:firstLineChars="0"/>
                    <w:rPr>
                      <w:rFonts w:ascii="Times New Roman"/>
                      <w:b/>
                      <w:bCs/>
                      <w:color w:val="auto"/>
                      <w:sz w:val="24"/>
                    </w:rPr>
                  </w:pPr>
                  <w:r>
                    <w:rPr>
                      <w:rFonts w:ascii="Times New Roman"/>
                      <w:color w:val="auto"/>
                      <w:szCs w:val="21"/>
                    </w:rPr>
                    <w:t>水泥</w:t>
                  </w:r>
                </w:p>
              </w:tc>
              <w:tc>
                <w:tcPr>
                  <w:tcW w:w="808" w:type="pct"/>
                  <w:vAlign w:val="center"/>
                </w:tcPr>
                <w:p w14:paraId="18C86DB3">
                  <w:pPr>
                    <w:pStyle w:val="53"/>
                    <w:spacing w:beforeLines="0" w:afterLines="0" w:line="240" w:lineRule="auto"/>
                    <w:ind w:firstLine="0" w:firstLineChars="0"/>
                    <w:rPr>
                      <w:rFonts w:ascii="Times New Roman"/>
                      <w:b/>
                      <w:bCs/>
                      <w:color w:val="auto"/>
                      <w:sz w:val="24"/>
                    </w:rPr>
                  </w:pPr>
                  <w:r>
                    <w:rPr>
                      <w:rFonts w:ascii="Times New Roman"/>
                      <w:color w:val="auto"/>
                      <w:szCs w:val="21"/>
                    </w:rPr>
                    <w:t>31000</w:t>
                  </w:r>
                </w:p>
              </w:tc>
              <w:tc>
                <w:tcPr>
                  <w:tcW w:w="704" w:type="pct"/>
                  <w:vAlign w:val="center"/>
                </w:tcPr>
                <w:p w14:paraId="77736B9D">
                  <w:pPr>
                    <w:pStyle w:val="53"/>
                    <w:spacing w:beforeLines="0" w:afterLines="0" w:line="240" w:lineRule="auto"/>
                    <w:ind w:firstLine="0" w:firstLineChars="0"/>
                    <w:rPr>
                      <w:rFonts w:ascii="Times New Roman"/>
                      <w:b/>
                      <w:bCs/>
                      <w:color w:val="auto"/>
                      <w:sz w:val="24"/>
                    </w:rPr>
                  </w:pPr>
                  <w:r>
                    <w:rPr>
                      <w:rFonts w:ascii="Times New Roman"/>
                      <w:color w:val="auto"/>
                      <w:szCs w:val="21"/>
                    </w:rPr>
                    <w:t>外购</w:t>
                  </w:r>
                </w:p>
              </w:tc>
              <w:tc>
                <w:tcPr>
                  <w:tcW w:w="1637" w:type="pct"/>
                  <w:vAlign w:val="center"/>
                </w:tcPr>
                <w:p w14:paraId="1BB10C33">
                  <w:pPr>
                    <w:pStyle w:val="53"/>
                    <w:spacing w:beforeLines="0" w:afterLines="0" w:line="240" w:lineRule="auto"/>
                    <w:ind w:firstLine="0" w:firstLineChars="0"/>
                    <w:rPr>
                      <w:rFonts w:ascii="Times New Roman"/>
                      <w:b/>
                      <w:bCs/>
                      <w:color w:val="auto"/>
                      <w:sz w:val="24"/>
                    </w:rPr>
                  </w:pPr>
                  <w:r>
                    <w:rPr>
                      <w:rFonts w:ascii="Times New Roman"/>
                      <w:color w:val="auto"/>
                      <w:szCs w:val="21"/>
                    </w:rPr>
                    <w:t>GB175-2007《通用硅酸盐水泥》、GB200-2017《中热硅酸盐水泥低热硅酸盐水泥》</w:t>
                  </w:r>
                </w:p>
              </w:tc>
              <w:tc>
                <w:tcPr>
                  <w:tcW w:w="635" w:type="pct"/>
                  <w:vAlign w:val="center"/>
                </w:tcPr>
                <w:p w14:paraId="35C48A94">
                  <w:pPr>
                    <w:pStyle w:val="53"/>
                    <w:spacing w:beforeLines="0" w:afterLines="0" w:line="240" w:lineRule="auto"/>
                    <w:ind w:firstLine="0" w:firstLineChars="0"/>
                    <w:rPr>
                      <w:rFonts w:ascii="Times New Roman"/>
                      <w:b/>
                      <w:bCs/>
                      <w:color w:val="auto"/>
                      <w:sz w:val="24"/>
                    </w:rPr>
                  </w:pPr>
                  <w:r>
                    <w:rPr>
                      <w:rFonts w:ascii="Times New Roman"/>
                      <w:color w:val="auto"/>
                      <w:szCs w:val="21"/>
                    </w:rPr>
                    <w:t>水泥筒仓</w:t>
                  </w:r>
                </w:p>
              </w:tc>
            </w:tr>
            <w:tr w14:paraId="35AD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2EF47061">
                  <w:pPr>
                    <w:adjustRightInd w:val="0"/>
                    <w:snapToGrid w:val="0"/>
                    <w:ind w:firstLine="0" w:firstLineChars="0"/>
                    <w:jc w:val="center"/>
                    <w:rPr>
                      <w:b/>
                      <w:bCs/>
                      <w:color w:val="auto"/>
                      <w:sz w:val="24"/>
                    </w:rPr>
                  </w:pPr>
                  <w:r>
                    <w:rPr>
                      <w:color w:val="auto"/>
                      <w:kern w:val="0"/>
                      <w:szCs w:val="21"/>
                      <w:lang w:bidi="ar"/>
                    </w:rPr>
                    <w:t>4</w:t>
                  </w:r>
                </w:p>
              </w:tc>
              <w:tc>
                <w:tcPr>
                  <w:tcW w:w="600" w:type="pct"/>
                  <w:vAlign w:val="center"/>
                </w:tcPr>
                <w:p w14:paraId="19654DAD">
                  <w:pPr>
                    <w:pStyle w:val="53"/>
                    <w:spacing w:beforeLines="0" w:afterLines="0" w:line="240" w:lineRule="auto"/>
                    <w:ind w:firstLine="0" w:firstLineChars="0"/>
                    <w:rPr>
                      <w:rFonts w:ascii="Times New Roman"/>
                      <w:b/>
                      <w:bCs/>
                      <w:color w:val="auto"/>
                      <w:sz w:val="24"/>
                    </w:rPr>
                  </w:pPr>
                  <w:r>
                    <w:rPr>
                      <w:rFonts w:ascii="Times New Roman"/>
                      <w:color w:val="auto"/>
                      <w:szCs w:val="21"/>
                    </w:rPr>
                    <w:t>粉煤灰</w:t>
                  </w:r>
                </w:p>
              </w:tc>
              <w:tc>
                <w:tcPr>
                  <w:tcW w:w="808" w:type="pct"/>
                  <w:vAlign w:val="center"/>
                </w:tcPr>
                <w:p w14:paraId="0E10D390">
                  <w:pPr>
                    <w:pStyle w:val="53"/>
                    <w:spacing w:beforeLines="0" w:afterLines="0" w:line="240" w:lineRule="auto"/>
                    <w:ind w:firstLine="0" w:firstLineChars="0"/>
                    <w:rPr>
                      <w:rFonts w:ascii="Times New Roman"/>
                      <w:b/>
                      <w:bCs/>
                      <w:color w:val="auto"/>
                      <w:sz w:val="24"/>
                    </w:rPr>
                  </w:pPr>
                  <w:r>
                    <w:rPr>
                      <w:rFonts w:ascii="Times New Roman"/>
                      <w:color w:val="auto"/>
                      <w:szCs w:val="21"/>
                    </w:rPr>
                    <w:t>8250</w:t>
                  </w:r>
                </w:p>
              </w:tc>
              <w:tc>
                <w:tcPr>
                  <w:tcW w:w="704" w:type="pct"/>
                  <w:vAlign w:val="center"/>
                </w:tcPr>
                <w:p w14:paraId="731FC5C7">
                  <w:pPr>
                    <w:pStyle w:val="53"/>
                    <w:spacing w:beforeLines="0" w:afterLines="0" w:line="240" w:lineRule="auto"/>
                    <w:ind w:firstLine="0" w:firstLineChars="0"/>
                    <w:rPr>
                      <w:rFonts w:ascii="Times New Roman"/>
                      <w:b/>
                      <w:bCs/>
                      <w:color w:val="auto"/>
                      <w:sz w:val="24"/>
                    </w:rPr>
                  </w:pPr>
                  <w:r>
                    <w:rPr>
                      <w:rFonts w:ascii="Times New Roman"/>
                      <w:color w:val="auto"/>
                      <w:szCs w:val="21"/>
                    </w:rPr>
                    <w:t>外购</w:t>
                  </w:r>
                </w:p>
              </w:tc>
              <w:tc>
                <w:tcPr>
                  <w:tcW w:w="1637" w:type="pct"/>
                  <w:vAlign w:val="center"/>
                </w:tcPr>
                <w:p w14:paraId="4E43F0FC">
                  <w:pPr>
                    <w:pStyle w:val="53"/>
                    <w:spacing w:beforeLines="0" w:afterLines="0" w:line="240" w:lineRule="auto"/>
                    <w:ind w:firstLine="0" w:firstLineChars="0"/>
                    <w:rPr>
                      <w:rFonts w:ascii="Times New Roman"/>
                      <w:b/>
                      <w:bCs/>
                      <w:color w:val="auto"/>
                      <w:sz w:val="24"/>
                    </w:rPr>
                  </w:pPr>
                  <w:r>
                    <w:rPr>
                      <w:rFonts w:ascii="Times New Roman"/>
                      <w:color w:val="auto"/>
                    </w:rPr>
                    <w:t>GB/T1596-2017《用于水泥和混凝土中的粉煤灰》</w:t>
                  </w:r>
                </w:p>
              </w:tc>
              <w:tc>
                <w:tcPr>
                  <w:tcW w:w="635" w:type="pct"/>
                  <w:vAlign w:val="center"/>
                </w:tcPr>
                <w:p w14:paraId="4F82981A">
                  <w:pPr>
                    <w:pStyle w:val="53"/>
                    <w:spacing w:beforeLines="0" w:afterLines="0" w:line="240" w:lineRule="auto"/>
                    <w:ind w:firstLine="0" w:firstLineChars="0"/>
                    <w:rPr>
                      <w:rFonts w:ascii="Times New Roman"/>
                      <w:b/>
                      <w:bCs/>
                      <w:color w:val="auto"/>
                      <w:sz w:val="24"/>
                    </w:rPr>
                  </w:pPr>
                  <w:r>
                    <w:rPr>
                      <w:rFonts w:ascii="Times New Roman"/>
                      <w:color w:val="auto"/>
                      <w:szCs w:val="21"/>
                    </w:rPr>
                    <w:t>粉煤灰筒仓</w:t>
                  </w:r>
                </w:p>
              </w:tc>
            </w:tr>
            <w:tr w14:paraId="04D6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61FA2C5E">
                  <w:pPr>
                    <w:adjustRightInd w:val="0"/>
                    <w:snapToGrid w:val="0"/>
                    <w:ind w:firstLine="0" w:firstLineChars="0"/>
                    <w:jc w:val="center"/>
                    <w:rPr>
                      <w:b/>
                      <w:bCs/>
                      <w:color w:val="auto"/>
                      <w:sz w:val="24"/>
                    </w:rPr>
                  </w:pPr>
                  <w:r>
                    <w:rPr>
                      <w:color w:val="auto"/>
                      <w:kern w:val="0"/>
                      <w:szCs w:val="21"/>
                      <w:lang w:bidi="ar"/>
                    </w:rPr>
                    <w:t>5</w:t>
                  </w:r>
                </w:p>
              </w:tc>
              <w:tc>
                <w:tcPr>
                  <w:tcW w:w="600" w:type="pct"/>
                  <w:vAlign w:val="center"/>
                </w:tcPr>
                <w:p w14:paraId="6D81D53E">
                  <w:pPr>
                    <w:pStyle w:val="53"/>
                    <w:spacing w:beforeLines="0" w:afterLines="0" w:line="240" w:lineRule="auto"/>
                    <w:ind w:firstLine="0" w:firstLineChars="0"/>
                    <w:rPr>
                      <w:rFonts w:ascii="Times New Roman"/>
                      <w:b/>
                      <w:bCs/>
                      <w:color w:val="auto"/>
                      <w:sz w:val="24"/>
                    </w:rPr>
                  </w:pPr>
                  <w:r>
                    <w:rPr>
                      <w:rFonts w:ascii="Times New Roman"/>
                      <w:color w:val="auto"/>
                      <w:szCs w:val="21"/>
                    </w:rPr>
                    <w:t>矿粉</w:t>
                  </w:r>
                </w:p>
              </w:tc>
              <w:tc>
                <w:tcPr>
                  <w:tcW w:w="808" w:type="pct"/>
                  <w:vAlign w:val="center"/>
                </w:tcPr>
                <w:p w14:paraId="3F891769">
                  <w:pPr>
                    <w:pStyle w:val="53"/>
                    <w:spacing w:beforeLines="0" w:afterLines="0" w:line="240" w:lineRule="auto"/>
                    <w:ind w:firstLine="0" w:firstLineChars="0"/>
                    <w:rPr>
                      <w:rFonts w:ascii="Times New Roman"/>
                      <w:b/>
                      <w:bCs/>
                      <w:color w:val="auto"/>
                      <w:sz w:val="24"/>
                    </w:rPr>
                  </w:pPr>
                  <w:r>
                    <w:rPr>
                      <w:rFonts w:ascii="Times New Roman"/>
                      <w:color w:val="auto"/>
                      <w:szCs w:val="21"/>
                    </w:rPr>
                    <w:t>2750</w:t>
                  </w:r>
                </w:p>
              </w:tc>
              <w:tc>
                <w:tcPr>
                  <w:tcW w:w="704" w:type="pct"/>
                  <w:vAlign w:val="center"/>
                </w:tcPr>
                <w:p w14:paraId="7368FBE7">
                  <w:pPr>
                    <w:pStyle w:val="53"/>
                    <w:spacing w:beforeLines="0" w:afterLines="0" w:line="240" w:lineRule="auto"/>
                    <w:ind w:firstLine="0" w:firstLineChars="0"/>
                    <w:rPr>
                      <w:rFonts w:ascii="Times New Roman"/>
                      <w:b/>
                      <w:bCs/>
                      <w:color w:val="auto"/>
                      <w:sz w:val="24"/>
                    </w:rPr>
                  </w:pPr>
                  <w:r>
                    <w:rPr>
                      <w:rFonts w:ascii="Times New Roman"/>
                      <w:color w:val="auto"/>
                      <w:szCs w:val="21"/>
                    </w:rPr>
                    <w:t>外购</w:t>
                  </w:r>
                </w:p>
              </w:tc>
              <w:tc>
                <w:tcPr>
                  <w:tcW w:w="1637" w:type="pct"/>
                  <w:vAlign w:val="center"/>
                </w:tcPr>
                <w:p w14:paraId="1DBD27DC">
                  <w:pPr>
                    <w:pStyle w:val="53"/>
                    <w:spacing w:beforeLines="0" w:afterLines="0" w:line="240" w:lineRule="auto"/>
                    <w:ind w:firstLine="0" w:firstLineChars="0"/>
                    <w:rPr>
                      <w:rFonts w:ascii="Times New Roman"/>
                      <w:b/>
                      <w:bCs/>
                      <w:color w:val="auto"/>
                      <w:sz w:val="24"/>
                    </w:rPr>
                  </w:pPr>
                  <w:r>
                    <w:rPr>
                      <w:rFonts w:ascii="Times New Roman"/>
                      <w:color w:val="auto"/>
                    </w:rPr>
                    <w:t>GB/T18046-2000《用于水泥和混凝土中的粒化高炉矿渣粉》</w:t>
                  </w:r>
                </w:p>
              </w:tc>
              <w:tc>
                <w:tcPr>
                  <w:tcW w:w="635" w:type="pct"/>
                  <w:vAlign w:val="center"/>
                </w:tcPr>
                <w:p w14:paraId="2E075F7B">
                  <w:pPr>
                    <w:pStyle w:val="53"/>
                    <w:spacing w:beforeLines="0" w:afterLines="0" w:line="240" w:lineRule="auto"/>
                    <w:ind w:firstLine="0" w:firstLineChars="0"/>
                    <w:rPr>
                      <w:rFonts w:ascii="Times New Roman"/>
                      <w:b/>
                      <w:bCs/>
                      <w:color w:val="auto"/>
                      <w:sz w:val="24"/>
                    </w:rPr>
                  </w:pPr>
                  <w:r>
                    <w:rPr>
                      <w:rFonts w:ascii="Times New Roman"/>
                      <w:color w:val="auto"/>
                      <w:szCs w:val="21"/>
                    </w:rPr>
                    <w:t>矿粉筒仓</w:t>
                  </w:r>
                </w:p>
              </w:tc>
            </w:tr>
            <w:tr w14:paraId="46ED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1289DEF4">
                  <w:pPr>
                    <w:adjustRightInd w:val="0"/>
                    <w:snapToGrid w:val="0"/>
                    <w:ind w:firstLine="0" w:firstLineChars="0"/>
                    <w:jc w:val="center"/>
                    <w:rPr>
                      <w:b/>
                      <w:bCs/>
                      <w:color w:val="auto"/>
                      <w:sz w:val="24"/>
                    </w:rPr>
                  </w:pPr>
                  <w:r>
                    <w:rPr>
                      <w:rFonts w:hint="eastAsia"/>
                      <w:color w:val="auto"/>
                      <w:kern w:val="0"/>
                      <w:szCs w:val="21"/>
                      <w:lang w:bidi="ar"/>
                    </w:rPr>
                    <w:t>6</w:t>
                  </w:r>
                </w:p>
              </w:tc>
              <w:tc>
                <w:tcPr>
                  <w:tcW w:w="600" w:type="pct"/>
                  <w:vAlign w:val="center"/>
                </w:tcPr>
                <w:p w14:paraId="731FAD9D">
                  <w:pPr>
                    <w:pStyle w:val="53"/>
                    <w:spacing w:beforeLines="0" w:afterLines="0" w:line="240" w:lineRule="auto"/>
                    <w:ind w:firstLine="0" w:firstLineChars="0"/>
                    <w:rPr>
                      <w:rFonts w:ascii="Times New Roman"/>
                      <w:b/>
                      <w:bCs/>
                      <w:color w:val="auto"/>
                      <w:sz w:val="24"/>
                    </w:rPr>
                  </w:pPr>
                  <w:r>
                    <w:rPr>
                      <w:rFonts w:hint="eastAsia" w:ascii="Times New Roman"/>
                      <w:color w:val="auto"/>
                      <w:szCs w:val="21"/>
                    </w:rPr>
                    <w:t>外加剂</w:t>
                  </w:r>
                </w:p>
              </w:tc>
              <w:tc>
                <w:tcPr>
                  <w:tcW w:w="808" w:type="pct"/>
                  <w:vAlign w:val="center"/>
                </w:tcPr>
                <w:p w14:paraId="2DD0926B">
                  <w:pPr>
                    <w:pStyle w:val="53"/>
                    <w:spacing w:beforeLines="0" w:afterLines="0" w:line="240" w:lineRule="auto"/>
                    <w:ind w:firstLine="0" w:firstLineChars="0"/>
                    <w:rPr>
                      <w:rFonts w:ascii="Times New Roman"/>
                      <w:b/>
                      <w:bCs/>
                      <w:color w:val="auto"/>
                      <w:sz w:val="24"/>
                    </w:rPr>
                  </w:pPr>
                  <w:r>
                    <w:rPr>
                      <w:rFonts w:hint="eastAsia" w:ascii="Times New Roman"/>
                      <w:color w:val="auto"/>
                      <w:szCs w:val="21"/>
                    </w:rPr>
                    <w:t>35</w:t>
                  </w:r>
                </w:p>
              </w:tc>
              <w:tc>
                <w:tcPr>
                  <w:tcW w:w="704" w:type="pct"/>
                  <w:vAlign w:val="center"/>
                </w:tcPr>
                <w:p w14:paraId="21C60032">
                  <w:pPr>
                    <w:pStyle w:val="53"/>
                    <w:spacing w:beforeLines="0" w:afterLines="0" w:line="240" w:lineRule="auto"/>
                    <w:ind w:firstLine="0" w:firstLineChars="0"/>
                    <w:rPr>
                      <w:rFonts w:ascii="Times New Roman"/>
                      <w:b/>
                      <w:bCs/>
                      <w:color w:val="auto"/>
                      <w:sz w:val="24"/>
                    </w:rPr>
                  </w:pPr>
                  <w:r>
                    <w:rPr>
                      <w:rFonts w:ascii="Times New Roman"/>
                      <w:color w:val="auto"/>
                      <w:szCs w:val="21"/>
                    </w:rPr>
                    <w:t>外购</w:t>
                  </w:r>
                </w:p>
              </w:tc>
              <w:tc>
                <w:tcPr>
                  <w:tcW w:w="1637" w:type="pct"/>
                  <w:vAlign w:val="center"/>
                </w:tcPr>
                <w:p w14:paraId="10360686">
                  <w:pPr>
                    <w:pStyle w:val="53"/>
                    <w:spacing w:beforeLines="0" w:afterLines="0" w:line="240" w:lineRule="auto"/>
                    <w:ind w:firstLine="0" w:firstLineChars="0"/>
                    <w:rPr>
                      <w:rFonts w:ascii="Times New Roman"/>
                      <w:b/>
                      <w:bCs/>
                      <w:color w:val="auto"/>
                      <w:sz w:val="24"/>
                    </w:rPr>
                  </w:pPr>
                  <w:r>
                    <w:rPr>
                      <w:rFonts w:hint="eastAsia" w:ascii="Times New Roman"/>
                      <w:color w:val="auto"/>
                    </w:rPr>
                    <w:t>/</w:t>
                  </w:r>
                </w:p>
              </w:tc>
              <w:tc>
                <w:tcPr>
                  <w:tcW w:w="635" w:type="pct"/>
                  <w:vAlign w:val="center"/>
                </w:tcPr>
                <w:p w14:paraId="4DA5CB11">
                  <w:pPr>
                    <w:pStyle w:val="53"/>
                    <w:spacing w:beforeLines="0" w:afterLines="0" w:line="240" w:lineRule="auto"/>
                    <w:ind w:firstLine="0" w:firstLineChars="0"/>
                    <w:rPr>
                      <w:rFonts w:ascii="Times New Roman"/>
                      <w:b/>
                      <w:bCs/>
                      <w:color w:val="auto"/>
                      <w:sz w:val="24"/>
                    </w:rPr>
                  </w:pPr>
                  <w:r>
                    <w:rPr>
                      <w:rFonts w:hint="eastAsia" w:ascii="Times New Roman"/>
                      <w:color w:val="auto"/>
                      <w:szCs w:val="21"/>
                    </w:rPr>
                    <w:t>外加剂存放桶</w:t>
                  </w:r>
                </w:p>
              </w:tc>
            </w:tr>
          </w:tbl>
          <w:p w14:paraId="158076CA">
            <w:pPr>
              <w:adjustRightInd w:val="0"/>
              <w:snapToGrid w:val="0"/>
              <w:spacing w:line="360" w:lineRule="auto"/>
              <w:ind w:firstLine="482"/>
              <w:rPr>
                <w:b/>
                <w:bCs/>
                <w:color w:val="auto"/>
                <w:sz w:val="24"/>
              </w:rPr>
            </w:pPr>
            <w:r>
              <w:rPr>
                <w:b/>
                <w:bCs/>
                <w:color w:val="auto"/>
                <w:sz w:val="24"/>
              </w:rPr>
              <w:t>6、原项目劳动定员及工作制度</w:t>
            </w:r>
          </w:p>
          <w:p w14:paraId="57F0EA75">
            <w:pPr>
              <w:adjustRightInd w:val="0"/>
              <w:snapToGrid w:val="0"/>
              <w:spacing w:line="360" w:lineRule="auto"/>
              <w:ind w:firstLine="480"/>
              <w:rPr>
                <w:color w:val="auto"/>
                <w:sz w:val="24"/>
              </w:rPr>
            </w:pPr>
            <w:r>
              <w:rPr>
                <w:color w:val="auto"/>
                <w:sz w:val="24"/>
              </w:rPr>
              <w:t>工作制度：原项目年工作300天，</w:t>
            </w:r>
            <w:r>
              <w:rPr>
                <w:rFonts w:hint="eastAsia"/>
                <w:color w:val="auto"/>
                <w:sz w:val="24"/>
                <w:lang w:val="en-US" w:eastAsia="zh-CN"/>
              </w:rPr>
              <w:t>每天</w:t>
            </w:r>
            <w:r>
              <w:rPr>
                <w:color w:val="auto"/>
                <w:sz w:val="24"/>
              </w:rPr>
              <w:t>工作8h。</w:t>
            </w:r>
          </w:p>
          <w:p w14:paraId="20E14469">
            <w:pPr>
              <w:adjustRightInd w:val="0"/>
              <w:snapToGrid w:val="0"/>
              <w:spacing w:line="360" w:lineRule="auto"/>
              <w:ind w:firstLine="480"/>
              <w:rPr>
                <w:color w:val="auto"/>
                <w:sz w:val="24"/>
              </w:rPr>
            </w:pPr>
            <w:r>
              <w:rPr>
                <w:color w:val="auto"/>
                <w:sz w:val="24"/>
              </w:rPr>
              <w:t>劳动定员：原项目设置30人</w:t>
            </w:r>
            <w:r>
              <w:rPr>
                <w:color w:val="auto"/>
                <w:spacing w:val="-5"/>
                <w:sz w:val="24"/>
              </w:rPr>
              <w:t>，项区内食宿</w:t>
            </w:r>
            <w:r>
              <w:rPr>
                <w:color w:val="auto"/>
                <w:sz w:val="24"/>
              </w:rPr>
              <w:t>职工人数15人，</w:t>
            </w:r>
            <w:r>
              <w:rPr>
                <w:rFonts w:hint="eastAsia"/>
                <w:color w:val="auto"/>
                <w:sz w:val="24"/>
                <w:lang w:val="en-US" w:eastAsia="zh-CN"/>
              </w:rPr>
              <w:t>不在项目区</w:t>
            </w:r>
            <w:r>
              <w:rPr>
                <w:color w:val="auto"/>
                <w:spacing w:val="-5"/>
                <w:sz w:val="24"/>
              </w:rPr>
              <w:t>内食宿</w:t>
            </w:r>
            <w:r>
              <w:rPr>
                <w:rFonts w:hint="eastAsia"/>
                <w:color w:val="auto"/>
                <w:spacing w:val="-5"/>
                <w:sz w:val="24"/>
                <w:lang w:eastAsia="zh-CN"/>
              </w:rPr>
              <w:t>，</w:t>
            </w:r>
            <w:r>
              <w:rPr>
                <w:color w:val="auto"/>
                <w:sz w:val="24"/>
              </w:rPr>
              <w:t>职工人数15人。</w:t>
            </w:r>
          </w:p>
          <w:p w14:paraId="552E94BF">
            <w:pPr>
              <w:adjustRightInd w:val="0"/>
              <w:snapToGrid w:val="0"/>
              <w:spacing w:line="360" w:lineRule="auto"/>
              <w:ind w:firstLine="482"/>
              <w:rPr>
                <w:b/>
                <w:bCs/>
                <w:color w:val="auto"/>
                <w:sz w:val="24"/>
              </w:rPr>
            </w:pPr>
            <w:r>
              <w:rPr>
                <w:b/>
                <w:bCs/>
                <w:color w:val="auto"/>
                <w:sz w:val="24"/>
              </w:rPr>
              <w:t>7、原项目工艺流程</w:t>
            </w:r>
          </w:p>
          <w:p w14:paraId="3887A26C">
            <w:pPr>
              <w:adjustRightInd w:val="0"/>
              <w:snapToGrid w:val="0"/>
              <w:spacing w:line="360" w:lineRule="auto"/>
              <w:ind w:firstLine="480"/>
              <w:rPr>
                <w:color w:val="auto"/>
                <w:sz w:val="24"/>
              </w:rPr>
            </w:pPr>
            <w:r>
              <w:rPr>
                <w:color w:val="auto"/>
                <w:sz w:val="24"/>
              </w:rPr>
              <w:t>原项目主要生产商品混凝土由骨料、水泥、粉煤灰、矿粉混合拌制而成。进入拌缸的骨料、水泥、粉煤灰、矿粉等经拌合后才成为成品，生产工艺流程及产污环节见图2-5。</w:t>
            </w:r>
          </w:p>
          <w:p w14:paraId="5C858D4A">
            <w:pPr>
              <w:adjustRightInd w:val="0"/>
              <w:snapToGrid w:val="0"/>
              <w:spacing w:line="360" w:lineRule="auto"/>
              <w:ind w:firstLine="480"/>
              <w:rPr>
                <w:color w:val="auto"/>
                <w:sz w:val="24"/>
              </w:rPr>
            </w:pPr>
          </w:p>
          <w:p w14:paraId="0D3D97D4">
            <w:pPr>
              <w:adjustRightInd w:val="0"/>
              <w:snapToGrid w:val="0"/>
              <w:spacing w:line="360" w:lineRule="auto"/>
              <w:ind w:firstLine="480"/>
              <w:rPr>
                <w:color w:val="auto"/>
                <w:sz w:val="24"/>
              </w:rPr>
            </w:pPr>
          </w:p>
          <w:p w14:paraId="5366A10E">
            <w:pPr>
              <w:adjustRightInd w:val="0"/>
              <w:snapToGrid w:val="0"/>
              <w:spacing w:line="360" w:lineRule="auto"/>
              <w:ind w:firstLine="480"/>
              <w:rPr>
                <w:color w:val="auto"/>
                <w:sz w:val="24"/>
              </w:rPr>
            </w:pPr>
          </w:p>
          <w:p w14:paraId="249FF018">
            <w:pPr>
              <w:adjustRightInd w:val="0"/>
              <w:snapToGrid w:val="0"/>
              <w:spacing w:line="360" w:lineRule="auto"/>
              <w:ind w:firstLine="480"/>
              <w:rPr>
                <w:color w:val="auto"/>
                <w:sz w:val="24"/>
              </w:rPr>
            </w:pPr>
          </w:p>
          <w:p w14:paraId="06F3B771">
            <w:pPr>
              <w:adjustRightInd w:val="0"/>
              <w:snapToGrid w:val="0"/>
              <w:spacing w:line="360" w:lineRule="auto"/>
              <w:ind w:firstLine="480"/>
              <w:rPr>
                <w:color w:val="auto"/>
                <w:sz w:val="24"/>
              </w:rPr>
            </w:pPr>
          </w:p>
          <w:p w14:paraId="4E562051">
            <w:pPr>
              <w:adjustRightInd w:val="0"/>
              <w:snapToGrid w:val="0"/>
              <w:spacing w:line="360" w:lineRule="auto"/>
              <w:ind w:firstLine="480"/>
              <w:rPr>
                <w:color w:val="auto"/>
                <w:sz w:val="24"/>
              </w:rPr>
            </w:pPr>
          </w:p>
          <w:p w14:paraId="2DABE7FF">
            <w:pPr>
              <w:spacing w:line="360" w:lineRule="auto"/>
              <w:ind w:firstLine="0" w:firstLineChars="0"/>
              <w:jc w:val="center"/>
              <w:rPr>
                <w:b/>
                <w:bCs/>
                <w:color w:val="auto"/>
                <w:szCs w:val="21"/>
              </w:rPr>
            </w:pPr>
            <w:r>
              <w:rPr>
                <w:rFonts w:hint="eastAsia"/>
                <w:color w:val="auto"/>
                <w:sz w:val="24"/>
              </w:rPr>
              <w:object>
                <v:shape id="_x0000_i1030" o:spt="75" type="#_x0000_t75" style="height:280.45pt;width:403.45pt;" o:ole="t" filled="f" o:preferrelative="t" stroked="f" coordsize="21600,21600">
                  <v:path/>
                  <v:fill on="f" focussize="0,0"/>
                  <v:stroke on="f"/>
                  <v:imagedata r:id="rId22" o:title=""/>
                  <o:lock v:ext="edit" aspectratio="t"/>
                  <w10:wrap type="none"/>
                  <w10:anchorlock/>
                </v:shape>
                <o:OLEObject Type="Embed" ProgID="Visio.Drawing.11" ShapeID="_x0000_i1030" DrawAspect="Content" ObjectID="_1468075730" r:id="rId21">
                  <o:LockedField>false</o:LockedField>
                </o:OLEObject>
              </w:object>
            </w:r>
            <w:r>
              <w:rPr>
                <w:b/>
                <w:bCs/>
                <w:color w:val="auto"/>
                <w:szCs w:val="21"/>
              </w:rPr>
              <w:t>图2-</w:t>
            </w:r>
            <w:r>
              <w:rPr>
                <w:rFonts w:hint="eastAsia"/>
                <w:b/>
                <w:bCs/>
                <w:color w:val="auto"/>
                <w:szCs w:val="21"/>
                <w:lang w:val="en-US" w:eastAsia="zh-CN"/>
              </w:rPr>
              <w:t>6</w:t>
            </w:r>
            <w:r>
              <w:rPr>
                <w:b/>
                <w:bCs/>
                <w:color w:val="auto"/>
                <w:szCs w:val="21"/>
              </w:rPr>
              <w:t xml:space="preserve">   </w:t>
            </w:r>
            <w:r>
              <w:rPr>
                <w:b/>
                <w:bCs/>
                <w:color w:val="auto"/>
              </w:rPr>
              <w:t>运营期商品混凝土工艺流程及产污节点图</w:t>
            </w:r>
          </w:p>
          <w:p w14:paraId="72430525">
            <w:pPr>
              <w:adjustRightInd w:val="0"/>
              <w:snapToGrid w:val="0"/>
              <w:spacing w:line="360" w:lineRule="auto"/>
              <w:ind w:firstLine="482"/>
              <w:rPr>
                <w:b/>
                <w:color w:val="auto"/>
                <w:sz w:val="24"/>
              </w:rPr>
            </w:pPr>
            <w:r>
              <w:rPr>
                <w:b/>
                <w:color w:val="auto"/>
                <w:sz w:val="24"/>
              </w:rPr>
              <w:t>工艺流程简述：</w:t>
            </w:r>
          </w:p>
          <w:p w14:paraId="3C8E95E6">
            <w:pPr>
              <w:autoSpaceDE w:val="0"/>
              <w:autoSpaceDN w:val="0"/>
              <w:spacing w:line="360" w:lineRule="auto"/>
              <w:ind w:firstLine="480"/>
              <w:rPr>
                <w:b/>
                <w:bCs/>
                <w:color w:val="auto"/>
                <w:sz w:val="24"/>
              </w:rPr>
            </w:pPr>
            <w:r>
              <w:rPr>
                <w:color w:val="auto"/>
                <w:sz w:val="24"/>
              </w:rPr>
              <w:t>本项目生产工艺是比较成熟和简单的，首先通过物流把关，外购合格的石子和砂料由运输车辆运至项目内分别堆存于石仓和砂仓备用；通过装载机将砂石料运至计量槽中，砂石料由电脑进行控制并计算配送；水泥和粉煤灰置于筒库内，通过水泵将生产用水提升进入水槽由电脑微机控制水量的添加量；粉状料由放料阀进入搅拌仓，水由水泵打入搅拌仓，与砂石料一同进入搅拌生产，粉料和水均由电脑进行配比计算严格控制比例。原料添加过程同时搅拌，搅拌完成之后由计算泵送入混泥土车运输车，最后运送至工地。</w:t>
            </w:r>
          </w:p>
          <w:p w14:paraId="6A04E544">
            <w:pPr>
              <w:adjustRightInd w:val="0"/>
              <w:snapToGrid w:val="0"/>
              <w:spacing w:line="360" w:lineRule="auto"/>
              <w:ind w:firstLine="482"/>
              <w:rPr>
                <w:b/>
                <w:bCs/>
                <w:color w:val="auto"/>
                <w:sz w:val="24"/>
              </w:rPr>
            </w:pPr>
            <w:r>
              <w:rPr>
                <w:b/>
                <w:bCs/>
                <w:color w:val="auto"/>
                <w:sz w:val="24"/>
              </w:rPr>
              <w:t>三、原项目</w:t>
            </w:r>
            <w:r>
              <w:rPr>
                <w:rFonts w:hint="eastAsia"/>
                <w:b/>
                <w:bCs/>
                <w:color w:val="auto"/>
                <w:sz w:val="24"/>
                <w:lang w:val="en-US" w:eastAsia="zh-CN"/>
              </w:rPr>
              <w:t>验收监测</w:t>
            </w:r>
            <w:r>
              <w:rPr>
                <w:b/>
                <w:bCs/>
                <w:color w:val="auto"/>
                <w:sz w:val="24"/>
              </w:rPr>
              <w:t>情况</w:t>
            </w:r>
          </w:p>
          <w:p w14:paraId="7D05C77F">
            <w:pPr>
              <w:pStyle w:val="20"/>
              <w:spacing w:after="0" w:line="360" w:lineRule="auto"/>
              <w:ind w:firstLine="480"/>
              <w:rPr>
                <w:color w:val="auto"/>
                <w:sz w:val="24"/>
              </w:rPr>
            </w:pPr>
            <w:r>
              <w:rPr>
                <w:rFonts w:hint="eastAsia"/>
                <w:color w:val="auto"/>
                <w:sz w:val="24"/>
                <w:lang w:val="en-US" w:eastAsia="zh-CN"/>
              </w:rPr>
              <w:t>原项目于</w:t>
            </w:r>
            <w:r>
              <w:rPr>
                <w:color w:val="auto"/>
                <w:sz w:val="24"/>
              </w:rPr>
              <w:t>2020年2</w:t>
            </w:r>
            <w:r>
              <w:rPr>
                <w:color w:val="auto"/>
                <w:spacing w:val="-5"/>
                <w:sz w:val="24"/>
              </w:rPr>
              <w:t>月</w:t>
            </w:r>
            <w:r>
              <w:rPr>
                <w:rFonts w:hint="eastAsia"/>
                <w:color w:val="auto"/>
                <w:spacing w:val="-5"/>
                <w:sz w:val="24"/>
                <w:lang w:val="en-US" w:eastAsia="zh-CN"/>
              </w:rPr>
              <w:t>委托</w:t>
            </w:r>
            <w:r>
              <w:rPr>
                <w:color w:val="auto"/>
                <w:spacing w:val="-5"/>
                <w:sz w:val="24"/>
              </w:rPr>
              <w:t>云南环绿环境检测技术有限公司编制的《年产25万吨商品混凝土生产线建设项目竣工环境保护验收监测报告表》</w:t>
            </w:r>
            <w:r>
              <w:rPr>
                <w:color w:val="auto"/>
                <w:sz w:val="24"/>
              </w:rPr>
              <w:t>及</w:t>
            </w:r>
            <w:r>
              <w:rPr>
                <w:rFonts w:hint="eastAsia"/>
                <w:color w:val="auto"/>
                <w:sz w:val="24"/>
                <w:lang w:val="en-US" w:eastAsia="zh-CN"/>
              </w:rPr>
              <w:t>原项目</w:t>
            </w:r>
            <w:r>
              <w:rPr>
                <w:color w:val="auto"/>
                <w:sz w:val="24"/>
              </w:rPr>
              <w:t>试运营</w:t>
            </w:r>
            <w:r>
              <w:rPr>
                <w:rFonts w:hint="eastAsia"/>
                <w:color w:val="auto"/>
                <w:sz w:val="24"/>
                <w:lang w:val="en-US" w:eastAsia="zh-CN"/>
              </w:rPr>
              <w:t>情况</w:t>
            </w:r>
            <w:r>
              <w:rPr>
                <w:color w:val="auto"/>
                <w:sz w:val="24"/>
              </w:rPr>
              <w:t>可知，与本项目有关的原有污染物具体产排情况如下：</w:t>
            </w:r>
          </w:p>
          <w:p w14:paraId="74A36EBD">
            <w:pPr>
              <w:pStyle w:val="76"/>
              <w:tabs>
                <w:tab w:val="left" w:pos="1310"/>
              </w:tabs>
              <w:spacing w:line="360" w:lineRule="auto"/>
              <w:ind w:firstLine="482"/>
              <w:jc w:val="left"/>
              <w:rPr>
                <w:b/>
                <w:bCs/>
                <w:color w:val="auto"/>
                <w:sz w:val="24"/>
                <w:szCs w:val="24"/>
              </w:rPr>
            </w:pPr>
            <w:r>
              <w:rPr>
                <w:b/>
                <w:bCs/>
                <w:color w:val="auto"/>
                <w:sz w:val="24"/>
                <w:szCs w:val="24"/>
              </w:rPr>
              <w:t>1、废气</w:t>
            </w:r>
          </w:p>
          <w:p w14:paraId="0EDCCD53">
            <w:pPr>
              <w:pStyle w:val="83"/>
              <w:rPr>
                <w:color w:val="auto"/>
              </w:rPr>
            </w:pPr>
            <w:r>
              <w:rPr>
                <w:color w:val="auto"/>
              </w:rPr>
              <w:t>原项目运营期废气主要有生产运输过程中产生的粉尘和食堂油烟。</w:t>
            </w:r>
          </w:p>
          <w:p w14:paraId="67A5EC80">
            <w:pPr>
              <w:autoSpaceDE w:val="0"/>
              <w:autoSpaceDN w:val="0"/>
              <w:spacing w:line="360" w:lineRule="auto"/>
              <w:ind w:firstLine="480"/>
              <w:rPr>
                <w:color w:val="auto"/>
                <w:sz w:val="24"/>
              </w:rPr>
            </w:pPr>
            <w:r>
              <w:rPr>
                <w:color w:val="auto"/>
                <w:sz w:val="24"/>
              </w:rPr>
              <w:t>（1）工艺废气</w:t>
            </w:r>
          </w:p>
          <w:p w14:paraId="18D51152">
            <w:pPr>
              <w:autoSpaceDE w:val="0"/>
              <w:autoSpaceDN w:val="0"/>
              <w:spacing w:line="360" w:lineRule="auto"/>
              <w:ind w:firstLine="480"/>
              <w:rPr>
                <w:color w:val="auto"/>
                <w:sz w:val="24"/>
              </w:rPr>
            </w:pPr>
            <w:r>
              <w:rPr>
                <w:color w:val="auto"/>
                <w:sz w:val="24"/>
              </w:rPr>
              <w:t>原项目生产过程主要使用电，不使用锅炉，因此不产生锅炉废气。</w:t>
            </w:r>
            <w:r>
              <w:rPr>
                <w:rFonts w:hint="eastAsia"/>
                <w:color w:val="auto"/>
                <w:sz w:val="24"/>
                <w:lang w:val="en-US" w:eastAsia="zh-CN"/>
              </w:rPr>
              <w:t>原</w:t>
            </w:r>
            <w:r>
              <w:rPr>
                <w:color w:val="auto"/>
                <w:sz w:val="24"/>
              </w:rPr>
              <w:t>项目大气污染物主要是粉尘，其来源为在输送、计量、投料过程产生的粉尘，运输车辆动力起尘，筒库呼吸孔粉尘，筒库抽料时放空口产生的粉尘及堆场风起尘。</w:t>
            </w:r>
          </w:p>
          <w:p w14:paraId="1200A949">
            <w:pPr>
              <w:autoSpaceDE w:val="0"/>
              <w:autoSpaceDN w:val="0"/>
              <w:spacing w:line="360" w:lineRule="auto"/>
              <w:ind w:firstLine="480"/>
              <w:rPr>
                <w:color w:val="auto"/>
                <w:sz w:val="24"/>
              </w:rPr>
            </w:pPr>
            <w:r>
              <w:rPr>
                <w:color w:val="auto"/>
                <w:sz w:val="24"/>
              </w:rPr>
              <w:t>①输送、计量、投料粉尘</w:t>
            </w:r>
          </w:p>
          <w:p w14:paraId="2C18A41D">
            <w:pPr>
              <w:autoSpaceDE w:val="0"/>
              <w:autoSpaceDN w:val="0"/>
              <w:spacing w:line="360" w:lineRule="auto"/>
              <w:ind w:firstLine="480"/>
              <w:rPr>
                <w:color w:val="auto"/>
                <w:sz w:val="24"/>
              </w:rPr>
            </w:pPr>
            <w:r>
              <w:rPr>
                <w:color w:val="auto"/>
                <w:sz w:val="24"/>
              </w:rPr>
              <w:t>原项目砂、石提升以搅拌站配套的皮带输送方式完成，各生产工序均采用电脑集中控制，皮带输送过程设置了防尘罩密闭，水泥、粉煤灰以压缩空气吹入水泥筒仓，辅以螺旋输送机给水泥秤供料。原料的输送、计量、投料等过程均为密闭式</w:t>
            </w:r>
            <w:r>
              <w:rPr>
                <w:rFonts w:hint="eastAsia"/>
                <w:color w:val="auto"/>
                <w:sz w:val="24"/>
                <w:lang w:eastAsia="zh-CN"/>
              </w:rPr>
              <w:t>，</w:t>
            </w:r>
            <w:r>
              <w:rPr>
                <w:rFonts w:hint="eastAsia"/>
                <w:color w:val="auto"/>
                <w:sz w:val="24"/>
                <w:lang w:val="en-US" w:eastAsia="zh-CN"/>
              </w:rPr>
              <w:t>根据</w:t>
            </w:r>
            <w:r>
              <w:rPr>
                <w:rFonts w:hint="eastAsia"/>
                <w:bCs/>
                <w:color w:val="auto"/>
                <w:sz w:val="24"/>
                <w:lang w:val="en-US" w:eastAsia="zh-CN"/>
              </w:rPr>
              <w:t>《责令改正违法行为决定书》</w:t>
            </w:r>
            <w:r>
              <w:rPr>
                <w:rFonts w:hint="eastAsia"/>
                <w:color w:val="auto"/>
                <w:sz w:val="24"/>
              </w:rPr>
              <w:t>昆生环改字〔2023﹞11-30号</w:t>
            </w:r>
            <w:r>
              <w:rPr>
                <w:rFonts w:hint="eastAsia"/>
                <w:color w:val="auto"/>
                <w:sz w:val="24"/>
                <w:lang w:val="en-US" w:eastAsia="zh-CN"/>
              </w:rPr>
              <w:t>的要求，建设单于2024年5月对原项目搅拌设备安装布袋除尘器，投料粉尘经布袋除尘器处理后成无组织排放</w:t>
            </w:r>
            <w:r>
              <w:rPr>
                <w:color w:val="auto"/>
                <w:sz w:val="24"/>
              </w:rPr>
              <w:t>。</w:t>
            </w:r>
          </w:p>
          <w:p w14:paraId="08D5AB29">
            <w:pPr>
              <w:autoSpaceDE w:val="0"/>
              <w:autoSpaceDN w:val="0"/>
              <w:spacing w:line="360" w:lineRule="auto"/>
              <w:ind w:firstLine="480"/>
              <w:rPr>
                <w:color w:val="auto"/>
                <w:sz w:val="24"/>
              </w:rPr>
            </w:pPr>
            <w:r>
              <w:rPr>
                <w:color w:val="auto"/>
                <w:sz w:val="24"/>
              </w:rPr>
              <w:t>②汽车动力起尘</w:t>
            </w:r>
          </w:p>
          <w:p w14:paraId="6A4A1293">
            <w:pPr>
              <w:autoSpaceDE w:val="0"/>
              <w:autoSpaceDN w:val="0"/>
              <w:spacing w:line="360" w:lineRule="auto"/>
              <w:ind w:firstLine="480"/>
              <w:rPr>
                <w:color w:val="auto"/>
                <w:sz w:val="24"/>
              </w:rPr>
            </w:pPr>
            <w:r>
              <w:rPr>
                <w:color w:val="auto"/>
                <w:sz w:val="24"/>
              </w:rPr>
              <w:t>原项目运输车辆行驶，产生的粉尘。</w:t>
            </w:r>
          </w:p>
          <w:p w14:paraId="16EBF57B">
            <w:pPr>
              <w:autoSpaceDE w:val="0"/>
              <w:autoSpaceDN w:val="0"/>
              <w:spacing w:line="360" w:lineRule="auto"/>
              <w:ind w:firstLine="480"/>
              <w:rPr>
                <w:color w:val="auto"/>
                <w:sz w:val="24"/>
              </w:rPr>
            </w:pPr>
            <w:r>
              <w:rPr>
                <w:color w:val="auto"/>
                <w:sz w:val="24"/>
              </w:rPr>
              <w:t>原项目区内定期有专人进行路面的清扫、洒水，以减少道路扬尘。同时加强管理，严禁超载，车辆进出厂区时</w:t>
            </w:r>
            <w:r>
              <w:rPr>
                <w:rFonts w:hint="eastAsia"/>
                <w:color w:val="auto"/>
                <w:sz w:val="24"/>
              </w:rPr>
              <w:t>采用</w:t>
            </w:r>
            <w:r>
              <w:rPr>
                <w:color w:val="auto"/>
                <w:sz w:val="24"/>
              </w:rPr>
              <w:t>水枪对轮胎冲洗等措施，达到抑制扬尘的作用。</w:t>
            </w:r>
          </w:p>
          <w:p w14:paraId="6324369D">
            <w:pPr>
              <w:autoSpaceDE w:val="0"/>
              <w:autoSpaceDN w:val="0"/>
              <w:spacing w:line="360" w:lineRule="auto"/>
              <w:ind w:firstLine="480"/>
              <w:rPr>
                <w:color w:val="auto"/>
                <w:sz w:val="24"/>
              </w:rPr>
            </w:pPr>
            <w:r>
              <w:rPr>
                <w:color w:val="auto"/>
                <w:sz w:val="24"/>
              </w:rPr>
              <w:t>③筒库顶呼吸孔粉尘</w:t>
            </w:r>
          </w:p>
          <w:p w14:paraId="08CB263C">
            <w:pPr>
              <w:autoSpaceDE w:val="0"/>
              <w:autoSpaceDN w:val="0"/>
              <w:spacing w:line="360" w:lineRule="auto"/>
              <w:ind w:firstLine="480"/>
              <w:rPr>
                <w:color w:val="auto"/>
                <w:sz w:val="24"/>
              </w:rPr>
            </w:pPr>
            <w:r>
              <w:rPr>
                <w:color w:val="auto"/>
                <w:sz w:val="24"/>
              </w:rPr>
              <w:t>原项目水泥、粉煤灰均为筒库储藏，</w:t>
            </w:r>
            <w:r>
              <w:rPr>
                <w:rFonts w:hint="eastAsia"/>
                <w:color w:val="auto"/>
                <w:sz w:val="24"/>
                <w:lang w:val="en-US" w:eastAsia="zh-CN"/>
              </w:rPr>
              <w:t>根据</w:t>
            </w:r>
            <w:r>
              <w:rPr>
                <w:rFonts w:hint="eastAsia"/>
                <w:bCs/>
                <w:color w:val="auto"/>
                <w:sz w:val="24"/>
                <w:lang w:val="en-US" w:eastAsia="zh-CN"/>
              </w:rPr>
              <w:t>《责令改正违法行为决定书》</w:t>
            </w:r>
            <w:r>
              <w:rPr>
                <w:rFonts w:hint="eastAsia"/>
                <w:color w:val="auto"/>
                <w:sz w:val="24"/>
              </w:rPr>
              <w:t>昆生环改字〔2023﹞11-30号</w:t>
            </w:r>
            <w:r>
              <w:rPr>
                <w:rFonts w:hint="eastAsia"/>
                <w:color w:val="auto"/>
                <w:sz w:val="24"/>
                <w:lang w:val="en-US" w:eastAsia="zh-CN"/>
              </w:rPr>
              <w:t>的要求，建设单于2024年5月</w:t>
            </w:r>
            <w:r>
              <w:rPr>
                <w:rFonts w:hint="eastAsia"/>
                <w:b w:val="0"/>
                <w:bCs w:val="0"/>
                <w:color w:val="auto"/>
                <w:sz w:val="24"/>
                <w:lang w:val="en-US" w:eastAsia="zh-CN"/>
              </w:rPr>
              <w:t>对原项目对水泥、粉煤灰、矿粉筒仓安装布袋除尘器+排气筒；</w:t>
            </w:r>
            <w:r>
              <w:rPr>
                <w:b w:val="0"/>
                <w:bCs w:val="0"/>
                <w:color w:val="auto"/>
                <w:sz w:val="24"/>
              </w:rPr>
              <w:t>筒库顶呼吸孔粉尘</w:t>
            </w:r>
            <w:r>
              <w:rPr>
                <w:rFonts w:hint="eastAsia"/>
                <w:b w:val="0"/>
                <w:bCs w:val="0"/>
                <w:color w:val="auto"/>
                <w:sz w:val="24"/>
                <w:lang w:val="en-US" w:eastAsia="zh-CN"/>
              </w:rPr>
              <w:t>经</w:t>
            </w:r>
            <w:r>
              <w:rPr>
                <w:rFonts w:hint="eastAsia"/>
                <w:color w:val="auto"/>
                <w:sz w:val="24"/>
                <w:lang w:val="en-US" w:eastAsia="zh-CN"/>
              </w:rPr>
              <w:t>布袋除尘器处理后经排气筒排放</w:t>
            </w:r>
            <w:r>
              <w:rPr>
                <w:color w:val="auto"/>
                <w:sz w:val="24"/>
              </w:rPr>
              <w:t>。</w:t>
            </w:r>
          </w:p>
          <w:p w14:paraId="647821C7">
            <w:pPr>
              <w:autoSpaceDE w:val="0"/>
              <w:autoSpaceDN w:val="0"/>
              <w:spacing w:line="360" w:lineRule="auto"/>
              <w:ind w:firstLine="480"/>
              <w:rPr>
                <w:color w:val="auto"/>
                <w:sz w:val="24"/>
              </w:rPr>
            </w:pPr>
            <w:r>
              <w:rPr>
                <w:color w:val="auto"/>
                <w:sz w:val="24"/>
              </w:rPr>
              <w:t>④筒库放空口粉尘</w:t>
            </w:r>
          </w:p>
          <w:p w14:paraId="713A91B5">
            <w:pPr>
              <w:autoSpaceDE w:val="0"/>
              <w:autoSpaceDN w:val="0"/>
              <w:spacing w:line="360" w:lineRule="auto"/>
              <w:ind w:firstLine="480"/>
              <w:rPr>
                <w:color w:val="auto"/>
                <w:sz w:val="24"/>
              </w:rPr>
            </w:pPr>
            <w:r>
              <w:rPr>
                <w:color w:val="auto"/>
                <w:sz w:val="24"/>
              </w:rPr>
              <w:t>原筒库放空口在抽料时产生的粉尘，项目在筒库放空口处安装了自动衔接输料口，出料车辆接料口也相应配套了自动衔接口，每次放料结束后先关闭筒库放料口阀门，然后出料车辆再行驶，从而降低了粉尘的产生量。</w:t>
            </w:r>
          </w:p>
          <w:p w14:paraId="56F444FF">
            <w:pPr>
              <w:autoSpaceDE w:val="0"/>
              <w:autoSpaceDN w:val="0"/>
              <w:spacing w:line="360" w:lineRule="auto"/>
              <w:ind w:firstLine="480"/>
              <w:rPr>
                <w:color w:val="auto"/>
                <w:sz w:val="24"/>
              </w:rPr>
            </w:pPr>
            <w:r>
              <w:rPr>
                <w:color w:val="auto"/>
                <w:sz w:val="24"/>
              </w:rPr>
              <w:t>⑤砂石料仓起尘</w:t>
            </w:r>
          </w:p>
          <w:p w14:paraId="53DAEA45">
            <w:pPr>
              <w:pStyle w:val="83"/>
              <w:rPr>
                <w:color w:val="auto"/>
              </w:rPr>
            </w:pPr>
            <w:r>
              <w:rPr>
                <w:rFonts w:hint="eastAsia"/>
                <w:color w:val="auto"/>
                <w:sz w:val="24"/>
                <w:lang w:val="en-US" w:eastAsia="zh-CN"/>
              </w:rPr>
              <w:t>根据</w:t>
            </w:r>
            <w:r>
              <w:rPr>
                <w:rFonts w:hint="eastAsia"/>
                <w:bCs/>
                <w:color w:val="auto"/>
                <w:sz w:val="24"/>
                <w:lang w:val="en-US" w:eastAsia="zh-CN"/>
              </w:rPr>
              <w:t>《责令改正违法行为决定书》</w:t>
            </w:r>
            <w:r>
              <w:rPr>
                <w:rFonts w:hint="eastAsia"/>
                <w:color w:val="auto"/>
                <w:sz w:val="24"/>
              </w:rPr>
              <w:t>昆生环改字〔2023﹞11-30号</w:t>
            </w:r>
            <w:r>
              <w:rPr>
                <w:rFonts w:hint="eastAsia"/>
                <w:color w:val="auto"/>
                <w:sz w:val="24"/>
                <w:lang w:val="en-US" w:eastAsia="zh-CN"/>
              </w:rPr>
              <w:t>的要求，建设单于2024年5月对</w:t>
            </w:r>
            <w:r>
              <w:rPr>
                <w:color w:val="auto"/>
              </w:rPr>
              <w:t>砂石料仓三面设置了围墙，只留一面取料面，堆场顶部加设了顶盖，并对地面进行了水泥固化处理，从而有效的降低堆场的起尘量；在生产过程中进行洒水</w:t>
            </w:r>
            <w:r>
              <w:rPr>
                <w:rFonts w:hint="eastAsia"/>
                <w:color w:val="auto"/>
              </w:rPr>
              <w:t>抑尘，</w:t>
            </w:r>
            <w:r>
              <w:rPr>
                <w:color w:val="auto"/>
              </w:rPr>
              <w:t>沙石堆场表面结成硬壳，也可起到防尘的作用。</w:t>
            </w:r>
          </w:p>
          <w:p w14:paraId="08C5D5E8">
            <w:pPr>
              <w:spacing w:line="360" w:lineRule="auto"/>
              <w:ind w:firstLine="480"/>
              <w:rPr>
                <w:bCs/>
                <w:color w:val="auto"/>
                <w:sz w:val="24"/>
              </w:rPr>
            </w:pPr>
            <w:r>
              <w:rPr>
                <w:color w:val="auto"/>
                <w:sz w:val="24"/>
              </w:rPr>
              <w:t>根据</w:t>
            </w:r>
            <w:r>
              <w:rPr>
                <w:bCs/>
                <w:color w:val="auto"/>
                <w:sz w:val="24"/>
              </w:rPr>
              <w:t>云南环绿环境检测技术有限公司</w:t>
            </w:r>
            <w:r>
              <w:rPr>
                <w:color w:val="auto"/>
                <w:sz w:val="24"/>
              </w:rPr>
              <w:t>2019年12月25日-26日对项目区下风向两个点位进行的无组织废气（TSP）检测结果可知，项目产生的无组织颗粒物均能满足《大气污染物综合排放标准》GB16297-1996表2限值要求，即：颗粒物≤1.0</w:t>
            </w:r>
            <w:r>
              <w:rPr>
                <w:bCs/>
                <w:color w:val="auto"/>
                <w:sz w:val="24"/>
              </w:rPr>
              <w:t>mg/m</w:t>
            </w:r>
            <w:r>
              <w:rPr>
                <w:bCs/>
                <w:color w:val="auto"/>
                <w:sz w:val="24"/>
                <w:vertAlign w:val="superscript"/>
              </w:rPr>
              <w:t>3</w:t>
            </w:r>
            <w:r>
              <w:rPr>
                <w:bCs/>
                <w:color w:val="auto"/>
                <w:sz w:val="24"/>
              </w:rPr>
              <w:t>。</w:t>
            </w:r>
          </w:p>
          <w:p w14:paraId="6BBD3122">
            <w:pPr>
              <w:spacing w:line="360" w:lineRule="auto"/>
              <w:ind w:firstLine="480"/>
              <w:rPr>
                <w:rFonts w:hint="default"/>
                <w:b/>
                <w:bCs w:val="0"/>
                <w:color w:val="auto"/>
                <w:sz w:val="24"/>
                <w:lang w:val="en-US" w:eastAsia="zh-CN"/>
              </w:rPr>
            </w:pPr>
            <w:r>
              <w:rPr>
                <w:rFonts w:hint="eastAsia"/>
                <w:b/>
                <w:bCs w:val="0"/>
                <w:color w:val="auto"/>
                <w:sz w:val="24"/>
                <w:lang w:val="en-US" w:eastAsia="zh-CN"/>
              </w:rPr>
              <w:t>原项目实际排污情况：</w:t>
            </w:r>
          </w:p>
          <w:p w14:paraId="274DABB6">
            <w:pPr>
              <w:spacing w:line="360" w:lineRule="auto"/>
              <w:ind w:firstLine="480"/>
              <w:rPr>
                <w:rFonts w:hint="default" w:ascii="Times New Roman" w:hAnsi="Times New Roman" w:eastAsia="宋体" w:cs="Times New Roman"/>
                <w:bCs/>
                <w:color w:val="auto"/>
                <w:sz w:val="24"/>
                <w:lang w:val="en-US" w:eastAsia="zh-CN"/>
              </w:rPr>
            </w:pPr>
            <w:r>
              <w:rPr>
                <w:rFonts w:hint="eastAsia"/>
                <w:bCs/>
                <w:color w:val="auto"/>
                <w:sz w:val="24"/>
                <w:lang w:val="en-US" w:eastAsia="zh-CN"/>
              </w:rPr>
              <w:t>原项目受到《责令改正违法行为决定书》</w:t>
            </w:r>
            <w:r>
              <w:rPr>
                <w:rFonts w:hint="eastAsia"/>
                <w:color w:val="auto"/>
                <w:sz w:val="24"/>
              </w:rPr>
              <w:t>昆生环改字〔2023﹞11-30号，昆明市生态环境局于2023年11月24日对本公司进行了检查，发现本公司存在部分砂石料露天堆放，未采取覆盖、围挡、密闭等有效的防扬尘措施的环境违法行为</w:t>
            </w:r>
            <w:r>
              <w:rPr>
                <w:rFonts w:hint="eastAsia"/>
                <w:color w:val="auto"/>
                <w:sz w:val="24"/>
                <w:lang w:eastAsia="zh-CN"/>
              </w:rPr>
              <w:t>；</w:t>
            </w:r>
            <w:r>
              <w:rPr>
                <w:rFonts w:hint="eastAsia"/>
                <w:color w:val="auto"/>
                <w:sz w:val="24"/>
                <w:lang w:val="en-US" w:eastAsia="zh-CN"/>
              </w:rPr>
              <w:t>建设单于2024年5月进行了整改：</w:t>
            </w:r>
            <w:r>
              <w:rPr>
                <w:rFonts w:hint="eastAsia"/>
                <w:b/>
                <w:bCs/>
                <w:color w:val="auto"/>
                <w:sz w:val="24"/>
                <w:lang w:val="en-US" w:eastAsia="zh-CN"/>
              </w:rPr>
              <w:t>对水泥、粉煤灰、矿粉筒仓安装布袋除尘器+排气筒；对搅拌设备安装布袋除尘器；</w:t>
            </w:r>
            <w:r>
              <w:rPr>
                <w:rFonts w:hint="eastAsia"/>
                <w:color w:val="auto"/>
                <w:sz w:val="24"/>
                <w:lang w:val="en-US" w:eastAsia="zh-CN"/>
              </w:rPr>
              <w:t>对照</w:t>
            </w:r>
            <w:r>
              <w:rPr>
                <w:rFonts w:hint="eastAsia" w:cs="Times New Roman"/>
                <w:bCs/>
                <w:color w:val="auto"/>
                <w:sz w:val="24"/>
                <w:lang w:val="en-US" w:eastAsia="zh-CN"/>
              </w:rPr>
              <w:t>中博源检测（云南）有限公司于2024年12月18日-21日对寻甸科宏建筑材料有限公司厂区四周进行的无组织废气监测结果，监测期间年产25万吨商品混凝土生产线建设项目处于正常运行状态，监测结果如下表。</w:t>
            </w:r>
          </w:p>
          <w:p w14:paraId="2C20021B">
            <w:pPr>
              <w:tabs>
                <w:tab w:val="left" w:pos="900"/>
              </w:tabs>
              <w:jc w:val="center"/>
              <w:rPr>
                <w:rFonts w:hint="eastAsia" w:ascii="Times New Roman" w:hAnsi="Times New Roman" w:eastAsia="宋体" w:cs="Times New Roman"/>
                <w:b/>
                <w:color w:val="auto"/>
                <w:szCs w:val="21"/>
                <w:lang w:eastAsia="zh-CN" w:bidi="ar"/>
              </w:rPr>
            </w:pPr>
            <w:r>
              <w:rPr>
                <w:rFonts w:hint="default" w:ascii="Times New Roman" w:hAnsi="Times New Roman" w:eastAsia="宋体" w:cs="Times New Roman"/>
                <w:b/>
                <w:color w:val="auto"/>
                <w:szCs w:val="21"/>
                <w:lang w:bidi="ar"/>
              </w:rPr>
              <w:t>表</w:t>
            </w:r>
            <w:r>
              <w:rPr>
                <w:rFonts w:hint="eastAsia" w:cs="Times New Roman"/>
                <w:b/>
                <w:color w:val="auto"/>
                <w:szCs w:val="21"/>
                <w:lang w:val="en-US" w:eastAsia="zh-CN" w:bidi="ar"/>
              </w:rPr>
              <w:t>2-15</w:t>
            </w:r>
            <w:r>
              <w:rPr>
                <w:rFonts w:hint="eastAsia" w:ascii="Times New Roman" w:hAnsi="Times New Roman" w:eastAsia="宋体" w:cs="Times New Roman"/>
                <w:b/>
                <w:color w:val="auto"/>
                <w:szCs w:val="21"/>
                <w:lang w:val="en-US" w:eastAsia="zh-CN" w:bidi="ar"/>
              </w:rPr>
              <w:t xml:space="preserve"> </w:t>
            </w:r>
            <w:r>
              <w:rPr>
                <w:rFonts w:hint="eastAsia" w:cs="Times New Roman"/>
                <w:b/>
                <w:color w:val="auto"/>
                <w:szCs w:val="21"/>
                <w:lang w:val="en-US" w:eastAsia="zh-CN" w:bidi="ar"/>
              </w:rPr>
              <w:t xml:space="preserve">  </w:t>
            </w:r>
            <w:r>
              <w:rPr>
                <w:rFonts w:ascii="Times New Roman" w:hAnsi="Times New Roman" w:eastAsia="宋体" w:cs="Times New Roman"/>
                <w:b/>
                <w:color w:val="auto"/>
                <w:szCs w:val="21"/>
                <w:lang w:bidi="ar"/>
              </w:rPr>
              <w:t>无组织废气</w:t>
            </w:r>
            <w:r>
              <w:rPr>
                <w:rFonts w:hint="default" w:ascii="Times New Roman" w:hAnsi="Times New Roman" w:eastAsia="宋体" w:cs="Times New Roman"/>
                <w:b/>
                <w:color w:val="auto"/>
                <w:szCs w:val="21"/>
                <w:lang w:bidi="ar"/>
              </w:rPr>
              <w:t>检测结果一览表   单位：mg/</w:t>
            </w:r>
            <w:r>
              <w:rPr>
                <w:rFonts w:ascii="Times New Roman" w:hAnsi="Times New Roman" w:eastAsia="宋体" w:cs="Times New Roman"/>
                <w:b/>
                <w:color w:val="auto"/>
                <w:szCs w:val="21"/>
                <w:lang w:bidi="ar"/>
              </w:rPr>
              <w:t>m</w:t>
            </w:r>
            <w:r>
              <w:rPr>
                <w:rFonts w:ascii="Times New Roman" w:hAnsi="Times New Roman" w:eastAsia="宋体" w:cs="Times New Roman"/>
                <w:b/>
                <w:color w:val="auto"/>
                <w:szCs w:val="21"/>
                <w:vertAlign w:val="superscript"/>
                <w:lang w:bidi="ar"/>
              </w:rPr>
              <w:t>3</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1544"/>
              <w:gridCol w:w="1638"/>
              <w:gridCol w:w="1405"/>
              <w:gridCol w:w="1405"/>
            </w:tblGrid>
            <w:tr w14:paraId="791C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4" w:type="pct"/>
                  <w:vAlign w:val="center"/>
                </w:tcPr>
                <w:p w14:paraId="16233394">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ascii="Times New Roman" w:hAnsi="Times New Roman" w:eastAsia="宋体" w:cs="Times New Roman"/>
                      <w:b/>
                      <w:bCs/>
                      <w:color w:val="auto"/>
                      <w:szCs w:val="21"/>
                      <w:shd w:val="clear" w:color="auto" w:fill="FFFFFF"/>
                    </w:rPr>
                  </w:pPr>
                  <w:r>
                    <w:rPr>
                      <w:rFonts w:ascii="Times New Roman" w:hAnsi="Times New Roman" w:eastAsia="宋体" w:cs="Times New Roman"/>
                      <w:b/>
                      <w:bCs/>
                      <w:color w:val="auto"/>
                      <w:szCs w:val="21"/>
                      <w:shd w:val="clear" w:color="auto" w:fill="FFFFFF"/>
                    </w:rPr>
                    <w:t>检测点位</w:t>
                  </w:r>
                </w:p>
              </w:tc>
              <w:tc>
                <w:tcPr>
                  <w:tcW w:w="970" w:type="pct"/>
                  <w:vAlign w:val="center"/>
                </w:tcPr>
                <w:p w14:paraId="77A910C8">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ascii="Times New Roman" w:hAnsi="Times New Roman" w:eastAsia="宋体" w:cs="Times New Roman"/>
                      <w:b/>
                      <w:bCs/>
                      <w:color w:val="auto"/>
                      <w:szCs w:val="21"/>
                      <w:shd w:val="clear" w:color="auto" w:fill="FFFFFF"/>
                    </w:rPr>
                  </w:pPr>
                  <w:r>
                    <w:rPr>
                      <w:rFonts w:hint="eastAsia" w:ascii="Times New Roman" w:hAnsi="Times New Roman" w:eastAsia="宋体" w:cs="Times New Roman"/>
                      <w:b/>
                      <w:bCs/>
                      <w:color w:val="auto"/>
                      <w:szCs w:val="21"/>
                      <w:shd w:val="clear" w:color="auto" w:fill="FFFFFF"/>
                    </w:rPr>
                    <w:t>采样</w:t>
                  </w:r>
                  <w:r>
                    <w:rPr>
                      <w:rFonts w:ascii="Times New Roman" w:hAnsi="Times New Roman" w:eastAsia="宋体" w:cs="Times New Roman"/>
                      <w:b/>
                      <w:bCs/>
                      <w:color w:val="auto"/>
                      <w:szCs w:val="21"/>
                      <w:shd w:val="clear" w:color="auto" w:fill="FFFFFF"/>
                    </w:rPr>
                    <w:t>日期</w:t>
                  </w:r>
                </w:p>
              </w:tc>
              <w:tc>
                <w:tcPr>
                  <w:tcW w:w="1029" w:type="pct"/>
                  <w:vAlign w:val="center"/>
                </w:tcPr>
                <w:p w14:paraId="067D1A4F">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b/>
                      <w:bCs/>
                      <w:color w:val="auto"/>
                      <w:szCs w:val="21"/>
                      <w:shd w:val="clear" w:color="auto" w:fill="FFFFFF"/>
                      <w:lang w:val="en-US" w:eastAsia="zh-CN"/>
                    </w:rPr>
                  </w:pPr>
                  <w:r>
                    <w:rPr>
                      <w:rFonts w:hint="eastAsia" w:ascii="Times New Roman" w:hAnsi="Times New Roman" w:eastAsia="宋体" w:cs="Times New Roman"/>
                      <w:b/>
                      <w:bCs/>
                      <w:color w:val="auto"/>
                      <w:szCs w:val="21"/>
                      <w:shd w:val="clear" w:color="auto" w:fill="FFFFFF"/>
                      <w:lang w:val="en-US" w:eastAsia="zh-CN"/>
                    </w:rPr>
                    <w:t>颗粒物</w:t>
                  </w:r>
                </w:p>
              </w:tc>
              <w:tc>
                <w:tcPr>
                  <w:tcW w:w="883" w:type="pct"/>
                  <w:vAlign w:val="center"/>
                </w:tcPr>
                <w:p w14:paraId="180DFF54">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b/>
                      <w:bCs/>
                      <w:color w:val="auto"/>
                      <w:szCs w:val="21"/>
                      <w:shd w:val="clear" w:color="auto" w:fill="FFFFFF"/>
                      <w:lang w:val="en-US" w:eastAsia="zh-CN"/>
                    </w:rPr>
                  </w:pPr>
                  <w:r>
                    <w:rPr>
                      <w:rFonts w:hint="eastAsia" w:ascii="Times New Roman" w:hAnsi="Times New Roman" w:eastAsia="宋体" w:cs="Times New Roman"/>
                      <w:b/>
                      <w:bCs/>
                      <w:color w:val="auto"/>
                      <w:szCs w:val="21"/>
                      <w:shd w:val="clear" w:color="auto" w:fill="FFFFFF"/>
                      <w:lang w:val="en-US" w:eastAsia="zh-CN"/>
                    </w:rPr>
                    <w:t>标准限值</w:t>
                  </w:r>
                </w:p>
              </w:tc>
              <w:tc>
                <w:tcPr>
                  <w:tcW w:w="883" w:type="pct"/>
                  <w:vAlign w:val="center"/>
                </w:tcPr>
                <w:p w14:paraId="120D7050">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b/>
                      <w:bCs/>
                      <w:color w:val="auto"/>
                      <w:szCs w:val="21"/>
                      <w:shd w:val="clear" w:color="auto" w:fill="FFFFFF"/>
                      <w:lang w:val="en-US" w:eastAsia="zh-CN"/>
                    </w:rPr>
                  </w:pPr>
                  <w:r>
                    <w:rPr>
                      <w:rFonts w:hint="eastAsia" w:ascii="Times New Roman" w:hAnsi="Times New Roman" w:eastAsia="宋体" w:cs="Times New Roman"/>
                      <w:b/>
                      <w:bCs/>
                      <w:color w:val="auto"/>
                      <w:szCs w:val="21"/>
                      <w:shd w:val="clear" w:color="auto" w:fill="FFFFFF"/>
                      <w:lang w:val="en-US" w:eastAsia="zh-CN"/>
                    </w:rPr>
                    <w:t>达标情况</w:t>
                  </w:r>
                </w:p>
              </w:tc>
            </w:tr>
            <w:tr w14:paraId="19F7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4" w:type="pct"/>
                  <w:vMerge w:val="restart"/>
                  <w:vAlign w:val="center"/>
                </w:tcPr>
                <w:p w14:paraId="44610887">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厂界上风向1#</w:t>
                  </w:r>
                </w:p>
              </w:tc>
              <w:tc>
                <w:tcPr>
                  <w:tcW w:w="970" w:type="pct"/>
                  <w:vAlign w:val="center"/>
                </w:tcPr>
                <w:p w14:paraId="57BB1612">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2024.12.18</w:t>
                  </w:r>
                </w:p>
              </w:tc>
              <w:tc>
                <w:tcPr>
                  <w:tcW w:w="1029" w:type="pct"/>
                  <w:vAlign w:val="center"/>
                </w:tcPr>
                <w:p w14:paraId="319DC4D5">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0.168L</w:t>
                  </w:r>
                </w:p>
              </w:tc>
              <w:tc>
                <w:tcPr>
                  <w:tcW w:w="883" w:type="pct"/>
                  <w:vAlign w:val="center"/>
                </w:tcPr>
                <w:p w14:paraId="22A58728">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0.5</w:t>
                  </w:r>
                </w:p>
              </w:tc>
              <w:tc>
                <w:tcPr>
                  <w:tcW w:w="883" w:type="pct"/>
                  <w:vAlign w:val="center"/>
                </w:tcPr>
                <w:p w14:paraId="7D2E531C">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达标</w:t>
                  </w:r>
                </w:p>
              </w:tc>
            </w:tr>
            <w:tr w14:paraId="176D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4" w:type="pct"/>
                  <w:vMerge w:val="continue"/>
                  <w:vAlign w:val="center"/>
                </w:tcPr>
                <w:p w14:paraId="40BAE14D">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p>
              </w:tc>
              <w:tc>
                <w:tcPr>
                  <w:tcW w:w="970" w:type="pct"/>
                  <w:vAlign w:val="center"/>
                </w:tcPr>
                <w:p w14:paraId="4095787B">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2024.12.19</w:t>
                  </w:r>
                </w:p>
              </w:tc>
              <w:tc>
                <w:tcPr>
                  <w:tcW w:w="1029" w:type="pct"/>
                  <w:vAlign w:val="center"/>
                </w:tcPr>
                <w:p w14:paraId="1E35CD10">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0.168L</w:t>
                  </w:r>
                </w:p>
              </w:tc>
              <w:tc>
                <w:tcPr>
                  <w:tcW w:w="883" w:type="pct"/>
                  <w:vAlign w:val="center"/>
                </w:tcPr>
                <w:p w14:paraId="7B9E0A4C">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0.5</w:t>
                  </w:r>
                </w:p>
              </w:tc>
              <w:tc>
                <w:tcPr>
                  <w:tcW w:w="883" w:type="pct"/>
                  <w:vAlign w:val="center"/>
                </w:tcPr>
                <w:p w14:paraId="0A044B27">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达标</w:t>
                  </w:r>
                </w:p>
              </w:tc>
            </w:tr>
            <w:tr w14:paraId="2482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4" w:type="pct"/>
                  <w:vMerge w:val="restart"/>
                  <w:vAlign w:val="center"/>
                </w:tcPr>
                <w:p w14:paraId="7E6923D9">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厂界下风向2#</w:t>
                  </w:r>
                </w:p>
              </w:tc>
              <w:tc>
                <w:tcPr>
                  <w:tcW w:w="970" w:type="pct"/>
                  <w:vAlign w:val="center"/>
                </w:tcPr>
                <w:p w14:paraId="092471BE">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2024.12.18</w:t>
                  </w:r>
                </w:p>
              </w:tc>
              <w:tc>
                <w:tcPr>
                  <w:tcW w:w="1029" w:type="pct"/>
                  <w:shd w:val="clear" w:color="auto" w:fill="auto"/>
                  <w:vAlign w:val="center"/>
                </w:tcPr>
                <w:p w14:paraId="3F7224F0">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0.215-0.225</w:t>
                  </w:r>
                </w:p>
              </w:tc>
              <w:tc>
                <w:tcPr>
                  <w:tcW w:w="883" w:type="pct"/>
                  <w:shd w:val="clear" w:color="auto" w:fill="auto"/>
                  <w:vAlign w:val="center"/>
                </w:tcPr>
                <w:p w14:paraId="72054330">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0.5</w:t>
                  </w:r>
                </w:p>
              </w:tc>
              <w:tc>
                <w:tcPr>
                  <w:tcW w:w="883" w:type="pct"/>
                  <w:shd w:val="clear" w:color="auto" w:fill="auto"/>
                  <w:vAlign w:val="center"/>
                </w:tcPr>
                <w:p w14:paraId="4E7FB481">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达标</w:t>
                  </w:r>
                </w:p>
              </w:tc>
            </w:tr>
            <w:tr w14:paraId="11D2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4" w:type="pct"/>
                  <w:vMerge w:val="continue"/>
                  <w:vAlign w:val="center"/>
                </w:tcPr>
                <w:p w14:paraId="3B48FB13">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p>
              </w:tc>
              <w:tc>
                <w:tcPr>
                  <w:tcW w:w="970" w:type="pct"/>
                  <w:vAlign w:val="center"/>
                </w:tcPr>
                <w:p w14:paraId="574F92E1">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2024.12.19</w:t>
                  </w:r>
                </w:p>
              </w:tc>
              <w:tc>
                <w:tcPr>
                  <w:tcW w:w="1029" w:type="pct"/>
                  <w:vAlign w:val="center"/>
                </w:tcPr>
                <w:p w14:paraId="1D0896A8">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0.220-0.228</w:t>
                  </w:r>
                </w:p>
              </w:tc>
              <w:tc>
                <w:tcPr>
                  <w:tcW w:w="883" w:type="pct"/>
                  <w:vAlign w:val="center"/>
                </w:tcPr>
                <w:p w14:paraId="3F6AFEC3">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0.5</w:t>
                  </w:r>
                </w:p>
              </w:tc>
              <w:tc>
                <w:tcPr>
                  <w:tcW w:w="883" w:type="pct"/>
                  <w:vAlign w:val="center"/>
                </w:tcPr>
                <w:p w14:paraId="6CE81B7E">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达标</w:t>
                  </w:r>
                </w:p>
              </w:tc>
            </w:tr>
            <w:tr w14:paraId="3874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4" w:type="pct"/>
                  <w:vMerge w:val="restart"/>
                  <w:vAlign w:val="center"/>
                </w:tcPr>
                <w:p w14:paraId="0E1A1BA0">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厂界下风向3#</w:t>
                  </w:r>
                </w:p>
              </w:tc>
              <w:tc>
                <w:tcPr>
                  <w:tcW w:w="970" w:type="pct"/>
                  <w:vAlign w:val="center"/>
                </w:tcPr>
                <w:p w14:paraId="37365D5A">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2024.12.18</w:t>
                  </w:r>
                </w:p>
              </w:tc>
              <w:tc>
                <w:tcPr>
                  <w:tcW w:w="1029" w:type="pct"/>
                  <w:shd w:val="clear" w:color="auto" w:fill="auto"/>
                  <w:vAlign w:val="center"/>
                </w:tcPr>
                <w:p w14:paraId="351E6CCA">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0.322-0.337</w:t>
                  </w:r>
                </w:p>
              </w:tc>
              <w:tc>
                <w:tcPr>
                  <w:tcW w:w="883" w:type="pct"/>
                  <w:shd w:val="clear" w:color="auto" w:fill="auto"/>
                  <w:vAlign w:val="center"/>
                </w:tcPr>
                <w:p w14:paraId="7DED8B67">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0.5</w:t>
                  </w:r>
                </w:p>
              </w:tc>
              <w:tc>
                <w:tcPr>
                  <w:tcW w:w="883" w:type="pct"/>
                  <w:shd w:val="clear" w:color="auto" w:fill="auto"/>
                  <w:vAlign w:val="center"/>
                </w:tcPr>
                <w:p w14:paraId="0CB19D51">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达标</w:t>
                  </w:r>
                </w:p>
              </w:tc>
            </w:tr>
            <w:tr w14:paraId="3124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4" w:type="pct"/>
                  <w:vMerge w:val="continue"/>
                  <w:vAlign w:val="center"/>
                </w:tcPr>
                <w:p w14:paraId="509F7649">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p>
              </w:tc>
              <w:tc>
                <w:tcPr>
                  <w:tcW w:w="970" w:type="pct"/>
                  <w:vAlign w:val="center"/>
                </w:tcPr>
                <w:p w14:paraId="4CC4328F">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2024.12.19</w:t>
                  </w:r>
                </w:p>
              </w:tc>
              <w:tc>
                <w:tcPr>
                  <w:tcW w:w="1029" w:type="pct"/>
                  <w:vAlign w:val="center"/>
                </w:tcPr>
                <w:p w14:paraId="1905AA20">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0.317-0.342</w:t>
                  </w:r>
                </w:p>
              </w:tc>
              <w:tc>
                <w:tcPr>
                  <w:tcW w:w="883" w:type="pct"/>
                  <w:vAlign w:val="center"/>
                </w:tcPr>
                <w:p w14:paraId="072AC452">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0.5</w:t>
                  </w:r>
                </w:p>
              </w:tc>
              <w:tc>
                <w:tcPr>
                  <w:tcW w:w="883" w:type="pct"/>
                  <w:vAlign w:val="center"/>
                </w:tcPr>
                <w:p w14:paraId="188C3992">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达标</w:t>
                  </w:r>
                </w:p>
              </w:tc>
            </w:tr>
            <w:tr w14:paraId="7D72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4" w:type="pct"/>
                  <w:vMerge w:val="restart"/>
                  <w:vAlign w:val="center"/>
                </w:tcPr>
                <w:p w14:paraId="745422A3">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厂界下风向4#</w:t>
                  </w:r>
                </w:p>
              </w:tc>
              <w:tc>
                <w:tcPr>
                  <w:tcW w:w="970" w:type="pct"/>
                  <w:vAlign w:val="center"/>
                </w:tcPr>
                <w:p w14:paraId="00471E9A">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2024.12.18</w:t>
                  </w:r>
                </w:p>
              </w:tc>
              <w:tc>
                <w:tcPr>
                  <w:tcW w:w="1029" w:type="pct"/>
                  <w:vAlign w:val="center"/>
                </w:tcPr>
                <w:p w14:paraId="7A2FA92B">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0.310-0.322</w:t>
                  </w:r>
                </w:p>
              </w:tc>
              <w:tc>
                <w:tcPr>
                  <w:tcW w:w="883" w:type="pct"/>
                  <w:vAlign w:val="center"/>
                </w:tcPr>
                <w:p w14:paraId="67894079">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0.5</w:t>
                  </w:r>
                </w:p>
              </w:tc>
              <w:tc>
                <w:tcPr>
                  <w:tcW w:w="883" w:type="pct"/>
                  <w:vAlign w:val="center"/>
                </w:tcPr>
                <w:p w14:paraId="226DEF6C">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达标</w:t>
                  </w:r>
                </w:p>
              </w:tc>
            </w:tr>
            <w:tr w14:paraId="6951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4" w:type="pct"/>
                  <w:vMerge w:val="continue"/>
                  <w:vAlign w:val="center"/>
                </w:tcPr>
                <w:p w14:paraId="0E9AD940">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p>
              </w:tc>
              <w:tc>
                <w:tcPr>
                  <w:tcW w:w="970" w:type="pct"/>
                  <w:vAlign w:val="center"/>
                </w:tcPr>
                <w:p w14:paraId="2562282A">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2024.12.19</w:t>
                  </w:r>
                </w:p>
              </w:tc>
              <w:tc>
                <w:tcPr>
                  <w:tcW w:w="1029" w:type="pct"/>
                  <w:vAlign w:val="center"/>
                </w:tcPr>
                <w:p w14:paraId="01DF5AF1">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default"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0.313-0.328</w:t>
                  </w:r>
                </w:p>
              </w:tc>
              <w:tc>
                <w:tcPr>
                  <w:tcW w:w="883" w:type="pct"/>
                  <w:vAlign w:val="center"/>
                </w:tcPr>
                <w:p w14:paraId="3B88575D">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0.5</w:t>
                  </w:r>
                </w:p>
              </w:tc>
              <w:tc>
                <w:tcPr>
                  <w:tcW w:w="883" w:type="pct"/>
                  <w:vAlign w:val="center"/>
                </w:tcPr>
                <w:p w14:paraId="3A5CE461">
                  <w:pPr>
                    <w:keepNext w:val="0"/>
                    <w:keepLines w:val="0"/>
                    <w:pageBreakBefore w:val="0"/>
                    <w:widowControl w:val="0"/>
                    <w:kinsoku/>
                    <w:wordWrap/>
                    <w:overflowPunct/>
                    <w:topLinePunct w:val="0"/>
                    <w:autoSpaceDE/>
                    <w:autoSpaceDN w:val="0"/>
                    <w:bidi w:val="0"/>
                    <w:adjustRightInd/>
                    <w:snapToGrid/>
                    <w:ind w:firstLine="0" w:firstLineChars="0"/>
                    <w:jc w:val="center"/>
                    <w:textAlignment w:val="auto"/>
                    <w:rPr>
                      <w:rFonts w:hint="eastAsia" w:ascii="Times New Roman" w:hAnsi="Times New Roman" w:eastAsia="宋体" w:cs="Times New Roman"/>
                      <w:color w:val="auto"/>
                      <w:szCs w:val="21"/>
                      <w:shd w:val="clear" w:color="auto" w:fill="FFFFFF"/>
                      <w:lang w:val="en-US" w:eastAsia="zh-CN"/>
                    </w:rPr>
                  </w:pPr>
                  <w:r>
                    <w:rPr>
                      <w:rFonts w:hint="eastAsia" w:ascii="Times New Roman" w:hAnsi="Times New Roman" w:eastAsia="宋体" w:cs="Times New Roman"/>
                      <w:color w:val="auto"/>
                      <w:szCs w:val="21"/>
                      <w:shd w:val="clear" w:color="auto" w:fill="FFFFFF"/>
                      <w:lang w:val="en-US" w:eastAsia="zh-CN"/>
                    </w:rPr>
                    <w:t>达标</w:t>
                  </w:r>
                </w:p>
              </w:tc>
            </w:tr>
          </w:tbl>
          <w:p w14:paraId="48A7029D">
            <w:pPr>
              <w:widowControl/>
              <w:spacing w:line="360" w:lineRule="auto"/>
              <w:ind w:firstLine="480" w:firstLineChars="200"/>
              <w:jc w:val="both"/>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根据上表显示，</w:t>
            </w:r>
            <w:r>
              <w:rPr>
                <w:rFonts w:hint="eastAsia" w:cs="Times New Roman"/>
                <w:bCs/>
                <w:color w:val="auto"/>
                <w:sz w:val="24"/>
                <w:lang w:val="en-US" w:eastAsia="zh-CN"/>
              </w:rPr>
              <w:t>寻甸科宏建筑材料有限公司厂区上风向及下风向无组织颗粒物监测浓度均可以达到</w:t>
            </w:r>
            <w:r>
              <w:rPr>
                <w:rFonts w:ascii="Times New Roman" w:hAnsi="Times New Roman" w:eastAsia="宋体" w:cs="Times New Roman"/>
                <w:color w:val="auto"/>
                <w:sz w:val="24"/>
              </w:rPr>
              <w:t>《水泥工业大气污染物排放标准》（GB4915-2013）表3中颗粒物排放浓度限值要求</w:t>
            </w:r>
            <w:r>
              <w:rPr>
                <w:rFonts w:hint="eastAsia" w:ascii="Times New Roman" w:hAnsi="Times New Roman" w:eastAsia="宋体" w:cs="Times New Roman"/>
                <w:color w:val="auto"/>
                <w:sz w:val="24"/>
                <w:lang w:eastAsia="zh-CN"/>
              </w:rPr>
              <w:t>。</w:t>
            </w:r>
          </w:p>
          <w:p w14:paraId="05F3D081">
            <w:pPr>
              <w:widowControl/>
              <w:spacing w:line="360" w:lineRule="auto"/>
              <w:ind w:firstLine="480" w:firstLineChars="200"/>
              <w:jc w:val="both"/>
              <w:rPr>
                <w:rFonts w:hint="eastAsia"/>
                <w:color w:val="auto"/>
                <w:sz w:val="24"/>
                <w:lang w:eastAsia="zh-CN"/>
              </w:rPr>
            </w:pPr>
            <w:r>
              <w:rPr>
                <w:rFonts w:hint="eastAsia"/>
                <w:color w:val="auto"/>
                <w:sz w:val="24"/>
                <w:lang w:val="en-US" w:eastAsia="zh-CN"/>
              </w:rPr>
              <w:t>同时</w:t>
            </w:r>
            <w:r>
              <w:rPr>
                <w:rFonts w:hint="eastAsia"/>
                <w:color w:val="auto"/>
                <w:sz w:val="24"/>
              </w:rPr>
              <w:t>云南鼎祺检测有限公司2025年4月17日-18日对</w:t>
            </w:r>
            <w:r>
              <w:rPr>
                <w:rFonts w:hint="eastAsia"/>
                <w:color w:val="auto"/>
                <w:sz w:val="24"/>
                <w:lang w:val="en-US" w:eastAsia="zh-CN"/>
              </w:rPr>
              <w:t>原项目（</w:t>
            </w:r>
            <w:r>
              <w:rPr>
                <w:color w:val="auto"/>
                <w:sz w:val="24"/>
              </w:rPr>
              <w:t>年产25万吨商品混凝土生产线</w:t>
            </w:r>
            <w:r>
              <w:rPr>
                <w:rFonts w:hint="eastAsia"/>
                <w:color w:val="auto"/>
                <w:sz w:val="24"/>
                <w:lang w:val="en-US" w:eastAsia="zh-CN"/>
              </w:rPr>
              <w:t>）</w:t>
            </w:r>
            <w:r>
              <w:rPr>
                <w:rFonts w:hint="eastAsia"/>
                <w:color w:val="auto"/>
                <w:sz w:val="24"/>
              </w:rPr>
              <w:t>水泥筒仓、粉煤灰筒仓、矿粉筒仓的排气筒监测结果（见附件13），</w:t>
            </w:r>
            <w:r>
              <w:rPr>
                <w:rFonts w:hint="eastAsia"/>
                <w:color w:val="auto"/>
                <w:sz w:val="24"/>
                <w:lang w:val="en-US" w:eastAsia="zh-CN"/>
              </w:rPr>
              <w:t>原</w:t>
            </w:r>
            <w:r>
              <w:rPr>
                <w:rFonts w:hint="eastAsia"/>
                <w:color w:val="auto"/>
                <w:sz w:val="24"/>
              </w:rPr>
              <w:t>项目有组织颗粒物排放浓度均</w:t>
            </w:r>
            <w:r>
              <w:rPr>
                <w:rFonts w:hint="eastAsia"/>
                <w:bCs/>
                <w:color w:val="auto"/>
                <w:sz w:val="24"/>
              </w:rPr>
              <w:t>满足达到</w:t>
            </w:r>
            <w:r>
              <w:rPr>
                <w:color w:val="auto"/>
                <w:sz w:val="24"/>
              </w:rPr>
              <w:t>《水泥工业大气污染物排放标准》（GB4915-2013）表1现有与新建企业大气污染物排放限值</w:t>
            </w:r>
            <w:r>
              <w:rPr>
                <w:rFonts w:hint="eastAsia"/>
                <w:color w:val="auto"/>
                <w:sz w:val="24"/>
                <w:lang w:eastAsia="zh-CN"/>
              </w:rPr>
              <w:t>；</w:t>
            </w:r>
          </w:p>
          <w:p w14:paraId="74AD1127">
            <w:pPr>
              <w:autoSpaceDE w:val="0"/>
              <w:autoSpaceDN w:val="0"/>
              <w:spacing w:line="360" w:lineRule="auto"/>
              <w:ind w:firstLine="480"/>
              <w:rPr>
                <w:color w:val="auto"/>
                <w:sz w:val="24"/>
              </w:rPr>
            </w:pPr>
            <w:r>
              <w:rPr>
                <w:color w:val="auto"/>
                <w:sz w:val="24"/>
              </w:rPr>
              <w:t>（2）食堂油烟废气</w:t>
            </w:r>
          </w:p>
          <w:p w14:paraId="491EF8E5">
            <w:pPr>
              <w:pStyle w:val="20"/>
              <w:spacing w:after="0" w:line="360" w:lineRule="auto"/>
              <w:ind w:firstLine="480"/>
              <w:rPr>
                <w:color w:val="auto"/>
                <w:sz w:val="24"/>
              </w:rPr>
            </w:pPr>
            <w:r>
              <w:rPr>
                <w:color w:val="auto"/>
                <w:sz w:val="24"/>
              </w:rPr>
              <w:t>项目油烟废气主要由职工食堂运营时产生，配备了一台型号为FNT-JD-6A，风量为6000</w:t>
            </w:r>
            <w:r>
              <w:rPr>
                <w:rFonts w:eastAsia="Times New Roman"/>
                <w:color w:val="auto"/>
                <w:szCs w:val="21"/>
              </w:rPr>
              <w:t>m</w:t>
            </w:r>
            <w:r>
              <w:rPr>
                <w:rFonts w:eastAsia="Times New Roman"/>
                <w:color w:val="auto"/>
                <w:szCs w:val="21"/>
                <w:vertAlign w:val="superscript"/>
              </w:rPr>
              <w:t>3</w:t>
            </w:r>
            <w:r>
              <w:rPr>
                <w:color w:val="auto"/>
                <w:sz w:val="24"/>
              </w:rPr>
              <w:t>/h的静点式饮食业油烟净化器。油烟净化器属于博兴县方耐特商用厨具有限公司生产，具有中国环境保护产品认证证书，满足饮食业油烟净化设备技术要求及检测技术规范，则油烟排放浓度能够达到《饮食业油烟排放标准》（GB18483-2001）中≤2.0mg/</w:t>
            </w:r>
            <w:r>
              <w:rPr>
                <w:rFonts w:eastAsia="Times New Roman"/>
                <w:color w:val="auto"/>
                <w:szCs w:val="21"/>
              </w:rPr>
              <w:t>m</w:t>
            </w:r>
            <w:r>
              <w:rPr>
                <w:rFonts w:eastAsia="Times New Roman"/>
                <w:color w:val="auto"/>
                <w:szCs w:val="21"/>
                <w:vertAlign w:val="superscript"/>
              </w:rPr>
              <w:t>3</w:t>
            </w:r>
            <w:r>
              <w:rPr>
                <w:color w:val="auto"/>
                <w:sz w:val="24"/>
              </w:rPr>
              <w:t>的要求，产生的油烟废气对周围环境影响较小。</w:t>
            </w:r>
          </w:p>
          <w:p w14:paraId="6E070DDF">
            <w:pPr>
              <w:pStyle w:val="20"/>
              <w:spacing w:after="0" w:line="360" w:lineRule="auto"/>
              <w:ind w:firstLine="482"/>
              <w:rPr>
                <w:b/>
                <w:bCs/>
                <w:color w:val="auto"/>
                <w:sz w:val="24"/>
              </w:rPr>
            </w:pPr>
            <w:r>
              <w:rPr>
                <w:b/>
                <w:bCs/>
                <w:color w:val="auto"/>
                <w:sz w:val="24"/>
              </w:rPr>
              <w:t>2、用排水</w:t>
            </w:r>
          </w:p>
          <w:p w14:paraId="3D03081C">
            <w:pPr>
              <w:pStyle w:val="20"/>
              <w:spacing w:after="0" w:line="360" w:lineRule="auto"/>
              <w:ind w:firstLine="480"/>
              <w:rPr>
                <w:color w:val="auto"/>
                <w:sz w:val="24"/>
              </w:rPr>
            </w:pPr>
            <w:r>
              <w:rPr>
                <w:color w:val="auto"/>
                <w:sz w:val="24"/>
              </w:rPr>
              <w:t>原项目用水主要为生活废水和生产废水：</w:t>
            </w:r>
          </w:p>
          <w:p w14:paraId="0533FB8A">
            <w:pPr>
              <w:autoSpaceDE w:val="0"/>
              <w:autoSpaceDN w:val="0"/>
              <w:spacing w:line="360" w:lineRule="auto"/>
              <w:ind w:firstLine="480"/>
              <w:rPr>
                <w:color w:val="auto"/>
                <w:sz w:val="24"/>
              </w:rPr>
            </w:pPr>
            <w:r>
              <w:rPr>
                <w:color w:val="auto"/>
                <w:sz w:val="24"/>
              </w:rPr>
              <w:t>（1）生产废水</w:t>
            </w:r>
          </w:p>
          <w:p w14:paraId="5B32D0CE">
            <w:pPr>
              <w:autoSpaceDE w:val="0"/>
              <w:autoSpaceDN w:val="0"/>
              <w:spacing w:line="360" w:lineRule="auto"/>
              <w:ind w:firstLine="480"/>
              <w:rPr>
                <w:color w:val="auto"/>
                <w:sz w:val="24"/>
              </w:rPr>
            </w:pPr>
            <w:r>
              <w:rPr>
                <w:color w:val="auto"/>
                <w:sz w:val="24"/>
              </w:rPr>
              <w:t>生产废水主要是搅拌机清洗用废水，混凝土运输车辆清洗废水，</w:t>
            </w:r>
            <w:r>
              <w:rPr>
                <w:rFonts w:hint="eastAsia"/>
                <w:color w:val="auto"/>
                <w:sz w:val="24"/>
                <w:lang w:val="en-US" w:eastAsia="zh-CN"/>
              </w:rPr>
              <w:t>检验设备用水</w:t>
            </w:r>
            <w:r>
              <w:rPr>
                <w:color w:val="auto"/>
                <w:sz w:val="24"/>
              </w:rPr>
              <w:t>，搅拌用水</w:t>
            </w:r>
            <w:r>
              <w:rPr>
                <w:rFonts w:hint="eastAsia"/>
                <w:color w:val="auto"/>
                <w:sz w:val="24"/>
                <w:lang w:val="en-US" w:eastAsia="zh-CN"/>
              </w:rPr>
              <w:t>等</w:t>
            </w:r>
            <w:r>
              <w:rPr>
                <w:color w:val="auto"/>
                <w:sz w:val="24"/>
              </w:rPr>
              <w:t>。</w:t>
            </w:r>
          </w:p>
          <w:p w14:paraId="368F9ACB">
            <w:pPr>
              <w:spacing w:line="360" w:lineRule="auto"/>
              <w:ind w:firstLine="480"/>
              <w:rPr>
                <w:color w:val="auto"/>
                <w:sz w:val="24"/>
              </w:rPr>
            </w:pPr>
            <w:r>
              <w:rPr>
                <w:color w:val="auto"/>
                <w:sz w:val="24"/>
              </w:rPr>
              <w:t>①搅拌机清洗用水：搅拌机平均每2天冲洗1次，每次冲洗水</w:t>
            </w:r>
            <w:r>
              <w:rPr>
                <w:rFonts w:hint="eastAsia"/>
                <w:color w:val="auto"/>
                <w:sz w:val="24"/>
                <w:lang w:val="en-US" w:eastAsia="zh-CN"/>
              </w:rPr>
              <w:t>1m</w:t>
            </w:r>
            <w:r>
              <w:rPr>
                <w:rFonts w:hint="eastAsia"/>
                <w:color w:val="auto"/>
                <w:sz w:val="24"/>
                <w:vertAlign w:val="superscript"/>
                <w:lang w:val="en-US" w:eastAsia="zh-CN"/>
              </w:rPr>
              <w:t>3</w:t>
            </w:r>
            <w:r>
              <w:rPr>
                <w:color w:val="auto"/>
                <w:sz w:val="24"/>
              </w:rPr>
              <w:t>计算，搅拌机冲洗水产生量为</w:t>
            </w:r>
            <w:r>
              <w:rPr>
                <w:rFonts w:hint="eastAsia"/>
                <w:color w:val="auto"/>
                <w:sz w:val="24"/>
                <w:lang w:val="en-US" w:eastAsia="zh-CN"/>
              </w:rPr>
              <w:t>1</w:t>
            </w:r>
            <w:r>
              <w:rPr>
                <w:color w:val="auto"/>
                <w:sz w:val="24"/>
              </w:rPr>
              <w:t>m³/d，</w:t>
            </w:r>
            <w:r>
              <w:rPr>
                <w:rFonts w:hint="eastAsia"/>
                <w:color w:val="auto"/>
                <w:sz w:val="24"/>
                <w:lang w:val="en-US" w:eastAsia="zh-CN"/>
              </w:rPr>
              <w:t>30</w:t>
            </w:r>
            <w:r>
              <w:rPr>
                <w:color w:val="auto"/>
                <w:sz w:val="24"/>
              </w:rPr>
              <w:t>0m³/a，产污率以0.8计算，搅拌机冲洗水产生废水量为</w:t>
            </w:r>
            <w:r>
              <w:rPr>
                <w:rFonts w:hint="eastAsia"/>
                <w:color w:val="auto"/>
                <w:sz w:val="24"/>
                <w:lang w:val="en-US" w:eastAsia="zh-CN"/>
              </w:rPr>
              <w:t>0.8</w:t>
            </w:r>
            <w:r>
              <w:rPr>
                <w:color w:val="auto"/>
                <w:sz w:val="24"/>
              </w:rPr>
              <w:t>m³/d，</w:t>
            </w:r>
            <w:r>
              <w:rPr>
                <w:rFonts w:hint="eastAsia"/>
                <w:color w:val="auto"/>
                <w:sz w:val="24"/>
                <w:lang w:val="en-US" w:eastAsia="zh-CN"/>
              </w:rPr>
              <w:t>240</w:t>
            </w:r>
            <w:r>
              <w:rPr>
                <w:color w:val="auto"/>
                <w:sz w:val="24"/>
              </w:rPr>
              <w:t>m³/a。其主要水质污染因子为SS，根据对同类型企业的类比调查，SS的浓度约为3000mg/L。</w:t>
            </w:r>
          </w:p>
          <w:p w14:paraId="11FE2B22">
            <w:pPr>
              <w:spacing w:line="360" w:lineRule="auto"/>
              <w:ind w:firstLine="480"/>
              <w:rPr>
                <w:color w:val="auto"/>
                <w:sz w:val="24"/>
              </w:rPr>
            </w:pPr>
            <w:r>
              <w:rPr>
                <w:color w:val="auto"/>
                <w:sz w:val="24"/>
              </w:rPr>
              <w:t>②车辆清洗用水：项目每天</w:t>
            </w:r>
            <w:r>
              <w:rPr>
                <w:rFonts w:hint="default" w:ascii="Times New Roman" w:hAnsi="Times New Roman" w:cs="Times New Roman"/>
                <w:color w:val="auto"/>
                <w:spacing w:val="0"/>
                <w:sz w:val="24"/>
                <w:szCs w:val="24"/>
              </w:rPr>
              <w:t>原料内运和产品外运</w:t>
            </w:r>
            <w:r>
              <w:rPr>
                <w:color w:val="auto"/>
                <w:sz w:val="24"/>
              </w:rPr>
              <w:t>约运输</w:t>
            </w:r>
            <w:r>
              <w:rPr>
                <w:rFonts w:hint="eastAsia"/>
                <w:color w:val="auto"/>
                <w:sz w:val="24"/>
                <w:lang w:val="en-US" w:eastAsia="zh-CN"/>
              </w:rPr>
              <w:t>190</w:t>
            </w:r>
            <w:r>
              <w:rPr>
                <w:color w:val="auto"/>
                <w:sz w:val="24"/>
              </w:rPr>
              <w:t>辆次，</w:t>
            </w:r>
            <w:r>
              <w:rPr>
                <w:rFonts w:hint="eastAsia"/>
                <w:color w:val="auto"/>
                <w:sz w:val="24"/>
                <w:lang w:val="en-US" w:eastAsia="zh-CN"/>
              </w:rPr>
              <w:t>根据建设单位统计，车辆冲洗0.05</w:t>
            </w:r>
            <w:r>
              <w:rPr>
                <w:color w:val="auto"/>
                <w:sz w:val="24"/>
              </w:rPr>
              <w:t>m³</w:t>
            </w:r>
            <w:r>
              <w:rPr>
                <w:rFonts w:hint="eastAsia"/>
                <w:color w:val="auto"/>
                <w:sz w:val="24"/>
                <w:lang w:val="en-US" w:eastAsia="zh-CN"/>
              </w:rPr>
              <w:t>//辆，</w:t>
            </w:r>
            <w:r>
              <w:rPr>
                <w:color w:val="auto"/>
                <w:sz w:val="24"/>
              </w:rPr>
              <w:t>每天的冲洗用水</w:t>
            </w:r>
            <w:r>
              <w:rPr>
                <w:rFonts w:hint="eastAsia"/>
                <w:color w:val="auto"/>
                <w:sz w:val="24"/>
                <w:lang w:val="en-US" w:eastAsia="zh-CN"/>
              </w:rPr>
              <w:t>9.5</w:t>
            </w:r>
            <w:r>
              <w:rPr>
                <w:color w:val="auto"/>
                <w:sz w:val="24"/>
              </w:rPr>
              <w:t>m³，</w:t>
            </w:r>
            <w:r>
              <w:rPr>
                <w:rFonts w:hint="eastAsia"/>
                <w:color w:val="auto"/>
                <w:sz w:val="24"/>
                <w:lang w:val="en-US" w:eastAsia="zh-CN"/>
              </w:rPr>
              <w:t>2850</w:t>
            </w:r>
            <w:r>
              <w:rPr>
                <w:color w:val="auto"/>
                <w:sz w:val="24"/>
              </w:rPr>
              <w:t>m³/a</w:t>
            </w:r>
            <w:r>
              <w:rPr>
                <w:rFonts w:hint="eastAsia"/>
                <w:color w:val="auto"/>
                <w:sz w:val="24"/>
              </w:rPr>
              <w:t>，</w:t>
            </w:r>
            <w:r>
              <w:rPr>
                <w:color w:val="auto"/>
                <w:sz w:val="24"/>
              </w:rPr>
              <w:t>产污率以0.8计，车辆清洗废水产生量为</w:t>
            </w:r>
            <w:r>
              <w:rPr>
                <w:rFonts w:hint="eastAsia"/>
                <w:color w:val="auto"/>
                <w:sz w:val="24"/>
                <w:lang w:val="en-US" w:eastAsia="zh-CN"/>
              </w:rPr>
              <w:t>7.6</w:t>
            </w:r>
            <w:r>
              <w:rPr>
                <w:color w:val="auto"/>
                <w:sz w:val="24"/>
              </w:rPr>
              <w:t>m³/d，</w:t>
            </w:r>
            <w:r>
              <w:rPr>
                <w:rFonts w:hint="eastAsia"/>
                <w:color w:val="auto"/>
                <w:sz w:val="24"/>
                <w:lang w:val="en-US" w:eastAsia="zh-CN"/>
              </w:rPr>
              <w:t>2280</w:t>
            </w:r>
            <w:r>
              <w:rPr>
                <w:color w:val="auto"/>
                <w:sz w:val="24"/>
              </w:rPr>
              <w:t>m³/a。</w:t>
            </w:r>
            <w:r>
              <w:rPr>
                <w:color w:val="auto"/>
                <w:sz w:val="24"/>
                <w:lang w:val="zh-CN"/>
              </w:rPr>
              <w:t>其主要水质污染因子为SS，根据对同类型企业的类比调查，SS的浓度约为3000mg/L。</w:t>
            </w:r>
            <w:r>
              <w:rPr>
                <w:color w:val="auto"/>
                <w:sz w:val="24"/>
              </w:rPr>
              <w:t>车辆外部清洗废水汇入生产废水沉淀池内。</w:t>
            </w:r>
          </w:p>
          <w:p w14:paraId="61B3F6A0">
            <w:pPr>
              <w:pStyle w:val="12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color w:val="auto"/>
                <w:spacing w:val="0"/>
                <w:position w:val="0"/>
                <w:sz w:val="24"/>
                <w:szCs w:val="24"/>
              </w:rPr>
            </w:pPr>
            <w:r>
              <w:rPr>
                <w:color w:val="auto"/>
                <w:spacing w:val="0"/>
                <w:position w:val="0"/>
                <w:sz w:val="24"/>
              </w:rPr>
              <w:t>③</w:t>
            </w:r>
            <w:r>
              <w:rPr>
                <w:color w:val="auto"/>
                <w:spacing w:val="0"/>
                <w:position w:val="0"/>
                <w:sz w:val="24"/>
                <w:szCs w:val="24"/>
              </w:rPr>
              <w:t>检验设备用水</w:t>
            </w:r>
            <w:r>
              <w:rPr>
                <w:rFonts w:hint="eastAsia" w:eastAsia="宋体"/>
                <w:color w:val="auto"/>
                <w:spacing w:val="0"/>
                <w:position w:val="0"/>
                <w:sz w:val="24"/>
                <w:szCs w:val="24"/>
                <w:lang w:eastAsia="zh-CN"/>
              </w:rPr>
              <w:t>：</w:t>
            </w:r>
            <w:r>
              <w:rPr>
                <w:color w:val="auto"/>
                <w:spacing w:val="0"/>
                <w:position w:val="0"/>
                <w:sz w:val="24"/>
                <w:szCs w:val="24"/>
              </w:rPr>
              <w:t>项目区设置有检验室，对混凝土进行强度等物理检测，不涉及化学实验。根据建设单位提供的资料，实验设备清洗用水量为</w:t>
            </w:r>
            <w:r>
              <w:rPr>
                <w:rFonts w:ascii="Times New Roman" w:hAnsi="Times New Roman" w:eastAsia="Times New Roman" w:cs="Times New Roman"/>
                <w:color w:val="auto"/>
                <w:spacing w:val="0"/>
                <w:position w:val="0"/>
                <w:sz w:val="24"/>
                <w:szCs w:val="24"/>
              </w:rPr>
              <w:t>0.2m</w:t>
            </w:r>
            <w:r>
              <w:rPr>
                <w:rFonts w:ascii="Times New Roman" w:hAnsi="Times New Roman" w:eastAsia="Times New Roman" w:cs="Times New Roman"/>
                <w:color w:val="auto"/>
                <w:spacing w:val="0"/>
                <w:position w:val="0"/>
                <w:sz w:val="21"/>
                <w:szCs w:val="21"/>
                <w:vertAlign w:val="superscript"/>
              </w:rPr>
              <w:t>3</w:t>
            </w:r>
            <w:r>
              <w:rPr>
                <w:rFonts w:ascii="Times New Roman" w:hAnsi="Times New Roman" w:eastAsia="Times New Roman" w:cs="Times New Roman"/>
                <w:color w:val="auto"/>
                <w:spacing w:val="0"/>
                <w:position w:val="0"/>
                <w:sz w:val="24"/>
                <w:szCs w:val="24"/>
              </w:rPr>
              <w:t>/d</w:t>
            </w:r>
            <w:r>
              <w:rPr>
                <w:color w:val="auto"/>
                <w:spacing w:val="0"/>
                <w:position w:val="0"/>
                <w:sz w:val="24"/>
                <w:szCs w:val="24"/>
              </w:rPr>
              <w:t>（</w:t>
            </w:r>
            <w:r>
              <w:rPr>
                <w:rFonts w:ascii="Times New Roman" w:hAnsi="Times New Roman" w:eastAsia="Times New Roman" w:cs="Times New Roman"/>
                <w:color w:val="auto"/>
                <w:spacing w:val="0"/>
                <w:position w:val="0"/>
                <w:sz w:val="24"/>
                <w:szCs w:val="24"/>
              </w:rPr>
              <w:t>60m</w:t>
            </w:r>
            <w:r>
              <w:rPr>
                <w:rFonts w:ascii="Times New Roman" w:hAnsi="Times New Roman" w:eastAsia="Times New Roman" w:cs="Times New Roman"/>
                <w:color w:val="auto"/>
                <w:spacing w:val="0"/>
                <w:position w:val="0"/>
                <w:sz w:val="21"/>
                <w:szCs w:val="21"/>
                <w:vertAlign w:val="superscript"/>
              </w:rPr>
              <w:t>3</w:t>
            </w:r>
            <w:r>
              <w:rPr>
                <w:rFonts w:ascii="Times New Roman" w:hAnsi="Times New Roman" w:eastAsia="Times New Roman" w:cs="Times New Roman"/>
                <w:color w:val="auto"/>
                <w:spacing w:val="0"/>
                <w:position w:val="0"/>
                <w:sz w:val="24"/>
                <w:szCs w:val="24"/>
              </w:rPr>
              <w:t>/a</w:t>
            </w:r>
            <w:r>
              <w:rPr>
                <w:color w:val="auto"/>
                <w:spacing w:val="0"/>
                <w:position w:val="0"/>
                <w:sz w:val="24"/>
                <w:szCs w:val="24"/>
              </w:rPr>
              <w:t>），排水量按用水量的</w:t>
            </w:r>
            <w:r>
              <w:rPr>
                <w:rFonts w:ascii="Times New Roman" w:hAnsi="Times New Roman" w:eastAsia="Times New Roman" w:cs="Times New Roman"/>
                <w:color w:val="auto"/>
                <w:spacing w:val="0"/>
                <w:position w:val="0"/>
                <w:sz w:val="24"/>
                <w:szCs w:val="24"/>
              </w:rPr>
              <w:t>80%</w:t>
            </w:r>
            <w:r>
              <w:rPr>
                <w:color w:val="auto"/>
                <w:spacing w:val="0"/>
                <w:position w:val="0"/>
                <w:sz w:val="24"/>
                <w:szCs w:val="24"/>
              </w:rPr>
              <w:t>计，故排水量为</w:t>
            </w:r>
            <w:r>
              <w:rPr>
                <w:rFonts w:ascii="Times New Roman" w:hAnsi="Times New Roman" w:eastAsia="Times New Roman" w:cs="Times New Roman"/>
                <w:color w:val="auto"/>
                <w:spacing w:val="0"/>
                <w:position w:val="0"/>
                <w:sz w:val="24"/>
                <w:szCs w:val="24"/>
              </w:rPr>
              <w:t>0.</w:t>
            </w:r>
            <w:r>
              <w:rPr>
                <w:rFonts w:hint="eastAsia" w:ascii="Times New Roman" w:hAnsi="Times New Roman" w:eastAsia="宋体" w:cs="Times New Roman"/>
                <w:color w:val="auto"/>
                <w:spacing w:val="0"/>
                <w:position w:val="0"/>
                <w:sz w:val="24"/>
                <w:szCs w:val="24"/>
                <w:lang w:val="en-US" w:eastAsia="zh-CN"/>
              </w:rPr>
              <w:t>16</w:t>
            </w:r>
            <w:r>
              <w:rPr>
                <w:rFonts w:ascii="Times New Roman" w:hAnsi="Times New Roman" w:eastAsia="Times New Roman" w:cs="Times New Roman"/>
                <w:color w:val="auto"/>
                <w:spacing w:val="0"/>
                <w:position w:val="0"/>
                <w:sz w:val="21"/>
                <w:szCs w:val="21"/>
              </w:rPr>
              <w:t>m</w:t>
            </w:r>
            <w:r>
              <w:rPr>
                <w:rFonts w:ascii="Times New Roman" w:hAnsi="Times New Roman" w:eastAsia="Times New Roman" w:cs="Times New Roman"/>
                <w:color w:val="auto"/>
                <w:spacing w:val="0"/>
                <w:position w:val="0"/>
                <w:sz w:val="21"/>
                <w:szCs w:val="21"/>
                <w:vertAlign w:val="superscript"/>
              </w:rPr>
              <w:t>3</w:t>
            </w:r>
            <w:r>
              <w:rPr>
                <w:rFonts w:ascii="Times New Roman" w:hAnsi="Times New Roman" w:eastAsia="Times New Roman" w:cs="Times New Roman"/>
                <w:color w:val="auto"/>
                <w:spacing w:val="0"/>
                <w:position w:val="0"/>
                <w:sz w:val="21"/>
                <w:szCs w:val="21"/>
              </w:rPr>
              <w:t>/d</w:t>
            </w:r>
            <w:r>
              <w:rPr>
                <w:color w:val="auto"/>
                <w:spacing w:val="0"/>
                <w:position w:val="0"/>
                <w:sz w:val="21"/>
                <w:szCs w:val="21"/>
              </w:rPr>
              <w:t>（</w:t>
            </w:r>
            <w:r>
              <w:rPr>
                <w:rFonts w:hint="eastAsia" w:ascii="Times New Roman" w:hAnsi="Times New Roman" w:eastAsia="宋体" w:cs="Times New Roman"/>
                <w:color w:val="auto"/>
                <w:spacing w:val="0"/>
                <w:position w:val="0"/>
                <w:sz w:val="21"/>
                <w:szCs w:val="21"/>
                <w:lang w:val="en-US" w:eastAsia="zh-CN"/>
              </w:rPr>
              <w:t>48</w:t>
            </w:r>
            <w:r>
              <w:rPr>
                <w:rFonts w:ascii="Times New Roman" w:hAnsi="Times New Roman" w:eastAsia="Times New Roman" w:cs="Times New Roman"/>
                <w:color w:val="auto"/>
                <w:spacing w:val="0"/>
                <w:position w:val="0"/>
                <w:sz w:val="21"/>
                <w:szCs w:val="21"/>
              </w:rPr>
              <w:t>m</w:t>
            </w:r>
            <w:r>
              <w:rPr>
                <w:rFonts w:ascii="Times New Roman" w:hAnsi="Times New Roman" w:eastAsia="Times New Roman" w:cs="Times New Roman"/>
                <w:color w:val="auto"/>
                <w:spacing w:val="0"/>
                <w:position w:val="0"/>
                <w:sz w:val="21"/>
                <w:szCs w:val="21"/>
                <w:vertAlign w:val="superscript"/>
              </w:rPr>
              <w:t>3</w:t>
            </w:r>
            <w:r>
              <w:rPr>
                <w:rFonts w:ascii="Times New Roman" w:hAnsi="Times New Roman" w:eastAsia="Times New Roman" w:cs="Times New Roman"/>
                <w:color w:val="auto"/>
                <w:spacing w:val="0"/>
                <w:position w:val="0"/>
                <w:sz w:val="21"/>
                <w:szCs w:val="21"/>
              </w:rPr>
              <w:t>/a</w:t>
            </w:r>
            <w:r>
              <w:rPr>
                <w:color w:val="auto"/>
                <w:spacing w:val="0"/>
                <w:position w:val="0"/>
                <w:sz w:val="21"/>
                <w:szCs w:val="21"/>
              </w:rPr>
              <w:t>）</w:t>
            </w:r>
            <w:r>
              <w:rPr>
                <w:color w:val="auto"/>
                <w:spacing w:val="0"/>
                <w:position w:val="0"/>
                <w:sz w:val="24"/>
                <w:szCs w:val="24"/>
              </w:rPr>
              <w:t>，该废水的主要污染物为</w:t>
            </w:r>
            <w:r>
              <w:rPr>
                <w:rFonts w:ascii="Times New Roman" w:hAnsi="Times New Roman" w:eastAsia="Times New Roman" w:cs="Times New Roman"/>
                <w:color w:val="auto"/>
                <w:spacing w:val="0"/>
                <w:position w:val="0"/>
                <w:sz w:val="24"/>
                <w:szCs w:val="24"/>
              </w:rPr>
              <w:t>SS</w:t>
            </w:r>
            <w:r>
              <w:rPr>
                <w:color w:val="auto"/>
                <w:spacing w:val="0"/>
                <w:position w:val="0"/>
                <w:sz w:val="24"/>
                <w:szCs w:val="24"/>
              </w:rPr>
              <w:t>，实验设备清洗废水经收集后，排至三级沉淀池沉淀后，全部回用作项目区搅拌用水，不外排。</w:t>
            </w:r>
          </w:p>
          <w:p w14:paraId="65D484BB">
            <w:pPr>
              <w:pStyle w:val="26"/>
              <w:keepNext w:val="0"/>
              <w:keepLines w:val="0"/>
              <w:pageBreakBefore w:val="0"/>
              <w:widowControl w:val="0"/>
              <w:kinsoku/>
              <w:wordWrap w:val="0"/>
              <w:overflowPunct/>
              <w:topLinePunct/>
              <w:autoSpaceDE/>
              <w:autoSpaceDN/>
              <w:bidi w:val="0"/>
              <w:adjustRightInd/>
              <w:snapToGrid/>
              <w:spacing w:line="360" w:lineRule="auto"/>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④搅拌用水：项目产能为</w:t>
            </w:r>
            <w:r>
              <w:rPr>
                <w:rFonts w:hint="eastAsia" w:ascii="Times New Roman" w:hAnsi="Times New Roman" w:cs="Times New Roman"/>
                <w:color w:val="auto"/>
                <w:sz w:val="24"/>
                <w:lang w:val="en-US" w:eastAsia="zh-CN"/>
              </w:rPr>
              <w:t>25</w:t>
            </w:r>
            <w:r>
              <w:rPr>
                <w:rFonts w:hint="default" w:ascii="Times New Roman" w:hAnsi="Times New Roman" w:cs="Times New Roman"/>
                <w:color w:val="auto"/>
                <w:sz w:val="24"/>
              </w:rPr>
              <w:t>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/a混凝，根据“表1-5产品原料配比”混凝土需水量按C30商品混凝土考虑，根据《中华人民共和国国家标准-预拌混凝土》（GB/T14902-2012）及《普通混凝土配合比设计规程》（JGJ55-2011）C30商品混凝土用水量为184kg/m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，经计算技改后搅拌用水量为</w:t>
            </w:r>
            <w:r>
              <w:rPr>
                <w:rFonts w:hint="eastAsia" w:ascii="Times New Roman" w:hAnsi="Times New Roman" w:cs="Times New Roman"/>
                <w:color w:val="auto"/>
                <w:sz w:val="24"/>
                <w:lang w:val="en-US" w:eastAsia="zh-CN"/>
              </w:rPr>
              <w:t>153.33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460</w:t>
            </w:r>
            <w:r>
              <w:rPr>
                <w:rFonts w:hint="default" w:ascii="Times New Roman" w:hAnsi="Times New Roman" w:cs="Times New Roman"/>
                <w:color w:val="auto"/>
                <w:sz w:val="24"/>
              </w:rPr>
              <w:t>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/a）。搅拌用水全部随产品带出，不产生废水。</w:t>
            </w:r>
          </w:p>
          <w:p w14:paraId="1D0639A9">
            <w:pPr>
              <w:pStyle w:val="26"/>
              <w:spacing w:line="360" w:lineRule="auto"/>
              <w:ind w:firstLine="480"/>
              <w:rPr>
                <w:rFonts w:ascii="Times New Roman" w:hAnsi="Times New Roman"/>
                <w:color w:val="auto"/>
                <w:sz w:val="24"/>
              </w:rPr>
            </w:pPr>
            <w:r>
              <w:rPr>
                <w:rFonts w:hint="eastAsia" w:ascii="Times New Roman" w:hAnsi="Times New Roman"/>
                <w:color w:val="auto"/>
                <w:sz w:val="24"/>
              </w:rPr>
              <w:t>⑤</w:t>
            </w:r>
            <w:r>
              <w:rPr>
                <w:rFonts w:ascii="Times New Roman" w:hAnsi="Times New Roman"/>
                <w:color w:val="auto"/>
                <w:sz w:val="24"/>
              </w:rPr>
              <w:t>人工降尘用水：在运输和卸料过程中，会产生粉尘逸散，在过程中人工洒水降尘及有效抑尘，又能节约用水，避免浪费，</w:t>
            </w:r>
            <w:r>
              <w:rPr>
                <w:rFonts w:hint="eastAsia" w:ascii="Times New Roman" w:hAnsi="Times New Roman"/>
                <w:color w:val="auto"/>
                <w:sz w:val="24"/>
              </w:rPr>
              <w:t>根据建设单位原有项目运行经验，</w:t>
            </w:r>
            <w:r>
              <w:rPr>
                <w:rFonts w:ascii="Times New Roman" w:hAnsi="Times New Roman"/>
                <w:color w:val="auto"/>
                <w:sz w:val="24"/>
              </w:rPr>
              <w:t>平均每天约消耗1m³，降尘用水为消耗性用水</w:t>
            </w:r>
            <w:r>
              <w:rPr>
                <w:rFonts w:hint="eastAsia" w:ascii="Times New Roman" w:hAnsi="Times New Roman"/>
                <w:color w:val="auto"/>
                <w:sz w:val="24"/>
                <w:lang w:val="en-US" w:eastAsia="zh-CN"/>
              </w:rPr>
              <w:t xml:space="preserve"> </w:t>
            </w:r>
            <w:r>
              <w:rPr>
                <w:rFonts w:ascii="Times New Roman" w:hAnsi="Times New Roman"/>
                <w:color w:val="auto"/>
                <w:sz w:val="24"/>
              </w:rPr>
              <w:t>，随温度蒸发，无废水产生。</w:t>
            </w:r>
          </w:p>
          <w:p w14:paraId="14416BC4">
            <w:pPr>
              <w:spacing w:line="360" w:lineRule="auto"/>
              <w:ind w:firstLine="480"/>
              <w:rPr>
                <w:color w:val="auto"/>
                <w:sz w:val="24"/>
              </w:rPr>
            </w:pPr>
            <w:r>
              <w:rPr>
                <w:color w:val="auto"/>
                <w:sz w:val="24"/>
              </w:rPr>
              <w:t>根据</w:t>
            </w:r>
            <w:r>
              <w:rPr>
                <w:rFonts w:hint="eastAsia"/>
                <w:color w:val="auto"/>
                <w:sz w:val="24"/>
              </w:rPr>
              <w:t>统计，</w:t>
            </w:r>
            <w:r>
              <w:rPr>
                <w:rFonts w:hint="eastAsia"/>
                <w:color w:val="auto"/>
                <w:sz w:val="24"/>
                <w:lang w:val="en-US" w:eastAsia="zh-CN"/>
              </w:rPr>
              <w:t>原</w:t>
            </w:r>
            <w:r>
              <w:rPr>
                <w:color w:val="auto"/>
                <w:sz w:val="24"/>
              </w:rPr>
              <w:t>项目生产废水排放量共计</w:t>
            </w:r>
            <w:r>
              <w:rPr>
                <w:rFonts w:hint="eastAsia"/>
                <w:color w:val="auto"/>
                <w:sz w:val="24"/>
                <w:lang w:val="en-US" w:eastAsia="zh-CN"/>
              </w:rPr>
              <w:t>10.64</w:t>
            </w:r>
            <w:r>
              <w:rPr>
                <w:color w:val="auto"/>
                <w:sz w:val="24"/>
              </w:rPr>
              <w:t>m³/d，</w:t>
            </w:r>
            <w:r>
              <w:rPr>
                <w:rFonts w:hint="eastAsia"/>
                <w:color w:val="auto"/>
                <w:sz w:val="24"/>
                <w:lang w:val="en-US" w:eastAsia="zh-CN"/>
              </w:rPr>
              <w:t>3192</w:t>
            </w:r>
            <w:r>
              <w:rPr>
                <w:color w:val="auto"/>
                <w:sz w:val="24"/>
              </w:rPr>
              <w:t>m³/</w:t>
            </w:r>
            <w:r>
              <w:rPr>
                <w:rFonts w:hint="eastAsia"/>
                <w:color w:val="auto"/>
                <w:sz w:val="24"/>
              </w:rPr>
              <w:t>a，</w:t>
            </w:r>
            <w:r>
              <w:rPr>
                <w:color w:val="auto"/>
                <w:sz w:val="24"/>
              </w:rPr>
              <w:t>经过地势北高南低进入沉淀池沉淀处理后，用于搅拌用水。</w:t>
            </w:r>
          </w:p>
          <w:p w14:paraId="480F0B0C">
            <w:pPr>
              <w:autoSpaceDE w:val="0"/>
              <w:autoSpaceDN w:val="0"/>
              <w:spacing w:line="360" w:lineRule="auto"/>
              <w:ind w:firstLine="480"/>
              <w:rPr>
                <w:color w:val="auto"/>
                <w:sz w:val="24"/>
              </w:rPr>
            </w:pPr>
            <w:r>
              <w:rPr>
                <w:color w:val="auto"/>
                <w:sz w:val="24"/>
              </w:rPr>
              <w:t>（2）生活废水</w:t>
            </w:r>
          </w:p>
          <w:p w14:paraId="291732F2">
            <w:pPr>
              <w:autoSpaceDE w:val="0"/>
              <w:autoSpaceDN w:val="0"/>
              <w:spacing w:line="360" w:lineRule="auto"/>
              <w:ind w:firstLine="480"/>
              <w:rPr>
                <w:color w:val="auto"/>
                <w:sz w:val="24"/>
              </w:rPr>
            </w:pPr>
            <w:r>
              <w:rPr>
                <w:rFonts w:hint="eastAsia"/>
                <w:color w:val="auto"/>
                <w:sz w:val="24"/>
              </w:rPr>
              <w:t>根据建设单位实际运行情况，原项目生活用水量约为2.25</w:t>
            </w:r>
            <w:r>
              <w:rPr>
                <w:color w:val="auto"/>
                <w:sz w:val="24"/>
              </w:rPr>
              <w:t>m³/d</w:t>
            </w:r>
            <w:r>
              <w:rPr>
                <w:rFonts w:hint="eastAsia"/>
                <w:color w:val="auto"/>
                <w:sz w:val="24"/>
              </w:rPr>
              <w:t>，675</w:t>
            </w:r>
            <w:r>
              <w:rPr>
                <w:color w:val="auto"/>
                <w:sz w:val="24"/>
              </w:rPr>
              <w:t>m³/</w:t>
            </w:r>
            <w:r>
              <w:rPr>
                <w:rFonts w:hint="eastAsia"/>
                <w:color w:val="auto"/>
                <w:sz w:val="24"/>
              </w:rPr>
              <w:t>a，</w:t>
            </w:r>
            <w:r>
              <w:rPr>
                <w:color w:val="auto"/>
                <w:sz w:val="24"/>
              </w:rPr>
              <w:t>产污率以0.8计，项目生活废水排放量共计1.8m³/d，即540m³/a。其中餐饮废水先经隔油池处理，</w:t>
            </w:r>
            <w:r>
              <w:rPr>
                <w:rFonts w:hint="eastAsia"/>
                <w:color w:val="auto"/>
                <w:sz w:val="24"/>
              </w:rPr>
              <w:t>处理后与其他生活污水排入化粪池处理后用于农田</w:t>
            </w:r>
            <w:r>
              <w:rPr>
                <w:rFonts w:hint="eastAsia"/>
                <w:color w:val="auto"/>
                <w:sz w:val="24"/>
                <w:lang w:val="en-US" w:eastAsia="zh-CN"/>
              </w:rPr>
              <w:t>施肥</w:t>
            </w:r>
            <w:r>
              <w:rPr>
                <w:color w:val="auto"/>
                <w:sz w:val="24"/>
              </w:rPr>
              <w:t>。</w:t>
            </w:r>
          </w:p>
          <w:p w14:paraId="2C8B8B40">
            <w:pPr>
              <w:pStyle w:val="20"/>
              <w:spacing w:after="0" w:line="360" w:lineRule="auto"/>
              <w:ind w:firstLine="482"/>
              <w:rPr>
                <w:b/>
                <w:bCs/>
                <w:color w:val="auto"/>
                <w:sz w:val="24"/>
              </w:rPr>
            </w:pPr>
            <w:r>
              <w:rPr>
                <w:b/>
                <w:bCs/>
                <w:color w:val="auto"/>
                <w:sz w:val="24"/>
              </w:rPr>
              <w:t>3、噪声</w:t>
            </w:r>
          </w:p>
          <w:p w14:paraId="50B691C7">
            <w:pPr>
              <w:spacing w:line="360" w:lineRule="auto"/>
              <w:ind w:firstLine="480"/>
              <w:rPr>
                <w:color w:val="auto"/>
                <w:sz w:val="24"/>
              </w:rPr>
            </w:pPr>
            <w:r>
              <w:rPr>
                <w:color w:val="auto"/>
                <w:sz w:val="24"/>
              </w:rPr>
              <w:t>原项目噪声主要来自搅拌机、破碎机、装载机等生产设备，通过采用低噪声优质生产设备，并将产噪设备设置基础减震和安装于半封闭式生产车间内等措施进行隔音，噪声通过厂房隔声、距离衰减等措施进行防治。</w:t>
            </w:r>
          </w:p>
          <w:p w14:paraId="1AC41BE8">
            <w:pPr>
              <w:spacing w:line="360" w:lineRule="auto"/>
              <w:ind w:firstLine="480"/>
              <w:rPr>
                <w:color w:val="auto"/>
                <w:sz w:val="24"/>
              </w:rPr>
            </w:pPr>
            <w:r>
              <w:rPr>
                <w:rFonts w:hint="eastAsia" w:cs="Times New Roman"/>
                <w:bCs/>
                <w:color w:val="auto"/>
                <w:sz w:val="24"/>
                <w:lang w:val="en-US" w:eastAsia="zh-CN"/>
              </w:rPr>
              <w:t>根据中博源检测（云南）有限公司于2024年12月18日-21日对寻甸科宏建筑材料有限公司厂界四周进行监测，监测期间年产25万吨商品混凝土生产线建设项目处于正常运行状态，扩建项目处于停产状态。监测结果如下表</w:t>
            </w:r>
            <w:r>
              <w:rPr>
                <w:color w:val="auto"/>
                <w:sz w:val="24"/>
              </w:rPr>
              <w:t>：</w:t>
            </w:r>
          </w:p>
          <w:p w14:paraId="04457F1E">
            <w:pPr>
              <w:adjustRightInd w:val="0"/>
              <w:snapToGrid w:val="0"/>
              <w:ind w:left="420" w:leftChars="200" w:firstLine="0" w:firstLineChars="0"/>
              <w:jc w:val="center"/>
              <w:rPr>
                <w:b/>
                <w:bCs/>
                <w:color w:val="auto"/>
                <w:szCs w:val="21"/>
              </w:rPr>
            </w:pPr>
            <w:r>
              <w:rPr>
                <w:b/>
                <w:bCs/>
                <w:color w:val="auto"/>
                <w:szCs w:val="21"/>
              </w:rPr>
              <w:t>表2-</w:t>
            </w:r>
            <w:r>
              <w:rPr>
                <w:rFonts w:hint="eastAsia"/>
                <w:b/>
                <w:bCs/>
                <w:color w:val="auto"/>
                <w:szCs w:val="21"/>
              </w:rPr>
              <w:t>16</w:t>
            </w:r>
            <w:r>
              <w:rPr>
                <w:b/>
                <w:bCs/>
                <w:color w:val="auto"/>
                <w:szCs w:val="21"/>
              </w:rPr>
              <w:t xml:space="preserve">   现有项目厂界噪声检测结果与评价  单位：dB（A）</w:t>
            </w:r>
          </w:p>
          <w:tbl>
            <w:tblPr>
              <w:tblStyle w:val="121"/>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1"/>
              <w:gridCol w:w="833"/>
              <w:gridCol w:w="1053"/>
              <w:gridCol w:w="1053"/>
              <w:gridCol w:w="860"/>
              <w:gridCol w:w="913"/>
              <w:gridCol w:w="913"/>
              <w:gridCol w:w="915"/>
            </w:tblGrid>
            <w:tr w14:paraId="69099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92" w:type="pct"/>
                  <w:vMerge w:val="restart"/>
                  <w:tcBorders>
                    <w:bottom w:val="nil"/>
                  </w:tcBorders>
                  <w:vAlign w:val="center"/>
                </w:tcPr>
                <w:p w14:paraId="2C4689F5">
                  <w:pPr>
                    <w:ind w:firstLine="0" w:firstLineChars="0"/>
                    <w:jc w:val="center"/>
                    <w:rPr>
                      <w:color w:val="auto"/>
                      <w:szCs w:val="21"/>
                    </w:rPr>
                  </w:pPr>
                  <w:r>
                    <w:rPr>
                      <w:rFonts w:hint="eastAsia"/>
                      <w:color w:val="auto"/>
                      <w:szCs w:val="21"/>
                    </w:rPr>
                    <w:t>检测时间</w:t>
                  </w:r>
                </w:p>
              </w:tc>
              <w:tc>
                <w:tcPr>
                  <w:tcW w:w="523" w:type="pct"/>
                  <w:vMerge w:val="restart"/>
                  <w:tcBorders>
                    <w:bottom w:val="nil"/>
                  </w:tcBorders>
                  <w:vAlign w:val="center"/>
                </w:tcPr>
                <w:p w14:paraId="0504D6F9">
                  <w:pPr>
                    <w:ind w:firstLine="0" w:firstLineChars="0"/>
                    <w:jc w:val="center"/>
                    <w:rPr>
                      <w:color w:val="auto"/>
                      <w:szCs w:val="21"/>
                    </w:rPr>
                  </w:pPr>
                  <w:r>
                    <w:rPr>
                      <w:rFonts w:hint="eastAsia"/>
                      <w:color w:val="auto"/>
                      <w:szCs w:val="21"/>
                    </w:rPr>
                    <w:t>点位名称</w:t>
                  </w:r>
                </w:p>
              </w:tc>
              <w:tc>
                <w:tcPr>
                  <w:tcW w:w="661" w:type="pct"/>
                  <w:vMerge w:val="restart"/>
                  <w:tcBorders>
                    <w:bottom w:val="nil"/>
                  </w:tcBorders>
                  <w:vAlign w:val="center"/>
                </w:tcPr>
                <w:p w14:paraId="53FDDDCA">
                  <w:pPr>
                    <w:ind w:firstLine="0" w:firstLineChars="0"/>
                    <w:jc w:val="center"/>
                    <w:rPr>
                      <w:color w:val="auto"/>
                      <w:szCs w:val="21"/>
                    </w:rPr>
                  </w:pPr>
                  <w:r>
                    <w:rPr>
                      <w:rFonts w:hint="eastAsia"/>
                      <w:color w:val="auto"/>
                      <w:szCs w:val="21"/>
                    </w:rPr>
                    <w:t>昼间</w:t>
                  </w:r>
                </w:p>
                <w:p w14:paraId="137CCA6C">
                  <w:pPr>
                    <w:ind w:firstLine="0" w:firstLineChars="0"/>
                    <w:jc w:val="center"/>
                    <w:rPr>
                      <w:color w:val="auto"/>
                      <w:szCs w:val="21"/>
                    </w:rPr>
                  </w:pPr>
                  <w:r>
                    <w:rPr>
                      <w:rFonts w:hint="eastAsia"/>
                      <w:color w:val="auto"/>
                      <w:szCs w:val="21"/>
                    </w:rPr>
                    <w:t>Leq[dB(A)]</w:t>
                  </w:r>
                </w:p>
              </w:tc>
              <w:tc>
                <w:tcPr>
                  <w:tcW w:w="661" w:type="pct"/>
                  <w:vMerge w:val="restart"/>
                  <w:tcBorders>
                    <w:bottom w:val="nil"/>
                  </w:tcBorders>
                  <w:vAlign w:val="center"/>
                </w:tcPr>
                <w:p w14:paraId="62A7A5BB">
                  <w:pPr>
                    <w:ind w:firstLine="0" w:firstLineChars="0"/>
                    <w:jc w:val="center"/>
                    <w:rPr>
                      <w:color w:val="auto"/>
                      <w:szCs w:val="21"/>
                    </w:rPr>
                  </w:pPr>
                  <w:r>
                    <w:rPr>
                      <w:rFonts w:hint="eastAsia"/>
                      <w:color w:val="auto"/>
                      <w:szCs w:val="21"/>
                    </w:rPr>
                    <w:t>夜间</w:t>
                  </w:r>
                </w:p>
                <w:p w14:paraId="0D5142EF">
                  <w:pPr>
                    <w:ind w:firstLine="0" w:firstLineChars="0"/>
                    <w:jc w:val="center"/>
                    <w:rPr>
                      <w:color w:val="auto"/>
                      <w:szCs w:val="21"/>
                    </w:rPr>
                  </w:pPr>
                  <w:r>
                    <w:rPr>
                      <w:rFonts w:hint="eastAsia"/>
                      <w:color w:val="auto"/>
                      <w:szCs w:val="21"/>
                    </w:rPr>
                    <w:t>Leq[dB(A)]</w:t>
                  </w:r>
                </w:p>
              </w:tc>
              <w:tc>
                <w:tcPr>
                  <w:tcW w:w="540" w:type="pct"/>
                  <w:vMerge w:val="restart"/>
                  <w:tcBorders>
                    <w:bottom w:val="nil"/>
                  </w:tcBorders>
                  <w:vAlign w:val="center"/>
                </w:tcPr>
                <w:p w14:paraId="04068E9A">
                  <w:pPr>
                    <w:ind w:firstLine="0" w:firstLineChars="0"/>
                    <w:jc w:val="center"/>
                    <w:rPr>
                      <w:color w:val="auto"/>
                      <w:szCs w:val="21"/>
                    </w:rPr>
                  </w:pPr>
                  <w:r>
                    <w:rPr>
                      <w:rFonts w:hint="eastAsia"/>
                      <w:color w:val="auto"/>
                      <w:szCs w:val="21"/>
                    </w:rPr>
                    <w:t>主要声源</w:t>
                  </w:r>
                </w:p>
              </w:tc>
              <w:tc>
                <w:tcPr>
                  <w:tcW w:w="1146" w:type="pct"/>
                  <w:gridSpan w:val="2"/>
                  <w:vAlign w:val="center"/>
                </w:tcPr>
                <w:p w14:paraId="4308E4E9">
                  <w:pPr>
                    <w:ind w:firstLine="0" w:firstLineChars="0"/>
                    <w:jc w:val="center"/>
                    <w:rPr>
                      <w:color w:val="auto"/>
                      <w:szCs w:val="21"/>
                    </w:rPr>
                  </w:pPr>
                  <w:r>
                    <w:rPr>
                      <w:rFonts w:hint="eastAsia"/>
                      <w:color w:val="auto"/>
                      <w:szCs w:val="21"/>
                    </w:rPr>
                    <w:t>标准/Leq[dB(A)]</w:t>
                  </w:r>
                </w:p>
              </w:tc>
              <w:tc>
                <w:tcPr>
                  <w:tcW w:w="574" w:type="pct"/>
                  <w:vMerge w:val="restart"/>
                  <w:tcBorders>
                    <w:bottom w:val="nil"/>
                  </w:tcBorders>
                  <w:vAlign w:val="center"/>
                </w:tcPr>
                <w:p w14:paraId="737E3722">
                  <w:pPr>
                    <w:ind w:firstLine="0" w:firstLineChars="0"/>
                    <w:jc w:val="center"/>
                    <w:rPr>
                      <w:color w:val="auto"/>
                      <w:szCs w:val="21"/>
                    </w:rPr>
                  </w:pPr>
                  <w:r>
                    <w:rPr>
                      <w:rFonts w:hint="eastAsia"/>
                      <w:color w:val="auto"/>
                      <w:szCs w:val="21"/>
                    </w:rPr>
                    <w:t>达标情况</w:t>
                  </w:r>
                </w:p>
              </w:tc>
            </w:tr>
            <w:tr w14:paraId="01DA3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2" w:type="pct"/>
                  <w:vMerge w:val="continue"/>
                  <w:tcBorders>
                    <w:top w:val="nil"/>
                  </w:tcBorders>
                  <w:vAlign w:val="center"/>
                </w:tcPr>
                <w:p w14:paraId="00A2EFD1">
                  <w:pPr>
                    <w:ind w:firstLine="0" w:firstLineChars="0"/>
                    <w:jc w:val="center"/>
                    <w:rPr>
                      <w:color w:val="auto"/>
                      <w:szCs w:val="21"/>
                    </w:rPr>
                  </w:pPr>
                </w:p>
              </w:tc>
              <w:tc>
                <w:tcPr>
                  <w:tcW w:w="523" w:type="pct"/>
                  <w:vMerge w:val="continue"/>
                  <w:tcBorders>
                    <w:top w:val="nil"/>
                  </w:tcBorders>
                  <w:vAlign w:val="center"/>
                </w:tcPr>
                <w:p w14:paraId="0F7B2950">
                  <w:pPr>
                    <w:ind w:firstLine="0" w:firstLineChars="0"/>
                    <w:jc w:val="center"/>
                    <w:rPr>
                      <w:color w:val="auto"/>
                      <w:szCs w:val="21"/>
                    </w:rPr>
                  </w:pPr>
                </w:p>
              </w:tc>
              <w:tc>
                <w:tcPr>
                  <w:tcW w:w="661" w:type="pct"/>
                  <w:vMerge w:val="continue"/>
                  <w:tcBorders>
                    <w:top w:val="nil"/>
                  </w:tcBorders>
                  <w:vAlign w:val="center"/>
                </w:tcPr>
                <w:p w14:paraId="4632E877">
                  <w:pPr>
                    <w:ind w:firstLine="0" w:firstLineChars="0"/>
                    <w:jc w:val="center"/>
                    <w:rPr>
                      <w:color w:val="auto"/>
                      <w:szCs w:val="21"/>
                    </w:rPr>
                  </w:pPr>
                </w:p>
              </w:tc>
              <w:tc>
                <w:tcPr>
                  <w:tcW w:w="661" w:type="pct"/>
                  <w:vMerge w:val="continue"/>
                  <w:tcBorders>
                    <w:top w:val="nil"/>
                  </w:tcBorders>
                  <w:vAlign w:val="center"/>
                </w:tcPr>
                <w:p w14:paraId="67DFE225">
                  <w:pPr>
                    <w:ind w:firstLine="0" w:firstLineChars="0"/>
                    <w:jc w:val="center"/>
                    <w:rPr>
                      <w:color w:val="auto"/>
                      <w:szCs w:val="21"/>
                    </w:rPr>
                  </w:pPr>
                </w:p>
              </w:tc>
              <w:tc>
                <w:tcPr>
                  <w:tcW w:w="540" w:type="pct"/>
                  <w:vMerge w:val="continue"/>
                  <w:tcBorders>
                    <w:top w:val="nil"/>
                  </w:tcBorders>
                  <w:vAlign w:val="center"/>
                </w:tcPr>
                <w:p w14:paraId="2589843C">
                  <w:pPr>
                    <w:ind w:firstLine="0" w:firstLineChars="0"/>
                    <w:jc w:val="center"/>
                    <w:rPr>
                      <w:color w:val="auto"/>
                      <w:szCs w:val="21"/>
                    </w:rPr>
                  </w:pPr>
                </w:p>
              </w:tc>
              <w:tc>
                <w:tcPr>
                  <w:tcW w:w="573" w:type="pct"/>
                  <w:vAlign w:val="center"/>
                </w:tcPr>
                <w:p w14:paraId="7C5C8065">
                  <w:pPr>
                    <w:ind w:firstLine="0" w:firstLineChars="0"/>
                    <w:jc w:val="center"/>
                    <w:rPr>
                      <w:color w:val="auto"/>
                      <w:szCs w:val="21"/>
                    </w:rPr>
                  </w:pPr>
                  <w:r>
                    <w:rPr>
                      <w:rFonts w:hint="eastAsia"/>
                      <w:color w:val="auto"/>
                      <w:szCs w:val="21"/>
                    </w:rPr>
                    <w:t>昼间</w:t>
                  </w:r>
                </w:p>
              </w:tc>
              <w:tc>
                <w:tcPr>
                  <w:tcW w:w="573" w:type="pct"/>
                  <w:vAlign w:val="center"/>
                </w:tcPr>
                <w:p w14:paraId="0B3D0D5A">
                  <w:pPr>
                    <w:ind w:firstLine="0" w:firstLineChars="0"/>
                    <w:jc w:val="center"/>
                    <w:rPr>
                      <w:color w:val="auto"/>
                      <w:szCs w:val="21"/>
                    </w:rPr>
                  </w:pPr>
                  <w:r>
                    <w:rPr>
                      <w:rFonts w:hint="eastAsia"/>
                      <w:color w:val="auto"/>
                      <w:szCs w:val="21"/>
                    </w:rPr>
                    <w:t>夜间</w:t>
                  </w:r>
                </w:p>
              </w:tc>
              <w:tc>
                <w:tcPr>
                  <w:tcW w:w="574" w:type="pct"/>
                  <w:vMerge w:val="continue"/>
                  <w:tcBorders>
                    <w:top w:val="nil"/>
                  </w:tcBorders>
                  <w:vAlign w:val="center"/>
                </w:tcPr>
                <w:p w14:paraId="7C277FE8">
                  <w:pPr>
                    <w:ind w:firstLine="0" w:firstLineChars="0"/>
                    <w:jc w:val="center"/>
                    <w:rPr>
                      <w:color w:val="auto"/>
                      <w:szCs w:val="21"/>
                    </w:rPr>
                  </w:pPr>
                </w:p>
              </w:tc>
            </w:tr>
            <w:tr w14:paraId="1C33B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497" w:type="dxa"/>
                  <w:vMerge w:val="restart"/>
                  <w:tcBorders>
                    <w:bottom w:val="nil"/>
                  </w:tcBorders>
                  <w:vAlign w:val="center"/>
                </w:tcPr>
                <w:p w14:paraId="54CC7BBD">
                  <w:pPr>
                    <w:ind w:firstLine="0" w:firstLineChars="0"/>
                    <w:jc w:val="center"/>
                    <w:rPr>
                      <w:rFonts w:hint="default" w:eastAsia="宋体"/>
                      <w:color w:val="auto"/>
                      <w:szCs w:val="21"/>
                      <w:lang w:val="en-US" w:eastAsia="zh-CN"/>
                    </w:rPr>
                  </w:pPr>
                  <w:r>
                    <w:rPr>
                      <w:rFonts w:hint="eastAsia"/>
                      <w:color w:val="auto"/>
                      <w:szCs w:val="21"/>
                    </w:rPr>
                    <w:t>20</w:t>
                  </w:r>
                  <w:r>
                    <w:rPr>
                      <w:rFonts w:hint="eastAsia"/>
                      <w:color w:val="auto"/>
                      <w:szCs w:val="21"/>
                      <w:lang w:val="en-US" w:eastAsia="zh-CN"/>
                    </w:rPr>
                    <w:t>24</w:t>
                  </w:r>
                  <w:r>
                    <w:rPr>
                      <w:rFonts w:hint="eastAsia"/>
                      <w:color w:val="auto"/>
                      <w:szCs w:val="21"/>
                    </w:rPr>
                    <w:t>/12/</w:t>
                  </w:r>
                  <w:r>
                    <w:rPr>
                      <w:rFonts w:hint="eastAsia"/>
                      <w:color w:val="auto"/>
                      <w:szCs w:val="21"/>
                      <w:lang w:val="en-US" w:eastAsia="zh-CN"/>
                    </w:rPr>
                    <w:t>18</w:t>
                  </w:r>
                </w:p>
              </w:tc>
              <w:tc>
                <w:tcPr>
                  <w:tcW w:w="523" w:type="pct"/>
                  <w:vAlign w:val="center"/>
                </w:tcPr>
                <w:p w14:paraId="6B5A74C0">
                  <w:pPr>
                    <w:ind w:firstLine="0" w:firstLineChars="0"/>
                    <w:jc w:val="center"/>
                    <w:rPr>
                      <w:color w:val="auto"/>
                      <w:szCs w:val="21"/>
                    </w:rPr>
                  </w:pPr>
                  <w:r>
                    <w:rPr>
                      <w:rFonts w:hint="eastAsia"/>
                      <w:color w:val="auto"/>
                      <w:szCs w:val="21"/>
                    </w:rPr>
                    <w:t>厂界东</w:t>
                  </w:r>
                </w:p>
              </w:tc>
              <w:tc>
                <w:tcPr>
                  <w:tcW w:w="661" w:type="pct"/>
                  <w:vAlign w:val="center"/>
                </w:tcPr>
                <w:p w14:paraId="48DBF9BB">
                  <w:pPr>
                    <w:ind w:firstLine="0" w:firstLineChars="0"/>
                    <w:jc w:val="center"/>
                    <w:rPr>
                      <w:color w:val="auto"/>
                      <w:szCs w:val="21"/>
                    </w:rPr>
                  </w:pPr>
                  <w:r>
                    <w:rPr>
                      <w:rFonts w:eastAsiaTheme="minorEastAsia"/>
                      <w:color w:val="auto"/>
                      <w:szCs w:val="21"/>
                    </w:rPr>
                    <w:t>55</w:t>
                  </w:r>
                </w:p>
              </w:tc>
              <w:tc>
                <w:tcPr>
                  <w:tcW w:w="661" w:type="pct"/>
                  <w:vAlign w:val="center"/>
                </w:tcPr>
                <w:p w14:paraId="72D7CB7B">
                  <w:pPr>
                    <w:ind w:firstLine="0" w:firstLineChars="0"/>
                    <w:jc w:val="center"/>
                    <w:rPr>
                      <w:rFonts w:hint="default" w:eastAsia="宋体"/>
                      <w:color w:val="auto"/>
                      <w:szCs w:val="21"/>
                      <w:lang w:val="en-US" w:eastAsia="zh-CN"/>
                    </w:rPr>
                  </w:pPr>
                  <w:r>
                    <w:rPr>
                      <w:rFonts w:hint="eastAsia"/>
                      <w:color w:val="auto"/>
                      <w:szCs w:val="21"/>
                      <w:lang w:val="en-US" w:eastAsia="zh-CN"/>
                    </w:rPr>
                    <w:t>39</w:t>
                  </w:r>
                </w:p>
              </w:tc>
              <w:tc>
                <w:tcPr>
                  <w:tcW w:w="540" w:type="pct"/>
                  <w:vMerge w:val="restart"/>
                  <w:tcBorders>
                    <w:bottom w:val="nil"/>
                  </w:tcBorders>
                  <w:vAlign w:val="center"/>
                </w:tcPr>
                <w:p w14:paraId="0C62C23F">
                  <w:pPr>
                    <w:ind w:firstLine="0" w:firstLineChars="0"/>
                    <w:jc w:val="center"/>
                    <w:rPr>
                      <w:color w:val="auto"/>
                      <w:szCs w:val="21"/>
                    </w:rPr>
                  </w:pPr>
                  <w:r>
                    <w:rPr>
                      <w:rFonts w:hint="eastAsia"/>
                      <w:color w:val="auto"/>
                      <w:szCs w:val="21"/>
                    </w:rPr>
                    <w:t>生产设备、环境</w:t>
                  </w:r>
                </w:p>
              </w:tc>
              <w:tc>
                <w:tcPr>
                  <w:tcW w:w="573" w:type="pct"/>
                  <w:vMerge w:val="restart"/>
                  <w:tcBorders>
                    <w:bottom w:val="nil"/>
                  </w:tcBorders>
                  <w:vAlign w:val="center"/>
                </w:tcPr>
                <w:p w14:paraId="14AD94FB">
                  <w:pPr>
                    <w:ind w:firstLine="0" w:firstLineChars="0"/>
                    <w:jc w:val="center"/>
                    <w:rPr>
                      <w:color w:val="auto"/>
                      <w:szCs w:val="21"/>
                    </w:rPr>
                  </w:pPr>
                  <w:r>
                    <w:rPr>
                      <w:rFonts w:hint="eastAsia"/>
                      <w:color w:val="auto"/>
                      <w:szCs w:val="21"/>
                    </w:rPr>
                    <w:t>60</w:t>
                  </w:r>
                </w:p>
              </w:tc>
              <w:tc>
                <w:tcPr>
                  <w:tcW w:w="573" w:type="pct"/>
                  <w:vMerge w:val="restart"/>
                  <w:tcBorders>
                    <w:bottom w:val="nil"/>
                  </w:tcBorders>
                  <w:vAlign w:val="center"/>
                </w:tcPr>
                <w:p w14:paraId="51475C39">
                  <w:pPr>
                    <w:ind w:firstLine="0" w:firstLineChars="0"/>
                    <w:jc w:val="center"/>
                    <w:rPr>
                      <w:color w:val="auto"/>
                      <w:szCs w:val="21"/>
                    </w:rPr>
                  </w:pPr>
                  <w:r>
                    <w:rPr>
                      <w:rFonts w:hint="eastAsia"/>
                      <w:color w:val="auto"/>
                      <w:szCs w:val="21"/>
                    </w:rPr>
                    <w:t>50</w:t>
                  </w:r>
                </w:p>
              </w:tc>
              <w:tc>
                <w:tcPr>
                  <w:tcW w:w="574" w:type="pct"/>
                  <w:vAlign w:val="center"/>
                </w:tcPr>
                <w:p w14:paraId="0A6DAA52">
                  <w:pPr>
                    <w:ind w:firstLine="0" w:firstLineChars="0"/>
                    <w:jc w:val="center"/>
                    <w:rPr>
                      <w:color w:val="auto"/>
                      <w:szCs w:val="21"/>
                    </w:rPr>
                  </w:pPr>
                  <w:r>
                    <w:rPr>
                      <w:rFonts w:hint="eastAsia"/>
                      <w:color w:val="auto"/>
                      <w:szCs w:val="21"/>
                    </w:rPr>
                    <w:t>达标</w:t>
                  </w:r>
                </w:p>
              </w:tc>
            </w:tr>
            <w:tr w14:paraId="63F4F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92" w:type="pct"/>
                  <w:vMerge w:val="continue"/>
                  <w:tcBorders>
                    <w:top w:val="nil"/>
                    <w:bottom w:val="nil"/>
                  </w:tcBorders>
                  <w:vAlign w:val="center"/>
                </w:tcPr>
                <w:p w14:paraId="1786A4DE">
                  <w:pPr>
                    <w:ind w:firstLine="0" w:firstLineChars="0"/>
                    <w:jc w:val="center"/>
                    <w:rPr>
                      <w:color w:val="auto"/>
                      <w:szCs w:val="21"/>
                    </w:rPr>
                  </w:pPr>
                </w:p>
              </w:tc>
              <w:tc>
                <w:tcPr>
                  <w:tcW w:w="523" w:type="pct"/>
                  <w:vAlign w:val="center"/>
                </w:tcPr>
                <w:p w14:paraId="02BA8145">
                  <w:pPr>
                    <w:ind w:firstLine="0" w:firstLineChars="0"/>
                    <w:jc w:val="center"/>
                    <w:rPr>
                      <w:color w:val="auto"/>
                      <w:szCs w:val="21"/>
                    </w:rPr>
                  </w:pPr>
                  <w:r>
                    <w:rPr>
                      <w:rFonts w:hint="eastAsia"/>
                      <w:color w:val="auto"/>
                      <w:szCs w:val="21"/>
                    </w:rPr>
                    <w:t>厂界南</w:t>
                  </w:r>
                </w:p>
              </w:tc>
              <w:tc>
                <w:tcPr>
                  <w:tcW w:w="661" w:type="pct"/>
                  <w:vAlign w:val="center"/>
                </w:tcPr>
                <w:p w14:paraId="7005BAF5">
                  <w:pPr>
                    <w:ind w:firstLine="0" w:firstLineChars="0"/>
                    <w:jc w:val="center"/>
                    <w:rPr>
                      <w:rFonts w:hint="eastAsia" w:eastAsia="宋体"/>
                      <w:color w:val="auto"/>
                      <w:szCs w:val="21"/>
                      <w:lang w:eastAsia="zh-CN"/>
                    </w:rPr>
                  </w:pPr>
                  <w:r>
                    <w:rPr>
                      <w:rFonts w:hint="eastAsia"/>
                      <w:color w:val="auto"/>
                      <w:szCs w:val="21"/>
                    </w:rPr>
                    <w:t>5</w:t>
                  </w:r>
                  <w:r>
                    <w:rPr>
                      <w:rFonts w:hint="eastAsia"/>
                      <w:color w:val="auto"/>
                      <w:szCs w:val="21"/>
                      <w:lang w:val="en-US" w:eastAsia="zh-CN"/>
                    </w:rPr>
                    <w:t>3</w:t>
                  </w:r>
                </w:p>
              </w:tc>
              <w:tc>
                <w:tcPr>
                  <w:tcW w:w="661" w:type="pct"/>
                  <w:vAlign w:val="center"/>
                </w:tcPr>
                <w:p w14:paraId="4D5322D7">
                  <w:pPr>
                    <w:ind w:firstLine="0" w:firstLineChars="0"/>
                    <w:jc w:val="center"/>
                    <w:rPr>
                      <w:rFonts w:hint="default" w:eastAsia="宋体"/>
                      <w:color w:val="auto"/>
                      <w:szCs w:val="21"/>
                      <w:lang w:val="en-US" w:eastAsia="zh-CN"/>
                    </w:rPr>
                  </w:pPr>
                  <w:r>
                    <w:rPr>
                      <w:rFonts w:hint="eastAsia"/>
                      <w:color w:val="auto"/>
                      <w:szCs w:val="21"/>
                      <w:lang w:val="en-US" w:eastAsia="zh-CN"/>
                    </w:rPr>
                    <w:t>41</w:t>
                  </w:r>
                </w:p>
              </w:tc>
              <w:tc>
                <w:tcPr>
                  <w:tcW w:w="540" w:type="pct"/>
                  <w:vMerge w:val="continue"/>
                  <w:tcBorders>
                    <w:top w:val="nil"/>
                    <w:bottom w:val="nil"/>
                  </w:tcBorders>
                  <w:vAlign w:val="center"/>
                </w:tcPr>
                <w:p w14:paraId="1D56EF96">
                  <w:pPr>
                    <w:ind w:firstLine="0" w:firstLineChars="0"/>
                    <w:jc w:val="center"/>
                    <w:rPr>
                      <w:color w:val="auto"/>
                      <w:szCs w:val="21"/>
                    </w:rPr>
                  </w:pPr>
                </w:p>
              </w:tc>
              <w:tc>
                <w:tcPr>
                  <w:tcW w:w="573" w:type="pct"/>
                  <w:vMerge w:val="continue"/>
                  <w:tcBorders>
                    <w:top w:val="nil"/>
                    <w:bottom w:val="nil"/>
                  </w:tcBorders>
                  <w:vAlign w:val="center"/>
                </w:tcPr>
                <w:p w14:paraId="15AD96EC">
                  <w:pPr>
                    <w:ind w:firstLine="0" w:firstLineChars="0"/>
                    <w:jc w:val="center"/>
                    <w:rPr>
                      <w:color w:val="auto"/>
                      <w:szCs w:val="21"/>
                    </w:rPr>
                  </w:pPr>
                </w:p>
              </w:tc>
              <w:tc>
                <w:tcPr>
                  <w:tcW w:w="573" w:type="pct"/>
                  <w:vMerge w:val="continue"/>
                  <w:tcBorders>
                    <w:top w:val="nil"/>
                    <w:bottom w:val="nil"/>
                  </w:tcBorders>
                  <w:vAlign w:val="center"/>
                </w:tcPr>
                <w:p w14:paraId="0CB775EC">
                  <w:pPr>
                    <w:ind w:firstLine="0" w:firstLineChars="0"/>
                    <w:jc w:val="center"/>
                    <w:rPr>
                      <w:color w:val="auto"/>
                      <w:szCs w:val="21"/>
                    </w:rPr>
                  </w:pPr>
                </w:p>
              </w:tc>
              <w:tc>
                <w:tcPr>
                  <w:tcW w:w="574" w:type="pct"/>
                  <w:vAlign w:val="center"/>
                </w:tcPr>
                <w:p w14:paraId="4A90F26A">
                  <w:pPr>
                    <w:ind w:firstLine="0" w:firstLineChars="0"/>
                    <w:jc w:val="center"/>
                    <w:rPr>
                      <w:color w:val="auto"/>
                      <w:szCs w:val="21"/>
                    </w:rPr>
                  </w:pPr>
                  <w:r>
                    <w:rPr>
                      <w:rFonts w:hint="eastAsia"/>
                      <w:color w:val="auto"/>
                      <w:szCs w:val="21"/>
                    </w:rPr>
                    <w:t>达标</w:t>
                  </w:r>
                </w:p>
              </w:tc>
            </w:tr>
            <w:tr w14:paraId="0C5AE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92" w:type="pct"/>
                  <w:vMerge w:val="continue"/>
                  <w:tcBorders>
                    <w:top w:val="nil"/>
                    <w:bottom w:val="nil"/>
                  </w:tcBorders>
                  <w:vAlign w:val="center"/>
                </w:tcPr>
                <w:p w14:paraId="4CE5A8AD">
                  <w:pPr>
                    <w:ind w:firstLine="0" w:firstLineChars="0"/>
                    <w:jc w:val="center"/>
                    <w:rPr>
                      <w:color w:val="auto"/>
                      <w:szCs w:val="21"/>
                    </w:rPr>
                  </w:pPr>
                </w:p>
              </w:tc>
              <w:tc>
                <w:tcPr>
                  <w:tcW w:w="523" w:type="pct"/>
                  <w:vAlign w:val="center"/>
                </w:tcPr>
                <w:p w14:paraId="7106FA4E">
                  <w:pPr>
                    <w:ind w:firstLine="0" w:firstLineChars="0"/>
                    <w:jc w:val="center"/>
                    <w:rPr>
                      <w:color w:val="auto"/>
                      <w:szCs w:val="21"/>
                    </w:rPr>
                  </w:pPr>
                  <w:r>
                    <w:rPr>
                      <w:rFonts w:hint="eastAsia"/>
                      <w:color w:val="auto"/>
                      <w:szCs w:val="21"/>
                    </w:rPr>
                    <w:t>厂界西</w:t>
                  </w:r>
                </w:p>
              </w:tc>
              <w:tc>
                <w:tcPr>
                  <w:tcW w:w="661" w:type="pct"/>
                  <w:vAlign w:val="center"/>
                </w:tcPr>
                <w:p w14:paraId="09078A17">
                  <w:pPr>
                    <w:ind w:firstLine="0" w:firstLineChars="0"/>
                    <w:jc w:val="center"/>
                    <w:rPr>
                      <w:rFonts w:hint="default" w:eastAsia="宋体"/>
                      <w:color w:val="auto"/>
                      <w:szCs w:val="21"/>
                      <w:lang w:val="en-US" w:eastAsia="zh-CN"/>
                    </w:rPr>
                  </w:pPr>
                  <w:r>
                    <w:rPr>
                      <w:rFonts w:hint="eastAsia"/>
                      <w:color w:val="auto"/>
                      <w:szCs w:val="21"/>
                      <w:lang w:val="en-US" w:eastAsia="zh-CN"/>
                    </w:rPr>
                    <w:t>50</w:t>
                  </w:r>
                </w:p>
              </w:tc>
              <w:tc>
                <w:tcPr>
                  <w:tcW w:w="661" w:type="pct"/>
                  <w:vAlign w:val="center"/>
                </w:tcPr>
                <w:p w14:paraId="7A2CBF51">
                  <w:pPr>
                    <w:ind w:firstLine="0" w:firstLineChars="0"/>
                    <w:jc w:val="center"/>
                    <w:rPr>
                      <w:rFonts w:hint="default" w:eastAsia="宋体"/>
                      <w:color w:val="auto"/>
                      <w:szCs w:val="21"/>
                      <w:lang w:val="en-US" w:eastAsia="zh-CN"/>
                    </w:rPr>
                  </w:pPr>
                  <w:r>
                    <w:rPr>
                      <w:rFonts w:hint="eastAsia"/>
                      <w:color w:val="auto"/>
                      <w:szCs w:val="21"/>
                      <w:lang w:val="en-US" w:eastAsia="zh-CN"/>
                    </w:rPr>
                    <w:t>40</w:t>
                  </w:r>
                </w:p>
              </w:tc>
              <w:tc>
                <w:tcPr>
                  <w:tcW w:w="540" w:type="pct"/>
                  <w:vMerge w:val="continue"/>
                  <w:tcBorders>
                    <w:top w:val="nil"/>
                    <w:bottom w:val="nil"/>
                  </w:tcBorders>
                  <w:vAlign w:val="center"/>
                </w:tcPr>
                <w:p w14:paraId="193521D3">
                  <w:pPr>
                    <w:ind w:firstLine="0" w:firstLineChars="0"/>
                    <w:jc w:val="center"/>
                    <w:rPr>
                      <w:color w:val="auto"/>
                      <w:szCs w:val="21"/>
                    </w:rPr>
                  </w:pPr>
                </w:p>
              </w:tc>
              <w:tc>
                <w:tcPr>
                  <w:tcW w:w="573" w:type="pct"/>
                  <w:vMerge w:val="continue"/>
                  <w:tcBorders>
                    <w:top w:val="nil"/>
                    <w:bottom w:val="nil"/>
                  </w:tcBorders>
                  <w:vAlign w:val="center"/>
                </w:tcPr>
                <w:p w14:paraId="2AD9F8F1">
                  <w:pPr>
                    <w:ind w:firstLine="0" w:firstLineChars="0"/>
                    <w:jc w:val="center"/>
                    <w:rPr>
                      <w:color w:val="auto"/>
                      <w:szCs w:val="21"/>
                    </w:rPr>
                  </w:pPr>
                </w:p>
              </w:tc>
              <w:tc>
                <w:tcPr>
                  <w:tcW w:w="573" w:type="pct"/>
                  <w:vMerge w:val="continue"/>
                  <w:tcBorders>
                    <w:top w:val="nil"/>
                    <w:bottom w:val="nil"/>
                  </w:tcBorders>
                  <w:vAlign w:val="center"/>
                </w:tcPr>
                <w:p w14:paraId="086770AC">
                  <w:pPr>
                    <w:ind w:firstLine="0" w:firstLineChars="0"/>
                    <w:jc w:val="center"/>
                    <w:rPr>
                      <w:color w:val="auto"/>
                      <w:szCs w:val="21"/>
                    </w:rPr>
                  </w:pPr>
                </w:p>
              </w:tc>
              <w:tc>
                <w:tcPr>
                  <w:tcW w:w="574" w:type="pct"/>
                  <w:vAlign w:val="center"/>
                </w:tcPr>
                <w:p w14:paraId="03622EB3">
                  <w:pPr>
                    <w:ind w:firstLine="0" w:firstLineChars="0"/>
                    <w:jc w:val="center"/>
                    <w:rPr>
                      <w:color w:val="auto"/>
                      <w:szCs w:val="21"/>
                    </w:rPr>
                  </w:pPr>
                  <w:r>
                    <w:rPr>
                      <w:rFonts w:hint="eastAsia"/>
                      <w:color w:val="auto"/>
                      <w:szCs w:val="21"/>
                    </w:rPr>
                    <w:t>达标</w:t>
                  </w:r>
                </w:p>
              </w:tc>
            </w:tr>
            <w:tr w14:paraId="3449A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92" w:type="pct"/>
                  <w:vMerge w:val="continue"/>
                  <w:tcBorders>
                    <w:top w:val="nil"/>
                  </w:tcBorders>
                  <w:vAlign w:val="center"/>
                </w:tcPr>
                <w:p w14:paraId="0A78C6FD">
                  <w:pPr>
                    <w:ind w:firstLine="0" w:firstLineChars="0"/>
                    <w:jc w:val="center"/>
                    <w:rPr>
                      <w:color w:val="auto"/>
                      <w:szCs w:val="21"/>
                    </w:rPr>
                  </w:pPr>
                </w:p>
              </w:tc>
              <w:tc>
                <w:tcPr>
                  <w:tcW w:w="523" w:type="pct"/>
                  <w:vAlign w:val="center"/>
                </w:tcPr>
                <w:p w14:paraId="20E256C1">
                  <w:pPr>
                    <w:ind w:firstLine="0" w:firstLineChars="0"/>
                    <w:jc w:val="center"/>
                    <w:rPr>
                      <w:color w:val="auto"/>
                      <w:szCs w:val="21"/>
                    </w:rPr>
                  </w:pPr>
                  <w:r>
                    <w:rPr>
                      <w:rFonts w:hint="eastAsia"/>
                      <w:color w:val="auto"/>
                      <w:szCs w:val="21"/>
                    </w:rPr>
                    <w:t>厂界北</w:t>
                  </w:r>
                </w:p>
              </w:tc>
              <w:tc>
                <w:tcPr>
                  <w:tcW w:w="661" w:type="pct"/>
                  <w:vAlign w:val="center"/>
                </w:tcPr>
                <w:p w14:paraId="72B23F01">
                  <w:pPr>
                    <w:ind w:firstLine="0" w:firstLineChars="0"/>
                    <w:jc w:val="center"/>
                    <w:rPr>
                      <w:rFonts w:hint="default" w:eastAsia="宋体"/>
                      <w:color w:val="auto"/>
                      <w:szCs w:val="21"/>
                      <w:lang w:val="en-US" w:eastAsia="zh-CN"/>
                    </w:rPr>
                  </w:pPr>
                  <w:r>
                    <w:rPr>
                      <w:rFonts w:hint="eastAsia"/>
                      <w:color w:val="auto"/>
                      <w:szCs w:val="21"/>
                      <w:lang w:val="en-US" w:eastAsia="zh-CN"/>
                    </w:rPr>
                    <w:t>56</w:t>
                  </w:r>
                </w:p>
              </w:tc>
              <w:tc>
                <w:tcPr>
                  <w:tcW w:w="661" w:type="pct"/>
                  <w:vAlign w:val="center"/>
                </w:tcPr>
                <w:p w14:paraId="5E355A69">
                  <w:pPr>
                    <w:ind w:firstLine="0" w:firstLineChars="0"/>
                    <w:jc w:val="center"/>
                    <w:rPr>
                      <w:rFonts w:hint="default" w:eastAsia="宋体"/>
                      <w:color w:val="auto"/>
                      <w:szCs w:val="21"/>
                      <w:lang w:val="en-US" w:eastAsia="zh-CN"/>
                    </w:rPr>
                  </w:pPr>
                  <w:r>
                    <w:rPr>
                      <w:rFonts w:hint="eastAsia"/>
                      <w:color w:val="auto"/>
                      <w:szCs w:val="21"/>
                      <w:lang w:val="en-US" w:eastAsia="zh-CN"/>
                    </w:rPr>
                    <w:t>39</w:t>
                  </w:r>
                </w:p>
              </w:tc>
              <w:tc>
                <w:tcPr>
                  <w:tcW w:w="540" w:type="pct"/>
                  <w:vMerge w:val="continue"/>
                  <w:tcBorders>
                    <w:top w:val="nil"/>
                    <w:bottom w:val="nil"/>
                  </w:tcBorders>
                  <w:vAlign w:val="center"/>
                </w:tcPr>
                <w:p w14:paraId="141466FC">
                  <w:pPr>
                    <w:ind w:firstLine="0" w:firstLineChars="0"/>
                    <w:jc w:val="center"/>
                    <w:rPr>
                      <w:color w:val="auto"/>
                      <w:szCs w:val="21"/>
                    </w:rPr>
                  </w:pPr>
                </w:p>
              </w:tc>
              <w:tc>
                <w:tcPr>
                  <w:tcW w:w="573" w:type="pct"/>
                  <w:vMerge w:val="continue"/>
                  <w:tcBorders>
                    <w:top w:val="nil"/>
                    <w:bottom w:val="nil"/>
                  </w:tcBorders>
                  <w:vAlign w:val="center"/>
                </w:tcPr>
                <w:p w14:paraId="5B986D7F">
                  <w:pPr>
                    <w:ind w:firstLine="0" w:firstLineChars="0"/>
                    <w:jc w:val="center"/>
                    <w:rPr>
                      <w:color w:val="auto"/>
                      <w:szCs w:val="21"/>
                    </w:rPr>
                  </w:pPr>
                </w:p>
              </w:tc>
              <w:tc>
                <w:tcPr>
                  <w:tcW w:w="573" w:type="pct"/>
                  <w:vMerge w:val="continue"/>
                  <w:tcBorders>
                    <w:top w:val="nil"/>
                    <w:bottom w:val="nil"/>
                  </w:tcBorders>
                  <w:vAlign w:val="center"/>
                </w:tcPr>
                <w:p w14:paraId="4EC8C5ED">
                  <w:pPr>
                    <w:ind w:firstLine="0" w:firstLineChars="0"/>
                    <w:jc w:val="center"/>
                    <w:rPr>
                      <w:color w:val="auto"/>
                      <w:szCs w:val="21"/>
                    </w:rPr>
                  </w:pPr>
                </w:p>
              </w:tc>
              <w:tc>
                <w:tcPr>
                  <w:tcW w:w="574" w:type="pct"/>
                  <w:vAlign w:val="center"/>
                </w:tcPr>
                <w:p w14:paraId="1D35D01C">
                  <w:pPr>
                    <w:ind w:firstLine="0" w:firstLineChars="0"/>
                    <w:jc w:val="center"/>
                    <w:rPr>
                      <w:color w:val="auto"/>
                      <w:szCs w:val="21"/>
                    </w:rPr>
                  </w:pPr>
                  <w:r>
                    <w:rPr>
                      <w:rFonts w:hint="eastAsia"/>
                      <w:color w:val="auto"/>
                      <w:szCs w:val="21"/>
                    </w:rPr>
                    <w:t>达标</w:t>
                  </w:r>
                </w:p>
              </w:tc>
            </w:tr>
            <w:tr w14:paraId="1FDD7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97" w:type="dxa"/>
                  <w:vMerge w:val="restart"/>
                  <w:tcBorders>
                    <w:bottom w:val="nil"/>
                  </w:tcBorders>
                  <w:vAlign w:val="center"/>
                </w:tcPr>
                <w:p w14:paraId="224E3DF5">
                  <w:pPr>
                    <w:ind w:firstLine="0" w:firstLineChars="0"/>
                    <w:jc w:val="center"/>
                    <w:rPr>
                      <w:rFonts w:hint="default"/>
                      <w:color w:val="auto"/>
                      <w:szCs w:val="21"/>
                      <w:lang w:val="en-US"/>
                    </w:rPr>
                  </w:pPr>
                  <w:r>
                    <w:rPr>
                      <w:rFonts w:hint="eastAsia"/>
                      <w:color w:val="auto"/>
                      <w:szCs w:val="21"/>
                    </w:rPr>
                    <w:t>20</w:t>
                  </w:r>
                  <w:r>
                    <w:rPr>
                      <w:rFonts w:hint="eastAsia"/>
                      <w:color w:val="auto"/>
                      <w:szCs w:val="21"/>
                      <w:lang w:val="en-US" w:eastAsia="zh-CN"/>
                    </w:rPr>
                    <w:t>24</w:t>
                  </w:r>
                  <w:r>
                    <w:rPr>
                      <w:rFonts w:hint="eastAsia"/>
                      <w:color w:val="auto"/>
                      <w:szCs w:val="21"/>
                    </w:rPr>
                    <w:t>/12/</w:t>
                  </w:r>
                  <w:r>
                    <w:rPr>
                      <w:rFonts w:hint="eastAsia"/>
                      <w:color w:val="auto"/>
                      <w:szCs w:val="21"/>
                      <w:lang w:val="en-US" w:eastAsia="zh-CN"/>
                    </w:rPr>
                    <w:t>19</w:t>
                  </w:r>
                </w:p>
              </w:tc>
              <w:tc>
                <w:tcPr>
                  <w:tcW w:w="523" w:type="pct"/>
                  <w:vAlign w:val="center"/>
                </w:tcPr>
                <w:p w14:paraId="4295A21D">
                  <w:pPr>
                    <w:ind w:firstLine="0" w:firstLineChars="0"/>
                    <w:jc w:val="center"/>
                    <w:rPr>
                      <w:color w:val="auto"/>
                      <w:szCs w:val="21"/>
                    </w:rPr>
                  </w:pPr>
                  <w:r>
                    <w:rPr>
                      <w:rFonts w:hint="eastAsia"/>
                      <w:color w:val="auto"/>
                      <w:szCs w:val="21"/>
                    </w:rPr>
                    <w:t>厂界东</w:t>
                  </w:r>
                </w:p>
              </w:tc>
              <w:tc>
                <w:tcPr>
                  <w:tcW w:w="661" w:type="pct"/>
                  <w:vAlign w:val="center"/>
                </w:tcPr>
                <w:p w14:paraId="4ACA1302">
                  <w:pPr>
                    <w:ind w:firstLine="0" w:firstLineChars="0"/>
                    <w:jc w:val="center"/>
                    <w:rPr>
                      <w:rFonts w:hint="default" w:eastAsia="宋体"/>
                      <w:color w:val="auto"/>
                      <w:szCs w:val="21"/>
                      <w:lang w:val="en-US" w:eastAsia="zh-CN"/>
                    </w:rPr>
                  </w:pPr>
                  <w:r>
                    <w:rPr>
                      <w:rFonts w:hint="eastAsia"/>
                      <w:color w:val="auto"/>
                      <w:szCs w:val="21"/>
                      <w:lang w:val="en-US" w:eastAsia="zh-CN"/>
                    </w:rPr>
                    <w:t>54</w:t>
                  </w:r>
                </w:p>
              </w:tc>
              <w:tc>
                <w:tcPr>
                  <w:tcW w:w="661" w:type="pct"/>
                  <w:vAlign w:val="center"/>
                </w:tcPr>
                <w:p w14:paraId="2321DE69">
                  <w:pPr>
                    <w:ind w:firstLine="0" w:firstLineChars="0"/>
                    <w:jc w:val="center"/>
                    <w:rPr>
                      <w:rFonts w:hint="default" w:eastAsia="宋体"/>
                      <w:color w:val="auto"/>
                      <w:szCs w:val="21"/>
                      <w:lang w:val="en-US" w:eastAsia="zh-CN"/>
                    </w:rPr>
                  </w:pPr>
                  <w:r>
                    <w:rPr>
                      <w:rFonts w:hint="eastAsia"/>
                      <w:color w:val="auto"/>
                      <w:szCs w:val="21"/>
                      <w:lang w:val="en-US" w:eastAsia="zh-CN"/>
                    </w:rPr>
                    <w:t>40</w:t>
                  </w:r>
                </w:p>
              </w:tc>
              <w:tc>
                <w:tcPr>
                  <w:tcW w:w="540" w:type="pct"/>
                  <w:vMerge w:val="continue"/>
                  <w:tcBorders>
                    <w:top w:val="nil"/>
                    <w:bottom w:val="nil"/>
                  </w:tcBorders>
                  <w:vAlign w:val="center"/>
                </w:tcPr>
                <w:p w14:paraId="417B7345">
                  <w:pPr>
                    <w:ind w:firstLine="0" w:firstLineChars="0"/>
                    <w:jc w:val="center"/>
                    <w:rPr>
                      <w:color w:val="auto"/>
                      <w:szCs w:val="21"/>
                    </w:rPr>
                  </w:pPr>
                </w:p>
              </w:tc>
              <w:tc>
                <w:tcPr>
                  <w:tcW w:w="573" w:type="pct"/>
                  <w:vMerge w:val="continue"/>
                  <w:tcBorders>
                    <w:top w:val="nil"/>
                    <w:bottom w:val="nil"/>
                  </w:tcBorders>
                  <w:vAlign w:val="center"/>
                </w:tcPr>
                <w:p w14:paraId="3E87C93B">
                  <w:pPr>
                    <w:ind w:firstLine="0" w:firstLineChars="0"/>
                    <w:jc w:val="center"/>
                    <w:rPr>
                      <w:color w:val="auto"/>
                      <w:szCs w:val="21"/>
                    </w:rPr>
                  </w:pPr>
                </w:p>
              </w:tc>
              <w:tc>
                <w:tcPr>
                  <w:tcW w:w="573" w:type="pct"/>
                  <w:vMerge w:val="continue"/>
                  <w:tcBorders>
                    <w:top w:val="nil"/>
                    <w:bottom w:val="nil"/>
                  </w:tcBorders>
                  <w:vAlign w:val="center"/>
                </w:tcPr>
                <w:p w14:paraId="194A8131">
                  <w:pPr>
                    <w:ind w:firstLine="0" w:firstLineChars="0"/>
                    <w:jc w:val="center"/>
                    <w:rPr>
                      <w:color w:val="auto"/>
                      <w:szCs w:val="21"/>
                    </w:rPr>
                  </w:pPr>
                </w:p>
              </w:tc>
              <w:tc>
                <w:tcPr>
                  <w:tcW w:w="574" w:type="pct"/>
                  <w:vAlign w:val="center"/>
                </w:tcPr>
                <w:p w14:paraId="11F8C069">
                  <w:pPr>
                    <w:ind w:firstLine="0" w:firstLineChars="0"/>
                    <w:jc w:val="center"/>
                    <w:rPr>
                      <w:color w:val="auto"/>
                      <w:szCs w:val="21"/>
                    </w:rPr>
                  </w:pPr>
                  <w:r>
                    <w:rPr>
                      <w:rFonts w:hint="eastAsia"/>
                      <w:color w:val="auto"/>
                      <w:szCs w:val="21"/>
                    </w:rPr>
                    <w:t>达标</w:t>
                  </w:r>
                </w:p>
              </w:tc>
            </w:tr>
            <w:tr w14:paraId="3B7F5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2" w:type="pct"/>
                  <w:vMerge w:val="continue"/>
                  <w:tcBorders>
                    <w:top w:val="nil"/>
                    <w:bottom w:val="nil"/>
                  </w:tcBorders>
                  <w:vAlign w:val="center"/>
                </w:tcPr>
                <w:p w14:paraId="54E7558A">
                  <w:pPr>
                    <w:ind w:firstLine="0" w:firstLineChars="0"/>
                    <w:jc w:val="center"/>
                    <w:rPr>
                      <w:color w:val="auto"/>
                      <w:szCs w:val="21"/>
                    </w:rPr>
                  </w:pPr>
                </w:p>
              </w:tc>
              <w:tc>
                <w:tcPr>
                  <w:tcW w:w="523" w:type="pct"/>
                  <w:vAlign w:val="center"/>
                </w:tcPr>
                <w:p w14:paraId="336D18B2">
                  <w:pPr>
                    <w:ind w:firstLine="0" w:firstLineChars="0"/>
                    <w:jc w:val="center"/>
                    <w:rPr>
                      <w:color w:val="auto"/>
                      <w:szCs w:val="21"/>
                    </w:rPr>
                  </w:pPr>
                  <w:r>
                    <w:rPr>
                      <w:rFonts w:hint="eastAsia"/>
                      <w:color w:val="auto"/>
                      <w:szCs w:val="21"/>
                    </w:rPr>
                    <w:t>厂界南</w:t>
                  </w:r>
                </w:p>
              </w:tc>
              <w:tc>
                <w:tcPr>
                  <w:tcW w:w="1301" w:type="dxa"/>
                  <w:vAlign w:val="center"/>
                </w:tcPr>
                <w:p w14:paraId="0D2C5728">
                  <w:pPr>
                    <w:ind w:firstLine="0" w:firstLineChars="0"/>
                    <w:jc w:val="center"/>
                    <w:rPr>
                      <w:rFonts w:hint="default" w:eastAsia="宋体"/>
                      <w:color w:val="auto"/>
                      <w:szCs w:val="21"/>
                      <w:lang w:val="en-US" w:eastAsia="zh-CN"/>
                    </w:rPr>
                  </w:pPr>
                  <w:r>
                    <w:rPr>
                      <w:rFonts w:hint="eastAsia"/>
                      <w:color w:val="auto"/>
                      <w:szCs w:val="21"/>
                      <w:lang w:val="en-US" w:eastAsia="zh-CN"/>
                    </w:rPr>
                    <w:t>52</w:t>
                  </w:r>
                </w:p>
              </w:tc>
              <w:tc>
                <w:tcPr>
                  <w:tcW w:w="1301" w:type="dxa"/>
                  <w:vAlign w:val="center"/>
                </w:tcPr>
                <w:p w14:paraId="0B6DC2E3">
                  <w:pPr>
                    <w:ind w:firstLine="0" w:firstLineChars="0"/>
                    <w:jc w:val="center"/>
                    <w:rPr>
                      <w:rFonts w:hint="eastAsia" w:eastAsia="宋体"/>
                      <w:color w:val="auto"/>
                      <w:szCs w:val="21"/>
                      <w:lang w:eastAsia="zh-CN"/>
                    </w:rPr>
                  </w:pPr>
                  <w:r>
                    <w:rPr>
                      <w:rFonts w:hint="eastAsia"/>
                      <w:color w:val="auto"/>
                      <w:szCs w:val="21"/>
                    </w:rPr>
                    <w:t>4</w:t>
                  </w:r>
                  <w:r>
                    <w:rPr>
                      <w:rFonts w:hint="eastAsia"/>
                      <w:color w:val="auto"/>
                      <w:szCs w:val="21"/>
                      <w:lang w:val="en-US" w:eastAsia="zh-CN"/>
                    </w:rPr>
                    <w:t>0</w:t>
                  </w:r>
                </w:p>
              </w:tc>
              <w:tc>
                <w:tcPr>
                  <w:tcW w:w="540" w:type="pct"/>
                  <w:vMerge w:val="continue"/>
                  <w:tcBorders>
                    <w:top w:val="nil"/>
                    <w:bottom w:val="nil"/>
                  </w:tcBorders>
                  <w:vAlign w:val="center"/>
                </w:tcPr>
                <w:p w14:paraId="321D0B2A">
                  <w:pPr>
                    <w:ind w:firstLine="0" w:firstLineChars="0"/>
                    <w:jc w:val="center"/>
                    <w:rPr>
                      <w:color w:val="auto"/>
                      <w:szCs w:val="21"/>
                    </w:rPr>
                  </w:pPr>
                </w:p>
              </w:tc>
              <w:tc>
                <w:tcPr>
                  <w:tcW w:w="573" w:type="pct"/>
                  <w:vMerge w:val="continue"/>
                  <w:tcBorders>
                    <w:top w:val="nil"/>
                    <w:bottom w:val="nil"/>
                  </w:tcBorders>
                  <w:vAlign w:val="center"/>
                </w:tcPr>
                <w:p w14:paraId="32A666AA">
                  <w:pPr>
                    <w:ind w:firstLine="0" w:firstLineChars="0"/>
                    <w:jc w:val="center"/>
                    <w:rPr>
                      <w:color w:val="auto"/>
                      <w:szCs w:val="21"/>
                    </w:rPr>
                  </w:pPr>
                </w:p>
              </w:tc>
              <w:tc>
                <w:tcPr>
                  <w:tcW w:w="573" w:type="pct"/>
                  <w:vMerge w:val="continue"/>
                  <w:tcBorders>
                    <w:top w:val="nil"/>
                    <w:bottom w:val="nil"/>
                  </w:tcBorders>
                  <w:vAlign w:val="center"/>
                </w:tcPr>
                <w:p w14:paraId="08B761DB">
                  <w:pPr>
                    <w:ind w:firstLine="0" w:firstLineChars="0"/>
                    <w:jc w:val="center"/>
                    <w:rPr>
                      <w:color w:val="auto"/>
                      <w:szCs w:val="21"/>
                    </w:rPr>
                  </w:pPr>
                </w:p>
              </w:tc>
              <w:tc>
                <w:tcPr>
                  <w:tcW w:w="574" w:type="pct"/>
                  <w:vAlign w:val="center"/>
                </w:tcPr>
                <w:p w14:paraId="29E02F4A">
                  <w:pPr>
                    <w:ind w:firstLine="0" w:firstLineChars="0"/>
                    <w:jc w:val="center"/>
                    <w:rPr>
                      <w:color w:val="auto"/>
                      <w:szCs w:val="21"/>
                    </w:rPr>
                  </w:pPr>
                  <w:r>
                    <w:rPr>
                      <w:rFonts w:hint="eastAsia"/>
                      <w:color w:val="auto"/>
                      <w:szCs w:val="21"/>
                    </w:rPr>
                    <w:t>达标</w:t>
                  </w:r>
                </w:p>
              </w:tc>
            </w:tr>
            <w:tr w14:paraId="77C0A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2" w:type="pct"/>
                  <w:vMerge w:val="continue"/>
                  <w:tcBorders>
                    <w:top w:val="nil"/>
                    <w:bottom w:val="nil"/>
                  </w:tcBorders>
                  <w:vAlign w:val="center"/>
                </w:tcPr>
                <w:p w14:paraId="4AA36B72">
                  <w:pPr>
                    <w:ind w:firstLine="0" w:firstLineChars="0"/>
                    <w:jc w:val="center"/>
                    <w:rPr>
                      <w:color w:val="auto"/>
                      <w:szCs w:val="21"/>
                    </w:rPr>
                  </w:pPr>
                </w:p>
              </w:tc>
              <w:tc>
                <w:tcPr>
                  <w:tcW w:w="523" w:type="pct"/>
                  <w:vAlign w:val="center"/>
                </w:tcPr>
                <w:p w14:paraId="0589978E">
                  <w:pPr>
                    <w:ind w:firstLine="0" w:firstLineChars="0"/>
                    <w:jc w:val="center"/>
                    <w:rPr>
                      <w:color w:val="auto"/>
                      <w:szCs w:val="21"/>
                    </w:rPr>
                  </w:pPr>
                  <w:r>
                    <w:rPr>
                      <w:rFonts w:hint="eastAsia"/>
                      <w:color w:val="auto"/>
                      <w:szCs w:val="21"/>
                    </w:rPr>
                    <w:t>厂界西</w:t>
                  </w:r>
                </w:p>
              </w:tc>
              <w:tc>
                <w:tcPr>
                  <w:tcW w:w="1301" w:type="dxa"/>
                  <w:vAlign w:val="center"/>
                </w:tcPr>
                <w:p w14:paraId="22DB16AE">
                  <w:pPr>
                    <w:ind w:firstLine="0" w:firstLineChars="0"/>
                    <w:jc w:val="center"/>
                    <w:rPr>
                      <w:rFonts w:hint="default" w:eastAsia="宋体"/>
                      <w:color w:val="auto"/>
                      <w:szCs w:val="21"/>
                      <w:lang w:val="en-US" w:eastAsia="zh-CN"/>
                    </w:rPr>
                  </w:pPr>
                  <w:r>
                    <w:rPr>
                      <w:rFonts w:hint="eastAsia"/>
                      <w:color w:val="auto"/>
                      <w:szCs w:val="21"/>
                      <w:lang w:val="en-US" w:eastAsia="zh-CN"/>
                    </w:rPr>
                    <w:t>49</w:t>
                  </w:r>
                </w:p>
              </w:tc>
              <w:tc>
                <w:tcPr>
                  <w:tcW w:w="1301" w:type="dxa"/>
                  <w:vAlign w:val="center"/>
                </w:tcPr>
                <w:p w14:paraId="742988F5">
                  <w:pPr>
                    <w:ind w:firstLine="0" w:firstLineChars="0"/>
                    <w:jc w:val="center"/>
                    <w:rPr>
                      <w:rFonts w:hint="default" w:eastAsia="宋体"/>
                      <w:color w:val="auto"/>
                      <w:szCs w:val="21"/>
                      <w:lang w:val="en-US" w:eastAsia="zh-CN"/>
                    </w:rPr>
                  </w:pPr>
                  <w:r>
                    <w:rPr>
                      <w:rFonts w:hint="eastAsia"/>
                      <w:color w:val="auto"/>
                      <w:szCs w:val="21"/>
                      <w:lang w:val="en-US" w:eastAsia="zh-CN"/>
                    </w:rPr>
                    <w:t>40</w:t>
                  </w:r>
                </w:p>
              </w:tc>
              <w:tc>
                <w:tcPr>
                  <w:tcW w:w="540" w:type="pct"/>
                  <w:vMerge w:val="continue"/>
                  <w:tcBorders>
                    <w:top w:val="nil"/>
                    <w:bottom w:val="nil"/>
                  </w:tcBorders>
                  <w:vAlign w:val="center"/>
                </w:tcPr>
                <w:p w14:paraId="519F3CB6">
                  <w:pPr>
                    <w:ind w:firstLine="0" w:firstLineChars="0"/>
                    <w:jc w:val="center"/>
                    <w:rPr>
                      <w:color w:val="auto"/>
                      <w:szCs w:val="21"/>
                    </w:rPr>
                  </w:pPr>
                </w:p>
              </w:tc>
              <w:tc>
                <w:tcPr>
                  <w:tcW w:w="573" w:type="pct"/>
                  <w:vMerge w:val="continue"/>
                  <w:tcBorders>
                    <w:top w:val="nil"/>
                    <w:bottom w:val="nil"/>
                  </w:tcBorders>
                  <w:vAlign w:val="center"/>
                </w:tcPr>
                <w:p w14:paraId="1209B661">
                  <w:pPr>
                    <w:ind w:firstLine="0" w:firstLineChars="0"/>
                    <w:jc w:val="center"/>
                    <w:rPr>
                      <w:color w:val="auto"/>
                      <w:szCs w:val="21"/>
                    </w:rPr>
                  </w:pPr>
                </w:p>
              </w:tc>
              <w:tc>
                <w:tcPr>
                  <w:tcW w:w="573" w:type="pct"/>
                  <w:vMerge w:val="continue"/>
                  <w:tcBorders>
                    <w:top w:val="nil"/>
                    <w:bottom w:val="nil"/>
                  </w:tcBorders>
                  <w:vAlign w:val="center"/>
                </w:tcPr>
                <w:p w14:paraId="22893152">
                  <w:pPr>
                    <w:ind w:firstLine="0" w:firstLineChars="0"/>
                    <w:jc w:val="center"/>
                    <w:rPr>
                      <w:color w:val="auto"/>
                      <w:szCs w:val="21"/>
                    </w:rPr>
                  </w:pPr>
                </w:p>
              </w:tc>
              <w:tc>
                <w:tcPr>
                  <w:tcW w:w="574" w:type="pct"/>
                  <w:vAlign w:val="center"/>
                </w:tcPr>
                <w:p w14:paraId="54D0C742">
                  <w:pPr>
                    <w:ind w:firstLine="0" w:firstLineChars="0"/>
                    <w:jc w:val="center"/>
                    <w:rPr>
                      <w:color w:val="auto"/>
                      <w:szCs w:val="21"/>
                    </w:rPr>
                  </w:pPr>
                  <w:r>
                    <w:rPr>
                      <w:rFonts w:hint="eastAsia"/>
                      <w:color w:val="auto"/>
                      <w:szCs w:val="21"/>
                    </w:rPr>
                    <w:t>达标</w:t>
                  </w:r>
                </w:p>
              </w:tc>
            </w:tr>
            <w:tr w14:paraId="0ABD5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92" w:type="pct"/>
                  <w:vMerge w:val="continue"/>
                  <w:tcBorders>
                    <w:top w:val="nil"/>
                  </w:tcBorders>
                  <w:vAlign w:val="center"/>
                </w:tcPr>
                <w:p w14:paraId="66F8DCA6">
                  <w:pPr>
                    <w:ind w:firstLine="0" w:firstLineChars="0"/>
                    <w:jc w:val="center"/>
                    <w:rPr>
                      <w:color w:val="auto"/>
                      <w:szCs w:val="21"/>
                    </w:rPr>
                  </w:pPr>
                </w:p>
              </w:tc>
              <w:tc>
                <w:tcPr>
                  <w:tcW w:w="523" w:type="pct"/>
                  <w:vAlign w:val="center"/>
                </w:tcPr>
                <w:p w14:paraId="0EDC4440">
                  <w:pPr>
                    <w:ind w:firstLine="0" w:firstLineChars="0"/>
                    <w:jc w:val="center"/>
                    <w:rPr>
                      <w:color w:val="auto"/>
                      <w:szCs w:val="21"/>
                    </w:rPr>
                  </w:pPr>
                  <w:r>
                    <w:rPr>
                      <w:rFonts w:hint="eastAsia"/>
                      <w:color w:val="auto"/>
                      <w:szCs w:val="21"/>
                    </w:rPr>
                    <w:t>厂界北</w:t>
                  </w:r>
                </w:p>
              </w:tc>
              <w:tc>
                <w:tcPr>
                  <w:tcW w:w="661" w:type="pct"/>
                  <w:vAlign w:val="center"/>
                </w:tcPr>
                <w:p w14:paraId="48658091">
                  <w:pPr>
                    <w:ind w:firstLine="0" w:firstLineChars="0"/>
                    <w:jc w:val="center"/>
                    <w:rPr>
                      <w:rFonts w:hint="default" w:eastAsia="宋体"/>
                      <w:color w:val="auto"/>
                      <w:szCs w:val="21"/>
                      <w:lang w:val="en-US" w:eastAsia="zh-CN"/>
                    </w:rPr>
                  </w:pPr>
                  <w:r>
                    <w:rPr>
                      <w:rFonts w:hint="eastAsia"/>
                      <w:color w:val="auto"/>
                      <w:szCs w:val="21"/>
                      <w:lang w:val="en-US" w:eastAsia="zh-CN"/>
                    </w:rPr>
                    <w:t>55</w:t>
                  </w:r>
                </w:p>
              </w:tc>
              <w:tc>
                <w:tcPr>
                  <w:tcW w:w="661" w:type="pct"/>
                  <w:vAlign w:val="center"/>
                </w:tcPr>
                <w:p w14:paraId="60AC5F5F">
                  <w:pPr>
                    <w:ind w:firstLine="0" w:firstLineChars="0"/>
                    <w:jc w:val="center"/>
                    <w:rPr>
                      <w:rFonts w:hint="default" w:eastAsia="宋体"/>
                      <w:color w:val="auto"/>
                      <w:szCs w:val="21"/>
                      <w:lang w:val="en-US" w:eastAsia="zh-CN"/>
                    </w:rPr>
                  </w:pPr>
                  <w:r>
                    <w:rPr>
                      <w:rFonts w:hint="eastAsia"/>
                      <w:color w:val="auto"/>
                      <w:szCs w:val="21"/>
                      <w:lang w:val="en-US" w:eastAsia="zh-CN"/>
                    </w:rPr>
                    <w:t>39</w:t>
                  </w:r>
                </w:p>
              </w:tc>
              <w:tc>
                <w:tcPr>
                  <w:tcW w:w="540" w:type="pct"/>
                  <w:vMerge w:val="continue"/>
                  <w:tcBorders>
                    <w:top w:val="nil"/>
                  </w:tcBorders>
                  <w:vAlign w:val="center"/>
                </w:tcPr>
                <w:p w14:paraId="25D45ED4">
                  <w:pPr>
                    <w:ind w:firstLine="0" w:firstLineChars="0"/>
                    <w:jc w:val="center"/>
                    <w:rPr>
                      <w:color w:val="auto"/>
                      <w:szCs w:val="21"/>
                    </w:rPr>
                  </w:pPr>
                </w:p>
              </w:tc>
              <w:tc>
                <w:tcPr>
                  <w:tcW w:w="573" w:type="pct"/>
                  <w:vMerge w:val="continue"/>
                  <w:tcBorders>
                    <w:top w:val="nil"/>
                  </w:tcBorders>
                  <w:vAlign w:val="center"/>
                </w:tcPr>
                <w:p w14:paraId="6D0CB038">
                  <w:pPr>
                    <w:ind w:firstLine="0" w:firstLineChars="0"/>
                    <w:jc w:val="center"/>
                    <w:rPr>
                      <w:color w:val="auto"/>
                      <w:szCs w:val="21"/>
                    </w:rPr>
                  </w:pPr>
                </w:p>
              </w:tc>
              <w:tc>
                <w:tcPr>
                  <w:tcW w:w="573" w:type="pct"/>
                  <w:vMerge w:val="continue"/>
                  <w:tcBorders>
                    <w:top w:val="nil"/>
                  </w:tcBorders>
                  <w:vAlign w:val="center"/>
                </w:tcPr>
                <w:p w14:paraId="0D2F1DB2">
                  <w:pPr>
                    <w:ind w:firstLine="0" w:firstLineChars="0"/>
                    <w:jc w:val="center"/>
                    <w:rPr>
                      <w:color w:val="auto"/>
                      <w:szCs w:val="21"/>
                    </w:rPr>
                  </w:pPr>
                </w:p>
              </w:tc>
              <w:tc>
                <w:tcPr>
                  <w:tcW w:w="574" w:type="pct"/>
                  <w:vAlign w:val="center"/>
                </w:tcPr>
                <w:p w14:paraId="7FF501EB">
                  <w:pPr>
                    <w:ind w:firstLine="0" w:firstLineChars="0"/>
                    <w:jc w:val="center"/>
                    <w:rPr>
                      <w:color w:val="auto"/>
                      <w:szCs w:val="21"/>
                    </w:rPr>
                  </w:pPr>
                  <w:r>
                    <w:rPr>
                      <w:rFonts w:hint="eastAsia"/>
                      <w:color w:val="auto"/>
                      <w:szCs w:val="21"/>
                    </w:rPr>
                    <w:t>达标</w:t>
                  </w:r>
                </w:p>
              </w:tc>
            </w:tr>
          </w:tbl>
          <w:p w14:paraId="03562133">
            <w:pPr>
              <w:pStyle w:val="20"/>
              <w:spacing w:after="0" w:line="360" w:lineRule="auto"/>
              <w:ind w:firstLine="480"/>
              <w:rPr>
                <w:b/>
                <w:bCs/>
                <w:color w:val="auto"/>
                <w:sz w:val="24"/>
              </w:rPr>
            </w:pPr>
            <w:r>
              <w:rPr>
                <w:color w:val="auto"/>
                <w:sz w:val="24"/>
              </w:rPr>
              <w:t>根据</w:t>
            </w:r>
            <w:r>
              <w:rPr>
                <w:bCs/>
                <w:color w:val="auto"/>
                <w:sz w:val="24"/>
              </w:rPr>
              <w:t>云南环绿环境检测技术有限公司20</w:t>
            </w:r>
            <w:r>
              <w:rPr>
                <w:rFonts w:hint="eastAsia"/>
                <w:bCs/>
                <w:color w:val="auto"/>
                <w:sz w:val="24"/>
                <w:lang w:val="en-US" w:eastAsia="zh-CN"/>
              </w:rPr>
              <w:t>24</w:t>
            </w:r>
            <w:r>
              <w:rPr>
                <w:bCs/>
                <w:color w:val="auto"/>
                <w:sz w:val="24"/>
              </w:rPr>
              <w:t>年12月</w:t>
            </w:r>
            <w:r>
              <w:rPr>
                <w:rFonts w:hint="eastAsia"/>
                <w:bCs/>
                <w:color w:val="auto"/>
                <w:sz w:val="24"/>
                <w:lang w:val="en-US" w:eastAsia="zh-CN"/>
              </w:rPr>
              <w:t>18</w:t>
            </w:r>
            <w:r>
              <w:rPr>
                <w:bCs/>
                <w:color w:val="auto"/>
                <w:sz w:val="24"/>
              </w:rPr>
              <w:t>日～</w:t>
            </w:r>
            <w:r>
              <w:rPr>
                <w:rFonts w:hint="eastAsia"/>
                <w:bCs/>
                <w:color w:val="auto"/>
                <w:sz w:val="24"/>
                <w:lang w:val="en-US" w:eastAsia="zh-CN"/>
              </w:rPr>
              <w:t>19</w:t>
            </w:r>
            <w:r>
              <w:rPr>
                <w:bCs/>
                <w:color w:val="auto"/>
                <w:sz w:val="24"/>
              </w:rPr>
              <w:t>日连续2天厂界噪声的检测结果，项目四周厂界昼间、夜间噪声均能满足《工业企业厂界环境噪声排放标准》（GB12348-2008）2类标准限值要求</w:t>
            </w:r>
            <w:r>
              <w:rPr>
                <w:color w:val="auto"/>
                <w:sz w:val="24"/>
              </w:rPr>
              <w:t>。</w:t>
            </w:r>
          </w:p>
          <w:p w14:paraId="1EF0CFF8">
            <w:pPr>
              <w:pStyle w:val="20"/>
              <w:spacing w:after="0" w:line="360" w:lineRule="auto"/>
              <w:ind w:firstLine="482"/>
              <w:rPr>
                <w:b/>
                <w:bCs/>
                <w:color w:val="auto"/>
                <w:sz w:val="24"/>
              </w:rPr>
            </w:pPr>
            <w:r>
              <w:rPr>
                <w:b/>
                <w:bCs/>
                <w:color w:val="auto"/>
                <w:sz w:val="24"/>
              </w:rPr>
              <w:t>4、固体废物</w:t>
            </w:r>
          </w:p>
          <w:p w14:paraId="3B5CE629">
            <w:pPr>
              <w:autoSpaceDE w:val="0"/>
              <w:autoSpaceDN w:val="0"/>
              <w:spacing w:line="360" w:lineRule="auto"/>
              <w:ind w:firstLine="480"/>
              <w:rPr>
                <w:color w:val="auto"/>
                <w:sz w:val="24"/>
              </w:rPr>
            </w:pPr>
            <w:r>
              <w:rPr>
                <w:color w:val="auto"/>
                <w:sz w:val="24"/>
              </w:rPr>
              <w:t>原项目运营期产生的固体废弃物主要为生活垃圾、生产固废。</w:t>
            </w:r>
          </w:p>
          <w:p w14:paraId="70AAA618">
            <w:pPr>
              <w:autoSpaceDE w:val="0"/>
              <w:autoSpaceDN w:val="0"/>
              <w:spacing w:line="360" w:lineRule="auto"/>
              <w:ind w:firstLine="480"/>
              <w:rPr>
                <w:color w:val="auto"/>
                <w:sz w:val="24"/>
              </w:rPr>
            </w:pPr>
            <w:r>
              <w:rPr>
                <w:color w:val="auto"/>
                <w:sz w:val="24"/>
              </w:rPr>
              <w:t>（1）生活垃圾</w:t>
            </w:r>
          </w:p>
          <w:p w14:paraId="0B3F4510">
            <w:pPr>
              <w:autoSpaceDE w:val="0"/>
              <w:autoSpaceDN w:val="0"/>
              <w:spacing w:line="360" w:lineRule="auto"/>
              <w:ind w:firstLine="480"/>
              <w:rPr>
                <w:color w:val="auto"/>
                <w:sz w:val="24"/>
              </w:rPr>
            </w:pPr>
            <w:r>
              <w:rPr>
                <w:color w:val="auto"/>
                <w:sz w:val="24"/>
              </w:rPr>
              <w:t>①</w:t>
            </w:r>
            <w:r>
              <w:rPr>
                <w:rFonts w:hint="eastAsia"/>
                <w:color w:val="auto"/>
                <w:sz w:val="24"/>
                <w:lang w:val="en-US" w:eastAsia="zh-CN"/>
              </w:rPr>
              <w:t>原</w:t>
            </w:r>
            <w:r>
              <w:rPr>
                <w:color w:val="auto"/>
                <w:sz w:val="24"/>
              </w:rPr>
              <w:t>项目运营过程中产生的生活垃圾量约为9t/a，生活垃圾分类袋装后由当地环卫部门清运，不随意排放，对环境影响不大。</w:t>
            </w:r>
          </w:p>
          <w:p w14:paraId="3D9D3B2B">
            <w:pPr>
              <w:autoSpaceDE w:val="0"/>
              <w:autoSpaceDN w:val="0"/>
              <w:spacing w:line="360" w:lineRule="auto"/>
              <w:ind w:firstLine="480"/>
              <w:rPr>
                <w:color w:val="auto"/>
                <w:sz w:val="24"/>
              </w:rPr>
            </w:pPr>
            <w:r>
              <w:rPr>
                <w:color w:val="auto"/>
                <w:sz w:val="24"/>
              </w:rPr>
              <w:t>②</w:t>
            </w:r>
            <w:r>
              <w:rPr>
                <w:rFonts w:hint="eastAsia"/>
                <w:color w:val="auto"/>
                <w:sz w:val="24"/>
                <w:lang w:val="en-US" w:eastAsia="zh-CN"/>
              </w:rPr>
              <w:t>原</w:t>
            </w:r>
            <w:r>
              <w:rPr>
                <w:color w:val="auto"/>
                <w:sz w:val="24"/>
              </w:rPr>
              <w:t>项目区建有</w:t>
            </w:r>
            <w:r>
              <w:rPr>
                <w:rFonts w:hint="eastAsia"/>
                <w:color w:val="auto"/>
                <w:sz w:val="24"/>
                <w:lang w:val="en-US" w:eastAsia="zh-CN"/>
              </w:rPr>
              <w:t>厕所</w:t>
            </w:r>
            <w:r>
              <w:rPr>
                <w:color w:val="auto"/>
                <w:sz w:val="24"/>
              </w:rPr>
              <w:t>，</w:t>
            </w:r>
            <w:r>
              <w:rPr>
                <w:rFonts w:hint="eastAsia"/>
                <w:color w:val="auto"/>
                <w:sz w:val="24"/>
                <w:lang w:val="en-US" w:eastAsia="zh-CN"/>
              </w:rPr>
              <w:t>厕所</w:t>
            </w:r>
            <w:r>
              <w:rPr>
                <w:color w:val="auto"/>
                <w:sz w:val="24"/>
              </w:rPr>
              <w:t>污泥委托当地农户定期清运用于周边农田施肥。</w:t>
            </w:r>
          </w:p>
          <w:p w14:paraId="3E88C055">
            <w:pPr>
              <w:autoSpaceDE w:val="0"/>
              <w:autoSpaceDN w:val="0"/>
              <w:spacing w:line="360" w:lineRule="auto"/>
              <w:ind w:firstLine="480"/>
              <w:rPr>
                <w:color w:val="auto"/>
                <w:sz w:val="24"/>
              </w:rPr>
            </w:pPr>
            <w:r>
              <w:rPr>
                <w:color w:val="auto"/>
                <w:sz w:val="24"/>
              </w:rPr>
              <w:t>（2）生产固废</w:t>
            </w:r>
          </w:p>
          <w:p w14:paraId="781A30E4">
            <w:pPr>
              <w:autoSpaceDE w:val="0"/>
              <w:autoSpaceDN w:val="0"/>
              <w:spacing w:line="360" w:lineRule="auto"/>
              <w:ind w:firstLine="480"/>
              <w:rPr>
                <w:color w:val="auto"/>
                <w:sz w:val="24"/>
              </w:rPr>
            </w:pPr>
            <w:r>
              <w:rPr>
                <w:rFonts w:hint="eastAsia"/>
                <w:color w:val="auto"/>
                <w:sz w:val="24"/>
                <w:lang w:val="en-US" w:eastAsia="zh-CN"/>
              </w:rPr>
              <w:t>原</w:t>
            </w:r>
            <w:r>
              <w:rPr>
                <w:color w:val="auto"/>
                <w:sz w:val="24"/>
              </w:rPr>
              <w:t>项目运营期生产固废主要有不合格的砂石料、剩余的混凝土、沉淀池沉淀渣等。通过</w:t>
            </w:r>
            <w:r>
              <w:rPr>
                <w:rFonts w:hint="eastAsia"/>
                <w:color w:val="auto"/>
                <w:sz w:val="24"/>
                <w:lang w:val="en-US" w:eastAsia="zh-CN"/>
              </w:rPr>
              <w:t>检验</w:t>
            </w:r>
            <w:r>
              <w:rPr>
                <w:color w:val="auto"/>
                <w:sz w:val="24"/>
              </w:rPr>
              <w:t>不合格的砂石料和剩余的</w:t>
            </w:r>
            <w:r>
              <w:rPr>
                <w:rFonts w:hint="eastAsia"/>
                <w:color w:val="auto"/>
                <w:sz w:val="24"/>
              </w:rPr>
              <w:t>混凝土</w:t>
            </w:r>
            <w:r>
              <w:rPr>
                <w:color w:val="auto"/>
                <w:sz w:val="24"/>
              </w:rPr>
              <w:t>年产生量在</w:t>
            </w:r>
            <w:r>
              <w:rPr>
                <w:rFonts w:hint="eastAsia"/>
                <w:color w:val="auto"/>
                <w:sz w:val="24"/>
                <w:lang w:val="en-US" w:eastAsia="zh-CN"/>
              </w:rPr>
              <w:t>10</w:t>
            </w:r>
            <w:r>
              <w:rPr>
                <w:color w:val="auto"/>
                <w:sz w:val="24"/>
              </w:rPr>
              <w:t>0t</w:t>
            </w:r>
            <w:r>
              <w:rPr>
                <w:rFonts w:hint="eastAsia"/>
                <w:color w:val="auto"/>
                <w:sz w:val="24"/>
                <w:lang w:val="en-US" w:eastAsia="zh-CN"/>
              </w:rPr>
              <w:t>/a</w:t>
            </w:r>
            <w:r>
              <w:rPr>
                <w:rFonts w:hint="eastAsia"/>
                <w:color w:val="auto"/>
                <w:sz w:val="24"/>
                <w:lang w:eastAsia="zh-CN"/>
              </w:rPr>
              <w:t>；</w:t>
            </w:r>
            <w:r>
              <w:rPr>
                <w:rFonts w:hint="eastAsia"/>
                <w:color w:val="auto"/>
                <w:sz w:val="24"/>
                <w:lang w:val="en-US" w:eastAsia="zh-CN"/>
              </w:rPr>
              <w:t>沉淀池污泥约3.96</w:t>
            </w:r>
            <w:r>
              <w:rPr>
                <w:color w:val="auto"/>
                <w:sz w:val="24"/>
              </w:rPr>
              <w:t>t</w:t>
            </w:r>
            <w:r>
              <w:rPr>
                <w:rFonts w:hint="eastAsia"/>
                <w:color w:val="auto"/>
                <w:sz w:val="24"/>
                <w:lang w:val="en-US" w:eastAsia="zh-CN"/>
              </w:rPr>
              <w:t>/a，</w:t>
            </w:r>
            <w:r>
              <w:rPr>
                <w:color w:val="auto"/>
                <w:sz w:val="24"/>
              </w:rPr>
              <w:t>可用于路面的铺垫料，或者路面的平整料。</w:t>
            </w:r>
          </w:p>
          <w:p w14:paraId="2E46DD98">
            <w:pPr>
              <w:adjustRightInd w:val="0"/>
              <w:snapToGrid w:val="0"/>
              <w:spacing w:line="360" w:lineRule="auto"/>
              <w:ind w:left="420" w:leftChars="200" w:firstLine="0" w:firstLineChars="0"/>
              <w:rPr>
                <w:b/>
                <w:bCs/>
                <w:color w:val="auto"/>
                <w:sz w:val="24"/>
              </w:rPr>
            </w:pPr>
            <w:r>
              <w:rPr>
                <w:b/>
                <w:bCs/>
                <w:color w:val="auto"/>
                <w:sz w:val="24"/>
              </w:rPr>
              <w:t>5、原项目污染物汇总</w:t>
            </w:r>
          </w:p>
          <w:p w14:paraId="1C46AC38">
            <w:pPr>
              <w:adjustRightInd w:val="0"/>
              <w:snapToGrid w:val="0"/>
              <w:spacing w:line="360" w:lineRule="auto"/>
              <w:ind w:left="420" w:leftChars="200" w:firstLine="0" w:firstLineChars="0"/>
              <w:rPr>
                <w:color w:val="auto"/>
                <w:sz w:val="24"/>
              </w:rPr>
            </w:pPr>
            <w:r>
              <w:rPr>
                <w:color w:val="auto"/>
                <w:sz w:val="24"/>
              </w:rPr>
              <w:t>综上，原项目污染物产排情况详见下表所示。</w:t>
            </w:r>
          </w:p>
          <w:p w14:paraId="68C6338B">
            <w:pPr>
              <w:adjustRightInd w:val="0"/>
              <w:snapToGrid w:val="0"/>
              <w:ind w:left="420" w:leftChars="200" w:firstLine="0" w:firstLineChars="0"/>
              <w:jc w:val="center"/>
              <w:rPr>
                <w:b/>
                <w:bCs/>
                <w:color w:val="auto"/>
                <w:szCs w:val="21"/>
              </w:rPr>
            </w:pPr>
            <w:r>
              <w:rPr>
                <w:b/>
                <w:bCs/>
                <w:color w:val="auto"/>
                <w:szCs w:val="21"/>
              </w:rPr>
              <w:t>表2-1</w:t>
            </w:r>
            <w:r>
              <w:rPr>
                <w:rFonts w:hint="eastAsia"/>
                <w:b/>
                <w:bCs/>
                <w:color w:val="auto"/>
                <w:szCs w:val="21"/>
              </w:rPr>
              <w:t>7</w:t>
            </w:r>
            <w:r>
              <w:rPr>
                <w:b/>
                <w:bCs/>
                <w:color w:val="auto"/>
                <w:szCs w:val="21"/>
              </w:rPr>
              <w:t xml:space="preserve">   原项目污染物排放情况一览表</w:t>
            </w:r>
          </w:p>
          <w:tbl>
            <w:tblPr>
              <w:tblStyle w:val="3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849"/>
              <w:gridCol w:w="1392"/>
              <w:gridCol w:w="4101"/>
            </w:tblGrid>
            <w:tr w14:paraId="6883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14:paraId="4F897F5B">
                  <w:pPr>
                    <w:pStyle w:val="48"/>
                    <w:spacing w:line="240" w:lineRule="auto"/>
                    <w:ind w:firstLine="0" w:firstLineChars="0"/>
                    <w:rPr>
                      <w:rFonts w:eastAsia="宋体"/>
                      <w:b/>
                      <w:bCs/>
                      <w:color w:val="auto"/>
                      <w:sz w:val="21"/>
                      <w:szCs w:val="21"/>
                    </w:rPr>
                  </w:pPr>
                  <w:r>
                    <w:rPr>
                      <w:rFonts w:eastAsia="宋体"/>
                      <w:b/>
                      <w:bCs/>
                      <w:color w:val="auto"/>
                      <w:sz w:val="21"/>
                      <w:szCs w:val="21"/>
                    </w:rPr>
                    <w:t>内容</w:t>
                  </w:r>
                </w:p>
              </w:tc>
              <w:tc>
                <w:tcPr>
                  <w:tcW w:w="1162" w:type="pct"/>
                  <w:vAlign w:val="center"/>
                </w:tcPr>
                <w:p w14:paraId="65FF8208">
                  <w:pPr>
                    <w:pStyle w:val="48"/>
                    <w:spacing w:line="240" w:lineRule="auto"/>
                    <w:ind w:firstLine="0" w:firstLineChars="0"/>
                    <w:rPr>
                      <w:rFonts w:eastAsia="宋体"/>
                      <w:b/>
                      <w:bCs/>
                      <w:color w:val="auto"/>
                      <w:sz w:val="21"/>
                      <w:szCs w:val="21"/>
                    </w:rPr>
                  </w:pPr>
                  <w:r>
                    <w:rPr>
                      <w:rFonts w:eastAsia="宋体"/>
                      <w:b/>
                      <w:bCs/>
                      <w:color w:val="auto"/>
                      <w:sz w:val="21"/>
                      <w:szCs w:val="21"/>
                    </w:rPr>
                    <w:t>排放源</w:t>
                  </w:r>
                </w:p>
              </w:tc>
              <w:tc>
                <w:tcPr>
                  <w:tcW w:w="875" w:type="pct"/>
                  <w:vAlign w:val="center"/>
                </w:tcPr>
                <w:p w14:paraId="113157ED">
                  <w:pPr>
                    <w:pStyle w:val="48"/>
                    <w:spacing w:line="240" w:lineRule="auto"/>
                    <w:ind w:firstLine="0" w:firstLineChars="0"/>
                    <w:rPr>
                      <w:rFonts w:eastAsia="宋体"/>
                      <w:b/>
                      <w:bCs/>
                      <w:color w:val="auto"/>
                      <w:sz w:val="21"/>
                      <w:szCs w:val="21"/>
                    </w:rPr>
                  </w:pPr>
                  <w:r>
                    <w:rPr>
                      <w:rFonts w:eastAsia="宋体"/>
                      <w:b/>
                      <w:bCs/>
                      <w:color w:val="auto"/>
                      <w:sz w:val="21"/>
                      <w:szCs w:val="21"/>
                    </w:rPr>
                    <w:t>污染物排放量</w:t>
                  </w:r>
                </w:p>
              </w:tc>
              <w:tc>
                <w:tcPr>
                  <w:tcW w:w="2578" w:type="pct"/>
                  <w:vAlign w:val="center"/>
                </w:tcPr>
                <w:p w14:paraId="6B069633">
                  <w:pPr>
                    <w:pStyle w:val="48"/>
                    <w:spacing w:line="240" w:lineRule="auto"/>
                    <w:ind w:firstLine="0" w:firstLineChars="0"/>
                    <w:rPr>
                      <w:rFonts w:eastAsia="宋体"/>
                      <w:b/>
                      <w:bCs/>
                      <w:color w:val="auto"/>
                      <w:sz w:val="21"/>
                      <w:szCs w:val="21"/>
                    </w:rPr>
                  </w:pPr>
                  <w:r>
                    <w:rPr>
                      <w:rFonts w:eastAsia="宋体"/>
                      <w:b/>
                      <w:bCs/>
                      <w:color w:val="auto"/>
                      <w:sz w:val="21"/>
                      <w:szCs w:val="21"/>
                    </w:rPr>
                    <w:t>处置措施</w:t>
                  </w:r>
                </w:p>
              </w:tc>
            </w:tr>
            <w:tr w14:paraId="1C95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14:paraId="0EC2B1B3">
                  <w:pPr>
                    <w:pStyle w:val="48"/>
                    <w:spacing w:line="240" w:lineRule="auto"/>
                    <w:ind w:firstLine="0" w:firstLineChars="0"/>
                    <w:rPr>
                      <w:rFonts w:eastAsia="宋体"/>
                      <w:color w:val="auto"/>
                      <w:sz w:val="21"/>
                      <w:szCs w:val="21"/>
                    </w:rPr>
                  </w:pPr>
                  <w:r>
                    <w:rPr>
                      <w:rFonts w:eastAsia="宋体"/>
                      <w:color w:val="auto"/>
                      <w:sz w:val="21"/>
                      <w:szCs w:val="21"/>
                    </w:rPr>
                    <w:t>废水</w:t>
                  </w:r>
                </w:p>
              </w:tc>
              <w:tc>
                <w:tcPr>
                  <w:tcW w:w="1162" w:type="pct"/>
                  <w:vAlign w:val="center"/>
                </w:tcPr>
                <w:p w14:paraId="7AB89A95">
                  <w:pPr>
                    <w:pStyle w:val="48"/>
                    <w:spacing w:line="240" w:lineRule="auto"/>
                    <w:ind w:firstLine="0" w:firstLineChars="0"/>
                    <w:rPr>
                      <w:rFonts w:eastAsia="宋体"/>
                      <w:color w:val="auto"/>
                      <w:sz w:val="21"/>
                      <w:szCs w:val="21"/>
                    </w:rPr>
                  </w:pPr>
                  <w:r>
                    <w:rPr>
                      <w:rFonts w:eastAsia="宋体"/>
                      <w:color w:val="auto"/>
                      <w:sz w:val="21"/>
                      <w:szCs w:val="21"/>
                    </w:rPr>
                    <w:t>生活污水</w:t>
                  </w:r>
                </w:p>
              </w:tc>
              <w:tc>
                <w:tcPr>
                  <w:tcW w:w="875" w:type="pct"/>
                  <w:vAlign w:val="center"/>
                </w:tcPr>
                <w:p w14:paraId="32BD8806">
                  <w:pPr>
                    <w:pStyle w:val="48"/>
                    <w:spacing w:line="240" w:lineRule="auto"/>
                    <w:ind w:firstLine="0" w:firstLineChars="0"/>
                    <w:rPr>
                      <w:rFonts w:eastAsia="宋体"/>
                      <w:color w:val="auto"/>
                      <w:sz w:val="21"/>
                      <w:szCs w:val="21"/>
                    </w:rPr>
                  </w:pPr>
                  <w:r>
                    <w:rPr>
                      <w:rFonts w:eastAsia="宋体"/>
                      <w:color w:val="auto"/>
                      <w:sz w:val="21"/>
                      <w:szCs w:val="21"/>
                    </w:rPr>
                    <w:t>540m³/a</w:t>
                  </w:r>
                </w:p>
              </w:tc>
              <w:tc>
                <w:tcPr>
                  <w:tcW w:w="2578" w:type="pct"/>
                  <w:vAlign w:val="center"/>
                </w:tcPr>
                <w:p w14:paraId="24C82F2E">
                  <w:pPr>
                    <w:pStyle w:val="48"/>
                    <w:spacing w:line="240" w:lineRule="auto"/>
                    <w:ind w:firstLine="0" w:firstLineChars="0"/>
                    <w:jc w:val="left"/>
                    <w:rPr>
                      <w:rFonts w:eastAsia="宋体"/>
                      <w:color w:val="auto"/>
                      <w:sz w:val="21"/>
                      <w:szCs w:val="21"/>
                    </w:rPr>
                  </w:pPr>
                  <w:r>
                    <w:rPr>
                      <w:rFonts w:eastAsia="宋体"/>
                      <w:color w:val="auto"/>
                      <w:sz w:val="21"/>
                      <w:szCs w:val="21"/>
                    </w:rPr>
                    <w:t>生活废水经隔油池处理后用于混凝土的搅拌。项目区厕所污水化粪池处理后委托周边农户用于周边农田施肥。</w:t>
                  </w:r>
                </w:p>
              </w:tc>
            </w:tr>
            <w:tr w14:paraId="2B23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14:paraId="7D91FE43">
                  <w:pPr>
                    <w:pStyle w:val="48"/>
                    <w:spacing w:line="240" w:lineRule="auto"/>
                    <w:ind w:firstLine="0" w:firstLineChars="0"/>
                    <w:rPr>
                      <w:rFonts w:eastAsia="宋体"/>
                      <w:color w:val="auto"/>
                      <w:sz w:val="21"/>
                      <w:szCs w:val="21"/>
                    </w:rPr>
                  </w:pPr>
                </w:p>
              </w:tc>
              <w:tc>
                <w:tcPr>
                  <w:tcW w:w="1162" w:type="pct"/>
                  <w:vAlign w:val="center"/>
                </w:tcPr>
                <w:p w14:paraId="24E19A60">
                  <w:pPr>
                    <w:pStyle w:val="48"/>
                    <w:spacing w:line="240" w:lineRule="auto"/>
                    <w:ind w:firstLine="0" w:firstLineChars="0"/>
                    <w:rPr>
                      <w:rFonts w:eastAsia="宋体"/>
                      <w:color w:val="auto"/>
                      <w:sz w:val="21"/>
                      <w:szCs w:val="21"/>
                    </w:rPr>
                  </w:pPr>
                  <w:r>
                    <w:rPr>
                      <w:rFonts w:eastAsia="宋体"/>
                      <w:color w:val="auto"/>
                      <w:sz w:val="21"/>
                      <w:szCs w:val="21"/>
                    </w:rPr>
                    <w:t>生产废水</w:t>
                  </w:r>
                </w:p>
              </w:tc>
              <w:tc>
                <w:tcPr>
                  <w:tcW w:w="875" w:type="pct"/>
                  <w:vAlign w:val="center"/>
                </w:tcPr>
                <w:p w14:paraId="0037DE2E">
                  <w:pPr>
                    <w:pStyle w:val="48"/>
                    <w:spacing w:line="240" w:lineRule="auto"/>
                    <w:ind w:firstLine="0" w:firstLineChars="0"/>
                    <w:rPr>
                      <w:rFonts w:eastAsia="宋体"/>
                      <w:color w:val="auto"/>
                      <w:sz w:val="21"/>
                      <w:szCs w:val="21"/>
                    </w:rPr>
                  </w:pPr>
                  <w:r>
                    <w:rPr>
                      <w:rFonts w:hint="eastAsia" w:eastAsia="宋体"/>
                      <w:color w:val="auto"/>
                      <w:sz w:val="21"/>
                      <w:szCs w:val="21"/>
                      <w:lang w:val="en-US" w:eastAsia="zh-CN"/>
                    </w:rPr>
                    <w:t>3192</w:t>
                  </w:r>
                  <w:r>
                    <w:rPr>
                      <w:rFonts w:eastAsia="宋体"/>
                      <w:color w:val="auto"/>
                      <w:sz w:val="21"/>
                      <w:szCs w:val="21"/>
                    </w:rPr>
                    <w:t>m³/a</w:t>
                  </w:r>
                </w:p>
              </w:tc>
              <w:tc>
                <w:tcPr>
                  <w:tcW w:w="2578" w:type="pct"/>
                  <w:vAlign w:val="center"/>
                </w:tcPr>
                <w:p w14:paraId="714AD43D">
                  <w:pPr>
                    <w:pStyle w:val="48"/>
                    <w:spacing w:line="240" w:lineRule="auto"/>
                    <w:ind w:firstLine="0" w:firstLineChars="0"/>
                    <w:jc w:val="left"/>
                    <w:rPr>
                      <w:rFonts w:eastAsia="宋体"/>
                      <w:color w:val="auto"/>
                      <w:sz w:val="21"/>
                      <w:szCs w:val="21"/>
                    </w:rPr>
                  </w:pPr>
                  <w:r>
                    <w:rPr>
                      <w:rFonts w:eastAsia="宋体"/>
                      <w:color w:val="auto"/>
                      <w:sz w:val="21"/>
                      <w:szCs w:val="21"/>
                    </w:rPr>
                    <w:t>生产清洗废水经地势北高南低，进入沉淀池沉淀处理，返回生产使用。</w:t>
                  </w:r>
                </w:p>
              </w:tc>
            </w:tr>
            <w:tr w14:paraId="45C3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84" w:type="pct"/>
                  <w:vMerge w:val="restart"/>
                  <w:vAlign w:val="center"/>
                </w:tcPr>
                <w:p w14:paraId="150208FA">
                  <w:pPr>
                    <w:pStyle w:val="48"/>
                    <w:spacing w:line="240" w:lineRule="auto"/>
                    <w:ind w:firstLine="0" w:firstLineChars="0"/>
                    <w:rPr>
                      <w:rFonts w:eastAsia="宋体"/>
                      <w:color w:val="auto"/>
                      <w:sz w:val="21"/>
                      <w:szCs w:val="21"/>
                    </w:rPr>
                  </w:pPr>
                  <w:r>
                    <w:rPr>
                      <w:rFonts w:eastAsia="宋体"/>
                      <w:color w:val="auto"/>
                      <w:sz w:val="21"/>
                      <w:szCs w:val="21"/>
                    </w:rPr>
                    <w:t>废气</w:t>
                  </w:r>
                </w:p>
              </w:tc>
              <w:tc>
                <w:tcPr>
                  <w:tcW w:w="1162" w:type="pct"/>
                  <w:vMerge w:val="restart"/>
                  <w:vAlign w:val="center"/>
                </w:tcPr>
                <w:p w14:paraId="0FF03F6E">
                  <w:pPr>
                    <w:pStyle w:val="48"/>
                    <w:spacing w:line="240" w:lineRule="auto"/>
                    <w:ind w:firstLine="0" w:firstLineChars="0"/>
                    <w:rPr>
                      <w:rFonts w:eastAsia="宋体"/>
                      <w:color w:val="auto"/>
                      <w:sz w:val="21"/>
                      <w:szCs w:val="21"/>
                    </w:rPr>
                  </w:pPr>
                  <w:r>
                    <w:rPr>
                      <w:rFonts w:eastAsia="宋体"/>
                      <w:color w:val="auto"/>
                      <w:sz w:val="21"/>
                      <w:szCs w:val="21"/>
                    </w:rPr>
                    <w:t>工艺废气</w:t>
                  </w:r>
                </w:p>
              </w:tc>
              <w:tc>
                <w:tcPr>
                  <w:tcW w:w="875" w:type="pct"/>
                  <w:vAlign w:val="center"/>
                </w:tcPr>
                <w:p w14:paraId="3100B9B3">
                  <w:pPr>
                    <w:pStyle w:val="48"/>
                    <w:spacing w:line="240" w:lineRule="auto"/>
                    <w:ind w:firstLine="0" w:firstLineChars="0"/>
                    <w:rPr>
                      <w:rFonts w:hint="default" w:eastAsia="宋体"/>
                      <w:color w:val="auto"/>
                      <w:sz w:val="21"/>
                      <w:szCs w:val="21"/>
                      <w:lang w:val="en-US"/>
                    </w:rPr>
                  </w:pPr>
                  <w:r>
                    <w:rPr>
                      <w:rFonts w:hint="eastAsia" w:eastAsia="宋体"/>
                      <w:color w:val="auto"/>
                      <w:sz w:val="21"/>
                      <w:szCs w:val="21"/>
                      <w:lang w:val="en-US" w:eastAsia="zh-CN"/>
                    </w:rPr>
                    <w:t>有</w:t>
                  </w:r>
                  <w:r>
                    <w:rPr>
                      <w:rFonts w:eastAsia="宋体"/>
                      <w:color w:val="auto"/>
                      <w:sz w:val="21"/>
                      <w:szCs w:val="21"/>
                    </w:rPr>
                    <w:t>组织颗粒物</w:t>
                  </w:r>
                  <w:r>
                    <w:rPr>
                      <w:rFonts w:hint="eastAsia" w:eastAsia="宋体"/>
                      <w:color w:val="auto"/>
                      <w:sz w:val="21"/>
                      <w:szCs w:val="21"/>
                      <w:lang w:val="en-US" w:eastAsia="zh-CN"/>
                    </w:rPr>
                    <w:t>排放量0.1368</w:t>
                  </w:r>
                  <w:r>
                    <w:rPr>
                      <w:rFonts w:hint="eastAsia"/>
                      <w:color w:val="auto"/>
                      <w:sz w:val="24"/>
                    </w:rPr>
                    <w:t>t/a</w:t>
                  </w:r>
                </w:p>
              </w:tc>
              <w:tc>
                <w:tcPr>
                  <w:tcW w:w="2578" w:type="pct"/>
                  <w:vAlign w:val="center"/>
                </w:tcPr>
                <w:p w14:paraId="6D63477E">
                  <w:pPr>
                    <w:pStyle w:val="48"/>
                    <w:spacing w:line="240" w:lineRule="auto"/>
                    <w:ind w:firstLine="0" w:firstLineChars="0"/>
                    <w:jc w:val="left"/>
                    <w:rPr>
                      <w:rFonts w:hint="default" w:eastAsia="宋体"/>
                      <w:color w:val="auto"/>
                      <w:sz w:val="21"/>
                      <w:szCs w:val="21"/>
                      <w:lang w:val="en-US" w:eastAsia="zh-CN"/>
                    </w:rPr>
                  </w:pPr>
                  <w:r>
                    <w:rPr>
                      <w:rFonts w:hint="eastAsia" w:eastAsia="宋体"/>
                      <w:color w:val="auto"/>
                      <w:sz w:val="21"/>
                      <w:szCs w:val="21"/>
                    </w:rPr>
                    <w:t>水泥、粉煤灰、矿粉筒仓</w:t>
                  </w:r>
                  <w:r>
                    <w:rPr>
                      <w:rFonts w:hint="eastAsia" w:eastAsia="宋体"/>
                      <w:color w:val="auto"/>
                      <w:sz w:val="21"/>
                      <w:szCs w:val="21"/>
                      <w:lang w:val="en-US" w:eastAsia="zh-CN"/>
                    </w:rPr>
                    <w:t>产生的粉尘经</w:t>
                  </w:r>
                  <w:r>
                    <w:rPr>
                      <w:rFonts w:hint="eastAsia" w:eastAsia="宋体"/>
                      <w:color w:val="auto"/>
                      <w:sz w:val="21"/>
                      <w:szCs w:val="21"/>
                    </w:rPr>
                    <w:t>布袋除尘器</w:t>
                  </w:r>
                  <w:r>
                    <w:rPr>
                      <w:rFonts w:hint="eastAsia" w:eastAsia="宋体"/>
                      <w:color w:val="auto"/>
                      <w:sz w:val="21"/>
                      <w:szCs w:val="21"/>
                      <w:lang w:val="en-US" w:eastAsia="zh-CN"/>
                    </w:rPr>
                    <w:t>处理后通过</w:t>
                  </w:r>
                  <w:r>
                    <w:rPr>
                      <w:rFonts w:hint="eastAsia" w:eastAsia="宋体"/>
                      <w:color w:val="auto"/>
                      <w:sz w:val="21"/>
                      <w:szCs w:val="21"/>
                    </w:rPr>
                    <w:t>排气筒</w:t>
                  </w:r>
                  <w:r>
                    <w:rPr>
                      <w:rFonts w:hint="eastAsia" w:eastAsia="宋体"/>
                      <w:color w:val="auto"/>
                      <w:sz w:val="21"/>
                      <w:szCs w:val="21"/>
                      <w:lang w:val="en-US" w:eastAsia="zh-CN"/>
                    </w:rPr>
                    <w:t>排放，经检测排放值满足《水泥工业大气污染物排放标准》（GB4915-2013）表1现有与新建企业大气污染物排放限值；</w:t>
                  </w:r>
                </w:p>
              </w:tc>
            </w:tr>
            <w:tr w14:paraId="505C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84" w:type="pct"/>
                  <w:vMerge w:val="continue"/>
                  <w:vAlign w:val="center"/>
                </w:tcPr>
                <w:p w14:paraId="3552EB0F">
                  <w:pPr>
                    <w:pStyle w:val="48"/>
                    <w:spacing w:line="240" w:lineRule="auto"/>
                    <w:ind w:firstLine="0" w:firstLineChars="0"/>
                    <w:rPr>
                      <w:rFonts w:eastAsia="宋体"/>
                      <w:color w:val="auto"/>
                      <w:sz w:val="21"/>
                      <w:szCs w:val="21"/>
                    </w:rPr>
                  </w:pPr>
                </w:p>
              </w:tc>
              <w:tc>
                <w:tcPr>
                  <w:tcW w:w="1162" w:type="pct"/>
                  <w:vMerge w:val="continue"/>
                  <w:vAlign w:val="center"/>
                </w:tcPr>
                <w:p w14:paraId="77E8541C">
                  <w:pPr>
                    <w:pStyle w:val="48"/>
                    <w:spacing w:line="240" w:lineRule="auto"/>
                    <w:ind w:firstLine="0" w:firstLineChars="0"/>
                    <w:rPr>
                      <w:rFonts w:eastAsia="宋体"/>
                      <w:color w:val="auto"/>
                      <w:sz w:val="21"/>
                      <w:szCs w:val="21"/>
                    </w:rPr>
                  </w:pPr>
                </w:p>
              </w:tc>
              <w:tc>
                <w:tcPr>
                  <w:tcW w:w="875" w:type="pct"/>
                  <w:vAlign w:val="center"/>
                </w:tcPr>
                <w:p w14:paraId="3243C1B1">
                  <w:pPr>
                    <w:pStyle w:val="48"/>
                    <w:spacing w:line="240" w:lineRule="auto"/>
                    <w:ind w:firstLine="0" w:firstLineChars="0"/>
                    <w:rPr>
                      <w:rFonts w:hint="default" w:eastAsia="宋体"/>
                      <w:color w:val="auto"/>
                      <w:sz w:val="21"/>
                      <w:szCs w:val="21"/>
                      <w:lang w:val="en-US" w:eastAsia="zh-CN"/>
                    </w:rPr>
                  </w:pPr>
                  <w:r>
                    <w:rPr>
                      <w:rFonts w:eastAsia="宋体"/>
                      <w:color w:val="auto"/>
                      <w:sz w:val="21"/>
                      <w:szCs w:val="21"/>
                    </w:rPr>
                    <w:t>无组织颗粒物</w:t>
                  </w:r>
                  <w:r>
                    <w:rPr>
                      <w:rFonts w:hint="eastAsia" w:eastAsia="宋体"/>
                      <w:color w:val="auto"/>
                      <w:sz w:val="21"/>
                      <w:szCs w:val="21"/>
                      <w:lang w:val="en-US" w:eastAsia="zh-CN"/>
                    </w:rPr>
                    <w:t>排放量1.68575</w:t>
                  </w:r>
                  <w:r>
                    <w:rPr>
                      <w:rFonts w:hint="eastAsia"/>
                      <w:color w:val="auto"/>
                      <w:sz w:val="24"/>
                    </w:rPr>
                    <w:t>t/a</w:t>
                  </w:r>
                </w:p>
              </w:tc>
              <w:tc>
                <w:tcPr>
                  <w:tcW w:w="2578" w:type="pct"/>
                  <w:vAlign w:val="center"/>
                </w:tcPr>
                <w:p w14:paraId="467B0C46">
                  <w:pPr>
                    <w:pStyle w:val="48"/>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eastAsia="宋体"/>
                      <w:color w:val="auto"/>
                      <w:sz w:val="21"/>
                      <w:szCs w:val="21"/>
                    </w:rPr>
                  </w:pPr>
                  <w:r>
                    <w:rPr>
                      <w:rFonts w:hint="eastAsia" w:eastAsia="宋体"/>
                      <w:color w:val="auto"/>
                      <w:sz w:val="21"/>
                      <w:szCs w:val="21"/>
                      <w:lang w:val="en-US" w:eastAsia="zh-CN"/>
                    </w:rPr>
                    <w:t>搅拌设备经布袋</w:t>
                  </w:r>
                  <w:r>
                    <w:rPr>
                      <w:rFonts w:eastAsia="宋体"/>
                      <w:color w:val="auto"/>
                      <w:sz w:val="21"/>
                      <w:szCs w:val="21"/>
                    </w:rPr>
                    <w:t>除尘器处理，确保设备正常运转，加强物料运输和装卸管理。文明装卸，物料输送采用封闭式输送带，加强厂区内的清扫工作，定时洒水，建立健全科学的操作规章和制度，加强管理</w:t>
                  </w:r>
                  <w:r>
                    <w:rPr>
                      <w:rFonts w:hint="eastAsia" w:eastAsia="宋体"/>
                      <w:color w:val="auto"/>
                      <w:sz w:val="21"/>
                      <w:szCs w:val="21"/>
                      <w:lang w:eastAsia="zh-CN"/>
                    </w:rPr>
                    <w:t>，</w:t>
                  </w:r>
                  <w:r>
                    <w:rPr>
                      <w:rFonts w:hint="eastAsia" w:eastAsia="宋体"/>
                      <w:color w:val="auto"/>
                      <w:sz w:val="21"/>
                      <w:szCs w:val="21"/>
                      <w:lang w:val="en-US" w:eastAsia="zh-CN"/>
                    </w:rPr>
                    <w:t>经检测排放值满足《水泥工业大气污染物排放标准》（GB4915-2013）表3中颗粒物排放浓度限值要求</w:t>
                  </w:r>
                  <w:r>
                    <w:rPr>
                      <w:rFonts w:eastAsia="宋体"/>
                      <w:color w:val="auto"/>
                      <w:sz w:val="21"/>
                      <w:szCs w:val="21"/>
                    </w:rPr>
                    <w:t>。</w:t>
                  </w:r>
                </w:p>
              </w:tc>
            </w:tr>
            <w:tr w14:paraId="764A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84" w:type="pct"/>
                  <w:vMerge w:val="continue"/>
                  <w:vAlign w:val="center"/>
                </w:tcPr>
                <w:p w14:paraId="5FB827E7">
                  <w:pPr>
                    <w:pStyle w:val="48"/>
                    <w:spacing w:line="240" w:lineRule="auto"/>
                    <w:ind w:firstLine="0" w:firstLineChars="0"/>
                    <w:rPr>
                      <w:rFonts w:eastAsia="宋体"/>
                      <w:color w:val="auto"/>
                      <w:sz w:val="21"/>
                      <w:szCs w:val="21"/>
                    </w:rPr>
                  </w:pPr>
                </w:p>
              </w:tc>
              <w:tc>
                <w:tcPr>
                  <w:tcW w:w="1162" w:type="pct"/>
                  <w:vAlign w:val="center"/>
                </w:tcPr>
                <w:p w14:paraId="49A56B04">
                  <w:pPr>
                    <w:pStyle w:val="48"/>
                    <w:spacing w:line="240" w:lineRule="auto"/>
                    <w:ind w:firstLine="0" w:firstLineChars="0"/>
                    <w:rPr>
                      <w:rFonts w:eastAsia="宋体"/>
                      <w:color w:val="auto"/>
                      <w:sz w:val="21"/>
                      <w:szCs w:val="21"/>
                    </w:rPr>
                  </w:pPr>
                  <w:r>
                    <w:rPr>
                      <w:rFonts w:eastAsia="宋体"/>
                      <w:color w:val="auto"/>
                      <w:sz w:val="21"/>
                      <w:szCs w:val="21"/>
                    </w:rPr>
                    <w:t>食堂油烟</w:t>
                  </w:r>
                </w:p>
              </w:tc>
              <w:tc>
                <w:tcPr>
                  <w:tcW w:w="875" w:type="pct"/>
                  <w:vAlign w:val="center"/>
                </w:tcPr>
                <w:p w14:paraId="080CA9EA">
                  <w:pPr>
                    <w:pStyle w:val="48"/>
                    <w:spacing w:line="240" w:lineRule="auto"/>
                    <w:ind w:firstLine="0" w:firstLineChars="0"/>
                    <w:rPr>
                      <w:rFonts w:eastAsia="宋体"/>
                      <w:color w:val="auto"/>
                      <w:sz w:val="21"/>
                      <w:szCs w:val="21"/>
                    </w:rPr>
                  </w:pPr>
                  <w:r>
                    <w:rPr>
                      <w:rFonts w:eastAsia="宋体"/>
                      <w:color w:val="auto"/>
                      <w:sz w:val="21"/>
                      <w:szCs w:val="21"/>
                    </w:rPr>
                    <w:t>≤2.0mg/m</w:t>
                  </w:r>
                  <w:r>
                    <w:rPr>
                      <w:rFonts w:eastAsia="宋体"/>
                      <w:color w:val="auto"/>
                      <w:sz w:val="21"/>
                      <w:szCs w:val="21"/>
                      <w:vertAlign w:val="superscript"/>
                    </w:rPr>
                    <w:t>3</w:t>
                  </w:r>
                </w:p>
              </w:tc>
              <w:tc>
                <w:tcPr>
                  <w:tcW w:w="2578" w:type="pct"/>
                  <w:vAlign w:val="center"/>
                </w:tcPr>
                <w:p w14:paraId="315FA0E9">
                  <w:pPr>
                    <w:pStyle w:val="48"/>
                    <w:spacing w:line="240" w:lineRule="auto"/>
                    <w:ind w:firstLine="0" w:firstLineChars="0"/>
                    <w:jc w:val="left"/>
                    <w:rPr>
                      <w:rFonts w:eastAsia="宋体"/>
                      <w:color w:val="auto"/>
                      <w:sz w:val="21"/>
                      <w:szCs w:val="21"/>
                    </w:rPr>
                  </w:pPr>
                  <w:r>
                    <w:rPr>
                      <w:rFonts w:eastAsia="宋体"/>
                      <w:color w:val="auto"/>
                      <w:sz w:val="21"/>
                      <w:szCs w:val="21"/>
                    </w:rPr>
                    <w:t>油烟净化器处理，达到GB18483-2001《饮食业油烟排放标准》表2标准。</w:t>
                  </w:r>
                </w:p>
              </w:tc>
            </w:tr>
            <w:tr w14:paraId="046B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14:paraId="19DD54D6">
                  <w:pPr>
                    <w:pStyle w:val="48"/>
                    <w:spacing w:line="240" w:lineRule="auto"/>
                    <w:ind w:firstLine="0" w:firstLineChars="0"/>
                    <w:rPr>
                      <w:rFonts w:eastAsia="宋体"/>
                      <w:color w:val="auto"/>
                      <w:sz w:val="21"/>
                      <w:szCs w:val="21"/>
                    </w:rPr>
                  </w:pPr>
                  <w:r>
                    <w:rPr>
                      <w:rFonts w:eastAsia="宋体"/>
                      <w:color w:val="auto"/>
                      <w:sz w:val="21"/>
                      <w:szCs w:val="21"/>
                    </w:rPr>
                    <w:t>噪声</w:t>
                  </w:r>
                </w:p>
              </w:tc>
              <w:tc>
                <w:tcPr>
                  <w:tcW w:w="1162" w:type="pct"/>
                  <w:vAlign w:val="center"/>
                </w:tcPr>
                <w:p w14:paraId="2BAE6CBE">
                  <w:pPr>
                    <w:pStyle w:val="48"/>
                    <w:spacing w:line="240" w:lineRule="auto"/>
                    <w:ind w:firstLine="0" w:firstLineChars="0"/>
                    <w:rPr>
                      <w:rFonts w:eastAsia="宋体"/>
                      <w:color w:val="auto"/>
                      <w:sz w:val="21"/>
                      <w:szCs w:val="21"/>
                    </w:rPr>
                  </w:pPr>
                  <w:r>
                    <w:rPr>
                      <w:rFonts w:eastAsia="宋体"/>
                      <w:color w:val="auto"/>
                      <w:sz w:val="21"/>
                      <w:szCs w:val="21"/>
                    </w:rPr>
                    <w:t>生产设备噪声</w:t>
                  </w:r>
                </w:p>
              </w:tc>
              <w:tc>
                <w:tcPr>
                  <w:tcW w:w="875" w:type="pct"/>
                  <w:vAlign w:val="center"/>
                </w:tcPr>
                <w:p w14:paraId="591D9203">
                  <w:pPr>
                    <w:pStyle w:val="48"/>
                    <w:spacing w:line="240" w:lineRule="auto"/>
                    <w:ind w:firstLine="0" w:firstLineChars="0"/>
                    <w:rPr>
                      <w:rFonts w:eastAsia="宋体"/>
                      <w:color w:val="auto"/>
                      <w:sz w:val="21"/>
                      <w:szCs w:val="21"/>
                    </w:rPr>
                  </w:pPr>
                  <w:r>
                    <w:rPr>
                      <w:rFonts w:eastAsia="宋体"/>
                      <w:color w:val="auto"/>
                      <w:sz w:val="21"/>
                      <w:szCs w:val="21"/>
                    </w:rPr>
                    <w:t>/</w:t>
                  </w:r>
                </w:p>
              </w:tc>
              <w:tc>
                <w:tcPr>
                  <w:tcW w:w="2578" w:type="pct"/>
                  <w:vAlign w:val="center"/>
                </w:tcPr>
                <w:p w14:paraId="751E73B6">
                  <w:pPr>
                    <w:pStyle w:val="48"/>
                    <w:spacing w:line="240" w:lineRule="auto"/>
                    <w:ind w:firstLine="0" w:firstLineChars="0"/>
                    <w:rPr>
                      <w:rFonts w:eastAsia="宋体"/>
                      <w:color w:val="auto"/>
                      <w:sz w:val="21"/>
                      <w:szCs w:val="21"/>
                    </w:rPr>
                  </w:pPr>
                  <w:r>
                    <w:rPr>
                      <w:rFonts w:eastAsia="宋体"/>
                      <w:color w:val="auto"/>
                      <w:sz w:val="21"/>
                      <w:szCs w:val="21"/>
                    </w:rPr>
                    <w:t>消声、减震，厂房隔音，距离衰减。</w:t>
                  </w:r>
                </w:p>
              </w:tc>
            </w:tr>
            <w:tr w14:paraId="3A61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14:paraId="589D45EA">
                  <w:pPr>
                    <w:pStyle w:val="48"/>
                    <w:spacing w:line="240" w:lineRule="auto"/>
                    <w:ind w:firstLine="0" w:firstLineChars="0"/>
                    <w:rPr>
                      <w:rFonts w:eastAsia="宋体"/>
                      <w:color w:val="auto"/>
                      <w:sz w:val="21"/>
                      <w:szCs w:val="21"/>
                    </w:rPr>
                  </w:pPr>
                  <w:r>
                    <w:rPr>
                      <w:rFonts w:eastAsia="宋体"/>
                      <w:color w:val="auto"/>
                      <w:sz w:val="21"/>
                      <w:szCs w:val="21"/>
                    </w:rPr>
                    <w:t>固废</w:t>
                  </w:r>
                </w:p>
              </w:tc>
              <w:tc>
                <w:tcPr>
                  <w:tcW w:w="1162" w:type="pct"/>
                  <w:vAlign w:val="center"/>
                </w:tcPr>
                <w:p w14:paraId="5C08E2C5">
                  <w:pPr>
                    <w:pStyle w:val="48"/>
                    <w:spacing w:line="240" w:lineRule="auto"/>
                    <w:ind w:firstLine="0" w:firstLineChars="0"/>
                    <w:rPr>
                      <w:rFonts w:eastAsia="宋体"/>
                      <w:color w:val="auto"/>
                      <w:sz w:val="21"/>
                      <w:szCs w:val="21"/>
                    </w:rPr>
                  </w:pPr>
                  <w:r>
                    <w:rPr>
                      <w:rFonts w:eastAsia="宋体"/>
                      <w:color w:val="auto"/>
                      <w:sz w:val="21"/>
                      <w:szCs w:val="21"/>
                    </w:rPr>
                    <w:t>生活垃圾</w:t>
                  </w:r>
                </w:p>
              </w:tc>
              <w:tc>
                <w:tcPr>
                  <w:tcW w:w="875" w:type="pct"/>
                  <w:vAlign w:val="center"/>
                </w:tcPr>
                <w:p w14:paraId="5C683BCA">
                  <w:pPr>
                    <w:pStyle w:val="48"/>
                    <w:spacing w:line="240" w:lineRule="auto"/>
                    <w:ind w:firstLine="0" w:firstLineChars="0"/>
                    <w:rPr>
                      <w:rFonts w:eastAsia="宋体"/>
                      <w:color w:val="auto"/>
                      <w:sz w:val="21"/>
                      <w:szCs w:val="21"/>
                    </w:rPr>
                  </w:pPr>
                  <w:r>
                    <w:rPr>
                      <w:rFonts w:eastAsia="宋体"/>
                      <w:color w:val="auto"/>
                      <w:sz w:val="21"/>
                      <w:szCs w:val="21"/>
                    </w:rPr>
                    <w:t>0.9t/a</w:t>
                  </w:r>
                </w:p>
              </w:tc>
              <w:tc>
                <w:tcPr>
                  <w:tcW w:w="2578" w:type="pct"/>
                  <w:vAlign w:val="center"/>
                </w:tcPr>
                <w:p w14:paraId="77B0B52D">
                  <w:pPr>
                    <w:pStyle w:val="48"/>
                    <w:spacing w:line="240" w:lineRule="auto"/>
                    <w:ind w:firstLine="0" w:firstLineChars="0"/>
                    <w:rPr>
                      <w:rFonts w:eastAsia="宋体"/>
                      <w:color w:val="auto"/>
                      <w:sz w:val="21"/>
                      <w:szCs w:val="21"/>
                    </w:rPr>
                  </w:pPr>
                  <w:r>
                    <w:rPr>
                      <w:rFonts w:eastAsia="宋体"/>
                      <w:color w:val="auto"/>
                      <w:sz w:val="21"/>
                      <w:szCs w:val="21"/>
                    </w:rPr>
                    <w:t>生活垃圾：由环卫部门清运。</w:t>
                  </w:r>
                </w:p>
              </w:tc>
            </w:tr>
            <w:tr w14:paraId="2694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14:paraId="79E3D9F5">
                  <w:pPr>
                    <w:pStyle w:val="48"/>
                    <w:spacing w:line="240" w:lineRule="auto"/>
                    <w:ind w:firstLine="0" w:firstLineChars="0"/>
                    <w:rPr>
                      <w:rFonts w:eastAsia="宋体"/>
                      <w:color w:val="auto"/>
                      <w:sz w:val="21"/>
                      <w:szCs w:val="21"/>
                    </w:rPr>
                  </w:pPr>
                </w:p>
              </w:tc>
              <w:tc>
                <w:tcPr>
                  <w:tcW w:w="1162" w:type="pct"/>
                  <w:vAlign w:val="center"/>
                </w:tcPr>
                <w:p w14:paraId="0F1EECF7">
                  <w:pPr>
                    <w:pStyle w:val="48"/>
                    <w:spacing w:line="240" w:lineRule="auto"/>
                    <w:ind w:firstLine="0" w:firstLineChars="0"/>
                    <w:rPr>
                      <w:rFonts w:eastAsia="宋体"/>
                      <w:color w:val="auto"/>
                      <w:sz w:val="21"/>
                      <w:szCs w:val="21"/>
                    </w:rPr>
                  </w:pPr>
                  <w:r>
                    <w:rPr>
                      <w:rFonts w:eastAsia="宋体"/>
                      <w:color w:val="auto"/>
                      <w:sz w:val="21"/>
                      <w:szCs w:val="21"/>
                    </w:rPr>
                    <w:t>生产固废</w:t>
                  </w:r>
                </w:p>
              </w:tc>
              <w:tc>
                <w:tcPr>
                  <w:tcW w:w="875" w:type="pct"/>
                  <w:vAlign w:val="center"/>
                </w:tcPr>
                <w:p w14:paraId="6B3F059F">
                  <w:pPr>
                    <w:pStyle w:val="48"/>
                    <w:spacing w:line="240" w:lineRule="auto"/>
                    <w:ind w:firstLine="0" w:firstLineChars="0"/>
                    <w:rPr>
                      <w:rFonts w:eastAsia="宋体"/>
                      <w:color w:val="auto"/>
                      <w:sz w:val="21"/>
                      <w:szCs w:val="21"/>
                    </w:rPr>
                  </w:pPr>
                  <w:r>
                    <w:rPr>
                      <w:rFonts w:eastAsia="宋体"/>
                      <w:color w:val="auto"/>
                      <w:sz w:val="21"/>
                      <w:szCs w:val="21"/>
                    </w:rPr>
                    <w:t>100t/a</w:t>
                  </w:r>
                </w:p>
              </w:tc>
              <w:tc>
                <w:tcPr>
                  <w:tcW w:w="2578" w:type="pct"/>
                  <w:vMerge w:val="restart"/>
                  <w:vAlign w:val="center"/>
                </w:tcPr>
                <w:p w14:paraId="1BC9A13D">
                  <w:pPr>
                    <w:pStyle w:val="48"/>
                    <w:spacing w:line="240" w:lineRule="auto"/>
                    <w:ind w:firstLine="0" w:firstLineChars="0"/>
                    <w:rPr>
                      <w:rFonts w:eastAsia="宋体"/>
                      <w:color w:val="auto"/>
                      <w:sz w:val="21"/>
                      <w:szCs w:val="21"/>
                    </w:rPr>
                  </w:pPr>
                  <w:r>
                    <w:rPr>
                      <w:rFonts w:eastAsia="宋体"/>
                      <w:color w:val="auto"/>
                      <w:sz w:val="21"/>
                      <w:szCs w:val="21"/>
                    </w:rPr>
                    <w:t>用作道路建设的路面铺垫料。</w:t>
                  </w:r>
                </w:p>
              </w:tc>
            </w:tr>
            <w:tr w14:paraId="0C0D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14:paraId="25054613">
                  <w:pPr>
                    <w:pStyle w:val="48"/>
                    <w:spacing w:line="240" w:lineRule="auto"/>
                    <w:ind w:firstLine="0" w:firstLineChars="0"/>
                    <w:rPr>
                      <w:rFonts w:eastAsia="宋体"/>
                      <w:color w:val="auto"/>
                      <w:sz w:val="21"/>
                      <w:szCs w:val="21"/>
                    </w:rPr>
                  </w:pPr>
                </w:p>
              </w:tc>
              <w:tc>
                <w:tcPr>
                  <w:tcW w:w="1162" w:type="pct"/>
                  <w:vAlign w:val="center"/>
                </w:tcPr>
                <w:p w14:paraId="0C81DA19">
                  <w:pPr>
                    <w:pStyle w:val="48"/>
                    <w:spacing w:line="240" w:lineRule="auto"/>
                    <w:ind w:firstLine="0" w:firstLineChars="0"/>
                    <w:rPr>
                      <w:rFonts w:hint="default" w:eastAsia="宋体"/>
                      <w:color w:val="auto"/>
                      <w:sz w:val="21"/>
                      <w:szCs w:val="21"/>
                      <w:lang w:val="en-US" w:eastAsia="zh-CN"/>
                    </w:rPr>
                  </w:pPr>
                  <w:r>
                    <w:rPr>
                      <w:rFonts w:hint="eastAsia" w:eastAsia="宋体"/>
                      <w:color w:val="auto"/>
                      <w:sz w:val="21"/>
                      <w:szCs w:val="21"/>
                      <w:lang w:val="en-US" w:eastAsia="zh-CN"/>
                    </w:rPr>
                    <w:t>沉淀池污泥</w:t>
                  </w:r>
                </w:p>
              </w:tc>
              <w:tc>
                <w:tcPr>
                  <w:tcW w:w="875" w:type="pct"/>
                  <w:vAlign w:val="center"/>
                </w:tcPr>
                <w:p w14:paraId="2F8FE462">
                  <w:pPr>
                    <w:pStyle w:val="48"/>
                    <w:spacing w:line="240" w:lineRule="auto"/>
                    <w:ind w:firstLine="0" w:firstLineChars="0"/>
                    <w:rPr>
                      <w:rFonts w:hint="default" w:eastAsia="宋体"/>
                      <w:color w:val="auto"/>
                      <w:sz w:val="21"/>
                      <w:szCs w:val="21"/>
                      <w:lang w:val="en-US" w:eastAsia="zh-CN"/>
                    </w:rPr>
                  </w:pPr>
                  <w:r>
                    <w:rPr>
                      <w:rFonts w:hint="eastAsia" w:eastAsia="宋体"/>
                      <w:color w:val="auto"/>
                      <w:sz w:val="21"/>
                      <w:szCs w:val="21"/>
                      <w:lang w:val="en-US" w:eastAsia="zh-CN"/>
                    </w:rPr>
                    <w:t>3.96</w:t>
                  </w:r>
                  <w:r>
                    <w:rPr>
                      <w:rFonts w:eastAsia="宋体"/>
                      <w:color w:val="auto"/>
                      <w:sz w:val="21"/>
                      <w:szCs w:val="21"/>
                    </w:rPr>
                    <w:t>t/a</w:t>
                  </w:r>
                </w:p>
              </w:tc>
              <w:tc>
                <w:tcPr>
                  <w:tcW w:w="2578" w:type="pct"/>
                  <w:vMerge w:val="continue"/>
                  <w:vAlign w:val="center"/>
                </w:tcPr>
                <w:p w14:paraId="5B2DAF82">
                  <w:pPr>
                    <w:pStyle w:val="48"/>
                    <w:spacing w:line="240" w:lineRule="auto"/>
                    <w:ind w:firstLine="0" w:firstLineChars="0"/>
                    <w:rPr>
                      <w:rFonts w:eastAsia="宋体"/>
                      <w:color w:val="auto"/>
                      <w:sz w:val="21"/>
                      <w:szCs w:val="21"/>
                    </w:rPr>
                  </w:pPr>
                </w:p>
              </w:tc>
            </w:tr>
          </w:tbl>
          <w:p w14:paraId="7386E749">
            <w:pPr>
              <w:adjustRightInd w:val="0"/>
              <w:snapToGrid w:val="0"/>
              <w:spacing w:line="360" w:lineRule="auto"/>
              <w:ind w:left="420" w:leftChars="200" w:firstLine="0" w:firstLineChars="0"/>
              <w:rPr>
                <w:b/>
                <w:bCs/>
                <w:color w:val="auto"/>
                <w:sz w:val="24"/>
              </w:rPr>
            </w:pPr>
            <w:r>
              <w:rPr>
                <w:b/>
                <w:bCs/>
                <w:color w:val="auto"/>
                <w:sz w:val="24"/>
              </w:rPr>
              <w:t>四、与本项目有关的主要环境问题及整改措施</w:t>
            </w:r>
          </w:p>
          <w:p w14:paraId="26F72080">
            <w:pPr>
              <w:pStyle w:val="36"/>
              <w:spacing w:line="360" w:lineRule="auto"/>
              <w:ind w:firstLine="482"/>
              <w:rPr>
                <w:b/>
                <w:bCs/>
                <w:color w:val="auto"/>
                <w:sz w:val="24"/>
              </w:rPr>
            </w:pPr>
            <w:r>
              <w:rPr>
                <w:b/>
                <w:bCs/>
                <w:color w:val="auto"/>
                <w:sz w:val="24"/>
              </w:rPr>
              <w:t>1、与本项目有关的主要环境问题</w:t>
            </w:r>
          </w:p>
          <w:p w14:paraId="674B95F8">
            <w:pPr>
              <w:pStyle w:val="36"/>
              <w:spacing w:line="360" w:lineRule="auto"/>
              <w:ind w:firstLine="480"/>
              <w:rPr>
                <w:color w:val="auto"/>
                <w:sz w:val="24"/>
              </w:rPr>
            </w:pPr>
            <w:r>
              <w:rPr>
                <w:rFonts w:hint="eastAsia"/>
                <w:color w:val="auto"/>
                <w:sz w:val="24"/>
              </w:rPr>
              <w:t>根据现场调查企业历史上未收到周边居民及企事业单位的环保投诉情况，建成以来收到的环保监督检查及现场存在的主要环境问题如下：</w:t>
            </w:r>
          </w:p>
          <w:p w14:paraId="6F728B4F">
            <w:pPr>
              <w:pStyle w:val="36"/>
              <w:spacing w:line="360" w:lineRule="auto"/>
              <w:ind w:firstLine="480"/>
              <w:rPr>
                <w:color w:val="auto"/>
                <w:sz w:val="24"/>
              </w:rPr>
            </w:pPr>
            <w:r>
              <w:rPr>
                <w:rFonts w:hint="eastAsia"/>
                <w:color w:val="auto"/>
                <w:sz w:val="24"/>
              </w:rPr>
              <w:t>①根据昆生环改字〔2023﹞11-30号，昆明市生态环境局于2023年11月24日对本公司进行了检查，发现本公司存在部分砂石料露天堆放，未采取覆盖、围挡、密闭等有效的防扬尘措施的环境违法行为</w:t>
            </w:r>
            <w:r>
              <w:rPr>
                <w:color w:val="auto"/>
                <w:sz w:val="24"/>
              </w:rPr>
              <w:t>；</w:t>
            </w:r>
          </w:p>
          <w:p w14:paraId="1CF1BDDF">
            <w:pPr>
              <w:pStyle w:val="36"/>
              <w:spacing w:line="360" w:lineRule="auto"/>
              <w:ind w:firstLine="480"/>
              <w:rPr>
                <w:color w:val="auto"/>
                <w:sz w:val="24"/>
              </w:rPr>
            </w:pPr>
            <w:r>
              <w:rPr>
                <w:rFonts w:hint="eastAsia"/>
                <w:color w:val="auto"/>
                <w:sz w:val="24"/>
              </w:rPr>
              <w:t>②根据昆生环改字(〔2024〕11-48号，昆明市生态环境局于2024年12月2日对本公司进行了检查，发现本公司户10万吨商品混凝土生产线扩建项目未取得环评审批手续，擅自开工建设的环境违法行为</w:t>
            </w:r>
            <w:r>
              <w:rPr>
                <w:color w:val="auto"/>
                <w:sz w:val="24"/>
              </w:rPr>
              <w:t>；</w:t>
            </w:r>
          </w:p>
          <w:p w14:paraId="04C333D4">
            <w:pPr>
              <w:pStyle w:val="36"/>
              <w:spacing w:line="360" w:lineRule="auto"/>
              <w:ind w:firstLine="480"/>
              <w:rPr>
                <w:color w:val="auto"/>
                <w:sz w:val="24"/>
              </w:rPr>
            </w:pPr>
            <w:r>
              <w:rPr>
                <w:rFonts w:hint="eastAsia"/>
                <w:color w:val="auto"/>
                <w:sz w:val="24"/>
              </w:rPr>
              <w:t>③</w:t>
            </w:r>
            <w:r>
              <w:rPr>
                <w:color w:val="auto"/>
                <w:sz w:val="24"/>
              </w:rPr>
              <w:t>项目运营期间会产生废机油等危险废物，目前项目区</w:t>
            </w:r>
            <w:r>
              <w:rPr>
                <w:rFonts w:hint="eastAsia"/>
                <w:color w:val="auto"/>
                <w:sz w:val="24"/>
              </w:rPr>
              <w:t>未</w:t>
            </w:r>
            <w:r>
              <w:rPr>
                <w:color w:val="auto"/>
                <w:sz w:val="24"/>
              </w:rPr>
              <w:t>设置危险废物暂存间，</w:t>
            </w:r>
            <w:r>
              <w:rPr>
                <w:rFonts w:hint="eastAsia"/>
                <w:color w:val="auto"/>
                <w:sz w:val="24"/>
              </w:rPr>
              <w:t>项目区产生的废机油及含油抹布等暂时交由维修单位带走处置</w:t>
            </w:r>
            <w:r>
              <w:rPr>
                <w:color w:val="auto"/>
                <w:sz w:val="24"/>
              </w:rPr>
              <w:t>；</w:t>
            </w:r>
          </w:p>
          <w:p w14:paraId="3C9093C1">
            <w:pPr>
              <w:pStyle w:val="36"/>
              <w:spacing w:line="360" w:lineRule="auto"/>
              <w:ind w:firstLine="480"/>
              <w:rPr>
                <w:rFonts w:hint="eastAsia" w:eastAsia="宋体"/>
                <w:color w:val="auto"/>
                <w:lang w:val="en-US" w:eastAsia="zh-CN"/>
              </w:rPr>
            </w:pPr>
            <w:r>
              <w:rPr>
                <w:rFonts w:hint="eastAsia"/>
                <w:color w:val="auto"/>
                <w:sz w:val="24"/>
                <w:lang w:val="en-US" w:eastAsia="zh-CN"/>
              </w:rPr>
              <w:t>④</w:t>
            </w:r>
            <w:r>
              <w:rPr>
                <w:color w:val="auto"/>
                <w:sz w:val="24"/>
              </w:rPr>
              <w:t>《年产25万吨商品混凝土生产线建设项目突发环境事件应急预案》（第一版）于2020年1月1日发布</w:t>
            </w:r>
            <w:r>
              <w:rPr>
                <w:rFonts w:hint="eastAsia"/>
                <w:color w:val="auto"/>
                <w:sz w:val="24"/>
              </w:rPr>
              <w:t>，根据《突发事件应急预案管理办法》（2024年1月31日），应急预案原则上每3年评估一次，随着改扩建项目的实施，该版本预案应尽快重新修订</w:t>
            </w:r>
            <w:r>
              <w:rPr>
                <w:rFonts w:hint="eastAsia"/>
                <w:color w:val="auto"/>
                <w:sz w:val="24"/>
                <w:lang w:eastAsia="zh-CN"/>
              </w:rPr>
              <w:t>；</w:t>
            </w:r>
          </w:p>
          <w:p w14:paraId="24837F51">
            <w:pPr>
              <w:spacing w:line="360" w:lineRule="auto"/>
              <w:ind w:firstLine="482"/>
              <w:rPr>
                <w:b/>
                <w:bCs/>
                <w:color w:val="auto"/>
                <w:sz w:val="24"/>
              </w:rPr>
            </w:pPr>
            <w:r>
              <w:rPr>
                <w:b/>
                <w:bCs/>
                <w:color w:val="auto"/>
                <w:sz w:val="24"/>
              </w:rPr>
              <w:t>2、整改措施</w:t>
            </w:r>
          </w:p>
          <w:p w14:paraId="01622184">
            <w:pPr>
              <w:pStyle w:val="36"/>
              <w:adjustRightInd w:val="0"/>
              <w:snapToGrid w:val="0"/>
              <w:spacing w:line="360" w:lineRule="auto"/>
              <w:ind w:firstLine="480"/>
              <w:rPr>
                <w:color w:val="auto"/>
                <w:sz w:val="24"/>
              </w:rPr>
            </w:pPr>
            <w:r>
              <w:rPr>
                <w:color w:val="auto"/>
                <w:sz w:val="24"/>
              </w:rPr>
              <w:t>①</w:t>
            </w:r>
            <w:r>
              <w:rPr>
                <w:rFonts w:hint="eastAsia"/>
                <w:color w:val="auto"/>
                <w:sz w:val="24"/>
              </w:rPr>
              <w:t>建设单位与2024年1月2日针对环境违法行为已缴纳了违规罚款；</w:t>
            </w:r>
          </w:p>
          <w:p w14:paraId="1BF3DED4">
            <w:pPr>
              <w:pStyle w:val="36"/>
              <w:adjustRightInd w:val="0"/>
              <w:snapToGrid w:val="0"/>
              <w:spacing w:line="360" w:lineRule="auto"/>
              <w:ind w:firstLine="480"/>
              <w:rPr>
                <w:rFonts w:hint="eastAsia" w:eastAsia="宋体"/>
                <w:color w:val="auto"/>
                <w:sz w:val="24"/>
                <w:lang w:val="en-US" w:eastAsia="zh-CN"/>
              </w:rPr>
            </w:pPr>
            <w:r>
              <w:rPr>
                <w:rFonts w:hint="eastAsia"/>
                <w:color w:val="auto"/>
                <w:sz w:val="24"/>
              </w:rPr>
              <w:t>②建设单位目前已</w:t>
            </w:r>
            <w:r>
              <w:rPr>
                <w:rFonts w:hint="eastAsia"/>
                <w:color w:val="auto"/>
                <w:sz w:val="24"/>
                <w:lang w:val="en-US" w:eastAsia="zh-CN"/>
              </w:rPr>
              <w:t>于2024年5月</w:t>
            </w:r>
            <w:r>
              <w:rPr>
                <w:rFonts w:hint="eastAsia"/>
                <w:color w:val="auto"/>
                <w:sz w:val="24"/>
              </w:rPr>
              <w:t>完成了原料库三面围挡+顶棚；同时对现有拌合站以及筒仓进行了整改，整改措施为：拌合站增加安装1台布袋除尘器，水泥、粉煤灰、矿粉筒仓共增加安装3台布袋除尘器；</w:t>
            </w:r>
            <w:r>
              <w:rPr>
                <w:rFonts w:hint="eastAsia"/>
                <w:color w:val="auto"/>
                <w:sz w:val="24"/>
                <w:lang w:val="en-US" w:eastAsia="zh-CN"/>
              </w:rPr>
              <w:t xml:space="preserve"> </w:t>
            </w:r>
          </w:p>
          <w:p w14:paraId="7340E0B7">
            <w:pPr>
              <w:pStyle w:val="36"/>
              <w:adjustRightInd w:val="0"/>
              <w:snapToGrid w:val="0"/>
              <w:spacing w:line="360" w:lineRule="auto"/>
              <w:ind w:firstLine="480"/>
              <w:rPr>
                <w:color w:val="auto"/>
                <w:sz w:val="24"/>
              </w:rPr>
            </w:pPr>
            <w:r>
              <w:rPr>
                <w:rFonts w:hint="eastAsia"/>
                <w:color w:val="auto"/>
                <w:sz w:val="24"/>
              </w:rPr>
              <w:t>③建设单位目前已于2025年3月委托云南清蓝源环保科技有限公司编制《年产10万吨商品混凝土生产线扩建项目环境影响报告表》，待报告表编制完成后尽快送至环境主管部门审批；</w:t>
            </w:r>
          </w:p>
          <w:p w14:paraId="38E0D13F">
            <w:pPr>
              <w:pStyle w:val="36"/>
              <w:adjustRightInd w:val="0"/>
              <w:snapToGrid w:val="0"/>
              <w:spacing w:line="360" w:lineRule="auto"/>
              <w:ind w:firstLine="480"/>
              <w:rPr>
                <w:color w:val="auto"/>
                <w:sz w:val="24"/>
              </w:rPr>
            </w:pPr>
            <w:r>
              <w:rPr>
                <w:rFonts w:hint="eastAsia"/>
                <w:color w:val="auto"/>
                <w:sz w:val="24"/>
              </w:rPr>
              <w:t>④</w:t>
            </w:r>
            <w:r>
              <w:rPr>
                <w:rFonts w:hint="eastAsia"/>
                <w:color w:val="auto"/>
                <w:sz w:val="24"/>
                <w:lang w:val="en-US" w:eastAsia="zh-CN"/>
              </w:rPr>
              <w:t>目前还未建设，此次环评要求新建危废暂存间，</w:t>
            </w:r>
            <w:r>
              <w:rPr>
                <w:color w:val="auto"/>
                <w:sz w:val="24"/>
              </w:rPr>
              <w:t>建设单位需要按照《危险废物贮存污染控制标准》（GB18597-2023）要求，对危险废物进行分区贮存，并设置相应</w:t>
            </w:r>
            <w:r>
              <w:rPr>
                <w:rFonts w:hint="eastAsia"/>
                <w:color w:val="auto"/>
                <w:sz w:val="24"/>
              </w:rPr>
              <w:t>标识</w:t>
            </w:r>
            <w:r>
              <w:rPr>
                <w:color w:val="auto"/>
                <w:sz w:val="24"/>
              </w:rPr>
              <w:t>标牌</w:t>
            </w:r>
            <w:r>
              <w:rPr>
                <w:rFonts w:hint="eastAsia"/>
                <w:color w:val="auto"/>
                <w:sz w:val="24"/>
              </w:rPr>
              <w:t>；</w:t>
            </w:r>
          </w:p>
          <w:p w14:paraId="1FDF9FE7">
            <w:pPr>
              <w:pStyle w:val="36"/>
              <w:adjustRightInd w:val="0"/>
              <w:snapToGrid w:val="0"/>
              <w:spacing w:line="360" w:lineRule="auto"/>
              <w:ind w:firstLine="480"/>
              <w:rPr>
                <w:color w:val="auto"/>
                <w:sz w:val="24"/>
              </w:rPr>
            </w:pPr>
            <w:r>
              <w:rPr>
                <w:rFonts w:hint="eastAsia"/>
                <w:color w:val="auto"/>
                <w:sz w:val="24"/>
              </w:rPr>
              <w:t>⑤</w:t>
            </w:r>
            <w:r>
              <w:rPr>
                <w:color w:val="auto"/>
                <w:sz w:val="24"/>
              </w:rPr>
              <w:t>建设单位需要做好危险废物情况的记录，记录内容包括危险废物的名称、来源、数量、性质和包装容器的类别、入库日期、存放库位、出库日期及接收单位</w:t>
            </w:r>
            <w:r>
              <w:rPr>
                <w:rFonts w:hint="eastAsia"/>
                <w:color w:val="auto"/>
                <w:sz w:val="24"/>
              </w:rPr>
              <w:t>，</w:t>
            </w:r>
            <w:r>
              <w:rPr>
                <w:color w:val="auto"/>
                <w:sz w:val="24"/>
              </w:rPr>
              <w:t>该记录应保存3年</w:t>
            </w:r>
            <w:r>
              <w:rPr>
                <w:rFonts w:hint="eastAsia"/>
                <w:color w:val="auto"/>
                <w:sz w:val="24"/>
              </w:rPr>
              <w:t>；</w:t>
            </w:r>
          </w:p>
          <w:p w14:paraId="6B28860B">
            <w:pPr>
              <w:pStyle w:val="36"/>
              <w:adjustRightInd w:val="0"/>
              <w:snapToGrid w:val="0"/>
              <w:spacing w:line="360" w:lineRule="auto"/>
              <w:ind w:firstLine="480"/>
              <w:rPr>
                <w:color w:val="auto"/>
                <w:sz w:val="24"/>
              </w:rPr>
            </w:pPr>
            <w:r>
              <w:rPr>
                <w:rFonts w:hint="eastAsia"/>
                <w:color w:val="auto"/>
                <w:sz w:val="24"/>
                <w:lang w:val="en-US" w:eastAsia="zh-CN"/>
              </w:rPr>
              <w:t>⑥</w:t>
            </w:r>
            <w:r>
              <w:rPr>
                <w:rFonts w:hint="eastAsia"/>
                <w:color w:val="auto"/>
                <w:sz w:val="24"/>
              </w:rPr>
              <w:t>建设单位已于2024年1月编制</w:t>
            </w:r>
            <w:r>
              <w:rPr>
                <w:color w:val="auto"/>
                <w:sz w:val="24"/>
              </w:rPr>
              <w:t>《年产25万吨商品混凝土生产线建设项目突发环境事件应急预案》</w:t>
            </w:r>
            <w:r>
              <w:rPr>
                <w:rFonts w:hint="eastAsia"/>
                <w:color w:val="auto"/>
                <w:sz w:val="24"/>
              </w:rPr>
              <w:t>（第二版），并进行了备案，本次</w:t>
            </w:r>
            <w:r>
              <w:rPr>
                <w:color w:val="auto"/>
                <w:sz w:val="24"/>
              </w:rPr>
              <w:t>扩建项目建成后尽快修编</w:t>
            </w:r>
            <w:r>
              <w:rPr>
                <w:color w:val="auto"/>
                <w:sz w:val="24"/>
                <w:lang w:val="zh-CN"/>
              </w:rPr>
              <w:t>突发环境事件应急预案</w:t>
            </w:r>
            <w:r>
              <w:rPr>
                <w:color w:val="auto"/>
                <w:sz w:val="24"/>
              </w:rPr>
              <w:t>及</w:t>
            </w:r>
            <w:r>
              <w:rPr>
                <w:rFonts w:hint="eastAsia"/>
                <w:color w:val="auto"/>
                <w:sz w:val="24"/>
                <w:lang w:val="en-US" w:eastAsia="zh-CN"/>
              </w:rPr>
              <w:t>办理</w:t>
            </w:r>
            <w:r>
              <w:rPr>
                <w:color w:val="auto"/>
                <w:sz w:val="24"/>
              </w:rPr>
              <w:t>排污登记</w:t>
            </w:r>
            <w:r>
              <w:rPr>
                <w:rFonts w:hint="eastAsia"/>
                <w:color w:val="auto"/>
                <w:sz w:val="24"/>
              </w:rPr>
              <w:t>。</w:t>
            </w:r>
          </w:p>
          <w:p w14:paraId="30D5693C">
            <w:pPr>
              <w:spacing w:line="360" w:lineRule="auto"/>
              <w:ind w:firstLine="482"/>
              <w:rPr>
                <w:b/>
                <w:bCs/>
                <w:color w:val="auto"/>
                <w:sz w:val="24"/>
              </w:rPr>
            </w:pPr>
            <w:r>
              <w:rPr>
                <w:b/>
                <w:bCs/>
                <w:color w:val="auto"/>
                <w:sz w:val="24"/>
              </w:rPr>
              <w:t>3、手续办理</w:t>
            </w:r>
          </w:p>
          <w:p w14:paraId="738BF1F5">
            <w:pPr>
              <w:adjustRightInd w:val="0"/>
              <w:snapToGrid w:val="0"/>
              <w:spacing w:line="360" w:lineRule="auto"/>
              <w:ind w:firstLine="480"/>
              <w:rPr>
                <w:rFonts w:hint="default" w:eastAsia="宋体"/>
                <w:color w:val="auto"/>
                <w:sz w:val="24"/>
                <w:lang w:val="en-US" w:eastAsia="zh-CN"/>
              </w:rPr>
            </w:pPr>
            <w:r>
              <w:rPr>
                <w:rFonts w:hint="eastAsia"/>
                <w:color w:val="auto"/>
                <w:sz w:val="24"/>
                <w:lang w:val="en-US" w:eastAsia="zh-CN"/>
              </w:rPr>
              <w:t>①补充完善扩建项目的环评手续；</w:t>
            </w:r>
          </w:p>
          <w:p w14:paraId="2CD50132">
            <w:pPr>
              <w:adjustRightInd w:val="0"/>
              <w:snapToGrid w:val="0"/>
              <w:spacing w:line="360" w:lineRule="auto"/>
              <w:ind w:firstLine="480"/>
              <w:rPr>
                <w:color w:val="auto"/>
                <w:sz w:val="24"/>
                <w:lang w:val="zh-CN"/>
              </w:rPr>
            </w:pPr>
            <w:r>
              <w:rPr>
                <w:rFonts w:hint="eastAsia"/>
                <w:color w:val="auto"/>
                <w:sz w:val="24"/>
                <w:lang w:val="en-US" w:eastAsia="zh-CN"/>
              </w:rPr>
              <w:t>②</w:t>
            </w:r>
            <w:r>
              <w:rPr>
                <w:color w:val="auto"/>
                <w:sz w:val="24"/>
              </w:rPr>
              <w:t>扩建项目建成后尽快修编</w:t>
            </w:r>
            <w:r>
              <w:rPr>
                <w:color w:val="auto"/>
                <w:sz w:val="24"/>
                <w:lang w:val="zh-CN"/>
              </w:rPr>
              <w:t>突发环境事件应急预案</w:t>
            </w:r>
            <w:r>
              <w:rPr>
                <w:color w:val="auto"/>
                <w:sz w:val="24"/>
              </w:rPr>
              <w:t>及</w:t>
            </w:r>
            <w:r>
              <w:rPr>
                <w:rFonts w:hint="eastAsia"/>
                <w:color w:val="auto"/>
                <w:sz w:val="24"/>
                <w:lang w:val="en-US" w:eastAsia="zh-CN"/>
              </w:rPr>
              <w:t>办理</w:t>
            </w:r>
            <w:r>
              <w:rPr>
                <w:color w:val="auto"/>
                <w:sz w:val="24"/>
              </w:rPr>
              <w:t>排污登记；</w:t>
            </w:r>
          </w:p>
          <w:p w14:paraId="361A084A">
            <w:pPr>
              <w:pStyle w:val="36"/>
              <w:spacing w:line="360" w:lineRule="auto"/>
              <w:ind w:firstLine="480"/>
              <w:rPr>
                <w:color w:val="auto"/>
                <w:sz w:val="24"/>
                <w:lang w:val="zh-CN"/>
              </w:rPr>
            </w:pPr>
            <w:r>
              <w:rPr>
                <w:rFonts w:hint="eastAsia"/>
                <w:color w:val="auto"/>
                <w:sz w:val="24"/>
                <w:lang w:val="en-US" w:eastAsia="zh-CN"/>
              </w:rPr>
              <w:t>③</w:t>
            </w:r>
            <w:r>
              <w:rPr>
                <w:color w:val="auto"/>
                <w:sz w:val="24"/>
              </w:rPr>
              <w:t>扩建项目建成须进行“三同时”竣工环境保护验收方可投入运营</w:t>
            </w:r>
            <w:r>
              <w:rPr>
                <w:color w:val="auto"/>
                <w:sz w:val="24"/>
                <w:lang w:val="zh-CN"/>
              </w:rPr>
              <w:t>。</w:t>
            </w:r>
          </w:p>
          <w:p w14:paraId="7A8E9F0C">
            <w:pPr>
              <w:numPr>
                <w:ilvl w:val="0"/>
                <w:numId w:val="0"/>
              </w:numPr>
              <w:spacing w:line="360" w:lineRule="auto"/>
              <w:rPr>
                <w:rFonts w:hint="default" w:ascii="Times New Roman" w:hAnsi="Times New Roman" w:eastAsia="宋体" w:cs="Times New Roman"/>
                <w:b/>
                <w:bCs/>
                <w:color w:val="auto"/>
                <w:sz w:val="24"/>
                <w:lang w:val="en-US" w:eastAsia="zh-CN"/>
              </w:rPr>
            </w:pPr>
          </w:p>
          <w:p w14:paraId="738B544B">
            <w:pPr>
              <w:ind w:firstLine="0" w:firstLineChars="0"/>
              <w:rPr>
                <w:color w:val="auto"/>
                <w:sz w:val="24"/>
                <w:lang w:val="zh-CN"/>
              </w:rPr>
            </w:pPr>
          </w:p>
          <w:p w14:paraId="092D161F">
            <w:pPr>
              <w:pStyle w:val="26"/>
              <w:ind w:firstLine="0" w:firstLineChars="0"/>
              <w:rPr>
                <w:rFonts w:ascii="Times New Roman" w:hAnsi="Times New Roman"/>
                <w:color w:val="auto"/>
                <w:sz w:val="24"/>
                <w:lang w:val="zh-CN"/>
              </w:rPr>
            </w:pPr>
          </w:p>
          <w:p w14:paraId="32E63D1A">
            <w:pPr>
              <w:pStyle w:val="14"/>
              <w:ind w:firstLine="0" w:firstLineChars="0"/>
              <w:rPr>
                <w:color w:val="auto"/>
                <w:lang w:val="zh-CN"/>
              </w:rPr>
            </w:pPr>
          </w:p>
          <w:p w14:paraId="5862F814">
            <w:pPr>
              <w:pStyle w:val="45"/>
              <w:rPr>
                <w:rFonts w:ascii="Times New Roman"/>
                <w:color w:val="auto"/>
                <w:sz w:val="24"/>
                <w:szCs w:val="24"/>
                <w:lang w:val="zh-CN"/>
              </w:rPr>
            </w:pPr>
          </w:p>
          <w:p w14:paraId="3F83BFFE">
            <w:pPr>
              <w:pStyle w:val="46"/>
              <w:ind w:firstLine="480"/>
              <w:rPr>
                <w:rFonts w:eastAsia="宋体"/>
                <w:color w:val="auto"/>
                <w:lang w:val="zh-CN"/>
              </w:rPr>
            </w:pPr>
          </w:p>
          <w:p w14:paraId="45F84B81">
            <w:pPr>
              <w:pStyle w:val="32"/>
              <w:ind w:firstLine="480"/>
              <w:rPr>
                <w:color w:val="auto"/>
                <w:szCs w:val="24"/>
                <w:lang w:val="zh-CN"/>
              </w:rPr>
            </w:pPr>
          </w:p>
          <w:p w14:paraId="1268A6C4">
            <w:pPr>
              <w:pStyle w:val="6"/>
              <w:ind w:firstLine="480"/>
              <w:rPr>
                <w:color w:val="auto"/>
                <w:sz w:val="24"/>
                <w:lang w:val="zh-CN"/>
              </w:rPr>
            </w:pPr>
          </w:p>
          <w:p w14:paraId="5D9F768A">
            <w:pPr>
              <w:pStyle w:val="7"/>
              <w:rPr>
                <w:color w:val="auto"/>
                <w:sz w:val="24"/>
                <w:szCs w:val="24"/>
                <w:lang w:val="zh-CN"/>
              </w:rPr>
            </w:pPr>
          </w:p>
          <w:p w14:paraId="6EFA127F">
            <w:pPr>
              <w:pStyle w:val="8"/>
              <w:ind w:firstLine="480"/>
              <w:rPr>
                <w:color w:val="auto"/>
                <w:sz w:val="24"/>
                <w:szCs w:val="24"/>
                <w:lang w:val="zh-CN"/>
              </w:rPr>
            </w:pPr>
          </w:p>
          <w:p w14:paraId="1088F86D">
            <w:pPr>
              <w:pStyle w:val="9"/>
              <w:numPr>
                <w:ilvl w:val="0"/>
                <w:numId w:val="0"/>
              </w:numPr>
              <w:ind w:left="420" w:leftChars="200"/>
              <w:rPr>
                <w:color w:val="auto"/>
                <w:lang w:val="zh-CN"/>
              </w:rPr>
            </w:pPr>
          </w:p>
          <w:p w14:paraId="6D3A6EEB">
            <w:pPr>
              <w:pStyle w:val="32"/>
              <w:ind w:left="0" w:firstLine="0" w:firstLineChars="0"/>
              <w:rPr>
                <w:color w:val="auto"/>
              </w:rPr>
            </w:pPr>
          </w:p>
        </w:tc>
      </w:tr>
    </w:tbl>
    <w:p w14:paraId="1DC1C352">
      <w:pPr>
        <w:pStyle w:val="33"/>
        <w:ind w:firstLine="720"/>
        <w:jc w:val="center"/>
        <w:rPr>
          <w:rFonts w:ascii="Times New Roman" w:hAnsi="Times New Roman"/>
          <w:snapToGrid w:val="0"/>
          <w:color w:val="auto"/>
          <w:sz w:val="36"/>
          <w:szCs w:val="36"/>
        </w:rPr>
        <w:sectPr>
          <w:pgSz w:w="11906" w:h="16838"/>
          <w:pgMar w:top="1701" w:right="1531" w:bottom="1701" w:left="1531" w:header="851" w:footer="851" w:gutter="0"/>
          <w:cols w:space="720" w:num="1"/>
          <w:docGrid w:linePitch="312" w:charSpace="0"/>
        </w:sectPr>
      </w:pPr>
    </w:p>
    <w:p w14:paraId="2B4BB79F">
      <w:pPr>
        <w:pStyle w:val="33"/>
        <w:adjustRightInd w:val="0"/>
        <w:snapToGrid w:val="0"/>
        <w:spacing w:before="0" w:beforeAutospacing="0" w:after="0" w:afterAutospacing="0" w:line="14" w:lineRule="auto"/>
        <w:ind w:firstLine="600"/>
        <w:jc w:val="center"/>
        <w:rPr>
          <w:rFonts w:ascii="Times New Roman" w:hAnsi="Times New Roman"/>
          <w:snapToGrid w:val="0"/>
          <w:color w:val="auto"/>
          <w:sz w:val="30"/>
          <w:szCs w:val="30"/>
        </w:rPr>
      </w:pPr>
    </w:p>
    <w:p w14:paraId="3490F061">
      <w:pPr>
        <w:pStyle w:val="33"/>
        <w:adjustRightInd w:val="0"/>
        <w:snapToGrid w:val="0"/>
        <w:spacing w:before="0" w:beforeAutospacing="0" w:after="0" w:afterAutospacing="0" w:line="336" w:lineRule="auto"/>
        <w:ind w:firstLine="0" w:firstLineChars="0"/>
        <w:jc w:val="center"/>
        <w:outlineLvl w:val="0"/>
        <w:rPr>
          <w:rFonts w:ascii="Times New Roman" w:hAnsi="Times New Roman"/>
          <w:b/>
          <w:bCs/>
          <w:snapToGrid w:val="0"/>
          <w:color w:val="auto"/>
          <w:sz w:val="30"/>
          <w:szCs w:val="30"/>
        </w:rPr>
      </w:pPr>
      <w:bookmarkStart w:id="18" w:name="_Toc30051"/>
      <w:bookmarkStart w:id="19" w:name="_Toc7404"/>
      <w:r>
        <w:rPr>
          <w:rFonts w:ascii="Times New Roman" w:hAnsi="Times New Roman"/>
          <w:b/>
          <w:bCs/>
          <w:snapToGrid w:val="0"/>
          <w:color w:val="auto"/>
          <w:sz w:val="30"/>
          <w:szCs w:val="30"/>
        </w:rPr>
        <w:t>三、区域环境质量现状、环境保护目标及评价标准</w:t>
      </w:r>
      <w:bookmarkEnd w:id="18"/>
      <w:bookmarkEnd w:id="19"/>
    </w:p>
    <w:tbl>
      <w:tblPr>
        <w:tblStyle w:val="37"/>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14:paraId="4DEC1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75" w:type="dxa"/>
            <w:vAlign w:val="center"/>
          </w:tcPr>
          <w:p w14:paraId="5DCFD0F5">
            <w:pPr>
              <w:adjustRightInd w:val="0"/>
              <w:snapToGrid w:val="0"/>
              <w:ind w:firstLine="0" w:firstLineChars="0"/>
              <w:jc w:val="center"/>
              <w:rPr>
                <w:color w:val="auto"/>
                <w:kern w:val="0"/>
                <w:sz w:val="24"/>
              </w:rPr>
            </w:pPr>
            <w:r>
              <w:rPr>
                <w:color w:val="auto"/>
                <w:kern w:val="0"/>
                <w:sz w:val="24"/>
              </w:rPr>
              <w:t>区域</w:t>
            </w:r>
          </w:p>
          <w:p w14:paraId="194532CB">
            <w:pPr>
              <w:adjustRightInd w:val="0"/>
              <w:snapToGrid w:val="0"/>
              <w:ind w:firstLine="0" w:firstLineChars="0"/>
              <w:jc w:val="center"/>
              <w:rPr>
                <w:color w:val="auto"/>
                <w:kern w:val="0"/>
                <w:sz w:val="24"/>
              </w:rPr>
            </w:pPr>
            <w:r>
              <w:rPr>
                <w:color w:val="auto"/>
                <w:kern w:val="0"/>
                <w:sz w:val="24"/>
              </w:rPr>
              <w:t>环境</w:t>
            </w:r>
          </w:p>
          <w:p w14:paraId="29D6C428">
            <w:pPr>
              <w:adjustRightInd w:val="0"/>
              <w:snapToGrid w:val="0"/>
              <w:ind w:firstLine="0" w:firstLineChars="0"/>
              <w:jc w:val="center"/>
              <w:rPr>
                <w:color w:val="auto"/>
                <w:kern w:val="0"/>
                <w:sz w:val="24"/>
              </w:rPr>
            </w:pPr>
            <w:r>
              <w:rPr>
                <w:color w:val="auto"/>
                <w:kern w:val="0"/>
                <w:sz w:val="24"/>
              </w:rPr>
              <w:t>质量</w:t>
            </w:r>
          </w:p>
          <w:p w14:paraId="4FAA2F78">
            <w:pPr>
              <w:adjustRightInd w:val="0"/>
              <w:snapToGrid w:val="0"/>
              <w:ind w:firstLine="0" w:firstLineChars="0"/>
              <w:jc w:val="center"/>
              <w:rPr>
                <w:color w:val="auto"/>
                <w:kern w:val="0"/>
                <w:szCs w:val="21"/>
              </w:rPr>
            </w:pPr>
            <w:r>
              <w:rPr>
                <w:color w:val="auto"/>
                <w:kern w:val="0"/>
                <w:sz w:val="24"/>
              </w:rPr>
              <w:t>现状</w:t>
            </w:r>
          </w:p>
        </w:tc>
        <w:tc>
          <w:tcPr>
            <w:tcW w:w="8686" w:type="dxa"/>
            <w:vAlign w:val="center"/>
          </w:tcPr>
          <w:p w14:paraId="6F5D8184">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1、环境空气质量现状</w:t>
            </w:r>
          </w:p>
          <w:p w14:paraId="216BC122">
            <w:pPr>
              <w:autoSpaceDE w:val="0"/>
              <w:autoSpaceDN w:val="0"/>
              <w:spacing w:line="360" w:lineRule="auto"/>
              <w:ind w:firstLine="480"/>
              <w:rPr>
                <w:color w:val="auto"/>
                <w:sz w:val="24"/>
                <w:lang w:val="zh-CN"/>
              </w:rPr>
            </w:pPr>
            <w:r>
              <w:rPr>
                <w:color w:val="auto"/>
                <w:sz w:val="24"/>
              </w:rPr>
              <w:t>本项目位于寻甸金所乡哨上大村，</w:t>
            </w:r>
            <w:r>
              <w:rPr>
                <w:color w:val="auto"/>
                <w:sz w:val="24"/>
                <w:lang w:val="zh-CN"/>
              </w:rPr>
              <w:t>该区域环境空气质量功能区划为二类区，执行《环境空气质量标准》</w:t>
            </w:r>
            <w:r>
              <w:rPr>
                <w:color w:val="auto"/>
                <w:sz w:val="24"/>
              </w:rPr>
              <w:t>（GB3095-2012）</w:t>
            </w:r>
            <w:r>
              <w:rPr>
                <w:color w:val="auto"/>
                <w:sz w:val="24"/>
                <w:lang w:val="zh-CN"/>
              </w:rPr>
              <w:t>二级标准。</w:t>
            </w:r>
          </w:p>
          <w:p w14:paraId="17B48C04">
            <w:pPr>
              <w:autoSpaceDE w:val="0"/>
              <w:autoSpaceDN w:val="0"/>
              <w:spacing w:line="360" w:lineRule="auto"/>
              <w:ind w:firstLine="482"/>
              <w:rPr>
                <w:b/>
                <w:bCs/>
                <w:color w:val="auto"/>
                <w:sz w:val="24"/>
              </w:rPr>
            </w:pPr>
            <w:r>
              <w:rPr>
                <w:b/>
                <w:bCs/>
                <w:color w:val="auto"/>
                <w:sz w:val="24"/>
                <w:lang w:val="zh-CN"/>
              </w:rPr>
              <w:t>（</w:t>
            </w:r>
            <w:r>
              <w:rPr>
                <w:b/>
                <w:bCs/>
                <w:color w:val="auto"/>
                <w:sz w:val="24"/>
              </w:rPr>
              <w:t>1</w:t>
            </w:r>
            <w:r>
              <w:rPr>
                <w:b/>
                <w:bCs/>
                <w:color w:val="auto"/>
                <w:sz w:val="24"/>
                <w:lang w:val="zh-CN"/>
              </w:rPr>
              <w:t>）</w:t>
            </w:r>
            <w:r>
              <w:rPr>
                <w:b/>
                <w:bCs/>
                <w:color w:val="auto"/>
                <w:sz w:val="24"/>
              </w:rPr>
              <w:t>区域基本污染物环境质量现状</w:t>
            </w:r>
          </w:p>
          <w:p w14:paraId="384D782C">
            <w:pPr>
              <w:autoSpaceDE w:val="0"/>
              <w:autoSpaceDN w:val="0"/>
              <w:spacing w:line="360" w:lineRule="auto"/>
              <w:ind w:firstLine="480"/>
              <w:jc w:val="left"/>
              <w:rPr>
                <w:color w:val="auto"/>
                <w:sz w:val="24"/>
                <w:lang w:val="zh-CN"/>
              </w:rPr>
            </w:pPr>
            <w:r>
              <w:rPr>
                <w:color w:val="auto"/>
                <w:sz w:val="24"/>
                <w:lang w:val="zh-CN"/>
              </w:rPr>
              <w:t>根据政府部门公开发布的资料《</w:t>
            </w:r>
            <w:r>
              <w:rPr>
                <w:color w:val="auto"/>
                <w:sz w:val="24"/>
              </w:rPr>
              <w:t>寻甸县2024年第四季度环境质量公报</w:t>
            </w:r>
            <w:r>
              <w:rPr>
                <w:color w:val="auto"/>
                <w:sz w:val="24"/>
                <w:lang w:val="zh-CN"/>
              </w:rPr>
              <w:t>》（</w:t>
            </w:r>
            <w:r>
              <w:rPr>
                <w:color w:val="auto"/>
                <w:sz w:val="24"/>
              </w:rPr>
              <w:t>2025年1月6日</w:t>
            </w:r>
            <w:r>
              <w:rPr>
                <w:color w:val="auto"/>
                <w:sz w:val="24"/>
                <w:lang w:val="zh-CN"/>
              </w:rPr>
              <w:t>），202</w:t>
            </w:r>
            <w:r>
              <w:rPr>
                <w:color w:val="auto"/>
                <w:sz w:val="24"/>
              </w:rPr>
              <w:t>4</w:t>
            </w:r>
            <w:r>
              <w:rPr>
                <w:color w:val="auto"/>
                <w:sz w:val="24"/>
                <w:lang w:val="zh-CN"/>
              </w:rPr>
              <w:t>年，寻甸县空气质量采用自动监测，四季度共监测92天，有效天数90天，优良天数90天，优73天，良17天，优良率100.0%。监测项目为SO</w:t>
            </w:r>
            <w:r>
              <w:rPr>
                <w:color w:val="auto"/>
                <w:sz w:val="24"/>
                <w:vertAlign w:val="subscript"/>
                <w:lang w:val="zh-CN"/>
              </w:rPr>
              <w:t>2</w:t>
            </w:r>
            <w:r>
              <w:rPr>
                <w:color w:val="auto"/>
                <w:sz w:val="24"/>
                <w:lang w:val="zh-CN"/>
              </w:rPr>
              <w:t>、NO</w:t>
            </w:r>
            <w:r>
              <w:rPr>
                <w:color w:val="auto"/>
                <w:sz w:val="24"/>
                <w:vertAlign w:val="subscript"/>
                <w:lang w:val="zh-CN"/>
              </w:rPr>
              <w:t>2</w:t>
            </w:r>
            <w:r>
              <w:rPr>
                <w:color w:val="auto"/>
                <w:sz w:val="24"/>
                <w:lang w:val="zh-CN"/>
              </w:rPr>
              <w:t>、PM</w:t>
            </w:r>
            <w:r>
              <w:rPr>
                <w:color w:val="auto"/>
                <w:sz w:val="24"/>
                <w:vertAlign w:val="subscript"/>
                <w:lang w:val="zh-CN"/>
              </w:rPr>
              <w:t>10</w:t>
            </w:r>
            <w:r>
              <w:rPr>
                <w:color w:val="auto"/>
                <w:sz w:val="24"/>
                <w:lang w:val="zh-CN"/>
              </w:rPr>
              <w:t>、PM</w:t>
            </w:r>
            <w:r>
              <w:rPr>
                <w:color w:val="auto"/>
                <w:sz w:val="24"/>
                <w:vertAlign w:val="subscript"/>
                <w:lang w:val="zh-CN"/>
              </w:rPr>
              <w:t>2.5</w:t>
            </w:r>
            <w:r>
              <w:rPr>
                <w:color w:val="auto"/>
                <w:sz w:val="24"/>
                <w:lang w:val="zh-CN"/>
              </w:rPr>
              <w:t>、CO、O</w:t>
            </w:r>
            <w:r>
              <w:rPr>
                <w:color w:val="auto"/>
                <w:sz w:val="24"/>
                <w:vertAlign w:val="subscript"/>
                <w:lang w:val="zh-CN"/>
              </w:rPr>
              <w:t>3</w:t>
            </w:r>
            <w:r>
              <w:rPr>
                <w:rFonts w:hint="eastAsia"/>
                <w:color w:val="auto"/>
                <w:sz w:val="24"/>
                <w:lang w:val="zh-CN"/>
              </w:rPr>
              <w:t>；</w:t>
            </w:r>
            <w:r>
              <w:rPr>
                <w:rFonts w:hint="eastAsia"/>
                <w:color w:val="auto"/>
                <w:sz w:val="24"/>
              </w:rPr>
              <w:t>监测结果显示</w:t>
            </w:r>
            <w:r>
              <w:rPr>
                <w:color w:val="auto"/>
                <w:sz w:val="24"/>
                <w:lang w:val="zh-CN"/>
              </w:rPr>
              <w:t>，项目所在区域环境空气六项基本污染物</w:t>
            </w:r>
            <w:r>
              <w:rPr>
                <w:rFonts w:hint="eastAsia"/>
                <w:color w:val="auto"/>
                <w:sz w:val="24"/>
              </w:rPr>
              <w:t>检测期间</w:t>
            </w:r>
            <w:r>
              <w:rPr>
                <w:color w:val="auto"/>
                <w:sz w:val="24"/>
                <w:lang w:val="zh-CN"/>
              </w:rPr>
              <w:t>统计结果，均能达到《环境空气质量标准》（GB3095-2012）二级标准要求，属于环境空气质量达标区。</w:t>
            </w:r>
          </w:p>
          <w:p w14:paraId="4B2F0D65">
            <w:pPr>
              <w:autoSpaceDE w:val="0"/>
              <w:autoSpaceDN w:val="0"/>
              <w:spacing w:line="360" w:lineRule="auto"/>
              <w:ind w:firstLine="480"/>
              <w:rPr>
                <w:color w:val="auto"/>
                <w:sz w:val="24"/>
                <w:lang w:val="zh-CN"/>
              </w:rPr>
            </w:pPr>
            <w:r>
              <w:rPr>
                <w:color w:val="auto"/>
                <w:sz w:val="24"/>
                <w:lang w:val="zh-CN"/>
              </w:rPr>
              <w:t>因此，判定拟建项目大气环境影响评价范围内均属于环境空气质量达标区。</w:t>
            </w:r>
          </w:p>
          <w:p w14:paraId="71AA114B">
            <w:pPr>
              <w:autoSpaceDE w:val="0"/>
              <w:autoSpaceDN w:val="0"/>
              <w:spacing w:line="360" w:lineRule="auto"/>
              <w:ind w:firstLine="482"/>
              <w:rPr>
                <w:b/>
                <w:bCs/>
                <w:color w:val="auto"/>
                <w:sz w:val="24"/>
              </w:rPr>
            </w:pPr>
            <w:r>
              <w:rPr>
                <w:b/>
                <w:bCs/>
                <w:color w:val="auto"/>
                <w:sz w:val="24"/>
              </w:rPr>
              <w:t>（2）特征因子环境质量现状</w:t>
            </w:r>
          </w:p>
          <w:p w14:paraId="35B5A14A">
            <w:pPr>
              <w:autoSpaceDE w:val="0"/>
              <w:autoSpaceDN w:val="0"/>
              <w:spacing w:line="360" w:lineRule="auto"/>
              <w:ind w:firstLine="480"/>
              <w:rPr>
                <w:color w:val="auto"/>
                <w:sz w:val="24"/>
              </w:rPr>
            </w:pPr>
            <w:r>
              <w:rPr>
                <w:color w:val="auto"/>
                <w:sz w:val="24"/>
              </w:rPr>
              <w:t>本项目其他污染物为TSP，本次评价委托中博源检测（云南）有限公司于2024年4月17日-20日在项目地当季主导风向下风向设置1个监测点位，监测结果见表3-1。</w:t>
            </w:r>
          </w:p>
          <w:p w14:paraId="0F40AD20">
            <w:pPr>
              <w:widowControl/>
              <w:adjustRightInd w:val="0"/>
              <w:snapToGrid w:val="0"/>
              <w:ind w:firstLine="0" w:firstLineChars="0"/>
              <w:jc w:val="center"/>
              <w:rPr>
                <w:b/>
                <w:bCs/>
                <w:color w:val="auto"/>
                <w:szCs w:val="21"/>
              </w:rPr>
            </w:pPr>
            <w:r>
              <w:rPr>
                <w:b/>
                <w:bCs/>
                <w:color w:val="auto"/>
                <w:szCs w:val="21"/>
                <w:lang w:val="en-GB"/>
              </w:rPr>
              <w:t>表</w:t>
            </w:r>
            <w:r>
              <w:rPr>
                <w:b/>
                <w:bCs/>
                <w:color w:val="auto"/>
                <w:szCs w:val="21"/>
              </w:rPr>
              <w:t>3-1</w:t>
            </w:r>
            <w:r>
              <w:rPr>
                <w:b/>
                <w:bCs/>
                <w:color w:val="auto"/>
                <w:szCs w:val="21"/>
                <w:lang w:val="en-GB"/>
              </w:rPr>
              <w:t xml:space="preserve">  环境空气监测结果</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28"/>
              <w:gridCol w:w="1312"/>
              <w:gridCol w:w="2695"/>
              <w:gridCol w:w="1481"/>
              <w:gridCol w:w="1144"/>
            </w:tblGrid>
            <w:tr w14:paraId="64215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080" w:type="pct"/>
                  <w:vMerge w:val="restart"/>
                  <w:vAlign w:val="center"/>
                </w:tcPr>
                <w:p w14:paraId="6C91A5EF">
                  <w:pPr>
                    <w:widowControl/>
                    <w:adjustRightInd w:val="0"/>
                    <w:snapToGrid w:val="0"/>
                    <w:ind w:firstLine="0" w:firstLineChars="0"/>
                    <w:jc w:val="center"/>
                    <w:rPr>
                      <w:b/>
                      <w:bCs/>
                      <w:color w:val="auto"/>
                      <w:szCs w:val="21"/>
                      <w:shd w:val="clear" w:color="auto" w:fill="FFFFFF"/>
                    </w:rPr>
                  </w:pPr>
                  <w:r>
                    <w:rPr>
                      <w:b/>
                      <w:bCs/>
                      <w:color w:val="auto"/>
                      <w:szCs w:val="21"/>
                      <w:shd w:val="clear" w:color="auto" w:fill="FFFFFF"/>
                    </w:rPr>
                    <w:t>监测点位</w:t>
                  </w:r>
                </w:p>
              </w:tc>
              <w:tc>
                <w:tcPr>
                  <w:tcW w:w="775" w:type="pct"/>
                  <w:vMerge w:val="restart"/>
                  <w:vAlign w:val="center"/>
                </w:tcPr>
                <w:p w14:paraId="5D241DB4">
                  <w:pPr>
                    <w:widowControl/>
                    <w:adjustRightInd w:val="0"/>
                    <w:snapToGrid w:val="0"/>
                    <w:ind w:firstLine="0" w:firstLineChars="0"/>
                    <w:jc w:val="center"/>
                    <w:rPr>
                      <w:b/>
                      <w:bCs/>
                      <w:color w:val="auto"/>
                      <w:szCs w:val="21"/>
                      <w:shd w:val="clear" w:color="auto" w:fill="FFFFFF"/>
                    </w:rPr>
                  </w:pPr>
                  <w:r>
                    <w:rPr>
                      <w:b/>
                      <w:bCs/>
                      <w:color w:val="auto"/>
                      <w:szCs w:val="21"/>
                      <w:shd w:val="clear" w:color="auto" w:fill="FFFFFF"/>
                    </w:rPr>
                    <w:t>监测因子</w:t>
                  </w:r>
                </w:p>
              </w:tc>
              <w:tc>
                <w:tcPr>
                  <w:tcW w:w="1592" w:type="pct"/>
                  <w:vMerge w:val="restart"/>
                  <w:vAlign w:val="center"/>
                </w:tcPr>
                <w:p w14:paraId="277443E6">
                  <w:pPr>
                    <w:widowControl/>
                    <w:adjustRightInd w:val="0"/>
                    <w:snapToGrid w:val="0"/>
                    <w:ind w:firstLine="0" w:firstLineChars="0"/>
                    <w:jc w:val="center"/>
                    <w:rPr>
                      <w:b/>
                      <w:bCs/>
                      <w:color w:val="auto"/>
                      <w:szCs w:val="21"/>
                      <w:shd w:val="clear" w:color="auto" w:fill="FFFFFF"/>
                    </w:rPr>
                  </w:pPr>
                  <w:r>
                    <w:rPr>
                      <w:b/>
                      <w:bCs/>
                      <w:color w:val="auto"/>
                      <w:szCs w:val="21"/>
                      <w:shd w:val="clear" w:color="auto" w:fill="FFFFFF"/>
                    </w:rPr>
                    <w:t>采样日期</w:t>
                  </w:r>
                </w:p>
              </w:tc>
              <w:tc>
                <w:tcPr>
                  <w:tcW w:w="875" w:type="pct"/>
                  <w:vAlign w:val="center"/>
                </w:tcPr>
                <w:p w14:paraId="229B943A">
                  <w:pPr>
                    <w:widowControl/>
                    <w:adjustRightInd w:val="0"/>
                    <w:snapToGrid w:val="0"/>
                    <w:ind w:firstLine="0" w:firstLineChars="0"/>
                    <w:jc w:val="center"/>
                    <w:rPr>
                      <w:b/>
                      <w:bCs/>
                      <w:color w:val="auto"/>
                      <w:szCs w:val="21"/>
                      <w:shd w:val="clear" w:color="auto" w:fill="FFFFFF"/>
                    </w:rPr>
                  </w:pPr>
                  <w:r>
                    <w:rPr>
                      <w:b/>
                      <w:bCs/>
                      <w:color w:val="auto"/>
                      <w:szCs w:val="21"/>
                      <w:shd w:val="clear" w:color="auto" w:fill="FFFFFF"/>
                    </w:rPr>
                    <w:t>监测数据</w:t>
                  </w:r>
                </w:p>
              </w:tc>
              <w:tc>
                <w:tcPr>
                  <w:tcW w:w="676" w:type="pct"/>
                  <w:vAlign w:val="center"/>
                </w:tcPr>
                <w:p w14:paraId="3835EAE8">
                  <w:pPr>
                    <w:widowControl/>
                    <w:adjustRightInd w:val="0"/>
                    <w:snapToGrid w:val="0"/>
                    <w:ind w:firstLine="0" w:firstLineChars="0"/>
                    <w:jc w:val="center"/>
                    <w:rPr>
                      <w:rFonts w:hint="default" w:eastAsia="宋体"/>
                      <w:b/>
                      <w:bCs/>
                      <w:color w:val="auto"/>
                      <w:szCs w:val="21"/>
                      <w:shd w:val="clear" w:color="auto" w:fill="FFFFFF"/>
                      <w:lang w:val="en-US" w:eastAsia="zh-CN"/>
                    </w:rPr>
                  </w:pPr>
                  <w:r>
                    <w:rPr>
                      <w:rFonts w:hint="eastAsia"/>
                      <w:b/>
                      <w:bCs/>
                      <w:color w:val="auto"/>
                      <w:szCs w:val="21"/>
                      <w:shd w:val="clear" w:color="auto" w:fill="FFFFFF"/>
                      <w:lang w:val="en-US" w:eastAsia="zh-CN"/>
                    </w:rPr>
                    <w:t>标准限值</w:t>
                  </w:r>
                </w:p>
              </w:tc>
            </w:tr>
            <w:tr w14:paraId="6E31E3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080" w:type="pct"/>
                  <w:vMerge w:val="continue"/>
                  <w:vAlign w:val="center"/>
                </w:tcPr>
                <w:p w14:paraId="766C8379">
                  <w:pPr>
                    <w:widowControl/>
                    <w:adjustRightInd w:val="0"/>
                    <w:snapToGrid w:val="0"/>
                    <w:ind w:firstLine="0" w:firstLineChars="0"/>
                    <w:jc w:val="center"/>
                    <w:rPr>
                      <w:b/>
                      <w:bCs/>
                      <w:color w:val="auto"/>
                      <w:szCs w:val="21"/>
                      <w:shd w:val="clear" w:color="auto" w:fill="FFFFFF"/>
                    </w:rPr>
                  </w:pPr>
                </w:p>
              </w:tc>
              <w:tc>
                <w:tcPr>
                  <w:tcW w:w="775" w:type="pct"/>
                  <w:vMerge w:val="continue"/>
                  <w:vAlign w:val="center"/>
                </w:tcPr>
                <w:p w14:paraId="117C6BA5">
                  <w:pPr>
                    <w:widowControl/>
                    <w:adjustRightInd w:val="0"/>
                    <w:snapToGrid w:val="0"/>
                    <w:ind w:firstLine="0" w:firstLineChars="0"/>
                    <w:jc w:val="center"/>
                    <w:rPr>
                      <w:b/>
                      <w:bCs/>
                      <w:color w:val="auto"/>
                      <w:szCs w:val="21"/>
                      <w:shd w:val="clear" w:color="auto" w:fill="FFFFFF"/>
                    </w:rPr>
                  </w:pPr>
                </w:p>
              </w:tc>
              <w:tc>
                <w:tcPr>
                  <w:tcW w:w="1592" w:type="pct"/>
                  <w:vMerge w:val="continue"/>
                  <w:vAlign w:val="center"/>
                </w:tcPr>
                <w:p w14:paraId="20EF2861">
                  <w:pPr>
                    <w:widowControl/>
                    <w:adjustRightInd w:val="0"/>
                    <w:snapToGrid w:val="0"/>
                    <w:ind w:firstLine="0" w:firstLineChars="0"/>
                    <w:jc w:val="center"/>
                    <w:rPr>
                      <w:b/>
                      <w:bCs/>
                      <w:color w:val="auto"/>
                      <w:szCs w:val="21"/>
                      <w:shd w:val="clear" w:color="auto" w:fill="FFFFFF"/>
                    </w:rPr>
                  </w:pPr>
                </w:p>
              </w:tc>
              <w:tc>
                <w:tcPr>
                  <w:tcW w:w="875" w:type="pct"/>
                  <w:vAlign w:val="center"/>
                </w:tcPr>
                <w:p w14:paraId="4702330D">
                  <w:pPr>
                    <w:widowControl/>
                    <w:adjustRightInd w:val="0"/>
                    <w:snapToGrid w:val="0"/>
                    <w:ind w:firstLine="0" w:firstLineChars="0"/>
                    <w:jc w:val="center"/>
                    <w:rPr>
                      <w:b/>
                      <w:bCs/>
                      <w:color w:val="auto"/>
                      <w:szCs w:val="21"/>
                      <w:shd w:val="clear" w:color="auto" w:fill="FFFFFF"/>
                    </w:rPr>
                  </w:pPr>
                  <w:r>
                    <w:rPr>
                      <w:b/>
                      <w:bCs/>
                      <w:color w:val="auto"/>
                      <w:szCs w:val="21"/>
                      <w:shd w:val="clear" w:color="auto" w:fill="FFFFFF"/>
                    </w:rPr>
                    <w:t>ug/m</w:t>
                  </w:r>
                  <w:r>
                    <w:rPr>
                      <w:b/>
                      <w:bCs/>
                      <w:color w:val="auto"/>
                      <w:szCs w:val="21"/>
                      <w:shd w:val="clear" w:color="auto" w:fill="FFFFFF"/>
                      <w:vertAlign w:val="superscript"/>
                    </w:rPr>
                    <w:t>3</w:t>
                  </w:r>
                </w:p>
              </w:tc>
              <w:tc>
                <w:tcPr>
                  <w:tcW w:w="676" w:type="pct"/>
                  <w:vAlign w:val="center"/>
                </w:tcPr>
                <w:p w14:paraId="5F892E59">
                  <w:pPr>
                    <w:widowControl/>
                    <w:adjustRightInd w:val="0"/>
                    <w:snapToGrid w:val="0"/>
                    <w:ind w:firstLine="0" w:firstLineChars="0"/>
                    <w:jc w:val="center"/>
                    <w:rPr>
                      <w:b/>
                      <w:bCs/>
                      <w:color w:val="auto"/>
                      <w:szCs w:val="21"/>
                      <w:shd w:val="clear" w:color="auto" w:fill="FFFFFF"/>
                    </w:rPr>
                  </w:pPr>
                  <w:r>
                    <w:rPr>
                      <w:b/>
                      <w:bCs/>
                      <w:color w:val="auto"/>
                      <w:szCs w:val="21"/>
                      <w:shd w:val="clear" w:color="auto" w:fill="FFFFFF"/>
                    </w:rPr>
                    <w:t>ug/m</w:t>
                  </w:r>
                  <w:r>
                    <w:rPr>
                      <w:b/>
                      <w:bCs/>
                      <w:color w:val="auto"/>
                      <w:szCs w:val="21"/>
                      <w:shd w:val="clear" w:color="auto" w:fill="FFFFFF"/>
                      <w:vertAlign w:val="superscript"/>
                    </w:rPr>
                    <w:t>3</w:t>
                  </w:r>
                </w:p>
              </w:tc>
            </w:tr>
            <w:tr w14:paraId="627AB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080" w:type="pct"/>
                  <w:vMerge w:val="restart"/>
                  <w:vAlign w:val="center"/>
                </w:tcPr>
                <w:p w14:paraId="667F8010">
                  <w:pPr>
                    <w:widowControl/>
                    <w:adjustRightInd w:val="0"/>
                    <w:snapToGrid w:val="0"/>
                    <w:ind w:firstLine="0" w:firstLineChars="0"/>
                    <w:jc w:val="center"/>
                    <w:rPr>
                      <w:color w:val="auto"/>
                      <w:szCs w:val="21"/>
                      <w:shd w:val="clear" w:color="auto" w:fill="FFFFFF"/>
                    </w:rPr>
                  </w:pPr>
                  <w:r>
                    <w:rPr>
                      <w:color w:val="auto"/>
                      <w:szCs w:val="21"/>
                      <w:shd w:val="clear" w:color="auto" w:fill="FFFFFF"/>
                    </w:rPr>
                    <w:t>项目地下风向</w:t>
                  </w:r>
                </w:p>
              </w:tc>
              <w:tc>
                <w:tcPr>
                  <w:tcW w:w="775" w:type="pct"/>
                  <w:vMerge w:val="restart"/>
                  <w:vAlign w:val="center"/>
                </w:tcPr>
                <w:p w14:paraId="43D67D38">
                  <w:pPr>
                    <w:widowControl/>
                    <w:adjustRightInd w:val="0"/>
                    <w:snapToGrid w:val="0"/>
                    <w:ind w:firstLine="0" w:firstLineChars="0"/>
                    <w:jc w:val="center"/>
                    <w:rPr>
                      <w:color w:val="auto"/>
                      <w:szCs w:val="21"/>
                      <w:shd w:val="clear" w:color="auto" w:fill="FFFFFF"/>
                    </w:rPr>
                  </w:pPr>
                  <w:r>
                    <w:rPr>
                      <w:color w:val="auto"/>
                      <w:szCs w:val="21"/>
                      <w:shd w:val="clear" w:color="auto" w:fill="FFFFFF"/>
                    </w:rPr>
                    <w:t>TSP</w:t>
                  </w:r>
                </w:p>
              </w:tc>
              <w:tc>
                <w:tcPr>
                  <w:tcW w:w="1592" w:type="pct"/>
                  <w:vAlign w:val="center"/>
                </w:tcPr>
                <w:p w14:paraId="7D024401">
                  <w:pPr>
                    <w:pStyle w:val="26"/>
                    <w:adjustRightInd w:val="0"/>
                    <w:snapToGrid w:val="0"/>
                    <w:ind w:firstLine="0" w:firstLineChars="0"/>
                    <w:jc w:val="center"/>
                    <w:rPr>
                      <w:rFonts w:ascii="Times New Roman" w:hAnsi="Times New Roman"/>
                      <w:color w:val="auto"/>
                      <w:szCs w:val="21"/>
                      <w:shd w:val="clear" w:color="auto" w:fill="FFFFFF"/>
                    </w:rPr>
                  </w:pPr>
                  <w:r>
                    <w:rPr>
                      <w:rFonts w:ascii="Times New Roman" w:hAnsi="Times New Roman"/>
                      <w:color w:val="auto"/>
                      <w:szCs w:val="21"/>
                    </w:rPr>
                    <w:t>2024.04.17-2024.04.18</w:t>
                  </w:r>
                </w:p>
              </w:tc>
              <w:tc>
                <w:tcPr>
                  <w:tcW w:w="875" w:type="pct"/>
                  <w:vAlign w:val="center"/>
                </w:tcPr>
                <w:p w14:paraId="2A24F177">
                  <w:pPr>
                    <w:pStyle w:val="26"/>
                    <w:adjustRightInd w:val="0"/>
                    <w:snapToGrid w:val="0"/>
                    <w:ind w:firstLine="0" w:firstLineChars="0"/>
                    <w:jc w:val="center"/>
                    <w:rPr>
                      <w:rFonts w:ascii="Times New Roman" w:hAnsi="Times New Roman"/>
                      <w:color w:val="auto"/>
                      <w:szCs w:val="21"/>
                    </w:rPr>
                  </w:pPr>
                  <w:r>
                    <w:rPr>
                      <w:rFonts w:ascii="Times New Roman" w:hAnsi="Times New Roman"/>
                      <w:color w:val="auto"/>
                      <w:szCs w:val="21"/>
                    </w:rPr>
                    <w:t>148</w:t>
                  </w:r>
                </w:p>
              </w:tc>
              <w:tc>
                <w:tcPr>
                  <w:tcW w:w="676" w:type="pct"/>
                  <w:vMerge w:val="restart"/>
                  <w:vAlign w:val="center"/>
                </w:tcPr>
                <w:p w14:paraId="7FCDF0FA">
                  <w:pPr>
                    <w:pStyle w:val="26"/>
                    <w:adjustRightInd w:val="0"/>
                    <w:snapToGrid w:val="0"/>
                    <w:ind w:firstLine="0" w:firstLineChars="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300</w:t>
                  </w:r>
                </w:p>
              </w:tc>
            </w:tr>
            <w:tr w14:paraId="709E78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080" w:type="pct"/>
                  <w:vMerge w:val="continue"/>
                  <w:vAlign w:val="center"/>
                </w:tcPr>
                <w:p w14:paraId="77B5EE75">
                  <w:pPr>
                    <w:widowControl/>
                    <w:adjustRightInd w:val="0"/>
                    <w:snapToGrid w:val="0"/>
                    <w:ind w:firstLine="0" w:firstLineChars="0"/>
                    <w:jc w:val="center"/>
                    <w:rPr>
                      <w:color w:val="auto"/>
                      <w:szCs w:val="21"/>
                      <w:shd w:val="clear" w:color="auto" w:fill="FFFFFF"/>
                    </w:rPr>
                  </w:pPr>
                </w:p>
              </w:tc>
              <w:tc>
                <w:tcPr>
                  <w:tcW w:w="775" w:type="pct"/>
                  <w:vMerge w:val="continue"/>
                  <w:vAlign w:val="center"/>
                </w:tcPr>
                <w:p w14:paraId="7AE53FFF">
                  <w:pPr>
                    <w:widowControl/>
                    <w:adjustRightInd w:val="0"/>
                    <w:snapToGrid w:val="0"/>
                    <w:ind w:firstLine="0" w:firstLineChars="0"/>
                    <w:jc w:val="center"/>
                    <w:rPr>
                      <w:color w:val="auto"/>
                      <w:szCs w:val="21"/>
                      <w:shd w:val="clear" w:color="auto" w:fill="FFFFFF"/>
                    </w:rPr>
                  </w:pPr>
                </w:p>
              </w:tc>
              <w:tc>
                <w:tcPr>
                  <w:tcW w:w="1592" w:type="pct"/>
                  <w:vAlign w:val="center"/>
                </w:tcPr>
                <w:p w14:paraId="78B22CBA">
                  <w:pPr>
                    <w:adjustRightInd w:val="0"/>
                    <w:snapToGrid w:val="0"/>
                    <w:ind w:firstLine="0" w:firstLineChars="0"/>
                    <w:jc w:val="center"/>
                    <w:rPr>
                      <w:color w:val="auto"/>
                      <w:szCs w:val="21"/>
                      <w:shd w:val="clear" w:color="auto" w:fill="FFFFFF"/>
                    </w:rPr>
                  </w:pPr>
                  <w:r>
                    <w:rPr>
                      <w:color w:val="auto"/>
                      <w:szCs w:val="21"/>
                    </w:rPr>
                    <w:t>2024.04.18-2024.04.19</w:t>
                  </w:r>
                </w:p>
              </w:tc>
              <w:tc>
                <w:tcPr>
                  <w:tcW w:w="875" w:type="pct"/>
                  <w:vAlign w:val="center"/>
                </w:tcPr>
                <w:p w14:paraId="166D662B">
                  <w:pPr>
                    <w:pStyle w:val="26"/>
                    <w:adjustRightInd w:val="0"/>
                    <w:snapToGrid w:val="0"/>
                    <w:ind w:firstLine="0" w:firstLineChars="0"/>
                    <w:jc w:val="center"/>
                    <w:rPr>
                      <w:rFonts w:ascii="Times New Roman" w:hAnsi="Times New Roman"/>
                      <w:color w:val="auto"/>
                      <w:szCs w:val="21"/>
                    </w:rPr>
                  </w:pPr>
                  <w:r>
                    <w:rPr>
                      <w:rFonts w:ascii="Times New Roman" w:hAnsi="Times New Roman"/>
                      <w:color w:val="auto"/>
                      <w:szCs w:val="21"/>
                    </w:rPr>
                    <w:t>139</w:t>
                  </w:r>
                </w:p>
              </w:tc>
              <w:tc>
                <w:tcPr>
                  <w:tcW w:w="676" w:type="pct"/>
                  <w:vMerge w:val="continue"/>
                  <w:vAlign w:val="center"/>
                </w:tcPr>
                <w:p w14:paraId="4195CF31">
                  <w:pPr>
                    <w:pStyle w:val="26"/>
                    <w:adjustRightInd w:val="0"/>
                    <w:snapToGrid w:val="0"/>
                    <w:ind w:firstLine="0" w:firstLineChars="0"/>
                    <w:jc w:val="center"/>
                    <w:rPr>
                      <w:rFonts w:ascii="Times New Roman" w:hAnsi="Times New Roman"/>
                      <w:color w:val="auto"/>
                      <w:szCs w:val="21"/>
                    </w:rPr>
                  </w:pPr>
                </w:p>
              </w:tc>
            </w:tr>
            <w:tr w14:paraId="66AA9F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080" w:type="pct"/>
                  <w:vMerge w:val="continue"/>
                  <w:vAlign w:val="center"/>
                </w:tcPr>
                <w:p w14:paraId="79909185">
                  <w:pPr>
                    <w:widowControl/>
                    <w:adjustRightInd w:val="0"/>
                    <w:snapToGrid w:val="0"/>
                    <w:ind w:firstLine="0" w:firstLineChars="0"/>
                    <w:jc w:val="center"/>
                    <w:rPr>
                      <w:color w:val="auto"/>
                      <w:szCs w:val="21"/>
                      <w:shd w:val="clear" w:color="auto" w:fill="FFFFFF"/>
                    </w:rPr>
                  </w:pPr>
                </w:p>
              </w:tc>
              <w:tc>
                <w:tcPr>
                  <w:tcW w:w="775" w:type="pct"/>
                  <w:vMerge w:val="continue"/>
                  <w:vAlign w:val="center"/>
                </w:tcPr>
                <w:p w14:paraId="4CDD35B3">
                  <w:pPr>
                    <w:widowControl/>
                    <w:adjustRightInd w:val="0"/>
                    <w:snapToGrid w:val="0"/>
                    <w:ind w:firstLine="0" w:firstLineChars="0"/>
                    <w:jc w:val="center"/>
                    <w:rPr>
                      <w:color w:val="auto"/>
                      <w:szCs w:val="21"/>
                      <w:shd w:val="clear" w:color="auto" w:fill="FFFFFF"/>
                    </w:rPr>
                  </w:pPr>
                </w:p>
              </w:tc>
              <w:tc>
                <w:tcPr>
                  <w:tcW w:w="1592" w:type="pct"/>
                  <w:vAlign w:val="center"/>
                </w:tcPr>
                <w:p w14:paraId="58553DB7">
                  <w:pPr>
                    <w:adjustRightInd w:val="0"/>
                    <w:snapToGrid w:val="0"/>
                    <w:ind w:firstLine="0" w:firstLineChars="0"/>
                    <w:jc w:val="center"/>
                    <w:rPr>
                      <w:color w:val="auto"/>
                      <w:szCs w:val="21"/>
                      <w:shd w:val="clear" w:color="auto" w:fill="FFFFFF"/>
                    </w:rPr>
                  </w:pPr>
                  <w:r>
                    <w:rPr>
                      <w:color w:val="auto"/>
                      <w:szCs w:val="21"/>
                    </w:rPr>
                    <w:t>2024.04.19-2024.04.20</w:t>
                  </w:r>
                </w:p>
              </w:tc>
              <w:tc>
                <w:tcPr>
                  <w:tcW w:w="875" w:type="pct"/>
                  <w:vAlign w:val="center"/>
                </w:tcPr>
                <w:p w14:paraId="7297C7A2">
                  <w:pPr>
                    <w:pStyle w:val="26"/>
                    <w:adjustRightInd w:val="0"/>
                    <w:snapToGrid w:val="0"/>
                    <w:ind w:firstLine="0" w:firstLineChars="0"/>
                    <w:jc w:val="center"/>
                    <w:rPr>
                      <w:rFonts w:ascii="Times New Roman" w:hAnsi="Times New Roman"/>
                      <w:color w:val="auto"/>
                      <w:szCs w:val="21"/>
                    </w:rPr>
                  </w:pPr>
                  <w:r>
                    <w:rPr>
                      <w:rFonts w:ascii="Times New Roman" w:hAnsi="Times New Roman"/>
                      <w:color w:val="auto"/>
                      <w:szCs w:val="21"/>
                    </w:rPr>
                    <w:t>150</w:t>
                  </w:r>
                </w:p>
              </w:tc>
              <w:tc>
                <w:tcPr>
                  <w:tcW w:w="676" w:type="pct"/>
                  <w:vMerge w:val="continue"/>
                  <w:vAlign w:val="center"/>
                </w:tcPr>
                <w:p w14:paraId="77933F0A">
                  <w:pPr>
                    <w:pStyle w:val="26"/>
                    <w:adjustRightInd w:val="0"/>
                    <w:snapToGrid w:val="0"/>
                    <w:ind w:firstLine="0" w:firstLineChars="0"/>
                    <w:jc w:val="center"/>
                    <w:rPr>
                      <w:rFonts w:ascii="Times New Roman" w:hAnsi="Times New Roman"/>
                      <w:color w:val="auto"/>
                      <w:szCs w:val="21"/>
                    </w:rPr>
                  </w:pPr>
                </w:p>
              </w:tc>
            </w:tr>
          </w:tbl>
          <w:p w14:paraId="44925FF5">
            <w:pPr>
              <w:adjustRightInd w:val="0"/>
              <w:snapToGrid w:val="0"/>
              <w:spacing w:line="360" w:lineRule="auto"/>
              <w:ind w:firstLine="480"/>
              <w:rPr>
                <w:color w:val="auto"/>
                <w:kern w:val="0"/>
                <w:sz w:val="24"/>
              </w:rPr>
            </w:pPr>
            <w:r>
              <w:rPr>
                <w:color w:val="auto"/>
                <w:kern w:val="0"/>
                <w:sz w:val="24"/>
              </w:rPr>
              <w:t>根据监测结果，TSP浓度监测值满足</w:t>
            </w:r>
            <w:r>
              <w:rPr>
                <w:color w:val="auto"/>
                <w:sz w:val="24"/>
              </w:rPr>
              <w:t>《环境空气质量标准》（GB3095-2012）二级标准要求</w:t>
            </w:r>
            <w:r>
              <w:rPr>
                <w:color w:val="auto"/>
                <w:kern w:val="0"/>
                <w:sz w:val="24"/>
              </w:rPr>
              <w:t>中24小时平均值。</w:t>
            </w:r>
          </w:p>
          <w:p w14:paraId="6888E499">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2、地表水环境质量现状</w:t>
            </w:r>
          </w:p>
          <w:p w14:paraId="424FDDD7">
            <w:pPr>
              <w:adjustRightInd w:val="0"/>
              <w:snapToGrid w:val="0"/>
              <w:spacing w:line="348" w:lineRule="auto"/>
              <w:ind w:firstLine="480"/>
              <w:rPr>
                <w:color w:val="auto"/>
                <w:kern w:val="0"/>
                <w:sz w:val="24"/>
                <w:lang w:val="zh-CN"/>
              </w:rPr>
            </w:pPr>
            <w:r>
              <w:rPr>
                <w:color w:val="auto"/>
                <w:kern w:val="0"/>
                <w:sz w:val="24"/>
              </w:rPr>
              <w:t>根据项目区域水系图可知，</w:t>
            </w:r>
            <w:r>
              <w:rPr>
                <w:color w:val="auto"/>
                <w:kern w:val="0"/>
                <w:sz w:val="24"/>
                <w:lang w:val="zh-CN"/>
              </w:rPr>
              <w:t>本项目距离最近的地表水体为</w:t>
            </w:r>
            <w:r>
              <w:rPr>
                <w:color w:val="auto"/>
                <w:kern w:val="0"/>
                <w:sz w:val="24"/>
              </w:rPr>
              <w:t>东南侧1966m处的</w:t>
            </w:r>
            <w:r>
              <w:rPr>
                <w:color w:val="auto"/>
                <w:sz w:val="24"/>
              </w:rPr>
              <w:t>三月三水库；项目西南侧2109m处为潘所海，潘所海地表水通过溶洞流入三月三水库；三月三水库由前进河出水，最终汇入牛栏江，属牛栏江支流。根据《昆明市和滇中产业新区水功能区划</w:t>
            </w:r>
            <w:r>
              <w:rPr>
                <w:rFonts w:hint="eastAsia"/>
                <w:color w:val="auto"/>
                <w:sz w:val="24"/>
              </w:rPr>
              <w:t>（</w:t>
            </w:r>
            <w:r>
              <w:rPr>
                <w:color w:val="auto"/>
                <w:sz w:val="24"/>
              </w:rPr>
              <w:t>2011-2030年</w:t>
            </w:r>
            <w:r>
              <w:rPr>
                <w:rFonts w:hint="eastAsia"/>
                <w:color w:val="auto"/>
                <w:sz w:val="24"/>
              </w:rPr>
              <w:t>）</w:t>
            </w:r>
            <w:r>
              <w:rPr>
                <w:color w:val="auto"/>
                <w:sz w:val="24"/>
              </w:rPr>
              <w:t>》，</w:t>
            </w:r>
            <w:r>
              <w:rPr>
                <w:rFonts w:hint="eastAsia"/>
                <w:color w:val="auto"/>
                <w:sz w:val="24"/>
              </w:rPr>
              <w:t>本项目</w:t>
            </w:r>
            <w:r>
              <w:rPr>
                <w:color w:val="auto"/>
                <w:sz w:val="24"/>
              </w:rPr>
              <w:t>水功能区划</w:t>
            </w:r>
            <w:r>
              <w:rPr>
                <w:rFonts w:hint="eastAsia"/>
                <w:color w:val="auto"/>
                <w:sz w:val="24"/>
              </w:rPr>
              <w:t>属于</w:t>
            </w:r>
            <w:r>
              <w:rPr>
                <w:color w:val="auto"/>
                <w:sz w:val="24"/>
              </w:rPr>
              <w:t>牛栏江-滇池补水水源保护区，2030年水质目标为Ⅲ类，执行</w:t>
            </w:r>
            <w:r>
              <w:rPr>
                <w:bCs/>
                <w:color w:val="auto"/>
                <w:sz w:val="24"/>
              </w:rPr>
              <w:t>《地表水环境质量标准》（GB3838-2002）Ⅲ类标准</w:t>
            </w:r>
            <w:r>
              <w:rPr>
                <w:color w:val="auto"/>
                <w:sz w:val="24"/>
              </w:rPr>
              <w:t>。</w:t>
            </w:r>
            <w:r>
              <w:rPr>
                <w:color w:val="auto"/>
                <w:sz w:val="24"/>
                <w:lang w:val="zh-CN"/>
              </w:rPr>
              <w:t>由于《昆明市和滇中产业新区水功能区划（2011-2030年）》中未列出</w:t>
            </w:r>
            <w:r>
              <w:rPr>
                <w:color w:val="auto"/>
                <w:sz w:val="24"/>
              </w:rPr>
              <w:t>潘所海、三月三水库</w:t>
            </w:r>
            <w:r>
              <w:rPr>
                <w:color w:val="auto"/>
                <w:sz w:val="24"/>
                <w:lang w:val="zh-CN"/>
              </w:rPr>
              <w:t>的水环境功能区划，按照支流服从干流的原则，</w:t>
            </w:r>
            <w:r>
              <w:rPr>
                <w:color w:val="auto"/>
                <w:sz w:val="24"/>
              </w:rPr>
              <w:t>潘所海、三月三水库</w:t>
            </w:r>
            <w:r>
              <w:rPr>
                <w:color w:val="auto"/>
                <w:sz w:val="24"/>
                <w:lang w:val="zh-CN"/>
              </w:rPr>
              <w:t>参照</w:t>
            </w:r>
            <w:r>
              <w:rPr>
                <w:color w:val="auto"/>
                <w:sz w:val="24"/>
              </w:rPr>
              <w:t>牛栏江</w:t>
            </w:r>
            <w:r>
              <w:rPr>
                <w:color w:val="auto"/>
                <w:sz w:val="24"/>
                <w:lang w:val="zh-CN"/>
              </w:rPr>
              <w:t>执行《地表水环境质量标准》</w:t>
            </w:r>
            <w:r>
              <w:rPr>
                <w:color w:val="auto"/>
                <w:kern w:val="0"/>
                <w:sz w:val="24"/>
                <w:lang w:val="zh-CN"/>
              </w:rPr>
              <w:t>（GB3838-2002）中Ⅲ类水质标准。</w:t>
            </w:r>
          </w:p>
          <w:p w14:paraId="74E66DBE">
            <w:pPr>
              <w:pStyle w:val="2"/>
              <w:keepNext w:val="0"/>
              <w:widowControl/>
              <w:wordWrap w:val="0"/>
              <w:overflowPunct/>
              <w:topLinePunct/>
              <w:spacing w:before="0" w:after="0" w:line="360" w:lineRule="auto"/>
              <w:ind w:left="0" w:firstLine="480"/>
              <w:jc w:val="left"/>
              <w:rPr>
                <w:rFonts w:eastAsia="宋体"/>
                <w:b w:val="0"/>
                <w:color w:val="auto"/>
                <w:kern w:val="2"/>
                <w:sz w:val="24"/>
                <w:szCs w:val="24"/>
              </w:rPr>
            </w:pPr>
            <w:r>
              <w:rPr>
                <w:rFonts w:eastAsia="宋体"/>
                <w:b w:val="0"/>
                <w:color w:val="auto"/>
                <w:kern w:val="2"/>
                <w:sz w:val="24"/>
                <w:szCs w:val="24"/>
              </w:rPr>
              <w:t>根据</w:t>
            </w:r>
            <w:r>
              <w:rPr>
                <w:rFonts w:eastAsia="宋体"/>
                <w:b w:val="0"/>
                <w:color w:val="auto"/>
                <w:sz w:val="24"/>
                <w:lang w:val="zh-CN"/>
              </w:rPr>
              <w:t>《</w:t>
            </w:r>
            <w:r>
              <w:rPr>
                <w:rFonts w:eastAsia="宋体"/>
                <w:b w:val="0"/>
                <w:color w:val="auto"/>
                <w:sz w:val="24"/>
              </w:rPr>
              <w:t>寻甸县2024年第四季度环境质量公报</w:t>
            </w:r>
            <w:r>
              <w:rPr>
                <w:rFonts w:eastAsia="宋体"/>
                <w:b w:val="0"/>
                <w:color w:val="auto"/>
                <w:sz w:val="24"/>
                <w:lang w:val="zh-CN"/>
              </w:rPr>
              <w:t>》（</w:t>
            </w:r>
            <w:r>
              <w:rPr>
                <w:rFonts w:eastAsia="宋体"/>
                <w:b w:val="0"/>
                <w:color w:val="auto"/>
                <w:sz w:val="24"/>
              </w:rPr>
              <w:t>2025年1月</w:t>
            </w:r>
            <w:r>
              <w:rPr>
                <w:rFonts w:eastAsia="宋体"/>
                <w:b w:val="0"/>
                <w:color w:val="auto"/>
                <w:sz w:val="24"/>
                <w:lang w:val="zh-CN"/>
              </w:rPr>
              <w:t>）</w:t>
            </w:r>
            <w:r>
              <w:rPr>
                <w:rFonts w:eastAsia="宋体"/>
                <w:b w:val="0"/>
                <w:color w:val="auto"/>
                <w:sz w:val="24"/>
              </w:rPr>
              <w:t>可知，</w:t>
            </w:r>
            <w:r>
              <w:rPr>
                <w:rFonts w:eastAsia="宋体"/>
                <w:b w:val="0"/>
                <w:bCs w:val="0"/>
                <w:color w:val="auto"/>
                <w:kern w:val="2"/>
                <w:sz w:val="24"/>
                <w:szCs w:val="24"/>
              </w:rPr>
              <w:t>2024年第四季度</w:t>
            </w:r>
            <w:r>
              <w:rPr>
                <w:rFonts w:eastAsia="宋体"/>
                <w:b w:val="0"/>
                <w:bCs w:val="0"/>
                <w:color w:val="auto"/>
                <w:kern w:val="2"/>
                <w:sz w:val="24"/>
                <w:szCs w:val="24"/>
                <w:lang w:val="zh-CN"/>
              </w:rPr>
              <w:t>昆明市生态环境局寻甸分局生态环境监测站共对全县12条河流（牛栏江、马龙河、前进河、老河、功山河、塘子集镇污水沟、聂鼠龙河、羊街河、马街河、洗马河、木板河、小江支流块河）、2条饮水隧（渠）道（塌鼻子龙潭引水渠、海当隧道）、1个调水取水点（德泽水库调水取水点），17个监控断面进行了监测，达标率为87.5%，与上年同期相比水质达标率上升了6.25%。2024年第四季度对全县7主要湖（库）（清水海、板桥河水库、新田河水库、石桥河水库、潘所海、三月三水库、凤龙湾水库），7个监测断面进行监测，达标率为71.43%。与上年同期相比水质达标率上升了42.86%</w:t>
            </w:r>
            <w:r>
              <w:rPr>
                <w:rFonts w:eastAsia="宋体"/>
                <w:b w:val="0"/>
                <w:bCs w:val="0"/>
                <w:color w:val="auto"/>
                <w:kern w:val="2"/>
                <w:sz w:val="24"/>
                <w:szCs w:val="24"/>
              </w:rPr>
              <w:t>，监测结果如下表所示。</w:t>
            </w:r>
          </w:p>
          <w:p w14:paraId="5B7C29CA">
            <w:pPr>
              <w:widowControl/>
              <w:adjustRightInd w:val="0"/>
              <w:snapToGrid w:val="0"/>
              <w:ind w:firstLine="0" w:firstLineChars="0"/>
              <w:jc w:val="center"/>
              <w:rPr>
                <w:b/>
                <w:bCs/>
                <w:color w:val="auto"/>
                <w:szCs w:val="21"/>
              </w:rPr>
            </w:pPr>
            <w:r>
              <w:rPr>
                <w:b/>
                <w:bCs/>
                <w:color w:val="auto"/>
                <w:szCs w:val="21"/>
              </w:rPr>
              <w:t>表3-</w:t>
            </w:r>
            <w:r>
              <w:rPr>
                <w:rFonts w:hint="eastAsia"/>
                <w:b/>
                <w:bCs/>
                <w:color w:val="auto"/>
                <w:szCs w:val="21"/>
                <w:lang w:val="en-US" w:eastAsia="zh-CN"/>
              </w:rPr>
              <w:t>3</w:t>
            </w:r>
            <w:r>
              <w:rPr>
                <w:b/>
                <w:bCs/>
                <w:color w:val="auto"/>
                <w:szCs w:val="21"/>
              </w:rPr>
              <w:t xml:space="preserve">   </w:t>
            </w:r>
            <w:r>
              <w:rPr>
                <w:rStyle w:val="40"/>
                <w:bCs/>
                <w:color w:val="auto"/>
                <w:szCs w:val="21"/>
                <w:shd w:val="clear" w:color="auto" w:fill="FFFFFF"/>
              </w:rPr>
              <w:t>202</w:t>
            </w:r>
            <w:r>
              <w:rPr>
                <w:rStyle w:val="40"/>
                <w:rFonts w:hint="eastAsia"/>
                <w:bCs/>
                <w:color w:val="auto"/>
                <w:szCs w:val="21"/>
                <w:shd w:val="clear" w:color="auto" w:fill="FFFFFF"/>
              </w:rPr>
              <w:t>4</w:t>
            </w:r>
            <w:r>
              <w:rPr>
                <w:rStyle w:val="40"/>
                <w:bCs/>
                <w:color w:val="auto"/>
                <w:szCs w:val="21"/>
                <w:shd w:val="clear" w:color="auto" w:fill="FFFFFF"/>
              </w:rPr>
              <w:t>年</w:t>
            </w:r>
            <w:r>
              <w:rPr>
                <w:rStyle w:val="40"/>
                <w:rFonts w:hint="eastAsia"/>
                <w:bCs/>
                <w:color w:val="auto"/>
                <w:szCs w:val="21"/>
                <w:shd w:val="clear" w:color="auto" w:fill="FFFFFF"/>
              </w:rPr>
              <w:t>四季度</w:t>
            </w:r>
            <w:r>
              <w:rPr>
                <w:rStyle w:val="40"/>
                <w:bCs/>
                <w:color w:val="auto"/>
                <w:szCs w:val="21"/>
                <w:shd w:val="clear" w:color="auto" w:fill="FFFFFF"/>
              </w:rPr>
              <w:t>寻甸境内湖库质状况统计表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731"/>
              <w:gridCol w:w="703"/>
              <w:gridCol w:w="1222"/>
              <w:gridCol w:w="4375"/>
            </w:tblGrid>
            <w:tr w14:paraId="3AF7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9" w:type="dxa"/>
                  <w:vAlign w:val="center"/>
                </w:tcPr>
                <w:p w14:paraId="76C5BFF7">
                  <w:pPr>
                    <w:widowControl/>
                    <w:adjustRightInd w:val="0"/>
                    <w:snapToGrid w:val="0"/>
                    <w:ind w:firstLine="0" w:firstLineChars="0"/>
                    <w:jc w:val="center"/>
                    <w:rPr>
                      <w:b/>
                      <w:bCs/>
                      <w:color w:val="auto"/>
                      <w:szCs w:val="21"/>
                    </w:rPr>
                  </w:pPr>
                  <w:r>
                    <w:rPr>
                      <w:b/>
                      <w:bCs/>
                      <w:color w:val="auto"/>
                      <w:szCs w:val="21"/>
                    </w:rPr>
                    <w:t>监测名称</w:t>
                  </w:r>
                </w:p>
              </w:tc>
              <w:tc>
                <w:tcPr>
                  <w:tcW w:w="731" w:type="dxa"/>
                  <w:vAlign w:val="center"/>
                </w:tcPr>
                <w:p w14:paraId="42A73E19">
                  <w:pPr>
                    <w:widowControl/>
                    <w:adjustRightInd w:val="0"/>
                    <w:snapToGrid w:val="0"/>
                    <w:ind w:firstLine="0" w:firstLineChars="0"/>
                    <w:jc w:val="center"/>
                    <w:rPr>
                      <w:b/>
                      <w:bCs/>
                      <w:color w:val="auto"/>
                      <w:szCs w:val="21"/>
                    </w:rPr>
                  </w:pPr>
                  <w:r>
                    <w:rPr>
                      <w:b/>
                      <w:bCs/>
                      <w:color w:val="auto"/>
                      <w:szCs w:val="21"/>
                    </w:rPr>
                    <w:t>年</w:t>
                  </w:r>
                </w:p>
              </w:tc>
              <w:tc>
                <w:tcPr>
                  <w:tcW w:w="703" w:type="dxa"/>
                  <w:vAlign w:val="center"/>
                </w:tcPr>
                <w:p w14:paraId="0EF35ED1">
                  <w:pPr>
                    <w:widowControl/>
                    <w:adjustRightInd w:val="0"/>
                    <w:snapToGrid w:val="0"/>
                    <w:ind w:firstLine="0" w:firstLineChars="0"/>
                    <w:jc w:val="center"/>
                    <w:rPr>
                      <w:b/>
                      <w:bCs/>
                      <w:color w:val="auto"/>
                      <w:szCs w:val="21"/>
                    </w:rPr>
                  </w:pPr>
                  <w:r>
                    <w:rPr>
                      <w:rFonts w:hint="eastAsia"/>
                      <w:b/>
                      <w:bCs/>
                      <w:color w:val="auto"/>
                      <w:szCs w:val="21"/>
                    </w:rPr>
                    <w:t>季度</w:t>
                  </w:r>
                </w:p>
              </w:tc>
              <w:tc>
                <w:tcPr>
                  <w:tcW w:w="1222" w:type="dxa"/>
                  <w:vAlign w:val="center"/>
                </w:tcPr>
                <w:p w14:paraId="02C8C2F4">
                  <w:pPr>
                    <w:widowControl/>
                    <w:adjustRightInd w:val="0"/>
                    <w:snapToGrid w:val="0"/>
                    <w:ind w:firstLine="0" w:firstLineChars="0"/>
                    <w:jc w:val="center"/>
                    <w:rPr>
                      <w:b/>
                      <w:bCs/>
                      <w:color w:val="auto"/>
                      <w:szCs w:val="21"/>
                    </w:rPr>
                  </w:pPr>
                  <w:r>
                    <w:rPr>
                      <w:b/>
                      <w:bCs/>
                      <w:color w:val="auto"/>
                      <w:szCs w:val="21"/>
                      <w:lang w:val="zh-CN"/>
                    </w:rPr>
                    <w:t>（</w:t>
                  </w:r>
                  <w:r>
                    <w:rPr>
                      <w:b/>
                      <w:bCs/>
                      <w:color w:val="auto"/>
                      <w:szCs w:val="21"/>
                    </w:rPr>
                    <w:t>wpi</w:t>
                  </w:r>
                  <w:r>
                    <w:rPr>
                      <w:b/>
                      <w:bCs/>
                      <w:color w:val="auto"/>
                      <w:szCs w:val="21"/>
                      <w:lang w:val="zh-CN"/>
                    </w:rPr>
                    <w:t>）</w:t>
                  </w:r>
                  <w:r>
                    <w:rPr>
                      <w:b/>
                      <w:bCs/>
                      <w:color w:val="auto"/>
                      <w:szCs w:val="21"/>
                    </w:rPr>
                    <w:t>水质类别</w:t>
                  </w:r>
                </w:p>
              </w:tc>
              <w:tc>
                <w:tcPr>
                  <w:tcW w:w="4375" w:type="dxa"/>
                  <w:vAlign w:val="center"/>
                </w:tcPr>
                <w:p w14:paraId="1CCDDEDE">
                  <w:pPr>
                    <w:widowControl/>
                    <w:adjustRightInd w:val="0"/>
                    <w:snapToGrid w:val="0"/>
                    <w:ind w:firstLine="0" w:firstLineChars="0"/>
                    <w:jc w:val="center"/>
                    <w:rPr>
                      <w:b/>
                      <w:bCs/>
                      <w:color w:val="auto"/>
                      <w:szCs w:val="21"/>
                      <w:lang w:val="zh-CN"/>
                    </w:rPr>
                  </w:pPr>
                  <w:r>
                    <w:rPr>
                      <w:rStyle w:val="40"/>
                      <w:bCs/>
                      <w:color w:val="auto"/>
                      <w:szCs w:val="21"/>
                      <w:shd w:val="clear" w:color="auto" w:fill="FFFFFF"/>
                    </w:rPr>
                    <w:t>(wpi)水质类别超标项目与超标倍数</w:t>
                  </w:r>
                </w:p>
              </w:tc>
            </w:tr>
            <w:tr w14:paraId="382F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9" w:type="dxa"/>
                  <w:vAlign w:val="center"/>
                </w:tcPr>
                <w:p w14:paraId="51EC279C">
                  <w:pPr>
                    <w:widowControl/>
                    <w:ind w:firstLine="0" w:firstLineChars="0"/>
                    <w:jc w:val="center"/>
                    <w:rPr>
                      <w:color w:val="auto"/>
                      <w:szCs w:val="21"/>
                      <w:shd w:val="clear" w:color="auto" w:fill="FFFFFF"/>
                    </w:rPr>
                  </w:pPr>
                  <w:r>
                    <w:rPr>
                      <w:color w:val="auto"/>
                      <w:szCs w:val="21"/>
                      <w:shd w:val="clear" w:color="auto" w:fill="FFFFFF"/>
                    </w:rPr>
                    <w:t>潘所海</w:t>
                  </w:r>
                </w:p>
              </w:tc>
              <w:tc>
                <w:tcPr>
                  <w:tcW w:w="731" w:type="dxa"/>
                  <w:vAlign w:val="center"/>
                </w:tcPr>
                <w:p w14:paraId="5A52AA48">
                  <w:pPr>
                    <w:widowControl/>
                    <w:ind w:firstLine="0" w:firstLineChars="0"/>
                    <w:jc w:val="center"/>
                    <w:rPr>
                      <w:color w:val="auto"/>
                      <w:szCs w:val="21"/>
                      <w:shd w:val="clear" w:color="auto" w:fill="FFFFFF"/>
                    </w:rPr>
                  </w:pPr>
                  <w:r>
                    <w:rPr>
                      <w:color w:val="auto"/>
                      <w:szCs w:val="21"/>
                      <w:shd w:val="clear" w:color="auto" w:fill="FFFFFF"/>
                    </w:rPr>
                    <w:t>202</w:t>
                  </w:r>
                  <w:r>
                    <w:rPr>
                      <w:rFonts w:hint="eastAsia"/>
                      <w:color w:val="auto"/>
                      <w:szCs w:val="21"/>
                      <w:shd w:val="clear" w:color="auto" w:fill="FFFFFF"/>
                    </w:rPr>
                    <w:t>4</w:t>
                  </w:r>
                </w:p>
              </w:tc>
              <w:tc>
                <w:tcPr>
                  <w:tcW w:w="703" w:type="dxa"/>
                  <w:vAlign w:val="center"/>
                </w:tcPr>
                <w:p w14:paraId="0E105E8C">
                  <w:pPr>
                    <w:widowControl/>
                    <w:ind w:firstLine="0" w:firstLineChars="0"/>
                    <w:jc w:val="center"/>
                    <w:rPr>
                      <w:color w:val="auto"/>
                      <w:szCs w:val="21"/>
                      <w:shd w:val="clear" w:color="auto" w:fill="FFFFFF"/>
                    </w:rPr>
                  </w:pPr>
                  <w:r>
                    <w:rPr>
                      <w:rFonts w:hint="eastAsia"/>
                      <w:color w:val="auto"/>
                      <w:szCs w:val="21"/>
                      <w:shd w:val="clear" w:color="auto" w:fill="FFFFFF"/>
                    </w:rPr>
                    <w:t>四</w:t>
                  </w:r>
                </w:p>
              </w:tc>
              <w:tc>
                <w:tcPr>
                  <w:tcW w:w="1222" w:type="dxa"/>
                  <w:vAlign w:val="center"/>
                </w:tcPr>
                <w:p w14:paraId="302F064F">
                  <w:pPr>
                    <w:widowControl/>
                    <w:ind w:firstLine="0" w:firstLineChars="0"/>
                    <w:jc w:val="center"/>
                    <w:rPr>
                      <w:color w:val="auto"/>
                      <w:szCs w:val="21"/>
                      <w:shd w:val="clear" w:color="auto" w:fill="FFFFFF"/>
                      <w:lang w:val="zh-CN"/>
                    </w:rPr>
                  </w:pPr>
                  <w:r>
                    <w:rPr>
                      <w:color w:val="auto"/>
                      <w:szCs w:val="21"/>
                      <w:shd w:val="clear" w:color="auto" w:fill="FFFFFF"/>
                    </w:rPr>
                    <w:t>Ⅴ类</w:t>
                  </w:r>
                </w:p>
              </w:tc>
              <w:tc>
                <w:tcPr>
                  <w:tcW w:w="4375" w:type="dxa"/>
                  <w:vAlign w:val="center"/>
                </w:tcPr>
                <w:p w14:paraId="72B03A47">
                  <w:pPr>
                    <w:widowControl/>
                    <w:ind w:firstLine="0" w:firstLineChars="0"/>
                    <w:jc w:val="left"/>
                    <w:rPr>
                      <w:color w:val="auto"/>
                      <w:szCs w:val="21"/>
                      <w:shd w:val="clear" w:color="auto" w:fill="FFFFFF"/>
                      <w:lang w:val="zh-CN"/>
                    </w:rPr>
                  </w:pPr>
                  <w:r>
                    <w:rPr>
                      <w:color w:val="auto"/>
                      <w:szCs w:val="21"/>
                      <w:shd w:val="clear" w:color="auto" w:fill="FFFFFF"/>
                      <w:lang w:val="zh-CN"/>
                    </w:rPr>
                    <w:t>水质与2023年同期相比有所好转，从劣Ⅴ类上升为Ⅴ类，主要污染物因子总磷超标倍数从17.3倍降至1.9倍</w:t>
                  </w:r>
                  <w:r>
                    <w:rPr>
                      <w:rFonts w:hint="eastAsia"/>
                      <w:color w:val="auto"/>
                      <w:szCs w:val="21"/>
                      <w:shd w:val="clear" w:color="auto" w:fill="FFFFFF"/>
                      <w:lang w:val="zh-CN"/>
                    </w:rPr>
                    <w:t>；</w:t>
                  </w:r>
                </w:p>
              </w:tc>
            </w:tr>
            <w:tr w14:paraId="6903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9" w:type="dxa"/>
                  <w:vAlign w:val="center"/>
                </w:tcPr>
                <w:p w14:paraId="26BC2C14">
                  <w:pPr>
                    <w:pStyle w:val="33"/>
                    <w:spacing w:before="0" w:beforeAutospacing="0" w:after="0" w:afterAutospacing="0"/>
                    <w:ind w:firstLine="0" w:firstLineChars="0"/>
                    <w:jc w:val="center"/>
                    <w:textAlignment w:val="bottom"/>
                    <w:rPr>
                      <w:rFonts w:ascii="Times New Roman" w:hAnsi="Times New Roman"/>
                      <w:color w:val="auto"/>
                      <w:kern w:val="2"/>
                      <w:sz w:val="21"/>
                      <w:szCs w:val="21"/>
                      <w:shd w:val="clear" w:color="auto" w:fill="FFFFFF"/>
                      <w:lang w:val="zh-CN"/>
                    </w:rPr>
                  </w:pPr>
                  <w:r>
                    <w:rPr>
                      <w:rFonts w:ascii="Times New Roman" w:hAnsi="Times New Roman"/>
                      <w:color w:val="auto"/>
                      <w:kern w:val="2"/>
                      <w:sz w:val="21"/>
                      <w:szCs w:val="21"/>
                      <w:shd w:val="clear" w:color="auto" w:fill="FFFFFF"/>
                    </w:rPr>
                    <w:t>三月三水库</w:t>
                  </w:r>
                </w:p>
              </w:tc>
              <w:tc>
                <w:tcPr>
                  <w:tcW w:w="731" w:type="dxa"/>
                  <w:vAlign w:val="center"/>
                </w:tcPr>
                <w:p w14:paraId="240ADADA">
                  <w:pPr>
                    <w:pStyle w:val="33"/>
                    <w:spacing w:before="0" w:beforeAutospacing="0" w:after="0" w:afterAutospacing="0"/>
                    <w:ind w:firstLine="0" w:firstLineChars="0"/>
                    <w:jc w:val="center"/>
                    <w:textAlignment w:val="bottom"/>
                    <w:rPr>
                      <w:rFonts w:ascii="Times New Roman" w:hAnsi="Times New Roman"/>
                      <w:color w:val="auto"/>
                      <w:kern w:val="2"/>
                      <w:sz w:val="21"/>
                      <w:szCs w:val="21"/>
                      <w:shd w:val="clear" w:color="auto" w:fill="FFFFFF"/>
                    </w:rPr>
                  </w:pPr>
                  <w:r>
                    <w:rPr>
                      <w:rFonts w:ascii="Times New Roman" w:hAnsi="Times New Roman"/>
                      <w:color w:val="auto"/>
                      <w:kern w:val="2"/>
                      <w:sz w:val="21"/>
                      <w:szCs w:val="21"/>
                      <w:shd w:val="clear" w:color="auto" w:fill="FFFFFF"/>
                    </w:rPr>
                    <w:t>202</w:t>
                  </w:r>
                  <w:r>
                    <w:rPr>
                      <w:rFonts w:hint="eastAsia" w:ascii="Times New Roman" w:hAnsi="Times New Roman"/>
                      <w:color w:val="auto"/>
                      <w:kern w:val="2"/>
                      <w:sz w:val="21"/>
                      <w:szCs w:val="21"/>
                      <w:shd w:val="clear" w:color="auto" w:fill="FFFFFF"/>
                    </w:rPr>
                    <w:t>4</w:t>
                  </w:r>
                </w:p>
              </w:tc>
              <w:tc>
                <w:tcPr>
                  <w:tcW w:w="703" w:type="dxa"/>
                  <w:vAlign w:val="center"/>
                </w:tcPr>
                <w:p w14:paraId="25CE4988">
                  <w:pPr>
                    <w:pStyle w:val="33"/>
                    <w:spacing w:before="0" w:beforeAutospacing="0" w:after="0" w:afterAutospacing="0"/>
                    <w:ind w:firstLine="0" w:firstLineChars="0"/>
                    <w:jc w:val="center"/>
                    <w:textAlignment w:val="bottom"/>
                    <w:rPr>
                      <w:rFonts w:ascii="Times New Roman" w:hAnsi="Times New Roman"/>
                      <w:color w:val="auto"/>
                      <w:kern w:val="2"/>
                      <w:sz w:val="21"/>
                      <w:szCs w:val="21"/>
                      <w:shd w:val="clear" w:color="auto" w:fill="FFFFFF"/>
                    </w:rPr>
                  </w:pPr>
                  <w:r>
                    <w:rPr>
                      <w:rFonts w:hint="eastAsia" w:ascii="Times New Roman" w:hAnsi="Times New Roman"/>
                      <w:color w:val="auto"/>
                      <w:kern w:val="2"/>
                      <w:sz w:val="21"/>
                      <w:szCs w:val="21"/>
                      <w:shd w:val="clear" w:color="auto" w:fill="FFFFFF"/>
                    </w:rPr>
                    <w:t>四</w:t>
                  </w:r>
                </w:p>
              </w:tc>
              <w:tc>
                <w:tcPr>
                  <w:tcW w:w="1222" w:type="dxa"/>
                  <w:vAlign w:val="center"/>
                </w:tcPr>
                <w:p w14:paraId="6853F0DB">
                  <w:pPr>
                    <w:pStyle w:val="33"/>
                    <w:spacing w:before="0" w:beforeAutospacing="0" w:after="0" w:afterAutospacing="0"/>
                    <w:ind w:firstLine="0" w:firstLineChars="0"/>
                    <w:jc w:val="center"/>
                    <w:textAlignment w:val="bottom"/>
                    <w:rPr>
                      <w:rFonts w:ascii="Times New Roman" w:hAnsi="Times New Roman"/>
                      <w:color w:val="auto"/>
                      <w:kern w:val="2"/>
                      <w:sz w:val="21"/>
                      <w:szCs w:val="21"/>
                      <w:shd w:val="clear" w:color="auto" w:fill="FFFFFF"/>
                      <w:lang w:val="zh-CN"/>
                    </w:rPr>
                  </w:pPr>
                  <w:r>
                    <w:rPr>
                      <w:rFonts w:ascii="Times New Roman" w:hAnsi="Times New Roman"/>
                      <w:color w:val="auto"/>
                      <w:kern w:val="2"/>
                      <w:sz w:val="21"/>
                      <w:szCs w:val="21"/>
                      <w:shd w:val="clear" w:color="auto" w:fill="FFFFFF"/>
                    </w:rPr>
                    <w:t>Ⅴ类</w:t>
                  </w:r>
                </w:p>
              </w:tc>
              <w:tc>
                <w:tcPr>
                  <w:tcW w:w="4375" w:type="dxa"/>
                  <w:vAlign w:val="center"/>
                </w:tcPr>
                <w:p w14:paraId="102AA061">
                  <w:pPr>
                    <w:pStyle w:val="33"/>
                    <w:spacing w:before="0" w:beforeAutospacing="0" w:after="0" w:afterAutospacing="0"/>
                    <w:ind w:firstLine="0" w:firstLineChars="0"/>
                    <w:textAlignment w:val="bottom"/>
                    <w:rPr>
                      <w:rFonts w:ascii="Times New Roman" w:hAnsi="Times New Roman"/>
                      <w:color w:val="auto"/>
                      <w:kern w:val="2"/>
                      <w:sz w:val="21"/>
                      <w:szCs w:val="21"/>
                      <w:shd w:val="clear" w:color="auto" w:fill="FFFFFF"/>
                      <w:lang w:val="zh-CN"/>
                    </w:rPr>
                  </w:pPr>
                  <w:r>
                    <w:rPr>
                      <w:rFonts w:ascii="Times New Roman" w:hAnsi="Times New Roman"/>
                      <w:color w:val="auto"/>
                      <w:kern w:val="2"/>
                      <w:sz w:val="21"/>
                      <w:szCs w:val="21"/>
                      <w:shd w:val="clear" w:color="auto" w:fill="FFFFFF"/>
                      <w:lang w:val="zh-CN"/>
                    </w:rPr>
                    <w:t>主要超标因子为总磷，水质与2023年同期相比有所好转，从劣Ⅴ类上升为Ⅴ类，为轻度富营养，主要污染物因子总磷超标倍数从8.9倍降至1.3倍。</w:t>
                  </w:r>
                </w:p>
              </w:tc>
            </w:tr>
          </w:tbl>
          <w:p w14:paraId="1C7D1B55">
            <w:pPr>
              <w:snapToGrid w:val="0"/>
              <w:spacing w:line="360" w:lineRule="auto"/>
              <w:ind w:firstLine="480"/>
              <w:jc w:val="left"/>
              <w:rPr>
                <w:color w:val="auto"/>
                <w:sz w:val="24"/>
              </w:rPr>
            </w:pPr>
            <w:r>
              <w:rPr>
                <w:bCs/>
                <w:color w:val="auto"/>
                <w:sz w:val="24"/>
              </w:rPr>
              <w:t>根据统计表中可知，潘所海为</w:t>
            </w:r>
            <w:r>
              <w:rPr>
                <w:color w:val="auto"/>
                <w:sz w:val="24"/>
                <w:shd w:val="clear" w:color="auto" w:fill="FFFFFF"/>
              </w:rPr>
              <w:t>Ⅴ类</w:t>
            </w:r>
            <w:r>
              <w:rPr>
                <w:color w:val="auto"/>
                <w:sz w:val="24"/>
              </w:rPr>
              <w:t>；三月三水库为Ⅴ类，水质均不能达到《地表水环境质量标准》（GB3838-2002）Ⅲ类标准限值，不能满足相关功能区划要求。根据本次环评调查分析，超标原因主要是由于入湖河道沿岸仍有生活污水汇入河道，生活面源污染导致水质变差，不能满足功能区划的要求。</w:t>
            </w:r>
          </w:p>
          <w:p w14:paraId="66D7452F">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3、声环境质量现状</w:t>
            </w:r>
          </w:p>
          <w:p w14:paraId="30679E9C">
            <w:pPr>
              <w:pStyle w:val="26"/>
              <w:adjustRightInd w:val="0"/>
              <w:snapToGrid w:val="0"/>
              <w:spacing w:line="360" w:lineRule="auto"/>
              <w:ind w:firstLine="480"/>
              <w:rPr>
                <w:rFonts w:ascii="Times New Roman" w:hAnsi="Times New Roman"/>
                <w:color w:val="auto"/>
                <w:sz w:val="24"/>
              </w:rPr>
            </w:pPr>
            <w:r>
              <w:rPr>
                <w:rFonts w:ascii="Times New Roman" w:hAnsi="Times New Roman"/>
                <w:color w:val="auto"/>
                <w:sz w:val="24"/>
              </w:rPr>
              <w:t>项目位于寻甸金所乡哨上大村，本项目区周边工业活动较多，西南侧235m处为寻甸弘恒机械服务有限公司、165m处为寻甸回族彝族自治县水泥厂</w:t>
            </w:r>
            <w:r>
              <w:rPr>
                <w:rFonts w:hint="eastAsia" w:ascii="Times New Roman" w:hAnsi="Times New Roman"/>
                <w:color w:val="auto"/>
                <w:sz w:val="24"/>
              </w:rPr>
              <w:t>、西北侧234m为寻甸县宝航养殖漏粪板厂</w:t>
            </w:r>
            <w:r>
              <w:rPr>
                <w:rFonts w:ascii="Times New Roman" w:hAnsi="Times New Roman"/>
                <w:color w:val="auto"/>
                <w:sz w:val="24"/>
              </w:rPr>
              <w:t>，根据《声环境质量标准》（GB3096-2008）7.2-b)，村庄原则上执行1类声环境功能区要求，工业活动较多的村庄以及有交通干线经过的村庄（指执行4类声环境功能区要求以外的地区）可局部或全部执行2类声环境功能区要求。综上，项目所在区域声环境质量全部执行《声环境质量标准》（GB3096-2008）中的2类标准，标准值详见下表。</w:t>
            </w:r>
          </w:p>
          <w:p w14:paraId="1D1D3FA7">
            <w:pPr>
              <w:widowControl/>
              <w:adjustRightInd w:val="0"/>
              <w:snapToGrid w:val="0"/>
              <w:ind w:firstLine="0" w:firstLineChars="0"/>
              <w:jc w:val="center"/>
              <w:rPr>
                <w:b/>
                <w:bCs/>
                <w:color w:val="auto"/>
                <w:szCs w:val="21"/>
              </w:rPr>
            </w:pPr>
            <w:r>
              <w:rPr>
                <w:b/>
                <w:bCs/>
                <w:color w:val="auto"/>
                <w:szCs w:val="21"/>
              </w:rPr>
              <w:t>表3-</w:t>
            </w:r>
            <w:r>
              <w:rPr>
                <w:rFonts w:hint="eastAsia"/>
                <w:b/>
                <w:bCs/>
                <w:color w:val="auto"/>
                <w:szCs w:val="21"/>
                <w:lang w:val="en-US" w:eastAsia="zh-CN"/>
              </w:rPr>
              <w:t>4</w:t>
            </w:r>
            <w:r>
              <w:rPr>
                <w:b/>
                <w:bCs/>
                <w:color w:val="auto"/>
                <w:szCs w:val="21"/>
              </w:rPr>
              <w:t xml:space="preserve">  声环境质量标准  单位：dB(A）</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3"/>
              <w:gridCol w:w="2823"/>
              <w:gridCol w:w="2824"/>
            </w:tblGrid>
            <w:tr w14:paraId="34CE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23" w:type="dxa"/>
                </w:tcPr>
                <w:p w14:paraId="1B24B803">
                  <w:pPr>
                    <w:widowControl/>
                    <w:ind w:firstLine="0" w:firstLineChars="0"/>
                    <w:jc w:val="center"/>
                    <w:rPr>
                      <w:b/>
                      <w:bCs/>
                      <w:color w:val="auto"/>
                    </w:rPr>
                  </w:pPr>
                  <w:r>
                    <w:rPr>
                      <w:b/>
                      <w:bCs/>
                      <w:color w:val="auto"/>
                      <w:kern w:val="0"/>
                      <w:szCs w:val="20"/>
                      <w:lang w:bidi="ar"/>
                    </w:rPr>
                    <w:t>类别</w:t>
                  </w:r>
                </w:p>
              </w:tc>
              <w:tc>
                <w:tcPr>
                  <w:tcW w:w="2823" w:type="dxa"/>
                </w:tcPr>
                <w:p w14:paraId="77E76F07">
                  <w:pPr>
                    <w:widowControl/>
                    <w:ind w:firstLine="0" w:firstLineChars="0"/>
                    <w:jc w:val="center"/>
                    <w:rPr>
                      <w:b/>
                      <w:bCs/>
                      <w:color w:val="auto"/>
                    </w:rPr>
                  </w:pPr>
                  <w:r>
                    <w:rPr>
                      <w:b/>
                      <w:bCs/>
                      <w:color w:val="auto"/>
                      <w:kern w:val="0"/>
                      <w:szCs w:val="20"/>
                      <w:lang w:bidi="ar"/>
                    </w:rPr>
                    <w:t>昼间</w:t>
                  </w:r>
                </w:p>
              </w:tc>
              <w:tc>
                <w:tcPr>
                  <w:tcW w:w="2824" w:type="dxa"/>
                </w:tcPr>
                <w:p w14:paraId="449C6F5E">
                  <w:pPr>
                    <w:widowControl/>
                    <w:ind w:firstLine="0" w:firstLineChars="0"/>
                    <w:jc w:val="center"/>
                    <w:rPr>
                      <w:b/>
                      <w:bCs/>
                      <w:color w:val="auto"/>
                    </w:rPr>
                  </w:pPr>
                  <w:r>
                    <w:rPr>
                      <w:b/>
                      <w:bCs/>
                      <w:color w:val="auto"/>
                      <w:kern w:val="0"/>
                      <w:szCs w:val="20"/>
                      <w:lang w:bidi="ar"/>
                    </w:rPr>
                    <w:t>夜间</w:t>
                  </w:r>
                </w:p>
              </w:tc>
            </w:tr>
            <w:tr w14:paraId="473C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3" w:type="dxa"/>
                </w:tcPr>
                <w:p w14:paraId="0A405953">
                  <w:pPr>
                    <w:widowControl/>
                    <w:ind w:firstLine="0" w:firstLineChars="0"/>
                    <w:jc w:val="center"/>
                    <w:rPr>
                      <w:color w:val="auto"/>
                    </w:rPr>
                  </w:pPr>
                  <w:r>
                    <w:rPr>
                      <w:color w:val="auto"/>
                      <w:kern w:val="0"/>
                      <w:szCs w:val="20"/>
                      <w:lang w:bidi="ar"/>
                    </w:rPr>
                    <w:t>2</w:t>
                  </w:r>
                </w:p>
              </w:tc>
              <w:tc>
                <w:tcPr>
                  <w:tcW w:w="2823" w:type="dxa"/>
                </w:tcPr>
                <w:p w14:paraId="314D801E">
                  <w:pPr>
                    <w:widowControl/>
                    <w:ind w:firstLine="0" w:firstLineChars="0"/>
                    <w:jc w:val="center"/>
                    <w:rPr>
                      <w:color w:val="auto"/>
                    </w:rPr>
                  </w:pPr>
                  <w:r>
                    <w:rPr>
                      <w:color w:val="auto"/>
                      <w:kern w:val="0"/>
                      <w:szCs w:val="20"/>
                      <w:lang w:bidi="ar"/>
                    </w:rPr>
                    <w:t>60</w:t>
                  </w:r>
                </w:p>
              </w:tc>
              <w:tc>
                <w:tcPr>
                  <w:tcW w:w="2824" w:type="dxa"/>
                </w:tcPr>
                <w:p w14:paraId="72A1B9E6">
                  <w:pPr>
                    <w:widowControl/>
                    <w:ind w:firstLine="0" w:firstLineChars="0"/>
                    <w:jc w:val="center"/>
                    <w:rPr>
                      <w:color w:val="auto"/>
                    </w:rPr>
                  </w:pPr>
                  <w:r>
                    <w:rPr>
                      <w:color w:val="auto"/>
                      <w:kern w:val="0"/>
                      <w:szCs w:val="20"/>
                      <w:lang w:bidi="ar"/>
                    </w:rPr>
                    <w:t>50</w:t>
                  </w:r>
                </w:p>
              </w:tc>
            </w:tr>
          </w:tbl>
          <w:p w14:paraId="68E92A35">
            <w:pPr>
              <w:pStyle w:val="83"/>
              <w:keepNext w:val="0"/>
              <w:keepLines w:val="0"/>
              <w:pageBreakBefore w:val="0"/>
              <w:widowControl w:val="0"/>
              <w:kinsoku/>
              <w:wordWrap w:val="0"/>
              <w:overflowPunct/>
              <w:topLinePunct/>
              <w:autoSpaceDE/>
              <w:autoSpaceDN/>
              <w:bidi w:val="0"/>
              <w:adjustRightInd w:val="0"/>
              <w:snapToGrid w:val="0"/>
              <w:textAlignment w:val="auto"/>
              <w:rPr>
                <w:color w:val="auto"/>
                <w:lang w:bidi="ar"/>
              </w:rPr>
            </w:pPr>
            <w:r>
              <w:rPr>
                <w:color w:val="auto"/>
                <w:lang w:bidi="ar"/>
              </w:rPr>
              <w:t>根据</w:t>
            </w:r>
            <w:r>
              <w:rPr>
                <w:bCs/>
                <w:color w:val="auto"/>
                <w:lang w:val="zh-CN"/>
              </w:rPr>
              <w:t>《</w:t>
            </w:r>
            <w:r>
              <w:rPr>
                <w:bCs/>
                <w:color w:val="auto"/>
              </w:rPr>
              <w:t>寻甸县2024年第四季度环境质量公报</w:t>
            </w:r>
            <w:r>
              <w:rPr>
                <w:bCs/>
                <w:color w:val="auto"/>
                <w:lang w:val="zh-CN"/>
              </w:rPr>
              <w:t>》（</w:t>
            </w:r>
            <w:r>
              <w:rPr>
                <w:bCs/>
                <w:color w:val="auto"/>
              </w:rPr>
              <w:t>2025年1月</w:t>
            </w:r>
            <w:r>
              <w:rPr>
                <w:bCs/>
                <w:color w:val="auto"/>
                <w:lang w:val="zh-CN"/>
              </w:rPr>
              <w:t>）</w:t>
            </w:r>
            <w:r>
              <w:rPr>
                <w:rFonts w:hint="eastAsia"/>
                <w:bCs/>
                <w:color w:val="auto"/>
                <w:lang w:val="zh-CN"/>
              </w:rPr>
              <w:t>，</w:t>
            </w:r>
            <w:r>
              <w:rPr>
                <w:rFonts w:hint="eastAsia"/>
                <w:bCs/>
                <w:color w:val="auto"/>
              </w:rPr>
              <w:t>寻甸县</w:t>
            </w:r>
            <w:r>
              <w:rPr>
                <w:color w:val="auto"/>
                <w:lang w:bidi="ar"/>
              </w:rPr>
              <w:t>2024年第四季度开展寻甸县县城功能区噪声监测一期，1类功能区昼间达标率均为87.5%，夜间达标率均为75.0%；2、3、4a类功能区昼间达标率均为100%，夜间达标率均为100%。总体夜间达标率为93.4%。县域声环境质量功能区夜间监测总点次达标率95.3%。</w:t>
            </w:r>
          </w:p>
          <w:p w14:paraId="44993421">
            <w:pPr>
              <w:pStyle w:val="83"/>
              <w:snapToGrid w:val="0"/>
              <w:rPr>
                <w:color w:val="auto"/>
                <w:kern w:val="0"/>
              </w:rPr>
            </w:pPr>
            <w:r>
              <w:rPr>
                <w:rFonts w:hint="eastAsia"/>
                <w:color w:val="auto"/>
                <w:lang w:bidi="ar"/>
              </w:rPr>
              <w:t>综上，项目属于</w:t>
            </w:r>
            <w:r>
              <w:rPr>
                <w:color w:val="auto"/>
              </w:rPr>
              <w:t>《声环境质量标准》（GB3096-2008）</w:t>
            </w:r>
            <w:r>
              <w:rPr>
                <w:rFonts w:hint="eastAsia"/>
                <w:color w:val="auto"/>
              </w:rPr>
              <w:t>2类功能区达标区；根据</w:t>
            </w:r>
            <w:r>
              <w:rPr>
                <w:color w:val="auto"/>
                <w:lang w:bidi="ar"/>
              </w:rPr>
              <w:t>《建设项目环境影响报告表编制技术指南（污染影响类）》（试行），</w:t>
            </w:r>
            <w:r>
              <w:rPr>
                <w:color w:val="auto"/>
                <w:kern w:val="0"/>
              </w:rPr>
              <w:t>项目区50m范围内无声环境保护目标，因此</w:t>
            </w:r>
            <w:r>
              <w:rPr>
                <w:rFonts w:hint="eastAsia"/>
                <w:color w:val="auto"/>
                <w:kern w:val="0"/>
              </w:rPr>
              <w:t>不</w:t>
            </w:r>
            <w:r>
              <w:rPr>
                <w:color w:val="auto"/>
                <w:kern w:val="0"/>
              </w:rPr>
              <w:t>进行声环境质量现状监测。</w:t>
            </w:r>
          </w:p>
          <w:p w14:paraId="6960EC8F">
            <w:pPr>
              <w:pStyle w:val="26"/>
              <w:adjustRightInd w:val="0"/>
              <w:snapToGrid w:val="0"/>
              <w:spacing w:line="360" w:lineRule="auto"/>
              <w:ind w:firstLine="482"/>
              <w:rPr>
                <w:rFonts w:ascii="Times New Roman" w:hAnsi="Times New Roman"/>
                <w:b/>
                <w:bCs/>
                <w:color w:val="auto"/>
                <w:sz w:val="24"/>
              </w:rPr>
            </w:pPr>
            <w:r>
              <w:rPr>
                <w:rFonts w:hint="eastAsia" w:ascii="Times New Roman" w:hAnsi="Times New Roman"/>
                <w:b/>
                <w:bCs/>
                <w:color w:val="auto"/>
                <w:sz w:val="24"/>
                <w:lang w:val="en-US" w:eastAsia="zh-CN"/>
              </w:rPr>
              <w:t>4</w:t>
            </w:r>
            <w:r>
              <w:rPr>
                <w:rFonts w:ascii="Times New Roman" w:hAnsi="Times New Roman"/>
                <w:b/>
                <w:bCs/>
                <w:color w:val="auto"/>
                <w:sz w:val="24"/>
              </w:rPr>
              <w:t>、生态环境质量现状</w:t>
            </w:r>
          </w:p>
          <w:p w14:paraId="14D18981">
            <w:pPr>
              <w:widowControl/>
              <w:spacing w:line="360" w:lineRule="auto"/>
              <w:ind w:firstLine="480"/>
              <w:jc w:val="left"/>
              <w:rPr>
                <w:color w:val="auto"/>
              </w:rPr>
            </w:pPr>
            <w:r>
              <w:rPr>
                <w:color w:val="auto"/>
                <w:sz w:val="24"/>
                <w:lang w:val="zh-CN" w:bidi="ar"/>
              </w:rPr>
              <w:t>项目所在区域</w:t>
            </w:r>
            <w:r>
              <w:rPr>
                <w:color w:val="auto"/>
                <w:sz w:val="24"/>
                <w:lang w:bidi="ar"/>
              </w:rPr>
              <w:t>为金所乡哨上大村，根据现场踏勘，项目所在区域由于人类活动较为频繁，本项目为扩建项目，在原项目</w:t>
            </w:r>
            <w:r>
              <w:rPr>
                <w:rFonts w:hint="eastAsia"/>
                <w:color w:val="auto"/>
                <w:sz w:val="24"/>
                <w:lang w:val="en-US" w:eastAsia="zh-CN" w:bidi="ar"/>
              </w:rPr>
              <w:t>现有场地内建设</w:t>
            </w:r>
            <w:r>
              <w:rPr>
                <w:color w:val="auto"/>
                <w:sz w:val="24"/>
                <w:lang w:bidi="ar"/>
              </w:rPr>
              <w:t>，区域</w:t>
            </w:r>
            <w:r>
              <w:rPr>
                <w:color w:val="auto"/>
                <w:sz w:val="24"/>
                <w:lang w:val="zh-CN" w:bidi="ar"/>
              </w:rPr>
              <w:t>现状主要为水泥路面和人工绿化植被，</w:t>
            </w:r>
            <w:r>
              <w:rPr>
                <w:color w:val="auto"/>
                <w:sz w:val="24"/>
                <w:lang w:bidi="ar"/>
              </w:rPr>
              <w:t>主要为厂内绿化及行道树，</w:t>
            </w:r>
            <w:r>
              <w:rPr>
                <w:color w:val="auto"/>
                <w:sz w:val="24"/>
                <w:lang w:val="zh-CN" w:bidi="ar"/>
              </w:rPr>
              <w:t>无天然植被，生态环境自我调节能力低。调查范围内未涉及国家保护的珍贵野生动、植物。</w:t>
            </w:r>
            <w:r>
              <w:rPr>
                <w:color w:val="auto"/>
                <w:sz w:val="24"/>
                <w:lang w:bidi="ar"/>
              </w:rPr>
              <w:t>评价范围</w:t>
            </w:r>
            <w:r>
              <w:rPr>
                <w:color w:val="auto"/>
                <w:sz w:val="24"/>
                <w:lang w:val="zh-CN" w:bidi="ar"/>
              </w:rPr>
              <w:t>内无自然保护区、风景名胜区、森林公园、历史文化遗迹等需要特殊保护的生态敏感目标，无国家珍稀濒危保护物种、国家重点保护野生</w:t>
            </w:r>
            <w:r>
              <w:rPr>
                <w:color w:val="auto"/>
                <w:sz w:val="24"/>
                <w:lang w:bidi="ar"/>
              </w:rPr>
              <w:t>动</w:t>
            </w:r>
            <w:r>
              <w:rPr>
                <w:color w:val="auto"/>
                <w:sz w:val="24"/>
                <w:lang w:val="zh-CN" w:bidi="ar"/>
              </w:rPr>
              <w:t>植物和云南省级重点</w:t>
            </w:r>
            <w:r>
              <w:rPr>
                <w:color w:val="auto"/>
                <w:sz w:val="24"/>
                <w:lang w:bidi="ar"/>
              </w:rPr>
              <w:t>保护野生动植物</w:t>
            </w:r>
            <w:r>
              <w:rPr>
                <w:color w:val="auto"/>
                <w:sz w:val="24"/>
                <w:lang w:val="zh-CN" w:bidi="ar"/>
              </w:rPr>
              <w:t>，也没有特有种类存在</w:t>
            </w:r>
            <w:r>
              <w:rPr>
                <w:color w:val="auto"/>
                <w:sz w:val="24"/>
                <w:lang w:bidi="ar"/>
              </w:rPr>
              <w:t>。</w:t>
            </w:r>
          </w:p>
        </w:tc>
      </w:tr>
      <w:tr w14:paraId="4F4C3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75" w:type="dxa"/>
            <w:vAlign w:val="center"/>
          </w:tcPr>
          <w:p w14:paraId="31D5DC47">
            <w:pPr>
              <w:adjustRightInd w:val="0"/>
              <w:snapToGrid w:val="0"/>
              <w:ind w:firstLine="0" w:firstLineChars="0"/>
              <w:jc w:val="center"/>
              <w:rPr>
                <w:color w:val="auto"/>
                <w:kern w:val="0"/>
                <w:sz w:val="24"/>
              </w:rPr>
            </w:pPr>
            <w:r>
              <w:rPr>
                <w:color w:val="auto"/>
                <w:kern w:val="0"/>
                <w:sz w:val="24"/>
              </w:rPr>
              <w:t>环境</w:t>
            </w:r>
          </w:p>
          <w:p w14:paraId="682BA4C1">
            <w:pPr>
              <w:adjustRightInd w:val="0"/>
              <w:snapToGrid w:val="0"/>
              <w:ind w:firstLine="0" w:firstLineChars="0"/>
              <w:jc w:val="center"/>
              <w:rPr>
                <w:color w:val="auto"/>
                <w:kern w:val="0"/>
                <w:sz w:val="24"/>
              </w:rPr>
            </w:pPr>
            <w:r>
              <w:rPr>
                <w:color w:val="auto"/>
                <w:kern w:val="0"/>
                <w:sz w:val="24"/>
              </w:rPr>
              <w:t>保护</w:t>
            </w:r>
          </w:p>
          <w:p w14:paraId="3D4F310E">
            <w:pPr>
              <w:adjustRightInd w:val="0"/>
              <w:snapToGrid w:val="0"/>
              <w:ind w:firstLine="0" w:firstLineChars="0"/>
              <w:jc w:val="center"/>
              <w:rPr>
                <w:color w:val="auto"/>
                <w:kern w:val="0"/>
                <w:sz w:val="24"/>
              </w:rPr>
            </w:pPr>
            <w:r>
              <w:rPr>
                <w:color w:val="auto"/>
                <w:kern w:val="0"/>
                <w:sz w:val="24"/>
              </w:rPr>
              <w:t>目标</w:t>
            </w:r>
          </w:p>
        </w:tc>
        <w:tc>
          <w:tcPr>
            <w:tcW w:w="8686" w:type="dxa"/>
            <w:vAlign w:val="center"/>
          </w:tcPr>
          <w:p w14:paraId="24F96A80">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1、大气环境</w:t>
            </w:r>
          </w:p>
          <w:p w14:paraId="3C612F58">
            <w:pPr>
              <w:pStyle w:val="75"/>
              <w:adjustRightInd w:val="0"/>
              <w:spacing w:before="0" w:after="0" w:line="360" w:lineRule="auto"/>
              <w:ind w:firstLine="480"/>
              <w:rPr>
                <w:color w:val="auto"/>
              </w:rPr>
            </w:pPr>
            <w:r>
              <w:rPr>
                <w:color w:val="auto"/>
              </w:rPr>
              <w:t>评价范围为项目周边500m，评价范围内按《环境空气质量标准》（GB3096-2008）二类区标准进行保护。项目周边500m范围内有哨上大村一个环境空气保护目标，位于</w:t>
            </w:r>
            <w:r>
              <w:rPr>
                <w:rFonts w:hint="eastAsia"/>
                <w:color w:val="auto"/>
              </w:rPr>
              <w:t>扩建</w:t>
            </w:r>
            <w:r>
              <w:rPr>
                <w:color w:val="auto"/>
              </w:rPr>
              <w:t>项目西</w:t>
            </w:r>
            <w:r>
              <w:rPr>
                <w:rFonts w:hint="eastAsia"/>
                <w:color w:val="auto"/>
              </w:rPr>
              <w:t>南</w:t>
            </w:r>
            <w:r>
              <w:rPr>
                <w:color w:val="auto"/>
              </w:rPr>
              <w:t>侧</w:t>
            </w:r>
            <w:r>
              <w:rPr>
                <w:rFonts w:hint="eastAsia"/>
                <w:color w:val="auto"/>
              </w:rPr>
              <w:t>227</w:t>
            </w:r>
            <w:r>
              <w:rPr>
                <w:color w:val="auto"/>
              </w:rPr>
              <w:t>m处。</w:t>
            </w:r>
          </w:p>
          <w:p w14:paraId="0C44C2E0">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2、声环境</w:t>
            </w:r>
          </w:p>
          <w:p w14:paraId="1A6B50BC">
            <w:pPr>
              <w:pStyle w:val="18"/>
              <w:adjustRightInd w:val="0"/>
              <w:snapToGrid w:val="0"/>
              <w:spacing w:line="360" w:lineRule="auto"/>
              <w:ind w:firstLine="480"/>
              <w:jc w:val="both"/>
              <w:rPr>
                <w:color w:val="auto"/>
                <w:sz w:val="24"/>
              </w:rPr>
            </w:pPr>
            <w:r>
              <w:rPr>
                <w:color w:val="auto"/>
                <w:sz w:val="24"/>
              </w:rPr>
              <w:t>根据现场踏勘，项目厂界外周边50m范围内无声环境保护目标。</w:t>
            </w:r>
          </w:p>
          <w:p w14:paraId="0E7F2C90">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3、地表水</w:t>
            </w:r>
          </w:p>
          <w:p w14:paraId="4DCA2977">
            <w:pPr>
              <w:adjustRightInd w:val="0"/>
              <w:snapToGrid w:val="0"/>
              <w:spacing w:line="360" w:lineRule="auto"/>
              <w:ind w:firstLine="480"/>
              <w:rPr>
                <w:color w:val="auto"/>
                <w:sz w:val="24"/>
                <w:lang w:val="zh-CN"/>
              </w:rPr>
            </w:pPr>
            <w:r>
              <w:rPr>
                <w:color w:val="auto"/>
                <w:kern w:val="0"/>
                <w:sz w:val="24"/>
                <w:lang w:val="zh-CN"/>
              </w:rPr>
              <w:t>项目距离最近的地表水体为东南侧1966m处的三月三水库，</w:t>
            </w:r>
            <w:r>
              <w:rPr>
                <w:color w:val="auto"/>
                <w:sz w:val="24"/>
              </w:rPr>
              <w:t>西南侧2109m处为潘所海，潘所海地表水通过溶洞流入三月三水库；三月三水库由前进河出水，最终汇入牛栏江，属牛栏江支流。三月三水库及潘所海</w:t>
            </w:r>
            <w:r>
              <w:rPr>
                <w:color w:val="auto"/>
                <w:sz w:val="24"/>
                <w:lang w:val="zh-CN"/>
              </w:rPr>
              <w:t>参照</w:t>
            </w:r>
            <w:r>
              <w:rPr>
                <w:color w:val="auto"/>
                <w:sz w:val="24"/>
              </w:rPr>
              <w:t>牛栏江按照</w:t>
            </w:r>
            <w:r>
              <w:rPr>
                <w:color w:val="auto"/>
                <w:sz w:val="24"/>
                <w:lang w:val="zh-CN"/>
              </w:rPr>
              <w:t>《地表水环境质量标准》</w:t>
            </w:r>
            <w:r>
              <w:rPr>
                <w:color w:val="auto"/>
                <w:kern w:val="0"/>
                <w:sz w:val="24"/>
                <w:lang w:val="zh-CN"/>
              </w:rPr>
              <w:t>（GB3838-2002）中Ⅲ类水质标准</w:t>
            </w:r>
            <w:r>
              <w:rPr>
                <w:color w:val="auto"/>
                <w:kern w:val="0"/>
                <w:sz w:val="24"/>
              </w:rPr>
              <w:t>进行保护。</w:t>
            </w:r>
          </w:p>
          <w:p w14:paraId="1EAC0319">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4、地下水</w:t>
            </w:r>
          </w:p>
          <w:p w14:paraId="6A680345">
            <w:pPr>
              <w:pStyle w:val="18"/>
              <w:adjustRightInd w:val="0"/>
              <w:snapToGrid w:val="0"/>
              <w:spacing w:line="360" w:lineRule="auto"/>
              <w:ind w:firstLine="480"/>
              <w:jc w:val="both"/>
              <w:rPr>
                <w:color w:val="auto"/>
                <w:sz w:val="24"/>
              </w:rPr>
            </w:pPr>
            <w:r>
              <w:rPr>
                <w:color w:val="auto"/>
                <w:sz w:val="24"/>
              </w:rPr>
              <w:t>根据现场踏勘，项目厂界外500m范围内无地下水集中式饮用水水源和热水、矿泉水、温泉等特殊地下水资源</w:t>
            </w:r>
            <w:r>
              <w:rPr>
                <w:rFonts w:hint="eastAsia"/>
                <w:color w:val="auto"/>
                <w:sz w:val="24"/>
                <w:lang w:eastAsia="zh-CN"/>
              </w:rPr>
              <w:t>，</w:t>
            </w:r>
            <w:r>
              <w:rPr>
                <w:rFonts w:hint="eastAsia"/>
                <w:color w:val="auto"/>
                <w:sz w:val="24"/>
                <w:lang w:val="en-US" w:eastAsia="zh-CN"/>
              </w:rPr>
              <w:t>不涉及地下水保护目标</w:t>
            </w:r>
            <w:r>
              <w:rPr>
                <w:color w:val="auto"/>
                <w:sz w:val="24"/>
              </w:rPr>
              <w:t>。</w:t>
            </w:r>
          </w:p>
          <w:p w14:paraId="5F152268">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5、生态环境保护目标</w:t>
            </w:r>
          </w:p>
          <w:p w14:paraId="1BC12E43">
            <w:pPr>
              <w:pStyle w:val="18"/>
              <w:spacing w:line="360" w:lineRule="auto"/>
              <w:ind w:firstLine="480"/>
              <w:rPr>
                <w:bCs/>
                <w:color w:val="auto"/>
                <w:sz w:val="24"/>
              </w:rPr>
            </w:pPr>
            <w:r>
              <w:rPr>
                <w:bCs/>
                <w:color w:val="auto"/>
                <w:sz w:val="24"/>
              </w:rPr>
              <w:t>本项目</w:t>
            </w:r>
            <w:r>
              <w:rPr>
                <w:rFonts w:hint="eastAsia"/>
                <w:bCs/>
                <w:color w:val="auto"/>
                <w:sz w:val="24"/>
                <w:lang w:val="en-US" w:eastAsia="zh-CN"/>
              </w:rPr>
              <w:t>在原有项目现有的场地内建设，不新增占地，不涉及生态环境保护目标</w:t>
            </w:r>
            <w:r>
              <w:rPr>
                <w:bCs/>
                <w:color w:val="auto"/>
                <w:sz w:val="24"/>
              </w:rPr>
              <w:t>，</w:t>
            </w:r>
            <w:r>
              <w:rPr>
                <w:rFonts w:hint="eastAsia"/>
                <w:bCs/>
                <w:color w:val="auto"/>
                <w:sz w:val="24"/>
                <w:lang w:val="en-US" w:eastAsia="zh-CN"/>
              </w:rPr>
              <w:t>项目</w:t>
            </w:r>
            <w:r>
              <w:rPr>
                <w:bCs/>
                <w:color w:val="auto"/>
                <w:sz w:val="24"/>
              </w:rPr>
              <w:t>环境保护目标见下表。</w:t>
            </w:r>
          </w:p>
          <w:p w14:paraId="7CB4E0DA">
            <w:pPr>
              <w:widowControl/>
              <w:ind w:firstLine="422"/>
              <w:jc w:val="center"/>
              <w:rPr>
                <w:color w:val="auto"/>
                <w:szCs w:val="21"/>
              </w:rPr>
            </w:pPr>
            <w:r>
              <w:rPr>
                <w:b/>
                <w:bCs/>
                <w:color w:val="auto"/>
                <w:kern w:val="0"/>
                <w:szCs w:val="21"/>
                <w:lang w:bidi="ar"/>
              </w:rPr>
              <w:t>表3-</w:t>
            </w:r>
            <w:r>
              <w:rPr>
                <w:rFonts w:hint="eastAsia"/>
                <w:b/>
                <w:bCs/>
                <w:color w:val="auto"/>
                <w:kern w:val="0"/>
                <w:szCs w:val="21"/>
                <w:lang w:val="en-US" w:eastAsia="zh-CN" w:bidi="ar"/>
              </w:rPr>
              <w:t>5</w:t>
            </w:r>
            <w:r>
              <w:rPr>
                <w:rFonts w:hint="eastAsia"/>
                <w:b/>
                <w:bCs/>
                <w:color w:val="auto"/>
                <w:kern w:val="0"/>
                <w:szCs w:val="21"/>
                <w:lang w:bidi="ar"/>
              </w:rPr>
              <w:t xml:space="preserve">  </w:t>
            </w:r>
            <w:r>
              <w:rPr>
                <w:b/>
                <w:bCs/>
                <w:color w:val="auto"/>
                <w:kern w:val="0"/>
                <w:szCs w:val="21"/>
                <w:lang w:bidi="ar"/>
              </w:rPr>
              <w:t>环境保护目标表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954"/>
              <w:gridCol w:w="1132"/>
              <w:gridCol w:w="2251"/>
              <w:gridCol w:w="1039"/>
              <w:gridCol w:w="776"/>
            </w:tblGrid>
            <w:tr w14:paraId="23E4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54" w:type="pct"/>
                  <w:vAlign w:val="center"/>
                </w:tcPr>
                <w:p w14:paraId="423909E6">
                  <w:pPr>
                    <w:widowControl/>
                    <w:ind w:firstLine="0" w:firstLineChars="0"/>
                    <w:jc w:val="center"/>
                    <w:rPr>
                      <w:bCs/>
                      <w:color w:val="auto"/>
                      <w:sz w:val="24"/>
                    </w:rPr>
                  </w:pPr>
                  <w:r>
                    <w:rPr>
                      <w:b/>
                      <w:bCs/>
                      <w:color w:val="auto"/>
                      <w:kern w:val="0"/>
                      <w:sz w:val="20"/>
                      <w:szCs w:val="20"/>
                      <w:lang w:bidi="ar"/>
                    </w:rPr>
                    <w:t>环境要素</w:t>
                  </w:r>
                </w:p>
              </w:tc>
              <w:tc>
                <w:tcPr>
                  <w:tcW w:w="516" w:type="pct"/>
                  <w:vAlign w:val="center"/>
                </w:tcPr>
                <w:p w14:paraId="7C47F675">
                  <w:pPr>
                    <w:widowControl/>
                    <w:ind w:firstLine="0" w:firstLineChars="0"/>
                    <w:jc w:val="center"/>
                    <w:rPr>
                      <w:bCs/>
                      <w:color w:val="auto"/>
                      <w:sz w:val="24"/>
                    </w:rPr>
                  </w:pPr>
                  <w:r>
                    <w:rPr>
                      <w:b/>
                      <w:bCs/>
                      <w:color w:val="auto"/>
                      <w:kern w:val="0"/>
                      <w:sz w:val="20"/>
                      <w:szCs w:val="20"/>
                      <w:lang w:bidi="ar"/>
                    </w:rPr>
                    <w:t>名称</w:t>
                  </w:r>
                </w:p>
              </w:tc>
              <w:tc>
                <w:tcPr>
                  <w:tcW w:w="1155" w:type="pct"/>
                  <w:vAlign w:val="center"/>
                </w:tcPr>
                <w:p w14:paraId="494BC8D8">
                  <w:pPr>
                    <w:widowControl/>
                    <w:ind w:firstLine="0" w:firstLineChars="0"/>
                    <w:jc w:val="center"/>
                    <w:rPr>
                      <w:bCs/>
                      <w:color w:val="auto"/>
                      <w:sz w:val="24"/>
                    </w:rPr>
                  </w:pPr>
                  <w:r>
                    <w:rPr>
                      <w:b/>
                      <w:bCs/>
                      <w:color w:val="auto"/>
                      <w:kern w:val="0"/>
                      <w:sz w:val="20"/>
                      <w:szCs w:val="20"/>
                      <w:lang w:bidi="ar"/>
                    </w:rPr>
                    <w:t>坐标</w:t>
                  </w:r>
                </w:p>
              </w:tc>
              <w:tc>
                <w:tcPr>
                  <w:tcW w:w="669" w:type="pct"/>
                  <w:vAlign w:val="center"/>
                </w:tcPr>
                <w:p w14:paraId="0EAE7FB1">
                  <w:pPr>
                    <w:widowControl/>
                    <w:ind w:firstLine="0" w:firstLineChars="0"/>
                    <w:jc w:val="center"/>
                    <w:rPr>
                      <w:bCs/>
                      <w:color w:val="auto"/>
                      <w:sz w:val="24"/>
                    </w:rPr>
                  </w:pPr>
                  <w:r>
                    <w:rPr>
                      <w:b/>
                      <w:bCs/>
                      <w:color w:val="auto"/>
                      <w:kern w:val="0"/>
                      <w:sz w:val="20"/>
                      <w:szCs w:val="20"/>
                      <w:lang w:bidi="ar"/>
                    </w:rPr>
                    <w:t>保护对象/保护内容</w:t>
                  </w:r>
                </w:p>
              </w:tc>
              <w:tc>
                <w:tcPr>
                  <w:tcW w:w="1330" w:type="pct"/>
                  <w:vAlign w:val="center"/>
                </w:tcPr>
                <w:p w14:paraId="5E568A39">
                  <w:pPr>
                    <w:widowControl/>
                    <w:ind w:firstLine="0" w:firstLineChars="0"/>
                    <w:jc w:val="center"/>
                    <w:rPr>
                      <w:bCs/>
                      <w:color w:val="auto"/>
                      <w:sz w:val="24"/>
                    </w:rPr>
                  </w:pPr>
                  <w:r>
                    <w:rPr>
                      <w:b/>
                      <w:bCs/>
                      <w:color w:val="auto"/>
                      <w:kern w:val="0"/>
                      <w:sz w:val="20"/>
                      <w:szCs w:val="20"/>
                      <w:lang w:bidi="ar"/>
                    </w:rPr>
                    <w:t>环境功能区</w:t>
                  </w:r>
                </w:p>
              </w:tc>
              <w:tc>
                <w:tcPr>
                  <w:tcW w:w="614" w:type="pct"/>
                  <w:vAlign w:val="center"/>
                </w:tcPr>
                <w:p w14:paraId="0B1ED074">
                  <w:pPr>
                    <w:widowControl/>
                    <w:ind w:firstLine="0" w:firstLineChars="0"/>
                    <w:jc w:val="center"/>
                    <w:rPr>
                      <w:bCs/>
                      <w:color w:val="auto"/>
                      <w:sz w:val="24"/>
                    </w:rPr>
                  </w:pPr>
                  <w:r>
                    <w:rPr>
                      <w:b/>
                      <w:bCs/>
                      <w:color w:val="auto"/>
                      <w:kern w:val="0"/>
                      <w:sz w:val="20"/>
                      <w:szCs w:val="20"/>
                      <w:lang w:bidi="ar"/>
                    </w:rPr>
                    <w:t>相对厂址方位</w:t>
                  </w:r>
                </w:p>
              </w:tc>
              <w:tc>
                <w:tcPr>
                  <w:tcW w:w="458" w:type="pct"/>
                  <w:vAlign w:val="center"/>
                </w:tcPr>
                <w:p w14:paraId="0100BD6F">
                  <w:pPr>
                    <w:widowControl/>
                    <w:ind w:firstLine="0" w:firstLineChars="0"/>
                    <w:jc w:val="center"/>
                    <w:rPr>
                      <w:bCs/>
                      <w:color w:val="auto"/>
                      <w:sz w:val="24"/>
                    </w:rPr>
                  </w:pPr>
                  <w:r>
                    <w:rPr>
                      <w:b/>
                      <w:bCs/>
                      <w:color w:val="auto"/>
                      <w:kern w:val="0"/>
                      <w:sz w:val="20"/>
                      <w:szCs w:val="20"/>
                      <w:lang w:bidi="ar"/>
                    </w:rPr>
                    <w:t>相对厂界距离/m</w:t>
                  </w:r>
                </w:p>
              </w:tc>
            </w:tr>
            <w:tr w14:paraId="5BAB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Align w:val="center"/>
                </w:tcPr>
                <w:p w14:paraId="76962866">
                  <w:pPr>
                    <w:widowControl/>
                    <w:ind w:firstLine="0" w:firstLineChars="0"/>
                    <w:jc w:val="center"/>
                    <w:rPr>
                      <w:bCs/>
                      <w:color w:val="auto"/>
                    </w:rPr>
                  </w:pPr>
                  <w:r>
                    <w:rPr>
                      <w:color w:val="auto"/>
                      <w:kern w:val="0"/>
                      <w:szCs w:val="20"/>
                      <w:lang w:bidi="ar"/>
                    </w:rPr>
                    <w:t>环境空气</w:t>
                  </w:r>
                </w:p>
              </w:tc>
              <w:tc>
                <w:tcPr>
                  <w:tcW w:w="516" w:type="pct"/>
                  <w:vAlign w:val="center"/>
                </w:tcPr>
                <w:p w14:paraId="16E1901D">
                  <w:pPr>
                    <w:ind w:firstLine="0" w:firstLineChars="0"/>
                    <w:jc w:val="center"/>
                    <w:rPr>
                      <w:bCs/>
                      <w:color w:val="auto"/>
                    </w:rPr>
                  </w:pPr>
                  <w:r>
                    <w:rPr>
                      <w:color w:val="auto"/>
                    </w:rPr>
                    <w:t>哨上大村</w:t>
                  </w:r>
                </w:p>
              </w:tc>
              <w:tc>
                <w:tcPr>
                  <w:tcW w:w="1155" w:type="pct"/>
                  <w:vAlign w:val="center"/>
                </w:tcPr>
                <w:p w14:paraId="4125A6E3">
                  <w:pPr>
                    <w:pStyle w:val="18"/>
                    <w:ind w:firstLine="0" w:firstLineChars="0"/>
                    <w:jc w:val="center"/>
                    <w:rPr>
                      <w:bCs/>
                      <w:color w:val="auto"/>
                    </w:rPr>
                  </w:pPr>
                  <w:r>
                    <w:rPr>
                      <w:color w:val="auto"/>
                      <w:kern w:val="0"/>
                    </w:rPr>
                    <w:t>E103°12′57.23931″,N25°33′2.05641″</w:t>
                  </w:r>
                </w:p>
              </w:tc>
              <w:tc>
                <w:tcPr>
                  <w:tcW w:w="669" w:type="pct"/>
                  <w:vAlign w:val="center"/>
                </w:tcPr>
                <w:p w14:paraId="24B3B527">
                  <w:pPr>
                    <w:pStyle w:val="18"/>
                    <w:ind w:firstLine="0" w:firstLineChars="0"/>
                    <w:jc w:val="center"/>
                    <w:rPr>
                      <w:bCs/>
                      <w:color w:val="auto"/>
                    </w:rPr>
                  </w:pPr>
                  <w:r>
                    <w:rPr>
                      <w:bCs/>
                      <w:color w:val="auto"/>
                    </w:rPr>
                    <w:t>居民</w:t>
                  </w:r>
                </w:p>
              </w:tc>
              <w:tc>
                <w:tcPr>
                  <w:tcW w:w="1330" w:type="pct"/>
                  <w:vAlign w:val="center"/>
                </w:tcPr>
                <w:p w14:paraId="5FFFD7B5">
                  <w:pPr>
                    <w:pStyle w:val="18"/>
                    <w:ind w:firstLine="0" w:firstLineChars="0"/>
                    <w:jc w:val="center"/>
                    <w:rPr>
                      <w:bCs/>
                      <w:color w:val="auto"/>
                    </w:rPr>
                  </w:pPr>
                  <w:r>
                    <w:rPr>
                      <w:bCs/>
                      <w:color w:val="auto"/>
                      <w:szCs w:val="21"/>
                    </w:rPr>
                    <w:t>满足《环境空气质量标准》（GB3095-201）二级标准</w:t>
                  </w:r>
                </w:p>
              </w:tc>
              <w:tc>
                <w:tcPr>
                  <w:tcW w:w="614" w:type="pct"/>
                  <w:vAlign w:val="center"/>
                </w:tcPr>
                <w:p w14:paraId="3F5B29A1">
                  <w:pPr>
                    <w:pStyle w:val="18"/>
                    <w:ind w:firstLine="0" w:firstLineChars="0"/>
                    <w:jc w:val="center"/>
                    <w:rPr>
                      <w:bCs/>
                      <w:color w:val="auto"/>
                    </w:rPr>
                  </w:pPr>
                  <w:r>
                    <w:rPr>
                      <w:color w:val="auto"/>
                    </w:rPr>
                    <w:t>西</w:t>
                  </w:r>
                  <w:r>
                    <w:rPr>
                      <w:rFonts w:hint="eastAsia"/>
                      <w:color w:val="auto"/>
                    </w:rPr>
                    <w:t>南</w:t>
                  </w:r>
                </w:p>
              </w:tc>
              <w:tc>
                <w:tcPr>
                  <w:tcW w:w="458" w:type="pct"/>
                  <w:vAlign w:val="center"/>
                </w:tcPr>
                <w:p w14:paraId="3A710C9C">
                  <w:pPr>
                    <w:ind w:firstLine="0" w:firstLineChars="0"/>
                    <w:jc w:val="center"/>
                    <w:rPr>
                      <w:bCs/>
                      <w:color w:val="auto"/>
                    </w:rPr>
                  </w:pPr>
                  <w:r>
                    <w:rPr>
                      <w:rFonts w:hint="eastAsia"/>
                      <w:color w:val="auto"/>
                    </w:rPr>
                    <w:t>227</w:t>
                  </w:r>
                </w:p>
              </w:tc>
            </w:tr>
            <w:tr w14:paraId="0ABB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restart"/>
                  <w:vAlign w:val="center"/>
                </w:tcPr>
                <w:p w14:paraId="6E686C33">
                  <w:pPr>
                    <w:pStyle w:val="18"/>
                    <w:ind w:firstLine="0" w:firstLineChars="0"/>
                    <w:jc w:val="center"/>
                    <w:rPr>
                      <w:bCs/>
                      <w:color w:val="auto"/>
                    </w:rPr>
                  </w:pPr>
                  <w:r>
                    <w:rPr>
                      <w:color w:val="auto"/>
                      <w:szCs w:val="21"/>
                    </w:rPr>
                    <w:t>地表水</w:t>
                  </w:r>
                </w:p>
              </w:tc>
              <w:tc>
                <w:tcPr>
                  <w:tcW w:w="516" w:type="pct"/>
                  <w:vAlign w:val="center"/>
                </w:tcPr>
                <w:p w14:paraId="5AC05CCE">
                  <w:pPr>
                    <w:pStyle w:val="36"/>
                    <w:ind w:firstLine="0" w:firstLineChars="0"/>
                    <w:jc w:val="center"/>
                    <w:rPr>
                      <w:bCs/>
                      <w:color w:val="auto"/>
                    </w:rPr>
                  </w:pPr>
                  <w:r>
                    <w:rPr>
                      <w:color w:val="auto"/>
                      <w:szCs w:val="21"/>
                    </w:rPr>
                    <w:t>三月三水库</w:t>
                  </w:r>
                </w:p>
              </w:tc>
              <w:tc>
                <w:tcPr>
                  <w:tcW w:w="1155" w:type="pct"/>
                  <w:vAlign w:val="center"/>
                </w:tcPr>
                <w:p w14:paraId="08592DF4">
                  <w:pPr>
                    <w:pStyle w:val="18"/>
                    <w:ind w:firstLine="0" w:firstLineChars="0"/>
                    <w:jc w:val="center"/>
                    <w:rPr>
                      <w:bCs/>
                      <w:color w:val="auto"/>
                    </w:rPr>
                  </w:pPr>
                  <w:r>
                    <w:rPr>
                      <w:color w:val="auto"/>
                      <w:kern w:val="0"/>
                    </w:rPr>
                    <w:t>E</w:t>
                  </w:r>
                  <w:r>
                    <w:rPr>
                      <w:bCs/>
                      <w:color w:val="auto"/>
                    </w:rPr>
                    <w:t>103°14′24.37462″,</w:t>
                  </w:r>
                  <w:r>
                    <w:rPr>
                      <w:color w:val="auto"/>
                      <w:kern w:val="0"/>
                    </w:rPr>
                    <w:t>N</w:t>
                  </w:r>
                  <w:r>
                    <w:rPr>
                      <w:bCs/>
                      <w:color w:val="auto"/>
                    </w:rPr>
                    <w:t>25°32′34.05415″</w:t>
                  </w:r>
                </w:p>
              </w:tc>
              <w:tc>
                <w:tcPr>
                  <w:tcW w:w="669" w:type="pct"/>
                  <w:vAlign w:val="center"/>
                </w:tcPr>
                <w:p w14:paraId="1FD154A5">
                  <w:pPr>
                    <w:widowControl/>
                    <w:ind w:firstLine="0" w:firstLineChars="0"/>
                    <w:jc w:val="center"/>
                    <w:rPr>
                      <w:bCs/>
                      <w:color w:val="auto"/>
                    </w:rPr>
                  </w:pPr>
                  <w:r>
                    <w:rPr>
                      <w:color w:val="auto"/>
                      <w:kern w:val="0"/>
                      <w:szCs w:val="20"/>
                      <w:lang w:bidi="ar"/>
                    </w:rPr>
                    <w:t>地表水</w:t>
                  </w:r>
                </w:p>
              </w:tc>
              <w:tc>
                <w:tcPr>
                  <w:tcW w:w="1330" w:type="pct"/>
                  <w:vMerge w:val="restart"/>
                  <w:vAlign w:val="center"/>
                </w:tcPr>
                <w:p w14:paraId="0044777A">
                  <w:pPr>
                    <w:pStyle w:val="18"/>
                    <w:ind w:firstLine="0" w:firstLineChars="0"/>
                    <w:jc w:val="center"/>
                    <w:rPr>
                      <w:bCs/>
                      <w:color w:val="auto"/>
                    </w:rPr>
                  </w:pPr>
                  <w:r>
                    <w:rPr>
                      <w:color w:val="auto"/>
                      <w:szCs w:val="21"/>
                      <w:lang w:val="zh-CN"/>
                    </w:rPr>
                    <w:t>《地表水环境质量标准》</w:t>
                  </w:r>
                  <w:r>
                    <w:rPr>
                      <w:color w:val="auto"/>
                      <w:kern w:val="0"/>
                      <w:szCs w:val="21"/>
                      <w:lang w:val="zh-CN"/>
                    </w:rPr>
                    <w:t>（GB3838-2002）中Ⅲ类标准</w:t>
                  </w:r>
                </w:p>
              </w:tc>
              <w:tc>
                <w:tcPr>
                  <w:tcW w:w="614" w:type="pct"/>
                  <w:vAlign w:val="center"/>
                </w:tcPr>
                <w:p w14:paraId="620A8B53">
                  <w:pPr>
                    <w:pStyle w:val="36"/>
                    <w:ind w:firstLine="0" w:firstLineChars="0"/>
                    <w:jc w:val="center"/>
                    <w:rPr>
                      <w:bCs/>
                      <w:color w:val="auto"/>
                    </w:rPr>
                  </w:pPr>
                  <w:r>
                    <w:rPr>
                      <w:color w:val="auto"/>
                      <w:szCs w:val="21"/>
                    </w:rPr>
                    <w:t>东南</w:t>
                  </w:r>
                </w:p>
              </w:tc>
              <w:tc>
                <w:tcPr>
                  <w:tcW w:w="458" w:type="pct"/>
                  <w:vAlign w:val="center"/>
                </w:tcPr>
                <w:p w14:paraId="4E2BDB73">
                  <w:pPr>
                    <w:pStyle w:val="36"/>
                    <w:ind w:firstLine="0" w:firstLineChars="0"/>
                    <w:jc w:val="center"/>
                    <w:rPr>
                      <w:bCs/>
                      <w:color w:val="auto"/>
                    </w:rPr>
                  </w:pPr>
                  <w:r>
                    <w:rPr>
                      <w:color w:val="auto"/>
                      <w:kern w:val="0"/>
                      <w:lang w:val="zh-CN"/>
                    </w:rPr>
                    <w:t>1966</w:t>
                  </w:r>
                </w:p>
              </w:tc>
            </w:tr>
            <w:tr w14:paraId="0CB3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vMerge w:val="continue"/>
                  <w:vAlign w:val="center"/>
                </w:tcPr>
                <w:p w14:paraId="7EF0D42C">
                  <w:pPr>
                    <w:pStyle w:val="18"/>
                    <w:ind w:firstLine="0" w:firstLineChars="0"/>
                    <w:jc w:val="center"/>
                    <w:rPr>
                      <w:color w:val="auto"/>
                      <w:szCs w:val="21"/>
                    </w:rPr>
                  </w:pPr>
                </w:p>
              </w:tc>
              <w:tc>
                <w:tcPr>
                  <w:tcW w:w="516" w:type="pct"/>
                  <w:vAlign w:val="center"/>
                </w:tcPr>
                <w:p w14:paraId="60FCD18C">
                  <w:pPr>
                    <w:pStyle w:val="36"/>
                    <w:ind w:firstLine="0" w:firstLineChars="0"/>
                    <w:jc w:val="center"/>
                    <w:rPr>
                      <w:bCs/>
                      <w:color w:val="auto"/>
                    </w:rPr>
                  </w:pPr>
                  <w:r>
                    <w:rPr>
                      <w:color w:val="auto"/>
                      <w:szCs w:val="21"/>
                    </w:rPr>
                    <w:t>潘所海</w:t>
                  </w:r>
                </w:p>
              </w:tc>
              <w:tc>
                <w:tcPr>
                  <w:tcW w:w="1155" w:type="pct"/>
                  <w:vAlign w:val="center"/>
                </w:tcPr>
                <w:p w14:paraId="6645357A">
                  <w:pPr>
                    <w:pStyle w:val="18"/>
                    <w:ind w:firstLine="0" w:firstLineChars="0"/>
                    <w:jc w:val="center"/>
                    <w:rPr>
                      <w:bCs/>
                      <w:color w:val="auto"/>
                    </w:rPr>
                  </w:pPr>
                  <w:r>
                    <w:rPr>
                      <w:color w:val="auto"/>
                      <w:kern w:val="0"/>
                    </w:rPr>
                    <w:t>E103°12′23.40485″,N25°32′5.54978″</w:t>
                  </w:r>
                </w:p>
              </w:tc>
              <w:tc>
                <w:tcPr>
                  <w:tcW w:w="669" w:type="pct"/>
                  <w:vAlign w:val="center"/>
                </w:tcPr>
                <w:p w14:paraId="2C22CB7D">
                  <w:pPr>
                    <w:widowControl/>
                    <w:ind w:firstLine="0" w:firstLineChars="0"/>
                    <w:jc w:val="center"/>
                    <w:rPr>
                      <w:bCs/>
                      <w:color w:val="auto"/>
                    </w:rPr>
                  </w:pPr>
                  <w:r>
                    <w:rPr>
                      <w:color w:val="auto"/>
                      <w:kern w:val="0"/>
                      <w:szCs w:val="20"/>
                      <w:lang w:bidi="ar"/>
                    </w:rPr>
                    <w:t>地表水</w:t>
                  </w:r>
                </w:p>
              </w:tc>
              <w:tc>
                <w:tcPr>
                  <w:tcW w:w="1330" w:type="pct"/>
                  <w:vMerge w:val="continue"/>
                  <w:vAlign w:val="center"/>
                </w:tcPr>
                <w:p w14:paraId="031BF255">
                  <w:pPr>
                    <w:pStyle w:val="18"/>
                    <w:ind w:firstLine="0" w:firstLineChars="0"/>
                    <w:jc w:val="center"/>
                    <w:rPr>
                      <w:color w:val="auto"/>
                      <w:szCs w:val="21"/>
                      <w:lang w:val="zh-CN"/>
                    </w:rPr>
                  </w:pPr>
                </w:p>
              </w:tc>
              <w:tc>
                <w:tcPr>
                  <w:tcW w:w="614" w:type="pct"/>
                  <w:vAlign w:val="center"/>
                </w:tcPr>
                <w:p w14:paraId="6CAE3240">
                  <w:pPr>
                    <w:pStyle w:val="36"/>
                    <w:ind w:firstLine="0" w:firstLineChars="0"/>
                    <w:jc w:val="center"/>
                    <w:rPr>
                      <w:bCs/>
                      <w:color w:val="auto"/>
                    </w:rPr>
                  </w:pPr>
                  <w:r>
                    <w:rPr>
                      <w:color w:val="auto"/>
                      <w:szCs w:val="21"/>
                    </w:rPr>
                    <w:t>西南</w:t>
                  </w:r>
                </w:p>
              </w:tc>
              <w:tc>
                <w:tcPr>
                  <w:tcW w:w="458" w:type="pct"/>
                  <w:vAlign w:val="center"/>
                </w:tcPr>
                <w:p w14:paraId="1D31DEBD">
                  <w:pPr>
                    <w:pStyle w:val="36"/>
                    <w:ind w:firstLine="0" w:firstLineChars="0"/>
                    <w:jc w:val="center"/>
                    <w:rPr>
                      <w:bCs/>
                      <w:color w:val="auto"/>
                    </w:rPr>
                  </w:pPr>
                  <w:r>
                    <w:rPr>
                      <w:color w:val="auto"/>
                    </w:rPr>
                    <w:t>2109</w:t>
                  </w:r>
                </w:p>
              </w:tc>
            </w:tr>
          </w:tbl>
          <w:p w14:paraId="0E00997F">
            <w:pPr>
              <w:pStyle w:val="18"/>
              <w:spacing w:line="360" w:lineRule="auto"/>
              <w:ind w:firstLine="480"/>
              <w:rPr>
                <w:bCs/>
                <w:color w:val="auto"/>
                <w:sz w:val="24"/>
              </w:rPr>
            </w:pPr>
          </w:p>
        </w:tc>
      </w:tr>
      <w:tr w14:paraId="330C8E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75" w:type="dxa"/>
            <w:tcMar>
              <w:left w:w="28" w:type="dxa"/>
              <w:right w:w="28" w:type="dxa"/>
            </w:tcMar>
            <w:vAlign w:val="center"/>
          </w:tcPr>
          <w:p w14:paraId="37041966">
            <w:pPr>
              <w:adjustRightInd w:val="0"/>
              <w:snapToGrid w:val="0"/>
              <w:ind w:firstLine="0" w:firstLineChars="0"/>
              <w:jc w:val="center"/>
              <w:rPr>
                <w:color w:val="auto"/>
                <w:kern w:val="0"/>
                <w:sz w:val="24"/>
              </w:rPr>
            </w:pPr>
            <w:r>
              <w:rPr>
                <w:color w:val="auto"/>
                <w:kern w:val="0"/>
                <w:sz w:val="24"/>
              </w:rPr>
              <w:t>污染</w:t>
            </w:r>
          </w:p>
          <w:p w14:paraId="1C511DC0">
            <w:pPr>
              <w:adjustRightInd w:val="0"/>
              <w:snapToGrid w:val="0"/>
              <w:ind w:firstLine="0" w:firstLineChars="0"/>
              <w:jc w:val="center"/>
              <w:rPr>
                <w:color w:val="auto"/>
                <w:kern w:val="0"/>
                <w:sz w:val="24"/>
              </w:rPr>
            </w:pPr>
            <w:r>
              <w:rPr>
                <w:color w:val="auto"/>
                <w:kern w:val="0"/>
                <w:sz w:val="24"/>
              </w:rPr>
              <w:t>物排</w:t>
            </w:r>
          </w:p>
          <w:p w14:paraId="7E2A9CEC">
            <w:pPr>
              <w:adjustRightInd w:val="0"/>
              <w:snapToGrid w:val="0"/>
              <w:ind w:firstLine="0" w:firstLineChars="0"/>
              <w:jc w:val="center"/>
              <w:rPr>
                <w:color w:val="auto"/>
                <w:kern w:val="0"/>
                <w:sz w:val="24"/>
              </w:rPr>
            </w:pPr>
            <w:r>
              <w:rPr>
                <w:color w:val="auto"/>
                <w:kern w:val="0"/>
                <w:sz w:val="24"/>
              </w:rPr>
              <w:t>放控</w:t>
            </w:r>
          </w:p>
          <w:p w14:paraId="391875FE">
            <w:pPr>
              <w:adjustRightInd w:val="0"/>
              <w:snapToGrid w:val="0"/>
              <w:ind w:firstLine="0" w:firstLineChars="0"/>
              <w:jc w:val="center"/>
              <w:rPr>
                <w:color w:val="auto"/>
                <w:kern w:val="0"/>
                <w:sz w:val="24"/>
              </w:rPr>
            </w:pPr>
            <w:r>
              <w:rPr>
                <w:color w:val="auto"/>
                <w:kern w:val="0"/>
                <w:sz w:val="24"/>
              </w:rPr>
              <w:t>制标</w:t>
            </w:r>
          </w:p>
          <w:p w14:paraId="4A2046CB">
            <w:pPr>
              <w:adjustRightInd w:val="0"/>
              <w:snapToGrid w:val="0"/>
              <w:ind w:firstLine="0" w:firstLineChars="0"/>
              <w:jc w:val="center"/>
              <w:rPr>
                <w:color w:val="auto"/>
                <w:kern w:val="0"/>
                <w:sz w:val="24"/>
              </w:rPr>
            </w:pPr>
            <w:r>
              <w:rPr>
                <w:color w:val="auto"/>
                <w:kern w:val="0"/>
                <w:sz w:val="24"/>
              </w:rPr>
              <w:t>准</w:t>
            </w:r>
          </w:p>
        </w:tc>
        <w:tc>
          <w:tcPr>
            <w:tcW w:w="8686" w:type="dxa"/>
            <w:vAlign w:val="center"/>
          </w:tcPr>
          <w:p w14:paraId="23F39085">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1、废气</w:t>
            </w:r>
          </w:p>
          <w:p w14:paraId="05AE187F">
            <w:pPr>
              <w:adjustRightInd w:val="0"/>
              <w:snapToGrid w:val="0"/>
              <w:spacing w:line="360" w:lineRule="auto"/>
              <w:ind w:firstLine="480"/>
              <w:rPr>
                <w:color w:val="auto"/>
                <w:sz w:val="24"/>
              </w:rPr>
            </w:pPr>
            <w:r>
              <w:rPr>
                <w:color w:val="auto"/>
                <w:sz w:val="24"/>
              </w:rPr>
              <w:t>（1）施工期</w:t>
            </w:r>
          </w:p>
          <w:p w14:paraId="634A2AF5">
            <w:pPr>
              <w:spacing w:line="360" w:lineRule="auto"/>
              <w:ind w:firstLine="480"/>
              <w:rPr>
                <w:b/>
                <w:color w:val="auto"/>
                <w:sz w:val="24"/>
              </w:rPr>
            </w:pPr>
            <w:r>
              <w:rPr>
                <w:color w:val="auto"/>
                <w:sz w:val="24"/>
              </w:rPr>
              <w:t>施工期无组织粉尘执行《大气污染物综合排放标准》（GB16297-1996）表2中颗粒物无组织排放监控浓度限值要求。</w:t>
            </w:r>
          </w:p>
          <w:p w14:paraId="09126108">
            <w:pPr>
              <w:ind w:firstLine="0" w:firstLineChars="0"/>
              <w:jc w:val="center"/>
              <w:rPr>
                <w:b/>
                <w:bCs/>
                <w:color w:val="auto"/>
                <w:szCs w:val="21"/>
              </w:rPr>
            </w:pPr>
          </w:p>
          <w:p w14:paraId="58CBFA4B">
            <w:pPr>
              <w:ind w:firstLine="0" w:firstLineChars="0"/>
              <w:jc w:val="center"/>
              <w:rPr>
                <w:b/>
                <w:bCs/>
                <w:color w:val="auto"/>
                <w:szCs w:val="21"/>
              </w:rPr>
            </w:pPr>
            <w:r>
              <w:rPr>
                <w:b/>
                <w:bCs/>
                <w:color w:val="auto"/>
                <w:szCs w:val="21"/>
              </w:rPr>
              <w:t>表3-</w:t>
            </w:r>
            <w:r>
              <w:rPr>
                <w:rFonts w:hint="eastAsia"/>
                <w:b/>
                <w:bCs/>
                <w:color w:val="auto"/>
                <w:szCs w:val="21"/>
                <w:lang w:val="en-US" w:eastAsia="zh-CN"/>
              </w:rPr>
              <w:t>6</w:t>
            </w:r>
            <w:r>
              <w:rPr>
                <w:b/>
                <w:bCs/>
                <w:color w:val="auto"/>
                <w:szCs w:val="21"/>
              </w:rPr>
              <w:t xml:space="preserve">   无组织颗粒物排放标准</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2682"/>
              <w:gridCol w:w="3500"/>
            </w:tblGrid>
            <w:tr w14:paraId="7A69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vAlign w:val="center"/>
                </w:tcPr>
                <w:p w14:paraId="2ACD0382">
                  <w:pPr>
                    <w:ind w:firstLine="0" w:firstLineChars="0"/>
                    <w:jc w:val="center"/>
                    <w:rPr>
                      <w:b/>
                      <w:bCs/>
                      <w:color w:val="auto"/>
                    </w:rPr>
                  </w:pPr>
                  <w:r>
                    <w:rPr>
                      <w:b/>
                      <w:bCs/>
                      <w:color w:val="auto"/>
                    </w:rPr>
                    <w:t>污染物</w:t>
                  </w:r>
                </w:p>
              </w:tc>
              <w:tc>
                <w:tcPr>
                  <w:tcW w:w="3654" w:type="pct"/>
                  <w:gridSpan w:val="2"/>
                  <w:vAlign w:val="center"/>
                </w:tcPr>
                <w:p w14:paraId="4A5E6EB1">
                  <w:pPr>
                    <w:ind w:firstLine="0" w:firstLineChars="0"/>
                    <w:jc w:val="center"/>
                    <w:rPr>
                      <w:b/>
                      <w:bCs/>
                      <w:color w:val="auto"/>
                    </w:rPr>
                  </w:pPr>
                  <w:r>
                    <w:rPr>
                      <w:b/>
                      <w:bCs/>
                      <w:color w:val="auto"/>
                    </w:rPr>
                    <w:t>无组织排放监控浓度限值</w:t>
                  </w:r>
                </w:p>
              </w:tc>
            </w:tr>
            <w:tr w14:paraId="5AE6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vAlign w:val="center"/>
                </w:tcPr>
                <w:p w14:paraId="04519156">
                  <w:pPr>
                    <w:ind w:firstLine="0" w:firstLineChars="0"/>
                    <w:jc w:val="center"/>
                    <w:rPr>
                      <w:b/>
                      <w:bCs/>
                      <w:color w:val="auto"/>
                    </w:rPr>
                  </w:pPr>
                </w:p>
              </w:tc>
              <w:tc>
                <w:tcPr>
                  <w:tcW w:w="1585" w:type="pct"/>
                  <w:vAlign w:val="center"/>
                </w:tcPr>
                <w:p w14:paraId="3D252B9C">
                  <w:pPr>
                    <w:ind w:firstLine="0" w:firstLineChars="0"/>
                    <w:jc w:val="center"/>
                    <w:rPr>
                      <w:b/>
                      <w:bCs/>
                      <w:color w:val="auto"/>
                    </w:rPr>
                  </w:pPr>
                  <w:r>
                    <w:rPr>
                      <w:b/>
                      <w:bCs/>
                      <w:color w:val="auto"/>
                    </w:rPr>
                    <w:t>监控点</w:t>
                  </w:r>
                </w:p>
              </w:tc>
              <w:tc>
                <w:tcPr>
                  <w:tcW w:w="2068" w:type="pct"/>
                  <w:vAlign w:val="center"/>
                </w:tcPr>
                <w:p w14:paraId="25D2D163">
                  <w:pPr>
                    <w:ind w:firstLine="0" w:firstLineChars="0"/>
                    <w:jc w:val="center"/>
                    <w:rPr>
                      <w:b/>
                      <w:bCs/>
                      <w:color w:val="auto"/>
                    </w:rPr>
                  </w:pPr>
                  <w:r>
                    <w:rPr>
                      <w:b/>
                      <w:bCs/>
                      <w:color w:val="auto"/>
                    </w:rPr>
                    <w:t>浓度（mg/m</w:t>
                  </w:r>
                  <w:r>
                    <w:rPr>
                      <w:b/>
                      <w:bCs/>
                      <w:color w:val="auto"/>
                      <w:vertAlign w:val="superscript"/>
                    </w:rPr>
                    <w:t>3</w:t>
                  </w:r>
                  <w:r>
                    <w:rPr>
                      <w:b/>
                      <w:bCs/>
                      <w:color w:val="auto"/>
                    </w:rPr>
                    <w:t>）</w:t>
                  </w:r>
                </w:p>
              </w:tc>
            </w:tr>
            <w:tr w14:paraId="4125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vAlign w:val="center"/>
                </w:tcPr>
                <w:p w14:paraId="0E14A607">
                  <w:pPr>
                    <w:ind w:firstLine="0" w:firstLineChars="0"/>
                    <w:jc w:val="center"/>
                    <w:rPr>
                      <w:color w:val="auto"/>
                    </w:rPr>
                  </w:pPr>
                  <w:r>
                    <w:rPr>
                      <w:color w:val="auto"/>
                    </w:rPr>
                    <w:t>颗粒物</w:t>
                  </w:r>
                </w:p>
              </w:tc>
              <w:tc>
                <w:tcPr>
                  <w:tcW w:w="1585" w:type="pct"/>
                  <w:vAlign w:val="center"/>
                </w:tcPr>
                <w:p w14:paraId="1C52FCA7">
                  <w:pPr>
                    <w:ind w:firstLine="0" w:firstLineChars="0"/>
                    <w:jc w:val="center"/>
                    <w:rPr>
                      <w:color w:val="auto"/>
                    </w:rPr>
                  </w:pPr>
                  <w:r>
                    <w:rPr>
                      <w:color w:val="auto"/>
                    </w:rPr>
                    <w:t>周界外浓度最高点</w:t>
                  </w:r>
                </w:p>
              </w:tc>
              <w:tc>
                <w:tcPr>
                  <w:tcW w:w="2068" w:type="pct"/>
                  <w:vAlign w:val="center"/>
                </w:tcPr>
                <w:p w14:paraId="494336B6">
                  <w:pPr>
                    <w:ind w:firstLine="0" w:firstLineChars="0"/>
                    <w:jc w:val="center"/>
                    <w:rPr>
                      <w:color w:val="auto"/>
                    </w:rPr>
                  </w:pPr>
                  <w:r>
                    <w:rPr>
                      <w:color w:val="auto"/>
                    </w:rPr>
                    <w:t>1.0</w:t>
                  </w:r>
                </w:p>
              </w:tc>
            </w:tr>
          </w:tbl>
          <w:p w14:paraId="58D71291">
            <w:pPr>
              <w:adjustRightInd w:val="0"/>
              <w:snapToGrid w:val="0"/>
              <w:spacing w:line="360" w:lineRule="auto"/>
              <w:ind w:firstLine="480"/>
              <w:textAlignment w:val="baseline"/>
              <w:rPr>
                <w:color w:val="auto"/>
                <w:sz w:val="24"/>
              </w:rPr>
            </w:pPr>
            <w:r>
              <w:rPr>
                <w:color w:val="auto"/>
                <w:sz w:val="24"/>
              </w:rPr>
              <w:t>（2）运营期</w:t>
            </w:r>
          </w:p>
          <w:p w14:paraId="1F4F467D">
            <w:pPr>
              <w:pStyle w:val="119"/>
              <w:ind w:firstLine="480"/>
              <w:rPr>
                <w:color w:val="auto"/>
                <w:szCs w:val="24"/>
              </w:rPr>
            </w:pPr>
            <w:r>
              <w:rPr>
                <w:color w:val="auto"/>
                <w:szCs w:val="24"/>
              </w:rPr>
              <w:t>1）粉尘</w:t>
            </w:r>
          </w:p>
          <w:p w14:paraId="7CADCBD8">
            <w:pPr>
              <w:pStyle w:val="119"/>
              <w:ind w:firstLine="480"/>
              <w:rPr>
                <w:color w:val="auto"/>
                <w:szCs w:val="24"/>
              </w:rPr>
            </w:pPr>
            <w:r>
              <w:rPr>
                <w:color w:val="auto"/>
                <w:szCs w:val="24"/>
              </w:rPr>
              <w:t>根据GB4915-2013《水泥工业大气污染物排放标准》，水泥制品生产包括预拌混凝土、砂浆和混凝土预制件的生产，不包括水泥用于施工现场搅拌的过程。本项目为商品混凝土搅拌站项目，属于预拌混凝土的生产，因此，可执行GB4915-2013《水泥工业大气污染物排放标准》中“散装水泥中转站及水泥制品生产”排放标准。</w:t>
            </w:r>
          </w:p>
          <w:p w14:paraId="66DB50B6">
            <w:pPr>
              <w:pStyle w:val="119"/>
              <w:ind w:firstLine="480"/>
              <w:rPr>
                <w:color w:val="auto"/>
                <w:szCs w:val="24"/>
              </w:rPr>
            </w:pPr>
            <w:r>
              <w:rPr>
                <w:color w:val="auto"/>
                <w:szCs w:val="24"/>
              </w:rPr>
              <w:t>①有组织废气</w:t>
            </w:r>
          </w:p>
          <w:p w14:paraId="74676612">
            <w:pPr>
              <w:pStyle w:val="26"/>
              <w:adjustRightInd w:val="0"/>
              <w:snapToGrid w:val="0"/>
              <w:spacing w:line="341" w:lineRule="auto"/>
              <w:ind w:firstLine="480"/>
              <w:rPr>
                <w:rFonts w:ascii="Times New Roman" w:hAnsi="Times New Roman"/>
                <w:color w:val="auto"/>
              </w:rPr>
            </w:pPr>
            <w:r>
              <w:rPr>
                <w:rFonts w:ascii="Times New Roman" w:hAnsi="Times New Roman"/>
                <w:color w:val="auto"/>
                <w:sz w:val="24"/>
              </w:rPr>
              <w:t>本项目生产线各生产设备（设施）排气筒废气执行GB4915-2013《水泥工业大气污染物排放标准》中的相关规定。排气筒高度应不低于15m，排气筒高度应高出本体建筑物3m以上。排气筒标准值见表3-</w:t>
            </w:r>
            <w:r>
              <w:rPr>
                <w:rFonts w:hint="eastAsia" w:ascii="Times New Roman" w:hAnsi="Times New Roman"/>
                <w:color w:val="auto"/>
                <w:sz w:val="24"/>
                <w:lang w:val="en-US" w:eastAsia="zh-CN"/>
              </w:rPr>
              <w:t>7</w:t>
            </w:r>
            <w:r>
              <w:rPr>
                <w:rFonts w:ascii="Times New Roman" w:hAnsi="Times New Roman"/>
                <w:color w:val="auto"/>
                <w:sz w:val="24"/>
              </w:rPr>
              <w:t>。</w:t>
            </w:r>
          </w:p>
          <w:p w14:paraId="0EBD88E3">
            <w:pPr>
              <w:pStyle w:val="26"/>
              <w:adjustRightInd w:val="0"/>
              <w:snapToGrid w:val="0"/>
              <w:spacing w:line="341" w:lineRule="auto"/>
              <w:ind w:firstLine="0" w:firstLineChars="0"/>
              <w:jc w:val="center"/>
              <w:rPr>
                <w:rFonts w:ascii="Times New Roman" w:hAnsi="Times New Roman"/>
                <w:b/>
                <w:color w:val="auto"/>
                <w:lang w:val="zh-CN"/>
              </w:rPr>
            </w:pPr>
            <w:r>
              <w:rPr>
                <w:rFonts w:ascii="Times New Roman" w:hAnsi="Times New Roman"/>
                <w:b/>
                <w:color w:val="auto"/>
                <w:lang w:val="zh-CN"/>
              </w:rPr>
              <w:t>表3-</w:t>
            </w:r>
            <w:r>
              <w:rPr>
                <w:rFonts w:hint="eastAsia" w:ascii="Times New Roman" w:hAnsi="Times New Roman"/>
                <w:b/>
                <w:color w:val="auto"/>
                <w:lang w:val="en-US" w:eastAsia="zh-CN"/>
              </w:rPr>
              <w:t>7</w:t>
            </w:r>
            <w:r>
              <w:rPr>
                <w:rFonts w:hint="eastAsia" w:ascii="Times New Roman" w:hAnsi="Times New Roman"/>
                <w:b/>
                <w:color w:val="auto"/>
              </w:rPr>
              <w:t xml:space="preserve">   </w:t>
            </w:r>
            <w:r>
              <w:rPr>
                <w:rFonts w:ascii="Times New Roman" w:hAnsi="Times New Roman"/>
                <w:b/>
                <w:color w:val="auto"/>
                <w:lang w:val="zh-CN"/>
              </w:rPr>
              <w:t>水泥工业大气污染物排放标准（单位mg/m</w:t>
            </w:r>
            <w:r>
              <w:rPr>
                <w:rFonts w:ascii="Times New Roman" w:hAnsi="Times New Roman"/>
                <w:b/>
                <w:color w:val="auto"/>
                <w:vertAlign w:val="superscript"/>
                <w:lang w:val="zh-CN"/>
              </w:rPr>
              <w:t>3</w:t>
            </w:r>
            <w:r>
              <w:rPr>
                <w:rFonts w:ascii="Times New Roman" w:hAnsi="Times New Roman"/>
                <w:b/>
                <w:color w:val="auto"/>
                <w:lang w:val="zh-CN"/>
              </w:rPr>
              <w:t>）</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2251"/>
              <w:gridCol w:w="1199"/>
              <w:gridCol w:w="1199"/>
              <w:gridCol w:w="1671"/>
            </w:tblGrid>
            <w:tr w14:paraId="72A7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63" w:type="pct"/>
                  <w:tcBorders>
                    <w:top w:val="single" w:color="auto" w:sz="4" w:space="0"/>
                    <w:left w:val="single" w:color="auto" w:sz="4" w:space="0"/>
                    <w:bottom w:val="single" w:color="auto" w:sz="4" w:space="0"/>
                    <w:right w:val="single" w:color="auto" w:sz="4" w:space="0"/>
                  </w:tcBorders>
                  <w:vAlign w:val="center"/>
                </w:tcPr>
                <w:p w14:paraId="29DDA714">
                  <w:pPr>
                    <w:pStyle w:val="120"/>
                    <w:ind w:firstLine="0" w:firstLineChars="0"/>
                    <w:rPr>
                      <w:b/>
                      <w:bCs/>
                      <w:color w:val="auto"/>
                    </w:rPr>
                  </w:pPr>
                  <w:r>
                    <w:rPr>
                      <w:b/>
                      <w:bCs/>
                      <w:color w:val="auto"/>
                    </w:rPr>
                    <w:t>生产过程</w:t>
                  </w:r>
                </w:p>
              </w:tc>
              <w:tc>
                <w:tcPr>
                  <w:tcW w:w="1330" w:type="pct"/>
                  <w:tcBorders>
                    <w:top w:val="single" w:color="auto" w:sz="4" w:space="0"/>
                    <w:left w:val="single" w:color="auto" w:sz="4" w:space="0"/>
                    <w:bottom w:val="single" w:color="auto" w:sz="4" w:space="0"/>
                    <w:right w:val="single" w:color="auto" w:sz="4" w:space="0"/>
                  </w:tcBorders>
                  <w:vAlign w:val="center"/>
                </w:tcPr>
                <w:p w14:paraId="10CB9226">
                  <w:pPr>
                    <w:pStyle w:val="120"/>
                    <w:ind w:firstLine="0" w:firstLineChars="0"/>
                    <w:rPr>
                      <w:b/>
                      <w:bCs/>
                      <w:color w:val="auto"/>
                    </w:rPr>
                  </w:pPr>
                  <w:r>
                    <w:rPr>
                      <w:b/>
                      <w:bCs/>
                      <w:color w:val="auto"/>
                    </w:rPr>
                    <w:t>生产设备</w:t>
                  </w:r>
                </w:p>
              </w:tc>
              <w:tc>
                <w:tcPr>
                  <w:tcW w:w="709" w:type="pct"/>
                  <w:tcBorders>
                    <w:top w:val="single" w:color="auto" w:sz="4" w:space="0"/>
                    <w:left w:val="single" w:color="auto" w:sz="4" w:space="0"/>
                    <w:bottom w:val="single" w:color="auto" w:sz="4" w:space="0"/>
                    <w:right w:val="single" w:color="auto" w:sz="4" w:space="0"/>
                  </w:tcBorders>
                  <w:vAlign w:val="center"/>
                </w:tcPr>
                <w:p w14:paraId="7C327533">
                  <w:pPr>
                    <w:pStyle w:val="120"/>
                    <w:ind w:firstLine="0" w:firstLineChars="0"/>
                    <w:rPr>
                      <w:b/>
                      <w:bCs/>
                      <w:color w:val="auto"/>
                    </w:rPr>
                  </w:pPr>
                  <w:r>
                    <w:rPr>
                      <w:b/>
                      <w:bCs/>
                      <w:color w:val="auto"/>
                    </w:rPr>
                    <w:t>颗粒物</w:t>
                  </w:r>
                </w:p>
              </w:tc>
              <w:tc>
                <w:tcPr>
                  <w:tcW w:w="709" w:type="pct"/>
                  <w:tcBorders>
                    <w:top w:val="single" w:color="auto" w:sz="4" w:space="0"/>
                    <w:left w:val="single" w:color="auto" w:sz="4" w:space="0"/>
                    <w:bottom w:val="single" w:color="auto" w:sz="4" w:space="0"/>
                    <w:right w:val="single" w:color="auto" w:sz="4" w:space="0"/>
                  </w:tcBorders>
                  <w:vAlign w:val="center"/>
                </w:tcPr>
                <w:p w14:paraId="5E630C8D">
                  <w:pPr>
                    <w:pStyle w:val="120"/>
                    <w:ind w:firstLine="0" w:firstLineChars="0"/>
                    <w:rPr>
                      <w:b/>
                      <w:bCs/>
                      <w:color w:val="auto"/>
                    </w:rPr>
                  </w:pPr>
                  <w:r>
                    <w:rPr>
                      <w:b/>
                      <w:bCs/>
                      <w:color w:val="auto"/>
                    </w:rPr>
                    <w:t>二氧化硫</w:t>
                  </w:r>
                </w:p>
              </w:tc>
              <w:tc>
                <w:tcPr>
                  <w:tcW w:w="988" w:type="pct"/>
                  <w:tcBorders>
                    <w:top w:val="single" w:color="auto" w:sz="4" w:space="0"/>
                    <w:left w:val="single" w:color="auto" w:sz="4" w:space="0"/>
                    <w:bottom w:val="single" w:color="auto" w:sz="4" w:space="0"/>
                    <w:right w:val="single" w:color="auto" w:sz="4" w:space="0"/>
                  </w:tcBorders>
                  <w:vAlign w:val="center"/>
                </w:tcPr>
                <w:p w14:paraId="71ED4FA4">
                  <w:pPr>
                    <w:pStyle w:val="120"/>
                    <w:ind w:firstLine="0" w:firstLineChars="0"/>
                    <w:rPr>
                      <w:b/>
                      <w:bCs/>
                      <w:color w:val="auto"/>
                    </w:rPr>
                  </w:pPr>
                  <w:r>
                    <w:rPr>
                      <w:b/>
                      <w:bCs/>
                      <w:color w:val="auto"/>
                    </w:rPr>
                    <w:t>氮氧化物</w:t>
                  </w:r>
                </w:p>
                <w:p w14:paraId="1F969797">
                  <w:pPr>
                    <w:pStyle w:val="120"/>
                    <w:ind w:firstLine="0" w:firstLineChars="0"/>
                    <w:rPr>
                      <w:b/>
                      <w:bCs/>
                      <w:color w:val="auto"/>
                    </w:rPr>
                  </w:pPr>
                  <w:r>
                    <w:rPr>
                      <w:b/>
                      <w:bCs/>
                      <w:color w:val="auto"/>
                    </w:rPr>
                    <w:t>（以NO</w:t>
                  </w:r>
                  <w:r>
                    <w:rPr>
                      <w:b/>
                      <w:bCs/>
                      <w:color w:val="auto"/>
                      <w:vertAlign w:val="subscript"/>
                    </w:rPr>
                    <w:t>2</w:t>
                  </w:r>
                  <w:r>
                    <w:rPr>
                      <w:b/>
                      <w:bCs/>
                      <w:color w:val="auto"/>
                    </w:rPr>
                    <w:t>计）</w:t>
                  </w:r>
                </w:p>
              </w:tc>
            </w:tr>
            <w:tr w14:paraId="4A14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63" w:type="pct"/>
                  <w:tcBorders>
                    <w:top w:val="single" w:color="auto" w:sz="4" w:space="0"/>
                    <w:left w:val="single" w:color="auto" w:sz="4" w:space="0"/>
                    <w:bottom w:val="single" w:color="auto" w:sz="4" w:space="0"/>
                    <w:right w:val="single" w:color="auto" w:sz="4" w:space="0"/>
                  </w:tcBorders>
                  <w:vAlign w:val="center"/>
                </w:tcPr>
                <w:p w14:paraId="0169D6C9">
                  <w:pPr>
                    <w:pStyle w:val="120"/>
                    <w:ind w:firstLine="0" w:firstLineChars="0"/>
                    <w:rPr>
                      <w:color w:val="auto"/>
                    </w:rPr>
                  </w:pPr>
                  <w:r>
                    <w:rPr>
                      <w:color w:val="auto"/>
                    </w:rPr>
                    <w:t>散装水泥中转站及水制品生产</w:t>
                  </w:r>
                </w:p>
              </w:tc>
              <w:tc>
                <w:tcPr>
                  <w:tcW w:w="1330" w:type="pct"/>
                  <w:tcBorders>
                    <w:top w:val="single" w:color="auto" w:sz="4" w:space="0"/>
                    <w:left w:val="single" w:color="auto" w:sz="4" w:space="0"/>
                    <w:bottom w:val="single" w:color="auto" w:sz="4" w:space="0"/>
                    <w:right w:val="single" w:color="auto" w:sz="4" w:space="0"/>
                  </w:tcBorders>
                  <w:vAlign w:val="center"/>
                </w:tcPr>
                <w:p w14:paraId="56FB30C6">
                  <w:pPr>
                    <w:pStyle w:val="120"/>
                    <w:ind w:firstLine="0" w:firstLineChars="0"/>
                    <w:rPr>
                      <w:color w:val="auto"/>
                    </w:rPr>
                  </w:pPr>
                  <w:r>
                    <w:rPr>
                      <w:color w:val="auto"/>
                    </w:rPr>
                    <w:t>水泥仓及其他通风生产设备</w:t>
                  </w:r>
                </w:p>
              </w:tc>
              <w:tc>
                <w:tcPr>
                  <w:tcW w:w="709" w:type="pct"/>
                  <w:tcBorders>
                    <w:top w:val="single" w:color="auto" w:sz="4" w:space="0"/>
                    <w:left w:val="single" w:color="auto" w:sz="4" w:space="0"/>
                    <w:bottom w:val="single" w:color="auto" w:sz="4" w:space="0"/>
                    <w:right w:val="single" w:color="auto" w:sz="4" w:space="0"/>
                  </w:tcBorders>
                  <w:vAlign w:val="center"/>
                </w:tcPr>
                <w:p w14:paraId="1A9923FD">
                  <w:pPr>
                    <w:pStyle w:val="120"/>
                    <w:ind w:firstLine="0" w:firstLineChars="0"/>
                    <w:rPr>
                      <w:color w:val="auto"/>
                    </w:rPr>
                  </w:pPr>
                  <w:r>
                    <w:rPr>
                      <w:color w:val="auto"/>
                    </w:rPr>
                    <w:t>20</w:t>
                  </w:r>
                </w:p>
              </w:tc>
              <w:tc>
                <w:tcPr>
                  <w:tcW w:w="709" w:type="pct"/>
                  <w:tcBorders>
                    <w:top w:val="single" w:color="auto" w:sz="4" w:space="0"/>
                    <w:left w:val="single" w:color="auto" w:sz="4" w:space="0"/>
                    <w:bottom w:val="single" w:color="auto" w:sz="4" w:space="0"/>
                    <w:right w:val="single" w:color="auto" w:sz="4" w:space="0"/>
                  </w:tcBorders>
                  <w:vAlign w:val="center"/>
                </w:tcPr>
                <w:p w14:paraId="1CA405B0">
                  <w:pPr>
                    <w:pStyle w:val="120"/>
                    <w:ind w:firstLine="0" w:firstLineChars="0"/>
                    <w:rPr>
                      <w:color w:val="auto"/>
                    </w:rPr>
                  </w:pPr>
                  <w:r>
                    <w:rPr>
                      <w:color w:val="auto"/>
                    </w:rPr>
                    <w:t>—</w:t>
                  </w:r>
                </w:p>
              </w:tc>
              <w:tc>
                <w:tcPr>
                  <w:tcW w:w="988" w:type="pct"/>
                  <w:tcBorders>
                    <w:top w:val="single" w:color="auto" w:sz="4" w:space="0"/>
                    <w:left w:val="single" w:color="auto" w:sz="4" w:space="0"/>
                    <w:bottom w:val="single" w:color="auto" w:sz="4" w:space="0"/>
                    <w:right w:val="single" w:color="auto" w:sz="4" w:space="0"/>
                  </w:tcBorders>
                  <w:vAlign w:val="center"/>
                </w:tcPr>
                <w:p w14:paraId="13AD8531">
                  <w:pPr>
                    <w:pStyle w:val="120"/>
                    <w:ind w:firstLine="0" w:firstLineChars="0"/>
                    <w:rPr>
                      <w:color w:val="auto"/>
                    </w:rPr>
                  </w:pPr>
                  <w:r>
                    <w:rPr>
                      <w:color w:val="auto"/>
                    </w:rPr>
                    <w:t>—</w:t>
                  </w:r>
                </w:p>
              </w:tc>
            </w:tr>
          </w:tbl>
          <w:p w14:paraId="154714D8">
            <w:pPr>
              <w:pStyle w:val="119"/>
              <w:ind w:firstLine="480"/>
              <w:rPr>
                <w:color w:val="auto"/>
              </w:rPr>
            </w:pPr>
            <w:r>
              <w:rPr>
                <w:color w:val="auto"/>
              </w:rPr>
              <w:t>②无组织废气</w:t>
            </w:r>
          </w:p>
          <w:p w14:paraId="0F1CEB88">
            <w:pPr>
              <w:pStyle w:val="119"/>
              <w:ind w:firstLine="480"/>
              <w:rPr>
                <w:color w:val="auto"/>
              </w:rPr>
            </w:pPr>
            <w:r>
              <w:rPr>
                <w:color w:val="auto"/>
              </w:rPr>
              <w:t>本项目营运期料场、骨料输送、粉料筒仓、</w:t>
            </w:r>
            <w:r>
              <w:rPr>
                <w:rFonts w:hint="eastAsia"/>
                <w:color w:val="auto"/>
              </w:rPr>
              <w:t>拌合站</w:t>
            </w:r>
            <w:r>
              <w:rPr>
                <w:color w:val="auto"/>
              </w:rPr>
              <w:t>及道路运输等产生的无组织粉尘执行GB4915-2013《水泥工业大气污染物排放标准》中监控点浓度限值要，具体限值见表3-</w:t>
            </w:r>
            <w:r>
              <w:rPr>
                <w:rFonts w:hint="eastAsia"/>
                <w:color w:val="auto"/>
                <w:lang w:val="en-US" w:eastAsia="zh-CN"/>
              </w:rPr>
              <w:t>8</w:t>
            </w:r>
            <w:r>
              <w:rPr>
                <w:color w:val="auto"/>
              </w:rPr>
              <w:t>。</w:t>
            </w:r>
          </w:p>
          <w:p w14:paraId="22604277">
            <w:pPr>
              <w:tabs>
                <w:tab w:val="left" w:pos="630"/>
              </w:tabs>
              <w:ind w:firstLine="422"/>
              <w:jc w:val="center"/>
              <w:rPr>
                <w:b/>
                <w:bCs/>
                <w:color w:val="auto"/>
              </w:rPr>
            </w:pPr>
            <w:r>
              <w:rPr>
                <w:b/>
                <w:bCs/>
                <w:color w:val="auto"/>
              </w:rPr>
              <w:t>表3-</w:t>
            </w:r>
            <w:r>
              <w:rPr>
                <w:rFonts w:hint="eastAsia"/>
                <w:b/>
                <w:bCs/>
                <w:color w:val="auto"/>
                <w:lang w:val="en-US" w:eastAsia="zh-CN"/>
              </w:rPr>
              <w:t>8</w:t>
            </w:r>
            <w:r>
              <w:rPr>
                <w:rFonts w:hint="eastAsia"/>
                <w:b/>
                <w:bCs/>
                <w:color w:val="auto"/>
              </w:rPr>
              <w:t xml:space="preserve">   </w:t>
            </w:r>
            <w:r>
              <w:rPr>
                <w:b/>
                <w:bCs/>
                <w:color w:val="auto"/>
              </w:rPr>
              <w:t>水泥工业大气污染物排放标准（单位mg/m</w:t>
            </w:r>
            <w:r>
              <w:rPr>
                <w:b/>
                <w:bCs/>
                <w:color w:val="auto"/>
                <w:vertAlign w:val="superscript"/>
              </w:rPr>
              <w:t>3</w:t>
            </w:r>
            <w:r>
              <w:rPr>
                <w:b/>
                <w:bCs/>
                <w:color w:val="auto"/>
              </w:rPr>
              <w:t>）</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008"/>
              <w:gridCol w:w="3241"/>
              <w:gridCol w:w="2787"/>
            </w:tblGrid>
            <w:tr w14:paraId="51C6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0" w:type="pct"/>
                  <w:tcBorders>
                    <w:top w:val="single" w:color="auto" w:sz="4" w:space="0"/>
                    <w:left w:val="single" w:color="auto" w:sz="4" w:space="0"/>
                    <w:bottom w:val="single" w:color="auto" w:sz="4" w:space="0"/>
                    <w:right w:val="single" w:color="auto" w:sz="4" w:space="0"/>
                  </w:tcBorders>
                  <w:vAlign w:val="center"/>
                </w:tcPr>
                <w:p w14:paraId="1F523247">
                  <w:pPr>
                    <w:pStyle w:val="120"/>
                    <w:ind w:firstLine="0" w:firstLineChars="0"/>
                    <w:rPr>
                      <w:b/>
                      <w:bCs/>
                      <w:color w:val="auto"/>
                    </w:rPr>
                  </w:pPr>
                  <w:r>
                    <w:rPr>
                      <w:b/>
                      <w:bCs/>
                      <w:color w:val="auto"/>
                    </w:rPr>
                    <w:t>污染物项目</w:t>
                  </w:r>
                </w:p>
              </w:tc>
              <w:tc>
                <w:tcPr>
                  <w:tcW w:w="596" w:type="pct"/>
                  <w:tcBorders>
                    <w:top w:val="single" w:color="auto" w:sz="4" w:space="0"/>
                    <w:left w:val="single" w:color="auto" w:sz="4" w:space="0"/>
                    <w:bottom w:val="single" w:color="auto" w:sz="4" w:space="0"/>
                    <w:right w:val="single" w:color="auto" w:sz="4" w:space="0"/>
                  </w:tcBorders>
                  <w:vAlign w:val="center"/>
                </w:tcPr>
                <w:p w14:paraId="726DF08A">
                  <w:pPr>
                    <w:pStyle w:val="120"/>
                    <w:ind w:firstLine="0" w:firstLineChars="0"/>
                    <w:rPr>
                      <w:b/>
                      <w:bCs/>
                      <w:color w:val="auto"/>
                    </w:rPr>
                  </w:pPr>
                  <w:r>
                    <w:rPr>
                      <w:b/>
                      <w:bCs/>
                      <w:color w:val="auto"/>
                    </w:rPr>
                    <w:t>限值</w:t>
                  </w:r>
                </w:p>
              </w:tc>
              <w:tc>
                <w:tcPr>
                  <w:tcW w:w="1915" w:type="pct"/>
                  <w:tcBorders>
                    <w:top w:val="single" w:color="auto" w:sz="4" w:space="0"/>
                    <w:left w:val="single" w:color="auto" w:sz="4" w:space="0"/>
                    <w:bottom w:val="single" w:color="auto" w:sz="4" w:space="0"/>
                    <w:right w:val="single" w:color="auto" w:sz="4" w:space="0"/>
                  </w:tcBorders>
                  <w:vAlign w:val="center"/>
                </w:tcPr>
                <w:p w14:paraId="64C761D4">
                  <w:pPr>
                    <w:pStyle w:val="120"/>
                    <w:ind w:firstLine="0" w:firstLineChars="0"/>
                    <w:rPr>
                      <w:b/>
                      <w:bCs/>
                      <w:color w:val="auto"/>
                    </w:rPr>
                  </w:pPr>
                  <w:r>
                    <w:rPr>
                      <w:b/>
                      <w:bCs/>
                      <w:color w:val="auto"/>
                    </w:rPr>
                    <w:t>限值含义</w:t>
                  </w:r>
                </w:p>
              </w:tc>
              <w:tc>
                <w:tcPr>
                  <w:tcW w:w="1647" w:type="pct"/>
                  <w:tcBorders>
                    <w:top w:val="single" w:color="auto" w:sz="4" w:space="0"/>
                    <w:left w:val="single" w:color="auto" w:sz="4" w:space="0"/>
                    <w:bottom w:val="single" w:color="auto" w:sz="4" w:space="0"/>
                    <w:right w:val="single" w:color="auto" w:sz="4" w:space="0"/>
                  </w:tcBorders>
                  <w:vAlign w:val="center"/>
                </w:tcPr>
                <w:p w14:paraId="243459DD">
                  <w:pPr>
                    <w:pStyle w:val="120"/>
                    <w:ind w:firstLine="0" w:firstLineChars="0"/>
                    <w:rPr>
                      <w:b/>
                      <w:bCs/>
                      <w:color w:val="auto"/>
                    </w:rPr>
                  </w:pPr>
                  <w:r>
                    <w:rPr>
                      <w:b/>
                      <w:bCs/>
                      <w:color w:val="auto"/>
                    </w:rPr>
                    <w:t>无组织排放监控位置</w:t>
                  </w:r>
                </w:p>
              </w:tc>
            </w:tr>
            <w:tr w14:paraId="0783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0" w:type="pct"/>
                  <w:tcBorders>
                    <w:top w:val="single" w:color="auto" w:sz="4" w:space="0"/>
                    <w:left w:val="single" w:color="auto" w:sz="4" w:space="0"/>
                    <w:bottom w:val="single" w:color="auto" w:sz="4" w:space="0"/>
                    <w:right w:val="single" w:color="auto" w:sz="4" w:space="0"/>
                  </w:tcBorders>
                  <w:vAlign w:val="center"/>
                </w:tcPr>
                <w:p w14:paraId="14D56AE1">
                  <w:pPr>
                    <w:pStyle w:val="120"/>
                    <w:ind w:firstLine="0" w:firstLineChars="0"/>
                    <w:rPr>
                      <w:color w:val="auto"/>
                    </w:rPr>
                  </w:pPr>
                  <w:r>
                    <w:rPr>
                      <w:color w:val="auto"/>
                    </w:rPr>
                    <w:t>颗粒物</w:t>
                  </w:r>
                </w:p>
              </w:tc>
              <w:tc>
                <w:tcPr>
                  <w:tcW w:w="596" w:type="pct"/>
                  <w:tcBorders>
                    <w:top w:val="single" w:color="auto" w:sz="4" w:space="0"/>
                    <w:left w:val="single" w:color="auto" w:sz="4" w:space="0"/>
                    <w:bottom w:val="single" w:color="auto" w:sz="4" w:space="0"/>
                    <w:right w:val="single" w:color="auto" w:sz="4" w:space="0"/>
                  </w:tcBorders>
                  <w:vAlign w:val="center"/>
                </w:tcPr>
                <w:p w14:paraId="5BCC819A">
                  <w:pPr>
                    <w:pStyle w:val="120"/>
                    <w:ind w:firstLine="0" w:firstLineChars="0"/>
                    <w:rPr>
                      <w:color w:val="auto"/>
                    </w:rPr>
                  </w:pPr>
                  <w:r>
                    <w:rPr>
                      <w:color w:val="auto"/>
                    </w:rPr>
                    <w:t>0.5</w:t>
                  </w:r>
                </w:p>
              </w:tc>
              <w:tc>
                <w:tcPr>
                  <w:tcW w:w="1915" w:type="pct"/>
                  <w:tcBorders>
                    <w:top w:val="single" w:color="auto" w:sz="4" w:space="0"/>
                    <w:left w:val="single" w:color="auto" w:sz="4" w:space="0"/>
                    <w:bottom w:val="single" w:color="auto" w:sz="4" w:space="0"/>
                    <w:right w:val="single" w:color="auto" w:sz="4" w:space="0"/>
                  </w:tcBorders>
                  <w:vAlign w:val="center"/>
                </w:tcPr>
                <w:p w14:paraId="40F3B9DE">
                  <w:pPr>
                    <w:pStyle w:val="120"/>
                    <w:ind w:firstLine="0" w:firstLineChars="0"/>
                    <w:rPr>
                      <w:color w:val="auto"/>
                    </w:rPr>
                  </w:pPr>
                  <w:r>
                    <w:rPr>
                      <w:color w:val="auto"/>
                    </w:rPr>
                    <w:t>监控点与参照点总悬浮颗粒物（TSP）1小时浓度值的差值</w:t>
                  </w:r>
                </w:p>
              </w:tc>
              <w:tc>
                <w:tcPr>
                  <w:tcW w:w="1647" w:type="pct"/>
                  <w:tcBorders>
                    <w:top w:val="single" w:color="auto" w:sz="4" w:space="0"/>
                    <w:left w:val="single" w:color="auto" w:sz="4" w:space="0"/>
                    <w:bottom w:val="single" w:color="auto" w:sz="4" w:space="0"/>
                    <w:right w:val="single" w:color="auto" w:sz="4" w:space="0"/>
                  </w:tcBorders>
                  <w:vAlign w:val="center"/>
                </w:tcPr>
                <w:p w14:paraId="65929E94">
                  <w:pPr>
                    <w:pStyle w:val="120"/>
                    <w:ind w:firstLine="0" w:firstLineChars="0"/>
                    <w:rPr>
                      <w:color w:val="auto"/>
                    </w:rPr>
                  </w:pPr>
                  <w:r>
                    <w:rPr>
                      <w:color w:val="auto"/>
                    </w:rPr>
                    <w:t>厂界外20m处上风向设置参照点，下风向设监控点</w:t>
                  </w:r>
                </w:p>
              </w:tc>
            </w:tr>
          </w:tbl>
          <w:p w14:paraId="054CC2DA">
            <w:pPr>
              <w:ind w:firstLine="0" w:firstLineChars="0"/>
              <w:rPr>
                <w:color w:val="auto"/>
              </w:rPr>
            </w:pPr>
          </w:p>
          <w:p w14:paraId="6F264877">
            <w:pPr>
              <w:pStyle w:val="26"/>
              <w:adjustRightInd w:val="0"/>
              <w:snapToGrid w:val="0"/>
              <w:spacing w:line="341" w:lineRule="auto"/>
              <w:ind w:firstLine="482"/>
              <w:rPr>
                <w:rFonts w:ascii="Times New Roman" w:hAnsi="Times New Roman"/>
                <w:b/>
                <w:bCs/>
                <w:color w:val="auto"/>
                <w:sz w:val="24"/>
              </w:rPr>
            </w:pPr>
            <w:r>
              <w:rPr>
                <w:rFonts w:ascii="Times New Roman" w:hAnsi="Times New Roman"/>
                <w:b/>
                <w:bCs/>
                <w:color w:val="auto"/>
                <w:sz w:val="24"/>
              </w:rPr>
              <w:t>2、废水</w:t>
            </w:r>
          </w:p>
          <w:p w14:paraId="40887A1A">
            <w:pPr>
              <w:spacing w:line="360" w:lineRule="auto"/>
              <w:ind w:firstLine="480"/>
              <w:rPr>
                <w:bCs/>
                <w:color w:val="auto"/>
                <w:sz w:val="24"/>
              </w:rPr>
            </w:pPr>
            <w:r>
              <w:rPr>
                <w:bCs/>
                <w:color w:val="auto"/>
                <w:sz w:val="24"/>
              </w:rPr>
              <w:t>施工期废水经沉淀处理后全部回用于施工场地洒水降尘，不外排，不涉及污染物排放标准。</w:t>
            </w:r>
          </w:p>
          <w:p w14:paraId="0FDB6550">
            <w:pPr>
              <w:spacing w:line="360" w:lineRule="auto"/>
              <w:ind w:firstLine="480"/>
              <w:rPr>
                <w:bCs/>
                <w:color w:val="auto"/>
                <w:sz w:val="24"/>
              </w:rPr>
            </w:pPr>
            <w:r>
              <w:rPr>
                <w:bCs/>
                <w:color w:val="auto"/>
                <w:sz w:val="24"/>
              </w:rPr>
              <w:t>污水：</w:t>
            </w:r>
            <w:r>
              <w:rPr>
                <w:rFonts w:hint="eastAsia"/>
                <w:bCs/>
                <w:color w:val="auto"/>
                <w:sz w:val="24"/>
                <w:lang w:val="en-US" w:eastAsia="zh-CN"/>
              </w:rPr>
              <w:t>本次扩建项目不新增生活污水，原有</w:t>
            </w:r>
            <w:r>
              <w:rPr>
                <w:bCs/>
                <w:color w:val="auto"/>
                <w:sz w:val="24"/>
              </w:rPr>
              <w:t>项目食堂废水、其他生活污水经隔油池处理后用于</w:t>
            </w:r>
            <w:r>
              <w:rPr>
                <w:rFonts w:hint="eastAsia"/>
                <w:bCs/>
                <w:color w:val="auto"/>
                <w:sz w:val="24"/>
                <w:lang w:val="en-US" w:eastAsia="zh-CN"/>
              </w:rPr>
              <w:t>农田施肥</w:t>
            </w:r>
            <w:r>
              <w:rPr>
                <w:bCs/>
                <w:color w:val="auto"/>
                <w:sz w:val="24"/>
              </w:rPr>
              <w:t>。项目搅拌机清洗废水混凝土运输车辆罐体内部及罐车外部清洗废水、</w:t>
            </w:r>
            <w:r>
              <w:rPr>
                <w:rFonts w:hint="eastAsia"/>
                <w:bCs/>
                <w:color w:val="auto"/>
                <w:sz w:val="24"/>
                <w:lang w:val="en-US" w:eastAsia="zh-CN"/>
              </w:rPr>
              <w:t>检验设备用水</w:t>
            </w:r>
            <w:r>
              <w:rPr>
                <w:bCs/>
                <w:color w:val="auto"/>
                <w:sz w:val="24"/>
              </w:rPr>
              <w:t>经厂区地势引导流入150m</w:t>
            </w:r>
            <w:r>
              <w:rPr>
                <w:bCs/>
                <w:color w:val="auto"/>
                <w:sz w:val="24"/>
                <w:vertAlign w:val="superscript"/>
              </w:rPr>
              <w:t>3</w:t>
            </w:r>
            <w:r>
              <w:rPr>
                <w:bCs/>
                <w:color w:val="auto"/>
                <w:sz w:val="24"/>
              </w:rPr>
              <w:t>沉淀池沉淀处理后回用于项目生产过程，不外排。标准值见表3-</w:t>
            </w:r>
            <w:r>
              <w:rPr>
                <w:rFonts w:hint="eastAsia"/>
                <w:bCs/>
                <w:color w:val="auto"/>
                <w:sz w:val="24"/>
              </w:rPr>
              <w:t>9</w:t>
            </w:r>
            <w:r>
              <w:rPr>
                <w:bCs/>
                <w:color w:val="auto"/>
                <w:sz w:val="24"/>
              </w:rPr>
              <w:t>。</w:t>
            </w:r>
          </w:p>
          <w:p w14:paraId="17993105">
            <w:pPr>
              <w:ind w:firstLine="0" w:firstLineChars="0"/>
              <w:jc w:val="center"/>
              <w:rPr>
                <w:b/>
                <w:bCs/>
                <w:color w:val="auto"/>
                <w:szCs w:val="21"/>
                <w:lang w:bidi="ar"/>
              </w:rPr>
            </w:pPr>
            <w:r>
              <w:rPr>
                <w:b/>
                <w:bCs/>
                <w:color w:val="auto"/>
                <w:szCs w:val="21"/>
                <w:lang w:bidi="ar"/>
              </w:rPr>
              <w:t>表3-</w:t>
            </w:r>
            <w:r>
              <w:rPr>
                <w:rFonts w:hint="eastAsia"/>
                <w:b/>
                <w:bCs/>
                <w:color w:val="auto"/>
                <w:szCs w:val="21"/>
                <w:lang w:bidi="ar"/>
              </w:rPr>
              <w:t xml:space="preserve">9   </w:t>
            </w:r>
            <w:r>
              <w:rPr>
                <w:b/>
                <w:bCs/>
                <w:color w:val="auto"/>
                <w:szCs w:val="21"/>
                <w:lang w:bidi="ar"/>
              </w:rPr>
              <w:t>《城市污水再生利用、城市杂用水水质》（GB/T18920-2020）单位：mg/L</w:t>
            </w:r>
          </w:p>
          <w:tbl>
            <w:tblPr>
              <w:tblStyle w:val="37"/>
              <w:tblW w:w="4999"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704"/>
              <w:gridCol w:w="4744"/>
            </w:tblGrid>
            <w:tr w14:paraId="180BA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04319AC7">
                  <w:pPr>
                    <w:tabs>
                      <w:tab w:val="left" w:pos="0"/>
                    </w:tabs>
                    <w:adjustRightInd w:val="0"/>
                    <w:snapToGrid w:val="0"/>
                    <w:ind w:firstLine="0" w:firstLineChars="0"/>
                    <w:jc w:val="center"/>
                    <w:rPr>
                      <w:b/>
                      <w:color w:val="auto"/>
                      <w:kern w:val="21"/>
                      <w:szCs w:val="21"/>
                    </w:rPr>
                  </w:pPr>
                  <w:r>
                    <w:rPr>
                      <w:b/>
                      <w:color w:val="auto"/>
                      <w:kern w:val="21"/>
                      <w:szCs w:val="21"/>
                    </w:rPr>
                    <w:t>基本控制项目</w:t>
                  </w:r>
                </w:p>
              </w:tc>
              <w:tc>
                <w:tcPr>
                  <w:tcW w:w="2807" w:type="pct"/>
                </w:tcPr>
                <w:p w14:paraId="5B120140">
                  <w:pPr>
                    <w:tabs>
                      <w:tab w:val="left" w:pos="0"/>
                    </w:tabs>
                    <w:adjustRightInd w:val="0"/>
                    <w:snapToGrid w:val="0"/>
                    <w:ind w:firstLine="0" w:firstLineChars="0"/>
                    <w:jc w:val="center"/>
                    <w:rPr>
                      <w:b/>
                      <w:color w:val="auto"/>
                      <w:kern w:val="21"/>
                      <w:szCs w:val="21"/>
                    </w:rPr>
                  </w:pPr>
                  <w:r>
                    <w:rPr>
                      <w:b/>
                      <w:color w:val="auto"/>
                      <w:kern w:val="21"/>
                      <w:szCs w:val="21"/>
                    </w:rPr>
                    <w:t>GB/T18920-2020中的建筑施工标准</w:t>
                  </w:r>
                </w:p>
              </w:tc>
            </w:tr>
            <w:tr w14:paraId="11F906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16CF2F65">
                  <w:pPr>
                    <w:tabs>
                      <w:tab w:val="left" w:pos="0"/>
                    </w:tabs>
                    <w:adjustRightInd w:val="0"/>
                    <w:snapToGrid w:val="0"/>
                    <w:ind w:firstLine="0" w:firstLineChars="0"/>
                    <w:jc w:val="center"/>
                    <w:rPr>
                      <w:bCs/>
                      <w:color w:val="auto"/>
                      <w:kern w:val="21"/>
                      <w:szCs w:val="21"/>
                    </w:rPr>
                  </w:pPr>
                  <w:r>
                    <w:rPr>
                      <w:bCs/>
                      <w:color w:val="auto"/>
                      <w:kern w:val="21"/>
                      <w:szCs w:val="21"/>
                    </w:rPr>
                    <w:t>pH值（无量纲）</w:t>
                  </w:r>
                </w:p>
              </w:tc>
              <w:tc>
                <w:tcPr>
                  <w:tcW w:w="2807" w:type="pct"/>
                </w:tcPr>
                <w:p w14:paraId="5C54D6DD">
                  <w:pPr>
                    <w:tabs>
                      <w:tab w:val="left" w:pos="0"/>
                    </w:tabs>
                    <w:adjustRightInd w:val="0"/>
                    <w:snapToGrid w:val="0"/>
                    <w:ind w:firstLine="0" w:firstLineChars="0"/>
                    <w:jc w:val="center"/>
                    <w:rPr>
                      <w:bCs/>
                      <w:color w:val="auto"/>
                      <w:kern w:val="21"/>
                      <w:szCs w:val="21"/>
                    </w:rPr>
                  </w:pPr>
                  <w:r>
                    <w:rPr>
                      <w:bCs/>
                      <w:color w:val="auto"/>
                      <w:kern w:val="21"/>
                      <w:szCs w:val="21"/>
                    </w:rPr>
                    <w:t>6~9</w:t>
                  </w:r>
                </w:p>
              </w:tc>
            </w:tr>
            <w:tr w14:paraId="5F1410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63EFA453">
                  <w:pPr>
                    <w:tabs>
                      <w:tab w:val="left" w:pos="0"/>
                    </w:tabs>
                    <w:adjustRightInd w:val="0"/>
                    <w:snapToGrid w:val="0"/>
                    <w:ind w:firstLine="0" w:firstLineChars="0"/>
                    <w:jc w:val="center"/>
                    <w:rPr>
                      <w:bCs/>
                      <w:color w:val="auto"/>
                      <w:kern w:val="21"/>
                      <w:szCs w:val="21"/>
                    </w:rPr>
                  </w:pPr>
                  <w:r>
                    <w:rPr>
                      <w:bCs/>
                      <w:color w:val="auto"/>
                      <w:kern w:val="21"/>
                      <w:szCs w:val="21"/>
                    </w:rPr>
                    <w:t>色度（稀释倍数）</w:t>
                  </w:r>
                </w:p>
              </w:tc>
              <w:tc>
                <w:tcPr>
                  <w:tcW w:w="2807" w:type="pct"/>
                </w:tcPr>
                <w:p w14:paraId="01EBF9B9">
                  <w:pPr>
                    <w:tabs>
                      <w:tab w:val="left" w:pos="0"/>
                    </w:tabs>
                    <w:adjustRightInd w:val="0"/>
                    <w:snapToGrid w:val="0"/>
                    <w:ind w:firstLine="0" w:firstLineChars="0"/>
                    <w:jc w:val="center"/>
                    <w:rPr>
                      <w:bCs/>
                      <w:color w:val="auto"/>
                      <w:kern w:val="21"/>
                      <w:szCs w:val="21"/>
                    </w:rPr>
                  </w:pPr>
                  <w:r>
                    <w:rPr>
                      <w:bCs/>
                      <w:color w:val="auto"/>
                      <w:kern w:val="21"/>
                      <w:szCs w:val="21"/>
                    </w:rPr>
                    <w:t>30</w:t>
                  </w:r>
                </w:p>
              </w:tc>
            </w:tr>
            <w:tr w14:paraId="0EBC1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3D1852C7">
                  <w:pPr>
                    <w:tabs>
                      <w:tab w:val="left" w:pos="0"/>
                    </w:tabs>
                    <w:adjustRightInd w:val="0"/>
                    <w:snapToGrid w:val="0"/>
                    <w:ind w:firstLine="0" w:firstLineChars="0"/>
                    <w:jc w:val="center"/>
                    <w:rPr>
                      <w:bCs/>
                      <w:color w:val="auto"/>
                      <w:kern w:val="21"/>
                      <w:szCs w:val="21"/>
                    </w:rPr>
                  </w:pPr>
                  <w:r>
                    <w:rPr>
                      <w:bCs/>
                      <w:color w:val="auto"/>
                      <w:kern w:val="21"/>
                      <w:szCs w:val="21"/>
                    </w:rPr>
                    <w:t>嗅</w:t>
                  </w:r>
                </w:p>
              </w:tc>
              <w:tc>
                <w:tcPr>
                  <w:tcW w:w="2807" w:type="pct"/>
                </w:tcPr>
                <w:p w14:paraId="7BC561B0">
                  <w:pPr>
                    <w:tabs>
                      <w:tab w:val="left" w:pos="0"/>
                    </w:tabs>
                    <w:adjustRightInd w:val="0"/>
                    <w:snapToGrid w:val="0"/>
                    <w:ind w:firstLine="0" w:firstLineChars="0"/>
                    <w:jc w:val="center"/>
                    <w:rPr>
                      <w:bCs/>
                      <w:color w:val="auto"/>
                      <w:kern w:val="21"/>
                      <w:szCs w:val="21"/>
                    </w:rPr>
                  </w:pPr>
                  <w:r>
                    <w:rPr>
                      <w:bCs/>
                      <w:color w:val="auto"/>
                      <w:kern w:val="21"/>
                      <w:szCs w:val="21"/>
                    </w:rPr>
                    <w:t>无不快感</w:t>
                  </w:r>
                </w:p>
              </w:tc>
            </w:tr>
            <w:tr w14:paraId="3BCDA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008E81C3">
                  <w:pPr>
                    <w:tabs>
                      <w:tab w:val="left" w:pos="0"/>
                    </w:tabs>
                    <w:adjustRightInd w:val="0"/>
                    <w:snapToGrid w:val="0"/>
                    <w:ind w:firstLine="0" w:firstLineChars="0"/>
                    <w:jc w:val="center"/>
                    <w:rPr>
                      <w:bCs/>
                      <w:color w:val="auto"/>
                      <w:kern w:val="21"/>
                      <w:szCs w:val="21"/>
                    </w:rPr>
                  </w:pPr>
                  <w:r>
                    <w:rPr>
                      <w:bCs/>
                      <w:color w:val="auto"/>
                      <w:kern w:val="21"/>
                      <w:szCs w:val="21"/>
                    </w:rPr>
                    <w:t>浊度/NT</w:t>
                  </w:r>
                </w:p>
              </w:tc>
              <w:tc>
                <w:tcPr>
                  <w:tcW w:w="2807" w:type="pct"/>
                </w:tcPr>
                <w:p w14:paraId="21722786">
                  <w:pPr>
                    <w:tabs>
                      <w:tab w:val="left" w:pos="0"/>
                    </w:tabs>
                    <w:adjustRightInd w:val="0"/>
                    <w:snapToGrid w:val="0"/>
                    <w:ind w:firstLine="0" w:firstLineChars="0"/>
                    <w:jc w:val="center"/>
                    <w:rPr>
                      <w:bCs/>
                      <w:color w:val="auto"/>
                      <w:kern w:val="21"/>
                      <w:szCs w:val="21"/>
                    </w:rPr>
                  </w:pPr>
                  <w:r>
                    <w:rPr>
                      <w:bCs/>
                      <w:color w:val="auto"/>
                      <w:kern w:val="21"/>
                      <w:szCs w:val="21"/>
                    </w:rPr>
                    <w:t>20</w:t>
                  </w:r>
                </w:p>
              </w:tc>
            </w:tr>
            <w:tr w14:paraId="09370E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3142CFA1">
                  <w:pPr>
                    <w:tabs>
                      <w:tab w:val="left" w:pos="0"/>
                    </w:tabs>
                    <w:adjustRightInd w:val="0"/>
                    <w:snapToGrid w:val="0"/>
                    <w:ind w:firstLine="0" w:firstLineChars="0"/>
                    <w:jc w:val="center"/>
                    <w:rPr>
                      <w:bCs/>
                      <w:color w:val="auto"/>
                      <w:kern w:val="21"/>
                      <w:szCs w:val="21"/>
                    </w:rPr>
                  </w:pPr>
                  <w:r>
                    <w:rPr>
                      <w:bCs/>
                      <w:color w:val="auto"/>
                      <w:kern w:val="21"/>
                      <w:szCs w:val="21"/>
                    </w:rPr>
                    <w:t>溶解性总固体/mg/L</w:t>
                  </w:r>
                </w:p>
              </w:tc>
              <w:tc>
                <w:tcPr>
                  <w:tcW w:w="2807" w:type="pct"/>
                </w:tcPr>
                <w:p w14:paraId="42678564">
                  <w:pPr>
                    <w:tabs>
                      <w:tab w:val="left" w:pos="0"/>
                    </w:tabs>
                    <w:adjustRightInd w:val="0"/>
                    <w:snapToGrid w:val="0"/>
                    <w:ind w:firstLine="0" w:firstLineChars="0"/>
                    <w:jc w:val="center"/>
                    <w:rPr>
                      <w:bCs/>
                      <w:color w:val="auto"/>
                      <w:kern w:val="21"/>
                      <w:szCs w:val="21"/>
                    </w:rPr>
                  </w:pPr>
                  <w:r>
                    <w:rPr>
                      <w:bCs/>
                      <w:color w:val="auto"/>
                      <w:kern w:val="21"/>
                      <w:szCs w:val="21"/>
                    </w:rPr>
                    <w:t>/</w:t>
                  </w:r>
                </w:p>
              </w:tc>
            </w:tr>
            <w:tr w14:paraId="5F7B2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9" w:hRule="atLeast"/>
              </w:trPr>
              <w:tc>
                <w:tcPr>
                  <w:tcW w:w="2192" w:type="pct"/>
                </w:tcPr>
                <w:p w14:paraId="75489DAB">
                  <w:pPr>
                    <w:tabs>
                      <w:tab w:val="left" w:pos="0"/>
                    </w:tabs>
                    <w:adjustRightInd w:val="0"/>
                    <w:snapToGrid w:val="0"/>
                    <w:ind w:firstLine="0" w:firstLineChars="0"/>
                    <w:jc w:val="center"/>
                    <w:rPr>
                      <w:bCs/>
                      <w:color w:val="auto"/>
                      <w:kern w:val="21"/>
                      <w:szCs w:val="21"/>
                    </w:rPr>
                  </w:pPr>
                  <w:r>
                    <w:rPr>
                      <w:bCs/>
                      <w:color w:val="auto"/>
                      <w:kern w:val="21"/>
                      <w:szCs w:val="21"/>
                    </w:rPr>
                    <w:t>生化需氧量（BOD</w:t>
                  </w:r>
                  <w:r>
                    <w:rPr>
                      <w:bCs/>
                      <w:color w:val="auto"/>
                      <w:kern w:val="21"/>
                      <w:szCs w:val="21"/>
                      <w:vertAlign w:val="subscript"/>
                    </w:rPr>
                    <w:t>5</w:t>
                  </w:r>
                  <w:r>
                    <w:rPr>
                      <w:bCs/>
                      <w:color w:val="auto"/>
                      <w:kern w:val="21"/>
                      <w:szCs w:val="21"/>
                    </w:rPr>
                    <w:t>）/mg/L</w:t>
                  </w:r>
                </w:p>
              </w:tc>
              <w:tc>
                <w:tcPr>
                  <w:tcW w:w="2807" w:type="pct"/>
                </w:tcPr>
                <w:p w14:paraId="3C0C347B">
                  <w:pPr>
                    <w:tabs>
                      <w:tab w:val="left" w:pos="0"/>
                    </w:tabs>
                    <w:adjustRightInd w:val="0"/>
                    <w:snapToGrid w:val="0"/>
                    <w:ind w:firstLine="0" w:firstLineChars="0"/>
                    <w:jc w:val="center"/>
                    <w:rPr>
                      <w:bCs/>
                      <w:color w:val="auto"/>
                      <w:kern w:val="21"/>
                      <w:szCs w:val="21"/>
                    </w:rPr>
                  </w:pPr>
                  <w:r>
                    <w:rPr>
                      <w:bCs/>
                      <w:color w:val="auto"/>
                      <w:kern w:val="21"/>
                      <w:szCs w:val="21"/>
                    </w:rPr>
                    <w:t>15</w:t>
                  </w:r>
                </w:p>
              </w:tc>
            </w:tr>
            <w:tr w14:paraId="6FCE6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4FCDB715">
                  <w:pPr>
                    <w:tabs>
                      <w:tab w:val="left" w:pos="0"/>
                    </w:tabs>
                    <w:adjustRightInd w:val="0"/>
                    <w:snapToGrid w:val="0"/>
                    <w:ind w:firstLine="0" w:firstLineChars="0"/>
                    <w:jc w:val="center"/>
                    <w:rPr>
                      <w:bCs/>
                      <w:color w:val="auto"/>
                      <w:kern w:val="21"/>
                      <w:szCs w:val="21"/>
                    </w:rPr>
                  </w:pPr>
                  <w:r>
                    <w:rPr>
                      <w:bCs/>
                      <w:color w:val="auto"/>
                      <w:kern w:val="21"/>
                      <w:szCs w:val="21"/>
                    </w:rPr>
                    <w:t>氨氮（以N计）/mg/L</w:t>
                  </w:r>
                </w:p>
              </w:tc>
              <w:tc>
                <w:tcPr>
                  <w:tcW w:w="2807" w:type="pct"/>
                </w:tcPr>
                <w:p w14:paraId="01F94B27">
                  <w:pPr>
                    <w:tabs>
                      <w:tab w:val="left" w:pos="0"/>
                    </w:tabs>
                    <w:adjustRightInd w:val="0"/>
                    <w:snapToGrid w:val="0"/>
                    <w:ind w:firstLine="0" w:firstLineChars="0"/>
                    <w:jc w:val="center"/>
                    <w:rPr>
                      <w:bCs/>
                      <w:color w:val="auto"/>
                      <w:kern w:val="21"/>
                      <w:szCs w:val="21"/>
                    </w:rPr>
                  </w:pPr>
                  <w:r>
                    <w:rPr>
                      <w:bCs/>
                      <w:color w:val="auto"/>
                      <w:kern w:val="21"/>
                      <w:szCs w:val="21"/>
                    </w:rPr>
                    <w:t>20</w:t>
                  </w:r>
                </w:p>
              </w:tc>
            </w:tr>
            <w:tr w14:paraId="0E48C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52DAF359">
                  <w:pPr>
                    <w:tabs>
                      <w:tab w:val="left" w:pos="0"/>
                    </w:tabs>
                    <w:adjustRightInd w:val="0"/>
                    <w:snapToGrid w:val="0"/>
                    <w:ind w:firstLine="0" w:firstLineChars="0"/>
                    <w:jc w:val="center"/>
                    <w:rPr>
                      <w:bCs/>
                      <w:color w:val="auto"/>
                      <w:kern w:val="21"/>
                      <w:szCs w:val="21"/>
                    </w:rPr>
                  </w:pPr>
                  <w:r>
                    <w:rPr>
                      <w:bCs/>
                      <w:color w:val="auto"/>
                      <w:kern w:val="21"/>
                      <w:szCs w:val="21"/>
                    </w:rPr>
                    <w:t>阴离子表面活性剂/mg/L</w:t>
                  </w:r>
                </w:p>
              </w:tc>
              <w:tc>
                <w:tcPr>
                  <w:tcW w:w="2807" w:type="pct"/>
                </w:tcPr>
                <w:p w14:paraId="0357A00F">
                  <w:pPr>
                    <w:tabs>
                      <w:tab w:val="left" w:pos="0"/>
                    </w:tabs>
                    <w:adjustRightInd w:val="0"/>
                    <w:snapToGrid w:val="0"/>
                    <w:ind w:firstLine="0" w:firstLineChars="0"/>
                    <w:jc w:val="center"/>
                    <w:rPr>
                      <w:bCs/>
                      <w:color w:val="auto"/>
                      <w:kern w:val="21"/>
                      <w:szCs w:val="21"/>
                    </w:rPr>
                  </w:pPr>
                  <w:r>
                    <w:rPr>
                      <w:bCs/>
                      <w:color w:val="auto"/>
                      <w:kern w:val="21"/>
                      <w:szCs w:val="21"/>
                    </w:rPr>
                    <w:t>1</w:t>
                  </w:r>
                </w:p>
              </w:tc>
            </w:tr>
            <w:tr w14:paraId="55BDA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15B9A9B9">
                  <w:pPr>
                    <w:tabs>
                      <w:tab w:val="left" w:pos="0"/>
                    </w:tabs>
                    <w:adjustRightInd w:val="0"/>
                    <w:snapToGrid w:val="0"/>
                    <w:ind w:firstLine="0" w:firstLineChars="0"/>
                    <w:jc w:val="center"/>
                    <w:rPr>
                      <w:bCs/>
                      <w:color w:val="auto"/>
                      <w:kern w:val="21"/>
                      <w:szCs w:val="21"/>
                    </w:rPr>
                  </w:pPr>
                  <w:r>
                    <w:rPr>
                      <w:bCs/>
                      <w:color w:val="auto"/>
                      <w:kern w:val="21"/>
                      <w:szCs w:val="21"/>
                    </w:rPr>
                    <w:t>溶解氧/mg/L</w:t>
                  </w:r>
                </w:p>
              </w:tc>
              <w:tc>
                <w:tcPr>
                  <w:tcW w:w="2807" w:type="pct"/>
                </w:tcPr>
                <w:p w14:paraId="7AE821F6">
                  <w:pPr>
                    <w:tabs>
                      <w:tab w:val="left" w:pos="0"/>
                    </w:tabs>
                    <w:adjustRightInd w:val="0"/>
                    <w:snapToGrid w:val="0"/>
                    <w:ind w:firstLine="0" w:firstLineChars="0"/>
                    <w:jc w:val="center"/>
                    <w:rPr>
                      <w:bCs/>
                      <w:color w:val="auto"/>
                      <w:kern w:val="21"/>
                      <w:szCs w:val="21"/>
                    </w:rPr>
                  </w:pPr>
                  <w:r>
                    <w:rPr>
                      <w:bCs/>
                      <w:color w:val="auto"/>
                      <w:kern w:val="21"/>
                      <w:szCs w:val="21"/>
                    </w:rPr>
                    <w:t>2</w:t>
                  </w:r>
                </w:p>
              </w:tc>
            </w:tr>
            <w:tr w14:paraId="18DE03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1E9E070C">
                  <w:pPr>
                    <w:tabs>
                      <w:tab w:val="left" w:pos="0"/>
                    </w:tabs>
                    <w:adjustRightInd w:val="0"/>
                    <w:snapToGrid w:val="0"/>
                    <w:ind w:firstLine="0" w:firstLineChars="0"/>
                    <w:jc w:val="center"/>
                    <w:rPr>
                      <w:bCs/>
                      <w:color w:val="auto"/>
                      <w:kern w:val="21"/>
                      <w:szCs w:val="21"/>
                    </w:rPr>
                  </w:pPr>
                  <w:r>
                    <w:rPr>
                      <w:bCs/>
                      <w:color w:val="auto"/>
                      <w:kern w:val="21"/>
                      <w:szCs w:val="21"/>
                    </w:rPr>
                    <w:t>总余氯/mg/L</w:t>
                  </w:r>
                </w:p>
              </w:tc>
              <w:tc>
                <w:tcPr>
                  <w:tcW w:w="2807" w:type="pct"/>
                </w:tcPr>
                <w:p w14:paraId="6E96E893">
                  <w:pPr>
                    <w:tabs>
                      <w:tab w:val="left" w:pos="0"/>
                    </w:tabs>
                    <w:adjustRightInd w:val="0"/>
                    <w:snapToGrid w:val="0"/>
                    <w:ind w:firstLine="0" w:firstLineChars="0"/>
                    <w:jc w:val="center"/>
                    <w:rPr>
                      <w:bCs/>
                      <w:color w:val="auto"/>
                      <w:kern w:val="21"/>
                      <w:szCs w:val="21"/>
                    </w:rPr>
                  </w:pPr>
                  <w:r>
                    <w:rPr>
                      <w:bCs/>
                      <w:color w:val="auto"/>
                      <w:kern w:val="21"/>
                      <w:szCs w:val="21"/>
                    </w:rPr>
                    <w:t>接触30min后≥1.0，管网末端≥0.2</w:t>
                  </w:r>
                </w:p>
              </w:tc>
            </w:tr>
            <w:tr w14:paraId="05816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192" w:type="pct"/>
                </w:tcPr>
                <w:p w14:paraId="09780D82">
                  <w:pPr>
                    <w:tabs>
                      <w:tab w:val="left" w:pos="0"/>
                    </w:tabs>
                    <w:adjustRightInd w:val="0"/>
                    <w:snapToGrid w:val="0"/>
                    <w:ind w:firstLine="0" w:firstLineChars="0"/>
                    <w:jc w:val="center"/>
                    <w:rPr>
                      <w:bCs/>
                      <w:color w:val="auto"/>
                      <w:kern w:val="21"/>
                      <w:szCs w:val="21"/>
                    </w:rPr>
                  </w:pPr>
                  <w:r>
                    <w:rPr>
                      <w:bCs/>
                      <w:color w:val="auto"/>
                      <w:kern w:val="21"/>
                      <w:szCs w:val="21"/>
                    </w:rPr>
                    <w:t>粪大肠菌群数/个/L</w:t>
                  </w:r>
                </w:p>
              </w:tc>
              <w:tc>
                <w:tcPr>
                  <w:tcW w:w="2807" w:type="pct"/>
                </w:tcPr>
                <w:p w14:paraId="18810E40">
                  <w:pPr>
                    <w:tabs>
                      <w:tab w:val="left" w:pos="0"/>
                    </w:tabs>
                    <w:adjustRightInd w:val="0"/>
                    <w:snapToGrid w:val="0"/>
                    <w:ind w:firstLine="0" w:firstLineChars="0"/>
                    <w:jc w:val="center"/>
                    <w:rPr>
                      <w:bCs/>
                      <w:color w:val="auto"/>
                      <w:kern w:val="21"/>
                      <w:szCs w:val="21"/>
                    </w:rPr>
                  </w:pPr>
                  <w:r>
                    <w:rPr>
                      <w:bCs/>
                      <w:color w:val="auto"/>
                      <w:kern w:val="21"/>
                      <w:szCs w:val="21"/>
                    </w:rPr>
                    <w:t>3</w:t>
                  </w:r>
                </w:p>
              </w:tc>
            </w:tr>
            <w:tr w14:paraId="021C4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5000" w:type="pct"/>
                  <w:gridSpan w:val="2"/>
                  <w:vAlign w:val="center"/>
                </w:tcPr>
                <w:p w14:paraId="524E1CDB">
                  <w:pPr>
                    <w:tabs>
                      <w:tab w:val="left" w:pos="0"/>
                    </w:tabs>
                    <w:adjustRightInd w:val="0"/>
                    <w:snapToGrid w:val="0"/>
                    <w:ind w:firstLine="0" w:firstLineChars="0"/>
                    <w:jc w:val="center"/>
                    <w:rPr>
                      <w:bCs/>
                      <w:color w:val="auto"/>
                      <w:kern w:val="21"/>
                      <w:szCs w:val="21"/>
                    </w:rPr>
                  </w:pPr>
                  <w:r>
                    <w:rPr>
                      <w:bCs/>
                      <w:color w:val="auto"/>
                      <w:kern w:val="21"/>
                      <w:szCs w:val="21"/>
                    </w:rPr>
                    <w:t>注：根据《城市污水再生利用、城市杂用水水质》（GB/T18920-2020）标准，建筑施工杂用水指建筑施工现场的土壤压实、灰尘抑制、混凝土冲洗、混凝土拌合的用水。</w:t>
                  </w:r>
                </w:p>
              </w:tc>
            </w:tr>
          </w:tbl>
          <w:p w14:paraId="58182D89">
            <w:pPr>
              <w:pStyle w:val="26"/>
              <w:ind w:firstLine="0" w:firstLineChars="0"/>
              <w:rPr>
                <w:rFonts w:ascii="Times New Roman" w:hAnsi="Times New Roman"/>
                <w:color w:val="auto"/>
              </w:rPr>
            </w:pPr>
          </w:p>
          <w:p w14:paraId="41B650D6">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3、噪声</w:t>
            </w:r>
          </w:p>
          <w:p w14:paraId="03EAE40F">
            <w:pPr>
              <w:adjustRightInd w:val="0"/>
              <w:snapToGrid w:val="0"/>
              <w:spacing w:line="360" w:lineRule="auto"/>
              <w:ind w:firstLine="480"/>
              <w:rPr>
                <w:color w:val="auto"/>
                <w:sz w:val="24"/>
              </w:rPr>
            </w:pPr>
            <w:r>
              <w:rPr>
                <w:color w:val="auto"/>
                <w:sz w:val="24"/>
              </w:rPr>
              <w:t>（1）施工期</w:t>
            </w:r>
          </w:p>
          <w:p w14:paraId="41339191">
            <w:pPr>
              <w:adjustRightInd w:val="0"/>
              <w:snapToGrid w:val="0"/>
              <w:spacing w:line="348" w:lineRule="auto"/>
              <w:ind w:firstLine="480"/>
              <w:jc w:val="left"/>
              <w:rPr>
                <w:color w:val="auto"/>
                <w:sz w:val="24"/>
              </w:rPr>
            </w:pPr>
            <w:r>
              <w:rPr>
                <w:color w:val="auto"/>
                <w:sz w:val="24"/>
              </w:rPr>
              <w:t>项目施工期噪声执行</w:t>
            </w:r>
            <w:r>
              <w:rPr>
                <w:color w:val="auto"/>
                <w:kern w:val="0"/>
                <w:sz w:val="24"/>
              </w:rPr>
              <w:t>《建筑施工场界环境噪声排放标准》（GB12523-2011）标准限值见表3-10。</w:t>
            </w:r>
          </w:p>
          <w:p w14:paraId="59E33D48">
            <w:pPr>
              <w:adjustRightInd w:val="0"/>
              <w:snapToGrid w:val="0"/>
              <w:ind w:firstLine="422"/>
              <w:jc w:val="center"/>
              <w:textAlignment w:val="baseline"/>
              <w:rPr>
                <w:b/>
                <w:color w:val="auto"/>
              </w:rPr>
            </w:pPr>
            <w:r>
              <w:rPr>
                <w:b/>
                <w:bCs/>
                <w:color w:val="auto"/>
              </w:rPr>
              <w:t xml:space="preserve">表3-10   </w:t>
            </w:r>
            <w:r>
              <w:rPr>
                <w:b/>
                <w:color w:val="auto"/>
              </w:rPr>
              <w:t>建筑施工场界环境噪声排放标准   单位：dB（A）</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5"/>
              <w:gridCol w:w="1453"/>
              <w:gridCol w:w="3787"/>
            </w:tblGrid>
            <w:tr w14:paraId="347E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Align w:val="center"/>
                </w:tcPr>
                <w:p w14:paraId="51785CA9">
                  <w:pPr>
                    <w:pStyle w:val="36"/>
                    <w:ind w:firstLine="0" w:firstLineChars="0"/>
                    <w:jc w:val="center"/>
                    <w:rPr>
                      <w:b/>
                      <w:color w:val="auto"/>
                    </w:rPr>
                  </w:pPr>
                  <w:r>
                    <w:rPr>
                      <w:b/>
                      <w:color w:val="auto"/>
                    </w:rPr>
                    <w:t>环境要素</w:t>
                  </w:r>
                </w:p>
              </w:tc>
              <w:tc>
                <w:tcPr>
                  <w:tcW w:w="1825" w:type="pct"/>
                  <w:gridSpan w:val="2"/>
                  <w:vAlign w:val="center"/>
                </w:tcPr>
                <w:p w14:paraId="77430682">
                  <w:pPr>
                    <w:pStyle w:val="36"/>
                    <w:ind w:firstLine="0" w:firstLineChars="0"/>
                    <w:jc w:val="center"/>
                    <w:rPr>
                      <w:b/>
                      <w:color w:val="auto"/>
                    </w:rPr>
                  </w:pPr>
                  <w:r>
                    <w:rPr>
                      <w:b/>
                      <w:color w:val="auto"/>
                    </w:rPr>
                    <w:t>标准值</w:t>
                  </w:r>
                </w:p>
              </w:tc>
              <w:tc>
                <w:tcPr>
                  <w:tcW w:w="2238" w:type="pct"/>
                  <w:vAlign w:val="center"/>
                </w:tcPr>
                <w:p w14:paraId="3D20335B">
                  <w:pPr>
                    <w:pStyle w:val="36"/>
                    <w:ind w:firstLine="0" w:firstLineChars="0"/>
                    <w:jc w:val="center"/>
                    <w:rPr>
                      <w:b/>
                      <w:color w:val="auto"/>
                    </w:rPr>
                  </w:pPr>
                  <w:r>
                    <w:rPr>
                      <w:b/>
                      <w:color w:val="auto"/>
                    </w:rPr>
                    <w:t>标准来源</w:t>
                  </w:r>
                </w:p>
              </w:tc>
            </w:tr>
            <w:tr w14:paraId="4C54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vAlign w:val="center"/>
                </w:tcPr>
                <w:p w14:paraId="1D2AEE07">
                  <w:pPr>
                    <w:pStyle w:val="36"/>
                    <w:ind w:firstLine="0" w:firstLineChars="0"/>
                    <w:jc w:val="center"/>
                    <w:rPr>
                      <w:bCs/>
                      <w:color w:val="auto"/>
                    </w:rPr>
                  </w:pPr>
                  <w:r>
                    <w:rPr>
                      <w:bCs/>
                      <w:color w:val="auto"/>
                    </w:rPr>
                    <w:t>噪声</w:t>
                  </w:r>
                </w:p>
              </w:tc>
              <w:tc>
                <w:tcPr>
                  <w:tcW w:w="966" w:type="pct"/>
                  <w:vAlign w:val="center"/>
                </w:tcPr>
                <w:p w14:paraId="2D168D6E">
                  <w:pPr>
                    <w:pStyle w:val="36"/>
                    <w:ind w:firstLine="0" w:firstLineChars="0"/>
                    <w:jc w:val="center"/>
                    <w:rPr>
                      <w:bCs/>
                      <w:color w:val="auto"/>
                    </w:rPr>
                  </w:pPr>
                  <w:r>
                    <w:rPr>
                      <w:bCs/>
                      <w:color w:val="auto"/>
                    </w:rPr>
                    <w:t>昼间</w:t>
                  </w:r>
                </w:p>
              </w:tc>
              <w:tc>
                <w:tcPr>
                  <w:tcW w:w="858" w:type="pct"/>
                  <w:vAlign w:val="center"/>
                </w:tcPr>
                <w:p w14:paraId="46960386">
                  <w:pPr>
                    <w:pStyle w:val="36"/>
                    <w:ind w:firstLine="0" w:firstLineChars="0"/>
                    <w:jc w:val="center"/>
                    <w:rPr>
                      <w:bCs/>
                      <w:color w:val="auto"/>
                    </w:rPr>
                  </w:pPr>
                  <w:r>
                    <w:rPr>
                      <w:bCs/>
                      <w:color w:val="auto"/>
                    </w:rPr>
                    <w:t>夜间</w:t>
                  </w:r>
                </w:p>
              </w:tc>
              <w:tc>
                <w:tcPr>
                  <w:tcW w:w="2238" w:type="pct"/>
                  <w:vMerge w:val="restart"/>
                  <w:vAlign w:val="center"/>
                </w:tcPr>
                <w:p w14:paraId="4A945321">
                  <w:pPr>
                    <w:pStyle w:val="36"/>
                    <w:ind w:firstLine="0" w:firstLineChars="0"/>
                    <w:jc w:val="center"/>
                    <w:rPr>
                      <w:bCs/>
                      <w:color w:val="auto"/>
                    </w:rPr>
                  </w:pPr>
                  <w:r>
                    <w:rPr>
                      <w:bCs/>
                      <w:color w:val="auto"/>
                    </w:rPr>
                    <w:t>《建筑施工场界环境噪声排放标准》（</w:t>
                  </w:r>
                  <w:r>
                    <w:rPr>
                      <w:bCs/>
                      <w:color w:val="auto"/>
                      <w:kern w:val="0"/>
                    </w:rPr>
                    <w:t>GB12523－2011</w:t>
                  </w:r>
                  <w:r>
                    <w:rPr>
                      <w:bCs/>
                      <w:color w:val="auto"/>
                    </w:rPr>
                    <w:t>）表1中排放限值</w:t>
                  </w:r>
                </w:p>
              </w:tc>
            </w:tr>
            <w:tr w14:paraId="7A58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vAlign w:val="center"/>
                </w:tcPr>
                <w:p w14:paraId="0F67D6CE">
                  <w:pPr>
                    <w:pStyle w:val="36"/>
                    <w:ind w:firstLine="0" w:firstLineChars="0"/>
                    <w:jc w:val="center"/>
                    <w:rPr>
                      <w:bCs/>
                      <w:color w:val="auto"/>
                    </w:rPr>
                  </w:pPr>
                </w:p>
              </w:tc>
              <w:tc>
                <w:tcPr>
                  <w:tcW w:w="966" w:type="pct"/>
                  <w:vAlign w:val="center"/>
                </w:tcPr>
                <w:p w14:paraId="6E8A7BF7">
                  <w:pPr>
                    <w:pStyle w:val="36"/>
                    <w:ind w:firstLine="0" w:firstLineChars="0"/>
                    <w:jc w:val="center"/>
                    <w:rPr>
                      <w:bCs/>
                      <w:color w:val="auto"/>
                    </w:rPr>
                  </w:pPr>
                  <w:r>
                    <w:rPr>
                      <w:bCs/>
                      <w:color w:val="auto"/>
                    </w:rPr>
                    <w:t>70</w:t>
                  </w:r>
                </w:p>
              </w:tc>
              <w:tc>
                <w:tcPr>
                  <w:tcW w:w="858" w:type="pct"/>
                  <w:vAlign w:val="center"/>
                </w:tcPr>
                <w:p w14:paraId="7F1673C5">
                  <w:pPr>
                    <w:pStyle w:val="36"/>
                    <w:ind w:firstLine="0" w:firstLineChars="0"/>
                    <w:jc w:val="center"/>
                    <w:rPr>
                      <w:bCs/>
                      <w:color w:val="auto"/>
                    </w:rPr>
                  </w:pPr>
                  <w:r>
                    <w:rPr>
                      <w:bCs/>
                      <w:color w:val="auto"/>
                    </w:rPr>
                    <w:t>55</w:t>
                  </w:r>
                </w:p>
              </w:tc>
              <w:tc>
                <w:tcPr>
                  <w:tcW w:w="2238" w:type="pct"/>
                  <w:vMerge w:val="continue"/>
                  <w:vAlign w:val="center"/>
                </w:tcPr>
                <w:p w14:paraId="5793C092">
                  <w:pPr>
                    <w:pStyle w:val="36"/>
                    <w:ind w:firstLine="0" w:firstLineChars="0"/>
                    <w:jc w:val="center"/>
                    <w:rPr>
                      <w:bCs/>
                      <w:color w:val="auto"/>
                      <w:sz w:val="24"/>
                    </w:rPr>
                  </w:pPr>
                </w:p>
              </w:tc>
            </w:tr>
          </w:tbl>
          <w:p w14:paraId="1417C53E">
            <w:pPr>
              <w:adjustRightInd w:val="0"/>
              <w:snapToGrid w:val="0"/>
              <w:spacing w:line="360" w:lineRule="auto"/>
              <w:ind w:firstLine="480"/>
              <w:rPr>
                <w:color w:val="auto"/>
                <w:sz w:val="24"/>
              </w:rPr>
            </w:pPr>
            <w:r>
              <w:rPr>
                <w:color w:val="auto"/>
                <w:sz w:val="24"/>
              </w:rPr>
              <w:t>（2）运营期</w:t>
            </w:r>
          </w:p>
          <w:p w14:paraId="3F5DB082">
            <w:pPr>
              <w:adjustRightInd w:val="0"/>
              <w:snapToGrid w:val="0"/>
              <w:spacing w:line="360" w:lineRule="auto"/>
              <w:ind w:firstLine="480"/>
              <w:rPr>
                <w:color w:val="auto"/>
                <w:sz w:val="24"/>
              </w:rPr>
            </w:pPr>
            <w:r>
              <w:rPr>
                <w:color w:val="auto"/>
                <w:sz w:val="24"/>
              </w:rPr>
              <w:t>项目运营期厂界噪声排放执行《工业企业厂界环境噪声排放标准》（GB12348-2008）</w:t>
            </w:r>
            <w:r>
              <w:rPr>
                <w:rFonts w:hint="eastAsia"/>
                <w:color w:val="auto"/>
                <w:sz w:val="24"/>
              </w:rPr>
              <w:t>2</w:t>
            </w:r>
            <w:r>
              <w:rPr>
                <w:color w:val="auto"/>
                <w:sz w:val="24"/>
              </w:rPr>
              <w:t>类标准。</w:t>
            </w:r>
          </w:p>
          <w:p w14:paraId="21B75DB2">
            <w:pPr>
              <w:tabs>
                <w:tab w:val="left" w:pos="0"/>
              </w:tabs>
              <w:adjustRightInd w:val="0"/>
              <w:snapToGrid w:val="0"/>
              <w:ind w:firstLine="422"/>
              <w:jc w:val="center"/>
              <w:rPr>
                <w:b/>
                <w:color w:val="auto"/>
                <w:kern w:val="21"/>
                <w:szCs w:val="21"/>
              </w:rPr>
            </w:pPr>
            <w:r>
              <w:rPr>
                <w:b/>
                <w:color w:val="auto"/>
                <w:kern w:val="21"/>
                <w:szCs w:val="21"/>
              </w:rPr>
              <w:t>表3-11  工业企业厂界环境噪声排放标准   单位：dB（A）</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936"/>
              <w:gridCol w:w="939"/>
              <w:gridCol w:w="5877"/>
            </w:tblGrid>
            <w:tr w14:paraId="7D05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417" w:type="pct"/>
                  <w:vAlign w:val="center"/>
                </w:tcPr>
                <w:p w14:paraId="0B3E30E0">
                  <w:pPr>
                    <w:pStyle w:val="36"/>
                    <w:ind w:firstLine="0" w:firstLineChars="0"/>
                    <w:jc w:val="center"/>
                    <w:rPr>
                      <w:b/>
                      <w:color w:val="auto"/>
                    </w:rPr>
                  </w:pPr>
                  <w:r>
                    <w:rPr>
                      <w:b/>
                      <w:color w:val="auto"/>
                      <w:kern w:val="21"/>
                      <w:szCs w:val="21"/>
                    </w:rPr>
                    <w:t>类别</w:t>
                  </w:r>
                </w:p>
              </w:tc>
              <w:tc>
                <w:tcPr>
                  <w:tcW w:w="1108" w:type="pct"/>
                  <w:gridSpan w:val="2"/>
                  <w:vAlign w:val="center"/>
                </w:tcPr>
                <w:p w14:paraId="40DEEC54">
                  <w:pPr>
                    <w:pStyle w:val="36"/>
                    <w:ind w:firstLine="0" w:firstLineChars="0"/>
                    <w:jc w:val="center"/>
                    <w:rPr>
                      <w:b/>
                      <w:color w:val="auto"/>
                    </w:rPr>
                  </w:pPr>
                  <w:r>
                    <w:rPr>
                      <w:b/>
                      <w:color w:val="auto"/>
                    </w:rPr>
                    <w:t>标准值</w:t>
                  </w:r>
                </w:p>
              </w:tc>
              <w:tc>
                <w:tcPr>
                  <w:tcW w:w="3473" w:type="pct"/>
                  <w:vAlign w:val="center"/>
                </w:tcPr>
                <w:p w14:paraId="01D42BA1">
                  <w:pPr>
                    <w:pStyle w:val="36"/>
                    <w:ind w:firstLine="0" w:firstLineChars="0"/>
                    <w:jc w:val="center"/>
                    <w:rPr>
                      <w:b/>
                      <w:color w:val="auto"/>
                    </w:rPr>
                  </w:pPr>
                  <w:r>
                    <w:rPr>
                      <w:b/>
                      <w:color w:val="auto"/>
                    </w:rPr>
                    <w:t>标准来源</w:t>
                  </w:r>
                </w:p>
              </w:tc>
            </w:tr>
            <w:tr w14:paraId="66F3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417" w:type="pct"/>
                  <w:vMerge w:val="restart"/>
                  <w:vAlign w:val="center"/>
                </w:tcPr>
                <w:p w14:paraId="3439A69F">
                  <w:pPr>
                    <w:pStyle w:val="36"/>
                    <w:ind w:firstLine="0" w:firstLineChars="0"/>
                    <w:jc w:val="center"/>
                    <w:rPr>
                      <w:bCs/>
                      <w:color w:val="auto"/>
                    </w:rPr>
                  </w:pPr>
                  <w:r>
                    <w:rPr>
                      <w:rFonts w:hint="eastAsia"/>
                      <w:bCs/>
                      <w:color w:val="auto"/>
                      <w:kern w:val="21"/>
                      <w:szCs w:val="21"/>
                    </w:rPr>
                    <w:t>2</w:t>
                  </w:r>
                  <w:r>
                    <w:rPr>
                      <w:bCs/>
                      <w:color w:val="auto"/>
                      <w:kern w:val="21"/>
                      <w:szCs w:val="21"/>
                    </w:rPr>
                    <w:t>类</w:t>
                  </w:r>
                </w:p>
              </w:tc>
              <w:tc>
                <w:tcPr>
                  <w:tcW w:w="553" w:type="pct"/>
                  <w:vAlign w:val="center"/>
                </w:tcPr>
                <w:p w14:paraId="0E4F32B2">
                  <w:pPr>
                    <w:pStyle w:val="36"/>
                    <w:ind w:firstLine="0" w:firstLineChars="0"/>
                    <w:jc w:val="center"/>
                    <w:rPr>
                      <w:bCs/>
                      <w:color w:val="auto"/>
                    </w:rPr>
                  </w:pPr>
                  <w:r>
                    <w:rPr>
                      <w:bCs/>
                      <w:color w:val="auto"/>
                    </w:rPr>
                    <w:t>昼间</w:t>
                  </w:r>
                </w:p>
              </w:tc>
              <w:tc>
                <w:tcPr>
                  <w:tcW w:w="554" w:type="pct"/>
                  <w:vAlign w:val="center"/>
                </w:tcPr>
                <w:p w14:paraId="1EBEF9CE">
                  <w:pPr>
                    <w:pStyle w:val="36"/>
                    <w:ind w:firstLine="0" w:firstLineChars="0"/>
                    <w:jc w:val="center"/>
                    <w:rPr>
                      <w:bCs/>
                      <w:color w:val="auto"/>
                    </w:rPr>
                  </w:pPr>
                  <w:r>
                    <w:rPr>
                      <w:bCs/>
                      <w:color w:val="auto"/>
                    </w:rPr>
                    <w:t>夜间</w:t>
                  </w:r>
                </w:p>
              </w:tc>
              <w:tc>
                <w:tcPr>
                  <w:tcW w:w="3473" w:type="pct"/>
                  <w:vMerge w:val="restart"/>
                  <w:vAlign w:val="center"/>
                </w:tcPr>
                <w:p w14:paraId="00D17C72">
                  <w:pPr>
                    <w:pStyle w:val="36"/>
                    <w:ind w:firstLine="0" w:firstLineChars="0"/>
                    <w:jc w:val="center"/>
                    <w:rPr>
                      <w:bCs/>
                      <w:color w:val="auto"/>
                    </w:rPr>
                  </w:pPr>
                  <w:r>
                    <w:rPr>
                      <w:bCs/>
                      <w:color w:val="auto"/>
                    </w:rPr>
                    <w:t>《工业企业厂界环境噪声排放标准》（GB12348-2008）</w:t>
                  </w:r>
                </w:p>
              </w:tc>
            </w:tr>
            <w:tr w14:paraId="5147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417" w:type="pct"/>
                  <w:vMerge w:val="continue"/>
                  <w:vAlign w:val="center"/>
                </w:tcPr>
                <w:p w14:paraId="2BE9D0E7">
                  <w:pPr>
                    <w:pStyle w:val="36"/>
                    <w:ind w:firstLine="0" w:firstLineChars="0"/>
                    <w:jc w:val="center"/>
                    <w:rPr>
                      <w:bCs/>
                      <w:color w:val="auto"/>
                    </w:rPr>
                  </w:pPr>
                </w:p>
              </w:tc>
              <w:tc>
                <w:tcPr>
                  <w:tcW w:w="553" w:type="pct"/>
                  <w:vAlign w:val="center"/>
                </w:tcPr>
                <w:p w14:paraId="4E4B6C42">
                  <w:pPr>
                    <w:tabs>
                      <w:tab w:val="left" w:pos="0"/>
                    </w:tabs>
                    <w:adjustRightInd w:val="0"/>
                    <w:snapToGrid w:val="0"/>
                    <w:ind w:firstLine="0" w:firstLineChars="0"/>
                    <w:jc w:val="center"/>
                    <w:rPr>
                      <w:bCs/>
                      <w:color w:val="auto"/>
                    </w:rPr>
                  </w:pPr>
                  <w:r>
                    <w:rPr>
                      <w:rFonts w:hint="eastAsia"/>
                      <w:bCs/>
                      <w:color w:val="auto"/>
                      <w:kern w:val="21"/>
                      <w:szCs w:val="21"/>
                    </w:rPr>
                    <w:t>60</w:t>
                  </w:r>
                </w:p>
              </w:tc>
              <w:tc>
                <w:tcPr>
                  <w:tcW w:w="554" w:type="pct"/>
                  <w:vAlign w:val="center"/>
                </w:tcPr>
                <w:p w14:paraId="4188FE16">
                  <w:pPr>
                    <w:tabs>
                      <w:tab w:val="left" w:pos="0"/>
                    </w:tabs>
                    <w:adjustRightInd w:val="0"/>
                    <w:snapToGrid w:val="0"/>
                    <w:ind w:firstLine="0" w:firstLineChars="0"/>
                    <w:jc w:val="center"/>
                    <w:rPr>
                      <w:bCs/>
                      <w:color w:val="auto"/>
                    </w:rPr>
                  </w:pPr>
                  <w:r>
                    <w:rPr>
                      <w:rFonts w:hint="eastAsia"/>
                      <w:bCs/>
                      <w:color w:val="auto"/>
                      <w:kern w:val="21"/>
                      <w:szCs w:val="21"/>
                    </w:rPr>
                    <w:t>50</w:t>
                  </w:r>
                </w:p>
              </w:tc>
              <w:tc>
                <w:tcPr>
                  <w:tcW w:w="3473" w:type="pct"/>
                  <w:vMerge w:val="continue"/>
                  <w:vAlign w:val="center"/>
                </w:tcPr>
                <w:p w14:paraId="59F00859">
                  <w:pPr>
                    <w:pStyle w:val="36"/>
                    <w:ind w:firstLine="0" w:firstLineChars="0"/>
                    <w:jc w:val="center"/>
                    <w:rPr>
                      <w:bCs/>
                      <w:color w:val="auto"/>
                      <w:sz w:val="24"/>
                    </w:rPr>
                  </w:pPr>
                </w:p>
              </w:tc>
            </w:tr>
          </w:tbl>
          <w:p w14:paraId="4AC2D603">
            <w:pPr>
              <w:pStyle w:val="26"/>
              <w:ind w:firstLine="420"/>
              <w:rPr>
                <w:rFonts w:ascii="Times New Roman" w:hAnsi="Times New Roman"/>
                <w:color w:val="auto"/>
              </w:rPr>
            </w:pPr>
          </w:p>
          <w:p w14:paraId="1C81D729">
            <w:pPr>
              <w:pStyle w:val="26"/>
              <w:adjustRightInd w:val="0"/>
              <w:snapToGrid w:val="0"/>
              <w:spacing w:line="360" w:lineRule="auto"/>
              <w:ind w:firstLine="482"/>
              <w:rPr>
                <w:rFonts w:ascii="Times New Roman" w:hAnsi="Times New Roman"/>
                <w:b/>
                <w:bCs/>
                <w:color w:val="auto"/>
                <w:sz w:val="24"/>
              </w:rPr>
            </w:pPr>
            <w:r>
              <w:rPr>
                <w:rFonts w:ascii="Times New Roman" w:hAnsi="Times New Roman"/>
                <w:b/>
                <w:bCs/>
                <w:color w:val="auto"/>
                <w:sz w:val="24"/>
              </w:rPr>
              <w:t>4、固废</w:t>
            </w:r>
          </w:p>
          <w:p w14:paraId="4AD9E6F2">
            <w:pPr>
              <w:pStyle w:val="26"/>
              <w:snapToGrid w:val="0"/>
              <w:spacing w:line="360" w:lineRule="auto"/>
              <w:ind w:firstLine="480"/>
              <w:rPr>
                <w:rFonts w:ascii="Times New Roman" w:hAnsi="Times New Roman"/>
                <w:color w:val="auto"/>
                <w:kern w:val="0"/>
                <w:szCs w:val="21"/>
              </w:rPr>
            </w:pPr>
            <w:r>
              <w:rPr>
                <w:rFonts w:ascii="Times New Roman" w:hAnsi="Times New Roman"/>
                <w:color w:val="auto"/>
                <w:sz w:val="24"/>
                <w:lang w:val="zh-CN"/>
              </w:rPr>
              <w:t>项目运营</w:t>
            </w:r>
            <w:r>
              <w:rPr>
                <w:rFonts w:ascii="Times New Roman" w:hAnsi="Times New Roman"/>
                <w:color w:val="auto"/>
                <w:sz w:val="24"/>
              </w:rPr>
              <w:t>期</w:t>
            </w:r>
            <w:r>
              <w:rPr>
                <w:rFonts w:ascii="Times New Roman" w:hAnsi="Times New Roman"/>
                <w:color w:val="auto"/>
                <w:sz w:val="24"/>
                <w:lang w:val="zh-CN"/>
              </w:rPr>
              <w:t>产生的一般固体废物</w:t>
            </w:r>
            <w:r>
              <w:rPr>
                <w:rFonts w:ascii="Times New Roman" w:hAnsi="Times New Roman"/>
                <w:color w:val="auto"/>
                <w:sz w:val="24"/>
              </w:rPr>
              <w:t>贮存和处置</w:t>
            </w:r>
            <w:r>
              <w:rPr>
                <w:rFonts w:ascii="Times New Roman" w:hAnsi="Times New Roman"/>
                <w:color w:val="auto"/>
                <w:sz w:val="24"/>
                <w:lang w:val="zh-CN"/>
              </w:rPr>
              <w:t>执行《一般工业固体废物贮存和填埋污染控制标准》（GB18599-20</w:t>
            </w:r>
            <w:r>
              <w:rPr>
                <w:rFonts w:ascii="Times New Roman" w:hAnsi="Times New Roman"/>
                <w:color w:val="auto"/>
                <w:sz w:val="24"/>
              </w:rPr>
              <w:t>20</w:t>
            </w:r>
            <w:r>
              <w:rPr>
                <w:rFonts w:ascii="Times New Roman" w:hAnsi="Times New Roman"/>
                <w:color w:val="auto"/>
                <w:sz w:val="24"/>
                <w:lang w:val="zh-CN"/>
              </w:rPr>
              <w:t>）；危险废物贮存执行《危险废物贮存污染控制标准》（GB18597-20</w:t>
            </w:r>
            <w:r>
              <w:rPr>
                <w:rFonts w:ascii="Times New Roman" w:hAnsi="Times New Roman"/>
                <w:color w:val="auto"/>
                <w:sz w:val="24"/>
              </w:rPr>
              <w:t>23</w:t>
            </w:r>
            <w:r>
              <w:rPr>
                <w:rFonts w:ascii="Times New Roman" w:hAnsi="Times New Roman"/>
                <w:color w:val="auto"/>
                <w:sz w:val="24"/>
                <w:lang w:val="zh-CN"/>
              </w:rPr>
              <w:t>）。</w:t>
            </w:r>
          </w:p>
        </w:tc>
      </w:tr>
      <w:tr w14:paraId="05C7D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75" w:type="dxa"/>
            <w:vAlign w:val="center"/>
          </w:tcPr>
          <w:p w14:paraId="5E9C0E68">
            <w:pPr>
              <w:adjustRightInd w:val="0"/>
              <w:snapToGrid w:val="0"/>
              <w:ind w:firstLine="0" w:firstLineChars="0"/>
              <w:jc w:val="center"/>
              <w:rPr>
                <w:color w:val="auto"/>
                <w:kern w:val="0"/>
                <w:sz w:val="24"/>
              </w:rPr>
            </w:pPr>
            <w:r>
              <w:rPr>
                <w:color w:val="auto"/>
                <w:kern w:val="0"/>
                <w:sz w:val="24"/>
              </w:rPr>
              <w:t>总量</w:t>
            </w:r>
          </w:p>
          <w:p w14:paraId="6AE762BD">
            <w:pPr>
              <w:adjustRightInd w:val="0"/>
              <w:snapToGrid w:val="0"/>
              <w:ind w:firstLine="0" w:firstLineChars="0"/>
              <w:jc w:val="center"/>
              <w:rPr>
                <w:color w:val="auto"/>
                <w:kern w:val="0"/>
                <w:sz w:val="24"/>
              </w:rPr>
            </w:pPr>
            <w:r>
              <w:rPr>
                <w:color w:val="auto"/>
                <w:kern w:val="0"/>
                <w:sz w:val="24"/>
              </w:rPr>
              <w:t>控制</w:t>
            </w:r>
          </w:p>
          <w:p w14:paraId="2CEA2EC1">
            <w:pPr>
              <w:adjustRightInd w:val="0"/>
              <w:snapToGrid w:val="0"/>
              <w:ind w:firstLine="0" w:firstLineChars="0"/>
              <w:jc w:val="center"/>
              <w:rPr>
                <w:color w:val="auto"/>
                <w:kern w:val="0"/>
                <w:sz w:val="24"/>
              </w:rPr>
            </w:pPr>
            <w:r>
              <w:rPr>
                <w:color w:val="auto"/>
                <w:kern w:val="0"/>
                <w:sz w:val="24"/>
              </w:rPr>
              <w:t>指标</w:t>
            </w:r>
          </w:p>
        </w:tc>
        <w:tc>
          <w:tcPr>
            <w:tcW w:w="8686" w:type="dxa"/>
            <w:vAlign w:val="center"/>
          </w:tcPr>
          <w:p w14:paraId="5CF41C2F">
            <w:pPr>
              <w:snapToGrid w:val="0"/>
              <w:spacing w:line="360" w:lineRule="auto"/>
              <w:ind w:firstLine="480" w:firstLineChars="200"/>
              <w:rPr>
                <w:color w:val="auto"/>
                <w:sz w:val="24"/>
              </w:rPr>
            </w:pPr>
            <w:r>
              <w:rPr>
                <w:color w:val="auto"/>
                <w:sz w:val="24"/>
              </w:rPr>
              <w:t>根据《国务院关于印发&lt;“十四五”节能减排综合性工作方案&gt;的通知》（国发[2021]33号），目前国家对化学需氧量、氨氮、氮氧化物、VOCs等四种主要污染物纳入排放总量控制计划管理。</w:t>
            </w:r>
          </w:p>
          <w:p w14:paraId="64DE88AB">
            <w:pPr>
              <w:tabs>
                <w:tab w:val="left" w:pos="5580"/>
              </w:tabs>
              <w:adjustRightInd w:val="0"/>
              <w:spacing w:line="360" w:lineRule="auto"/>
              <w:ind w:left="482"/>
              <w:textAlignment w:val="baseline"/>
              <w:rPr>
                <w:b/>
                <w:color w:val="auto"/>
                <w:sz w:val="24"/>
              </w:rPr>
            </w:pPr>
            <w:r>
              <w:rPr>
                <w:color w:val="auto"/>
                <w:sz w:val="24"/>
              </w:rPr>
              <w:t>根据拟建设项目工程分析计算，拟建项目总量控制建议值：</w:t>
            </w:r>
          </w:p>
          <w:p w14:paraId="02155FAE">
            <w:pPr>
              <w:tabs>
                <w:tab w:val="left" w:pos="5580"/>
              </w:tabs>
              <w:adjustRightInd w:val="0"/>
              <w:spacing w:line="360" w:lineRule="auto"/>
              <w:ind w:left="482"/>
              <w:textAlignment w:val="baseline"/>
              <w:rPr>
                <w:b w:val="0"/>
                <w:bCs w:val="0"/>
                <w:color w:val="auto"/>
                <w:sz w:val="24"/>
              </w:rPr>
            </w:pPr>
            <w:r>
              <w:rPr>
                <w:rFonts w:hint="eastAsia"/>
                <w:b/>
                <w:bCs/>
                <w:color w:val="auto"/>
                <w:sz w:val="24"/>
              </w:rPr>
              <w:t>1、</w:t>
            </w:r>
            <w:r>
              <w:rPr>
                <w:b/>
                <w:bCs/>
                <w:color w:val="auto"/>
                <w:sz w:val="24"/>
              </w:rPr>
              <w:t>废气：</w:t>
            </w:r>
            <w:r>
              <w:rPr>
                <w:rFonts w:hint="eastAsia"/>
                <w:b w:val="0"/>
                <w:bCs w:val="0"/>
                <w:color w:val="auto"/>
                <w:sz w:val="24"/>
                <w:lang w:val="en-US" w:eastAsia="zh-CN"/>
              </w:rPr>
              <w:t>项目不涉及需要纳入总量控制的污染物，不设置总量控制指标，</w:t>
            </w:r>
            <w:r>
              <w:rPr>
                <w:b w:val="0"/>
                <w:bCs w:val="0"/>
                <w:color w:val="auto"/>
                <w:sz w:val="24"/>
              </w:rPr>
              <w:t>污染因子排放情况详见下表。</w:t>
            </w:r>
          </w:p>
          <w:p w14:paraId="5FD1BCAC">
            <w:pPr>
              <w:pStyle w:val="127"/>
              <w:adjustRightInd w:val="0"/>
              <w:spacing w:before="0" w:after="0"/>
              <w:rPr>
                <w:color w:val="auto"/>
                <w:sz w:val="21"/>
                <w:lang w:val="en-US"/>
              </w:rPr>
            </w:pPr>
            <w:r>
              <w:rPr>
                <w:color w:val="auto"/>
                <w:sz w:val="21"/>
                <w:lang w:val="en-US"/>
              </w:rPr>
              <w:t>表3-1</w:t>
            </w:r>
            <w:r>
              <w:rPr>
                <w:rFonts w:hint="eastAsia"/>
                <w:color w:val="auto"/>
                <w:sz w:val="21"/>
                <w:lang w:val="en-US" w:eastAsia="zh-CN"/>
              </w:rPr>
              <w:t>3</w:t>
            </w:r>
            <w:r>
              <w:rPr>
                <w:color w:val="auto"/>
                <w:sz w:val="21"/>
                <w:lang w:val="en-US"/>
              </w:rPr>
              <w:t>废气污染物排放情况一览表</w:t>
            </w:r>
          </w:p>
          <w:tbl>
            <w:tblPr>
              <w:tblStyle w:val="37"/>
              <w:tblW w:w="47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2006"/>
              <w:gridCol w:w="2008"/>
              <w:gridCol w:w="2008"/>
            </w:tblGrid>
            <w:tr w14:paraId="3EFD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48" w:type="pct"/>
                  <w:noWrap w:val="0"/>
                  <w:vAlign w:val="center"/>
                </w:tcPr>
                <w:p w14:paraId="6BE1F457">
                  <w:pPr>
                    <w:pStyle w:val="93"/>
                    <w:adjustRightInd w:val="0"/>
                    <w:snapToGrid w:val="0"/>
                    <w:rPr>
                      <w:rFonts w:cs="Times New Roman"/>
                      <w:color w:val="auto"/>
                      <w:szCs w:val="21"/>
                      <w:lang w:val="en-US"/>
                    </w:rPr>
                  </w:pPr>
                  <w:r>
                    <w:rPr>
                      <w:rFonts w:cs="Times New Roman"/>
                      <w:color w:val="auto"/>
                      <w:szCs w:val="21"/>
                      <w:lang w:val="en-US"/>
                    </w:rPr>
                    <w:t>污染因子</w:t>
                  </w:r>
                </w:p>
              </w:tc>
              <w:tc>
                <w:tcPr>
                  <w:tcW w:w="1249" w:type="pct"/>
                  <w:noWrap w:val="0"/>
                  <w:vAlign w:val="top"/>
                </w:tcPr>
                <w:p w14:paraId="6BFDB785">
                  <w:pPr>
                    <w:pStyle w:val="93"/>
                    <w:keepNext w:val="0"/>
                    <w:keepLines w:val="0"/>
                    <w:pageBreakBefore w:val="0"/>
                    <w:kinsoku/>
                    <w:wordWrap/>
                    <w:overflowPunct/>
                    <w:topLinePunct w:val="0"/>
                    <w:autoSpaceDE/>
                    <w:autoSpaceDN/>
                    <w:bidi w:val="0"/>
                    <w:adjustRightInd/>
                    <w:snapToGrid/>
                    <w:ind w:firstLine="0" w:firstLineChars="0"/>
                    <w:textAlignment w:val="auto"/>
                    <w:rPr>
                      <w:rFonts w:cs="Times New Roman"/>
                      <w:color w:val="auto"/>
                      <w:szCs w:val="21"/>
                      <w:lang w:val="en-US"/>
                    </w:rPr>
                  </w:pPr>
                  <w:r>
                    <w:rPr>
                      <w:rFonts w:cs="Times New Roman"/>
                      <w:color w:val="auto"/>
                      <w:szCs w:val="21"/>
                      <w:lang w:val="en-US"/>
                    </w:rPr>
                    <w:t>有组织</w:t>
                  </w:r>
                </w:p>
              </w:tc>
              <w:tc>
                <w:tcPr>
                  <w:tcW w:w="1250" w:type="pct"/>
                  <w:noWrap w:val="0"/>
                  <w:vAlign w:val="top"/>
                </w:tcPr>
                <w:p w14:paraId="6FE75706">
                  <w:pPr>
                    <w:pStyle w:val="93"/>
                    <w:keepNext w:val="0"/>
                    <w:keepLines w:val="0"/>
                    <w:pageBreakBefore w:val="0"/>
                    <w:kinsoku/>
                    <w:wordWrap/>
                    <w:overflowPunct/>
                    <w:topLinePunct w:val="0"/>
                    <w:autoSpaceDE/>
                    <w:autoSpaceDN/>
                    <w:bidi w:val="0"/>
                    <w:adjustRightInd/>
                    <w:snapToGrid/>
                    <w:ind w:firstLine="0" w:firstLineChars="0"/>
                    <w:textAlignment w:val="auto"/>
                    <w:rPr>
                      <w:rFonts w:cs="Times New Roman"/>
                      <w:color w:val="auto"/>
                      <w:szCs w:val="21"/>
                      <w:lang w:val="en-US"/>
                    </w:rPr>
                  </w:pPr>
                  <w:r>
                    <w:rPr>
                      <w:rFonts w:cs="Times New Roman"/>
                      <w:color w:val="auto"/>
                      <w:szCs w:val="21"/>
                      <w:lang w:val="en-US"/>
                    </w:rPr>
                    <w:t>无组织</w:t>
                  </w:r>
                </w:p>
              </w:tc>
              <w:tc>
                <w:tcPr>
                  <w:tcW w:w="1250" w:type="pct"/>
                  <w:noWrap w:val="0"/>
                  <w:vAlign w:val="top"/>
                </w:tcPr>
                <w:p w14:paraId="65A97D6B">
                  <w:pPr>
                    <w:pStyle w:val="93"/>
                    <w:keepNext w:val="0"/>
                    <w:keepLines w:val="0"/>
                    <w:pageBreakBefore w:val="0"/>
                    <w:kinsoku/>
                    <w:wordWrap/>
                    <w:overflowPunct/>
                    <w:topLinePunct w:val="0"/>
                    <w:autoSpaceDE/>
                    <w:autoSpaceDN/>
                    <w:bidi w:val="0"/>
                    <w:adjustRightInd/>
                    <w:snapToGrid/>
                    <w:ind w:firstLine="0" w:firstLineChars="0"/>
                    <w:textAlignment w:val="auto"/>
                    <w:rPr>
                      <w:rFonts w:cs="Times New Roman"/>
                      <w:color w:val="auto"/>
                      <w:szCs w:val="21"/>
                      <w:lang w:val="en-US"/>
                    </w:rPr>
                  </w:pPr>
                  <w:r>
                    <w:rPr>
                      <w:rFonts w:cs="Times New Roman"/>
                      <w:color w:val="auto"/>
                      <w:szCs w:val="21"/>
                      <w:lang w:val="en-US"/>
                    </w:rPr>
                    <w:t>合计</w:t>
                  </w:r>
                </w:p>
              </w:tc>
            </w:tr>
            <w:tr w14:paraId="4F61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248" w:type="pct"/>
                  <w:noWrap w:val="0"/>
                  <w:vAlign w:val="center"/>
                </w:tcPr>
                <w:p w14:paraId="757811E4">
                  <w:pPr>
                    <w:pStyle w:val="93"/>
                    <w:adjustRightInd w:val="0"/>
                    <w:snapToGrid w:val="0"/>
                    <w:rPr>
                      <w:rFonts w:cs="Times New Roman"/>
                      <w:color w:val="auto"/>
                      <w:szCs w:val="21"/>
                      <w:lang w:val="en-US"/>
                    </w:rPr>
                  </w:pPr>
                  <w:r>
                    <w:rPr>
                      <w:rFonts w:hint="eastAsia" w:eastAsia="宋体" w:cs="Times New Roman"/>
                      <w:color w:val="auto"/>
                      <w:szCs w:val="21"/>
                      <w:lang w:val="en-US" w:eastAsia="zh-CN"/>
                    </w:rPr>
                    <w:t>颗粒物</w:t>
                  </w:r>
                  <w:r>
                    <w:rPr>
                      <w:rFonts w:cs="Times New Roman"/>
                      <w:color w:val="auto"/>
                      <w:szCs w:val="21"/>
                      <w:lang w:val="en-US"/>
                    </w:rPr>
                    <w:t>（t/a）</w:t>
                  </w:r>
                </w:p>
              </w:tc>
              <w:tc>
                <w:tcPr>
                  <w:tcW w:w="1249" w:type="pct"/>
                  <w:noWrap w:val="0"/>
                  <w:vAlign w:val="top"/>
                </w:tcPr>
                <w:p w14:paraId="7547D2CE">
                  <w:pPr>
                    <w:pStyle w:val="93"/>
                    <w:keepNext w:val="0"/>
                    <w:keepLines w:val="0"/>
                    <w:pageBreakBefore w:val="0"/>
                    <w:kinsoku/>
                    <w:wordWrap/>
                    <w:overflowPunct/>
                    <w:topLinePunct w:val="0"/>
                    <w:autoSpaceDE/>
                    <w:autoSpaceDN/>
                    <w:bidi w:val="0"/>
                    <w:adjustRightInd/>
                    <w:snapToGrid/>
                    <w:ind w:firstLine="0" w:firstLineChars="0"/>
                    <w:textAlignment w:val="auto"/>
                    <w:rPr>
                      <w:rFonts w:hint="default" w:eastAsia="宋体" w:cs="Times New Roman"/>
                      <w:color w:val="auto"/>
                      <w:szCs w:val="21"/>
                      <w:lang w:val="en-US" w:eastAsia="zh-CN"/>
                    </w:rPr>
                  </w:pPr>
                  <w:r>
                    <w:rPr>
                      <w:rFonts w:hint="eastAsia" w:cs="Times New Roman"/>
                      <w:color w:val="auto"/>
                      <w:szCs w:val="21"/>
                      <w:lang w:val="en-US" w:eastAsia="zh-CN"/>
                    </w:rPr>
                    <w:t>0.0547</w:t>
                  </w:r>
                </w:p>
              </w:tc>
              <w:tc>
                <w:tcPr>
                  <w:tcW w:w="1250" w:type="pct"/>
                  <w:shd w:val="clear" w:color="auto" w:fill="auto"/>
                  <w:noWrap w:val="0"/>
                  <w:vAlign w:val="center"/>
                </w:tcPr>
                <w:p w14:paraId="030688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2.5094</w:t>
                  </w:r>
                </w:p>
              </w:tc>
              <w:tc>
                <w:tcPr>
                  <w:tcW w:w="1250" w:type="pct"/>
                  <w:noWrap w:val="0"/>
                  <w:vAlign w:val="center"/>
                </w:tcPr>
                <w:p w14:paraId="2E22411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eastAsia="宋体"/>
                      <w:color w:val="auto"/>
                      <w:szCs w:val="21"/>
                      <w:lang w:val="en-US" w:eastAsia="zh-CN"/>
                    </w:rPr>
                  </w:pPr>
                  <w:r>
                    <w:rPr>
                      <w:rFonts w:hint="eastAsia"/>
                      <w:color w:val="auto"/>
                      <w:szCs w:val="21"/>
                      <w:lang w:val="en-US" w:eastAsia="zh-CN"/>
                    </w:rPr>
                    <w:t>2.5641</w:t>
                  </w:r>
                </w:p>
              </w:tc>
            </w:tr>
          </w:tbl>
          <w:p w14:paraId="0DAEBC62">
            <w:pPr>
              <w:tabs>
                <w:tab w:val="left" w:pos="5580"/>
              </w:tabs>
              <w:adjustRightInd w:val="0"/>
              <w:spacing w:line="360" w:lineRule="auto"/>
              <w:ind w:left="482"/>
              <w:textAlignment w:val="baseline"/>
              <w:rPr>
                <w:b/>
                <w:color w:val="auto"/>
                <w:sz w:val="24"/>
              </w:rPr>
            </w:pPr>
            <w:r>
              <w:rPr>
                <w:b/>
                <w:color w:val="auto"/>
                <w:sz w:val="24"/>
              </w:rPr>
              <w:t>2、废水</w:t>
            </w:r>
          </w:p>
          <w:p w14:paraId="2EA5BA62">
            <w:pPr>
              <w:tabs>
                <w:tab w:val="left" w:pos="5580"/>
              </w:tabs>
              <w:adjustRightInd w:val="0"/>
              <w:spacing w:line="360" w:lineRule="auto"/>
              <w:ind w:firstLine="512" w:firstLineChars="200"/>
              <w:textAlignment w:val="baseline"/>
              <w:rPr>
                <w:bCs/>
                <w:color w:val="auto"/>
                <w:sz w:val="24"/>
              </w:rPr>
            </w:pPr>
            <w:r>
              <w:rPr>
                <w:color w:val="auto"/>
                <w:spacing w:val="8"/>
                <w:sz w:val="24"/>
              </w:rPr>
              <w:t>本项目</w:t>
            </w:r>
            <w:r>
              <w:rPr>
                <w:rFonts w:hint="eastAsia"/>
                <w:color w:val="auto"/>
                <w:spacing w:val="8"/>
                <w:sz w:val="24"/>
                <w:lang w:val="en-US" w:eastAsia="zh-CN"/>
              </w:rPr>
              <w:t>不新增作业人员</w:t>
            </w:r>
            <w:r>
              <w:rPr>
                <w:color w:val="auto"/>
                <w:spacing w:val="8"/>
                <w:sz w:val="24"/>
              </w:rPr>
              <w:t>，</w:t>
            </w:r>
            <w:r>
              <w:rPr>
                <w:rFonts w:hint="eastAsia"/>
                <w:color w:val="auto"/>
                <w:spacing w:val="8"/>
                <w:sz w:val="24"/>
                <w:lang w:val="en-US" w:eastAsia="zh-CN"/>
              </w:rPr>
              <w:t>依托原有项目的作业人员，原有项目</w:t>
            </w:r>
            <w:r>
              <w:rPr>
                <w:color w:val="auto"/>
                <w:spacing w:val="8"/>
                <w:sz w:val="24"/>
              </w:rPr>
              <w:t>生活污水</w:t>
            </w:r>
            <w:r>
              <w:rPr>
                <w:rFonts w:hint="eastAsia"/>
                <w:color w:val="auto"/>
                <w:spacing w:val="8"/>
                <w:sz w:val="24"/>
                <w:lang w:val="en-US" w:eastAsia="zh-CN"/>
              </w:rPr>
              <w:t>经化粪池处理后用于农田施肥</w:t>
            </w:r>
            <w:r>
              <w:rPr>
                <w:color w:val="auto"/>
                <w:kern w:val="0"/>
                <w:sz w:val="24"/>
              </w:rPr>
              <w:t>，因此，本项目不设置总量控制指标</w:t>
            </w:r>
            <w:r>
              <w:rPr>
                <w:color w:val="auto"/>
                <w:spacing w:val="8"/>
                <w:sz w:val="24"/>
              </w:rPr>
              <w:t>。</w:t>
            </w:r>
          </w:p>
          <w:p w14:paraId="214E6DB2">
            <w:pPr>
              <w:tabs>
                <w:tab w:val="left" w:pos="5580"/>
              </w:tabs>
              <w:spacing w:line="360" w:lineRule="auto"/>
              <w:ind w:firstLine="482" w:firstLineChars="200"/>
              <w:textAlignment w:val="baseline"/>
              <w:rPr>
                <w:b/>
                <w:color w:val="auto"/>
                <w:sz w:val="24"/>
              </w:rPr>
            </w:pPr>
            <w:r>
              <w:rPr>
                <w:b/>
                <w:color w:val="auto"/>
                <w:sz w:val="24"/>
              </w:rPr>
              <w:t>3、固体废弃物</w:t>
            </w:r>
          </w:p>
          <w:p w14:paraId="4250BC08">
            <w:pPr>
              <w:pStyle w:val="3"/>
              <w:ind w:firstLine="482"/>
              <w:rPr>
                <w:b w:val="0"/>
                <w:bCs w:val="0"/>
                <w:color w:val="auto"/>
              </w:rPr>
            </w:pPr>
            <w:r>
              <w:rPr>
                <w:b w:val="0"/>
                <w:bCs w:val="0"/>
                <w:color w:val="auto"/>
                <w:sz w:val="24"/>
              </w:rPr>
              <w:t>全部得到合理处置，处置率100%。</w:t>
            </w:r>
          </w:p>
          <w:p w14:paraId="13431B6D">
            <w:pPr>
              <w:ind w:firstLine="480"/>
              <w:rPr>
                <w:color w:val="auto"/>
                <w:sz w:val="24"/>
              </w:rPr>
            </w:pPr>
          </w:p>
          <w:p w14:paraId="7A1E3133">
            <w:pPr>
              <w:pStyle w:val="3"/>
              <w:ind w:firstLine="482"/>
              <w:rPr>
                <w:color w:val="auto"/>
              </w:rPr>
            </w:pPr>
          </w:p>
          <w:p w14:paraId="551BA981">
            <w:pPr>
              <w:ind w:firstLine="480"/>
              <w:rPr>
                <w:color w:val="auto"/>
                <w:sz w:val="24"/>
              </w:rPr>
            </w:pPr>
          </w:p>
          <w:p w14:paraId="543AC476">
            <w:pPr>
              <w:pStyle w:val="3"/>
              <w:ind w:firstLine="482"/>
              <w:rPr>
                <w:color w:val="auto"/>
              </w:rPr>
            </w:pPr>
          </w:p>
          <w:p w14:paraId="0A6E6CF4">
            <w:pPr>
              <w:ind w:firstLine="480"/>
              <w:rPr>
                <w:color w:val="auto"/>
                <w:sz w:val="24"/>
              </w:rPr>
            </w:pPr>
          </w:p>
          <w:p w14:paraId="61D03020">
            <w:pPr>
              <w:pStyle w:val="3"/>
              <w:ind w:firstLine="482"/>
              <w:rPr>
                <w:color w:val="auto"/>
              </w:rPr>
            </w:pPr>
          </w:p>
          <w:p w14:paraId="08B91BAA">
            <w:pPr>
              <w:ind w:firstLine="480"/>
              <w:rPr>
                <w:color w:val="auto"/>
                <w:sz w:val="24"/>
              </w:rPr>
            </w:pPr>
          </w:p>
          <w:p w14:paraId="788D43EF">
            <w:pPr>
              <w:pStyle w:val="3"/>
              <w:ind w:firstLine="482"/>
              <w:rPr>
                <w:color w:val="auto"/>
              </w:rPr>
            </w:pPr>
          </w:p>
          <w:p w14:paraId="22B4D38A">
            <w:pPr>
              <w:ind w:firstLine="480"/>
              <w:rPr>
                <w:color w:val="auto"/>
                <w:sz w:val="24"/>
              </w:rPr>
            </w:pPr>
          </w:p>
          <w:p w14:paraId="474CFA42">
            <w:pPr>
              <w:ind w:firstLine="480"/>
              <w:rPr>
                <w:color w:val="auto"/>
                <w:sz w:val="24"/>
              </w:rPr>
            </w:pPr>
          </w:p>
          <w:p w14:paraId="6C672984">
            <w:pPr>
              <w:ind w:firstLine="480"/>
              <w:rPr>
                <w:color w:val="auto"/>
                <w:sz w:val="24"/>
              </w:rPr>
            </w:pPr>
          </w:p>
          <w:p w14:paraId="4078CF00">
            <w:pPr>
              <w:ind w:firstLine="480"/>
              <w:rPr>
                <w:color w:val="auto"/>
                <w:sz w:val="24"/>
              </w:rPr>
            </w:pPr>
          </w:p>
          <w:p w14:paraId="1F63495E">
            <w:pPr>
              <w:ind w:firstLine="0" w:firstLineChars="0"/>
              <w:rPr>
                <w:color w:val="auto"/>
              </w:rPr>
            </w:pPr>
          </w:p>
        </w:tc>
      </w:tr>
    </w:tbl>
    <w:p w14:paraId="69FE811A">
      <w:pPr>
        <w:pStyle w:val="33"/>
        <w:adjustRightInd w:val="0"/>
        <w:snapToGrid w:val="0"/>
        <w:spacing w:before="0" w:beforeAutospacing="0" w:after="0" w:afterAutospacing="0" w:line="336" w:lineRule="auto"/>
        <w:ind w:firstLine="0" w:firstLineChars="0"/>
        <w:jc w:val="center"/>
        <w:outlineLvl w:val="0"/>
        <w:rPr>
          <w:rFonts w:ascii="Times New Roman" w:hAnsi="Times New Roman"/>
          <w:snapToGrid w:val="0"/>
          <w:color w:val="auto"/>
          <w:sz w:val="30"/>
          <w:szCs w:val="30"/>
        </w:rPr>
      </w:pPr>
      <w:r>
        <w:rPr>
          <w:rFonts w:ascii="Times New Roman" w:hAnsi="Times New Roman"/>
          <w:snapToGrid w:val="0"/>
          <w:color w:val="auto"/>
          <w:sz w:val="36"/>
          <w:szCs w:val="36"/>
        </w:rPr>
        <w:br w:type="page"/>
      </w:r>
      <w:bookmarkStart w:id="20" w:name="_Toc32349"/>
      <w:bookmarkStart w:id="21" w:name="_Toc6112"/>
      <w:r>
        <w:rPr>
          <w:rFonts w:ascii="Times New Roman" w:hAnsi="Times New Roman"/>
          <w:b/>
          <w:bCs/>
          <w:snapToGrid w:val="0"/>
          <w:color w:val="auto"/>
          <w:sz w:val="30"/>
          <w:szCs w:val="30"/>
        </w:rPr>
        <w:t>四、主要环境影响和保护措施</w:t>
      </w:r>
      <w:bookmarkEnd w:id="20"/>
      <w:bookmarkEnd w:id="21"/>
    </w:p>
    <w:tbl>
      <w:tblPr>
        <w:tblStyle w:val="37"/>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118"/>
      </w:tblGrid>
      <w:tr w14:paraId="526EB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96" w:type="dxa"/>
            <w:tcMar>
              <w:left w:w="28" w:type="dxa"/>
              <w:right w:w="28" w:type="dxa"/>
            </w:tcMar>
            <w:vAlign w:val="center"/>
          </w:tcPr>
          <w:p w14:paraId="7DC24684">
            <w:pPr>
              <w:pStyle w:val="33"/>
              <w:adjustRightInd w:val="0"/>
              <w:snapToGrid w:val="0"/>
              <w:spacing w:before="0" w:beforeAutospacing="0" w:after="0" w:afterAutospacing="0"/>
              <w:ind w:firstLine="0" w:firstLineChars="0"/>
              <w:jc w:val="center"/>
              <w:rPr>
                <w:rFonts w:ascii="Times New Roman" w:hAnsi="Times New Roman"/>
                <w:color w:val="auto"/>
                <w:kern w:val="2"/>
                <w:szCs w:val="24"/>
              </w:rPr>
            </w:pPr>
            <w:r>
              <w:rPr>
                <w:rFonts w:ascii="Times New Roman" w:hAnsi="Times New Roman"/>
                <w:color w:val="auto"/>
                <w:kern w:val="2"/>
                <w:szCs w:val="24"/>
              </w:rPr>
              <w:t>施工</w:t>
            </w:r>
          </w:p>
          <w:p w14:paraId="483F6651">
            <w:pPr>
              <w:pStyle w:val="33"/>
              <w:adjustRightInd w:val="0"/>
              <w:snapToGrid w:val="0"/>
              <w:spacing w:before="0" w:beforeAutospacing="0" w:after="0" w:afterAutospacing="0"/>
              <w:ind w:firstLine="0" w:firstLineChars="0"/>
              <w:jc w:val="center"/>
              <w:rPr>
                <w:rFonts w:ascii="Times New Roman" w:hAnsi="Times New Roman"/>
                <w:color w:val="auto"/>
                <w:kern w:val="2"/>
                <w:szCs w:val="24"/>
              </w:rPr>
            </w:pPr>
            <w:r>
              <w:rPr>
                <w:rFonts w:ascii="Times New Roman" w:hAnsi="Times New Roman"/>
                <w:color w:val="auto"/>
                <w:kern w:val="2"/>
                <w:szCs w:val="24"/>
              </w:rPr>
              <w:t>期环</w:t>
            </w:r>
          </w:p>
          <w:p w14:paraId="2C588F18">
            <w:pPr>
              <w:pStyle w:val="33"/>
              <w:adjustRightInd w:val="0"/>
              <w:snapToGrid w:val="0"/>
              <w:spacing w:before="0" w:beforeAutospacing="0" w:after="0" w:afterAutospacing="0"/>
              <w:ind w:firstLine="0" w:firstLineChars="0"/>
              <w:jc w:val="center"/>
              <w:rPr>
                <w:rFonts w:ascii="Times New Roman" w:hAnsi="Times New Roman"/>
                <w:color w:val="auto"/>
                <w:kern w:val="2"/>
                <w:szCs w:val="24"/>
              </w:rPr>
            </w:pPr>
            <w:r>
              <w:rPr>
                <w:rFonts w:ascii="Times New Roman" w:hAnsi="Times New Roman"/>
                <w:color w:val="auto"/>
                <w:kern w:val="2"/>
                <w:szCs w:val="24"/>
              </w:rPr>
              <w:t>境保</w:t>
            </w:r>
          </w:p>
          <w:p w14:paraId="342E60F1">
            <w:pPr>
              <w:pStyle w:val="33"/>
              <w:adjustRightInd w:val="0"/>
              <w:snapToGrid w:val="0"/>
              <w:spacing w:before="0" w:beforeAutospacing="0" w:after="0" w:afterAutospacing="0"/>
              <w:ind w:firstLine="0" w:firstLineChars="0"/>
              <w:jc w:val="center"/>
              <w:rPr>
                <w:rFonts w:ascii="Times New Roman" w:hAnsi="Times New Roman"/>
                <w:color w:val="auto"/>
                <w:kern w:val="2"/>
                <w:szCs w:val="24"/>
              </w:rPr>
            </w:pPr>
            <w:r>
              <w:rPr>
                <w:rFonts w:ascii="Times New Roman" w:hAnsi="Times New Roman"/>
                <w:color w:val="auto"/>
                <w:kern w:val="2"/>
                <w:szCs w:val="24"/>
              </w:rPr>
              <w:t>护措</w:t>
            </w:r>
          </w:p>
          <w:p w14:paraId="08A762F5">
            <w:pPr>
              <w:pStyle w:val="33"/>
              <w:adjustRightInd w:val="0"/>
              <w:snapToGrid w:val="0"/>
              <w:spacing w:before="0" w:beforeAutospacing="0" w:after="0" w:afterAutospacing="0"/>
              <w:ind w:firstLine="0" w:firstLineChars="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9531" w:type="dxa"/>
            <w:vAlign w:val="center"/>
          </w:tcPr>
          <w:p w14:paraId="48433060">
            <w:pPr>
              <w:widowControl/>
              <w:spacing w:line="360" w:lineRule="auto"/>
              <w:ind w:firstLine="480"/>
              <w:jc w:val="left"/>
              <w:rPr>
                <w:bCs/>
                <w:color w:val="auto"/>
                <w:sz w:val="24"/>
              </w:rPr>
            </w:pPr>
            <w:r>
              <w:rPr>
                <w:rFonts w:hint="eastAsia"/>
                <w:bCs/>
                <w:color w:val="auto"/>
                <w:sz w:val="24"/>
              </w:rPr>
              <w:t>本扩建项目主体工程已建设完成，本次施工期主要为环保设备安装及整改，主要环境影响为噪声、扬尘、装修废气以及设备安装垃圾。</w:t>
            </w:r>
          </w:p>
          <w:p w14:paraId="5C9176CB">
            <w:pPr>
              <w:widowControl/>
              <w:spacing w:line="360" w:lineRule="auto"/>
              <w:ind w:firstLine="480"/>
              <w:jc w:val="left"/>
              <w:rPr>
                <w:bCs/>
                <w:color w:val="auto"/>
                <w:sz w:val="24"/>
              </w:rPr>
            </w:pPr>
            <w:r>
              <w:rPr>
                <w:rFonts w:hint="eastAsia"/>
                <w:bCs/>
                <w:color w:val="auto"/>
                <w:sz w:val="24"/>
              </w:rPr>
              <w:t>（</w:t>
            </w:r>
            <w:r>
              <w:rPr>
                <w:bCs/>
                <w:color w:val="auto"/>
                <w:sz w:val="24"/>
              </w:rPr>
              <w:t>1</w:t>
            </w:r>
            <w:r>
              <w:rPr>
                <w:rFonts w:hint="eastAsia"/>
                <w:bCs/>
                <w:color w:val="auto"/>
                <w:sz w:val="24"/>
              </w:rPr>
              <w:t>）废水环境影响保护措施</w:t>
            </w:r>
          </w:p>
          <w:p w14:paraId="00328F45">
            <w:pPr>
              <w:widowControl/>
              <w:spacing w:line="360" w:lineRule="auto"/>
              <w:ind w:firstLine="480"/>
              <w:jc w:val="left"/>
              <w:rPr>
                <w:bCs/>
                <w:color w:val="auto"/>
                <w:sz w:val="24"/>
              </w:rPr>
            </w:pPr>
            <w:r>
              <w:rPr>
                <w:rFonts w:hint="eastAsia"/>
                <w:bCs/>
                <w:color w:val="auto"/>
                <w:sz w:val="24"/>
              </w:rPr>
              <w:t>施工人员依托使用区域配套的公共卫生间，施工人员生活废水经现有化粪池处理后用于农田堆肥，不外排。</w:t>
            </w:r>
          </w:p>
          <w:p w14:paraId="5EFBAE2C">
            <w:pPr>
              <w:widowControl/>
              <w:spacing w:line="360" w:lineRule="auto"/>
              <w:ind w:firstLine="480"/>
              <w:jc w:val="left"/>
              <w:rPr>
                <w:bCs/>
                <w:color w:val="auto"/>
                <w:sz w:val="24"/>
              </w:rPr>
            </w:pPr>
            <w:r>
              <w:rPr>
                <w:rFonts w:hint="eastAsia"/>
                <w:bCs/>
                <w:color w:val="auto"/>
                <w:sz w:val="24"/>
              </w:rPr>
              <w:t>（</w:t>
            </w:r>
            <w:r>
              <w:rPr>
                <w:bCs/>
                <w:color w:val="auto"/>
                <w:sz w:val="24"/>
              </w:rPr>
              <w:t>2</w:t>
            </w:r>
            <w:r>
              <w:rPr>
                <w:rFonts w:hint="eastAsia"/>
                <w:bCs/>
                <w:color w:val="auto"/>
                <w:sz w:val="24"/>
              </w:rPr>
              <w:t>）废气环境影响保护措施</w:t>
            </w:r>
          </w:p>
          <w:p w14:paraId="6197BD08">
            <w:pPr>
              <w:widowControl/>
              <w:spacing w:line="360" w:lineRule="auto"/>
              <w:ind w:firstLine="480"/>
              <w:jc w:val="left"/>
              <w:rPr>
                <w:bCs/>
                <w:color w:val="auto"/>
                <w:sz w:val="24"/>
              </w:rPr>
            </w:pPr>
            <w:r>
              <w:rPr>
                <w:rFonts w:hint="eastAsia"/>
                <w:bCs/>
                <w:color w:val="auto"/>
                <w:sz w:val="24"/>
              </w:rPr>
              <w:t>产生的废气主要是废气处理设施安装及新建危险废物暂存间等产生的少量粉尘，产生量很小，经建筑阻隔及大气稀释后排放。由于项目施工期较短，所需的建筑材料量较少，因此粉尘产生量较少，通过室内沉降后对外环境影响不大。</w:t>
            </w:r>
          </w:p>
          <w:p w14:paraId="18916741">
            <w:pPr>
              <w:widowControl/>
              <w:spacing w:line="360" w:lineRule="auto"/>
              <w:ind w:firstLine="480"/>
              <w:jc w:val="left"/>
              <w:rPr>
                <w:bCs/>
                <w:color w:val="auto"/>
                <w:sz w:val="24"/>
              </w:rPr>
            </w:pPr>
            <w:r>
              <w:rPr>
                <w:rFonts w:hint="eastAsia"/>
                <w:bCs/>
                <w:color w:val="auto"/>
                <w:sz w:val="24"/>
              </w:rPr>
              <w:t>（</w:t>
            </w:r>
            <w:r>
              <w:rPr>
                <w:bCs/>
                <w:color w:val="auto"/>
                <w:sz w:val="24"/>
              </w:rPr>
              <w:t>3</w:t>
            </w:r>
            <w:r>
              <w:rPr>
                <w:rFonts w:hint="eastAsia"/>
                <w:bCs/>
                <w:color w:val="auto"/>
                <w:sz w:val="24"/>
              </w:rPr>
              <w:t>）噪声环境影响保护措施</w:t>
            </w:r>
          </w:p>
          <w:p w14:paraId="7A6927F9">
            <w:pPr>
              <w:widowControl/>
              <w:spacing w:line="360" w:lineRule="auto"/>
              <w:ind w:firstLine="480"/>
              <w:jc w:val="left"/>
              <w:rPr>
                <w:bCs/>
                <w:color w:val="auto"/>
                <w:sz w:val="24"/>
              </w:rPr>
            </w:pPr>
            <w:r>
              <w:rPr>
                <w:rFonts w:hint="eastAsia"/>
                <w:bCs/>
                <w:color w:val="auto"/>
                <w:sz w:val="24"/>
              </w:rPr>
              <w:t>项目施工主要为人力施工，施工机械使用较少，噪声一般为间歇性噪声，噪声强度均在</w:t>
            </w:r>
            <w:r>
              <w:rPr>
                <w:bCs/>
                <w:color w:val="auto"/>
                <w:sz w:val="24"/>
              </w:rPr>
              <w:t>85</w:t>
            </w:r>
            <w:r>
              <w:rPr>
                <w:rFonts w:hint="eastAsia"/>
                <w:bCs/>
                <w:color w:val="auto"/>
                <w:sz w:val="24"/>
              </w:rPr>
              <w:t>～</w:t>
            </w:r>
            <w:r>
              <w:rPr>
                <w:bCs/>
                <w:color w:val="auto"/>
                <w:sz w:val="24"/>
              </w:rPr>
              <w:t>100dB(A)</w:t>
            </w:r>
            <w:r>
              <w:rPr>
                <w:rFonts w:hint="eastAsia"/>
                <w:bCs/>
                <w:color w:val="auto"/>
                <w:sz w:val="24"/>
              </w:rPr>
              <w:t>之间。为减少施工噪声对外环境的影响，建议施工单位采取以下措施：</w:t>
            </w:r>
          </w:p>
          <w:p w14:paraId="7C7D78CE">
            <w:pPr>
              <w:widowControl/>
              <w:spacing w:line="360" w:lineRule="auto"/>
              <w:ind w:firstLine="480"/>
              <w:jc w:val="left"/>
              <w:rPr>
                <w:bCs/>
                <w:color w:val="auto"/>
                <w:sz w:val="24"/>
              </w:rPr>
            </w:pPr>
            <w:r>
              <w:rPr>
                <w:bCs/>
                <w:color w:val="auto"/>
                <w:sz w:val="24"/>
              </w:rPr>
              <w:t>1</w:t>
            </w:r>
            <w:r>
              <w:rPr>
                <w:rFonts w:hint="eastAsia"/>
                <w:bCs/>
                <w:color w:val="auto"/>
                <w:sz w:val="24"/>
              </w:rPr>
              <w:t>）施工单位应充分考虑周围环境的敏感性，在施工操作上要加强环保措施，选用低声施工设备；</w:t>
            </w:r>
          </w:p>
          <w:p w14:paraId="43EF8849">
            <w:pPr>
              <w:widowControl/>
              <w:spacing w:line="360" w:lineRule="auto"/>
              <w:ind w:firstLine="480"/>
              <w:jc w:val="left"/>
              <w:rPr>
                <w:bCs/>
                <w:color w:val="auto"/>
                <w:sz w:val="24"/>
              </w:rPr>
            </w:pPr>
            <w:r>
              <w:rPr>
                <w:bCs/>
                <w:color w:val="auto"/>
                <w:sz w:val="24"/>
              </w:rPr>
              <w:t>2</w:t>
            </w:r>
            <w:r>
              <w:rPr>
                <w:rFonts w:hint="eastAsia"/>
                <w:bCs/>
                <w:color w:val="auto"/>
                <w:sz w:val="24"/>
              </w:rPr>
              <w:t>）文明施工，在装卸、搬运装修材料和机械设备时轻拿轻放、严禁抛掷；</w:t>
            </w:r>
          </w:p>
          <w:p w14:paraId="6C350834">
            <w:pPr>
              <w:widowControl/>
              <w:spacing w:line="360" w:lineRule="auto"/>
              <w:ind w:firstLine="480"/>
              <w:jc w:val="left"/>
              <w:rPr>
                <w:bCs/>
                <w:color w:val="auto"/>
                <w:sz w:val="24"/>
              </w:rPr>
            </w:pPr>
            <w:r>
              <w:rPr>
                <w:bCs/>
                <w:color w:val="auto"/>
                <w:sz w:val="24"/>
              </w:rPr>
              <w:t>3</w:t>
            </w:r>
            <w:r>
              <w:rPr>
                <w:rFonts w:hint="eastAsia"/>
                <w:bCs/>
                <w:color w:val="auto"/>
                <w:sz w:val="24"/>
              </w:rPr>
              <w:t>）合理安排施工时间，降低施工机械同时使用的频次，尽可能采用交互作业，禁止夜间（</w:t>
            </w:r>
            <w:r>
              <w:rPr>
                <w:bCs/>
                <w:color w:val="auto"/>
                <w:sz w:val="24"/>
              </w:rPr>
              <w:t>22</w:t>
            </w:r>
            <w:r>
              <w:rPr>
                <w:rFonts w:hint="eastAsia"/>
                <w:bCs/>
                <w:color w:val="auto"/>
                <w:sz w:val="24"/>
              </w:rPr>
              <w:t>：</w:t>
            </w:r>
            <w:r>
              <w:rPr>
                <w:bCs/>
                <w:color w:val="auto"/>
                <w:sz w:val="24"/>
              </w:rPr>
              <w:t>00</w:t>
            </w:r>
            <w:r>
              <w:rPr>
                <w:rFonts w:hint="eastAsia"/>
                <w:bCs/>
                <w:color w:val="auto"/>
                <w:sz w:val="24"/>
              </w:rPr>
              <w:t>～</w:t>
            </w:r>
            <w:r>
              <w:rPr>
                <w:bCs/>
                <w:color w:val="auto"/>
                <w:sz w:val="24"/>
              </w:rPr>
              <w:t>08</w:t>
            </w:r>
            <w:r>
              <w:rPr>
                <w:rFonts w:hint="eastAsia"/>
                <w:bCs/>
                <w:color w:val="auto"/>
                <w:sz w:val="24"/>
              </w:rPr>
              <w:t>：</w:t>
            </w:r>
            <w:r>
              <w:rPr>
                <w:bCs/>
                <w:color w:val="auto"/>
                <w:sz w:val="24"/>
              </w:rPr>
              <w:t>00</w:t>
            </w:r>
            <w:r>
              <w:rPr>
                <w:rFonts w:hint="eastAsia"/>
                <w:bCs/>
                <w:color w:val="auto"/>
                <w:sz w:val="24"/>
              </w:rPr>
              <w:t>）与午休时间（</w:t>
            </w:r>
            <w:r>
              <w:rPr>
                <w:bCs/>
                <w:color w:val="auto"/>
                <w:sz w:val="24"/>
              </w:rPr>
              <w:t>12</w:t>
            </w:r>
            <w:r>
              <w:rPr>
                <w:rFonts w:hint="eastAsia"/>
                <w:bCs/>
                <w:color w:val="auto"/>
                <w:sz w:val="24"/>
              </w:rPr>
              <w:t>：</w:t>
            </w:r>
            <w:r>
              <w:rPr>
                <w:bCs/>
                <w:color w:val="auto"/>
                <w:sz w:val="24"/>
              </w:rPr>
              <w:t>00~14</w:t>
            </w:r>
            <w:r>
              <w:rPr>
                <w:rFonts w:hint="eastAsia"/>
                <w:bCs/>
                <w:color w:val="auto"/>
                <w:sz w:val="24"/>
              </w:rPr>
              <w:t>：</w:t>
            </w:r>
            <w:r>
              <w:rPr>
                <w:bCs/>
                <w:color w:val="auto"/>
                <w:sz w:val="24"/>
              </w:rPr>
              <w:t>00</w:t>
            </w:r>
            <w:r>
              <w:rPr>
                <w:rFonts w:hint="eastAsia"/>
                <w:bCs/>
                <w:color w:val="auto"/>
                <w:sz w:val="24"/>
              </w:rPr>
              <w:t>）施工；</w:t>
            </w:r>
          </w:p>
          <w:p w14:paraId="0D1EA599">
            <w:pPr>
              <w:widowControl/>
              <w:spacing w:line="360" w:lineRule="auto"/>
              <w:ind w:firstLine="480"/>
              <w:jc w:val="left"/>
              <w:rPr>
                <w:bCs/>
                <w:color w:val="auto"/>
                <w:sz w:val="24"/>
              </w:rPr>
            </w:pPr>
            <w:r>
              <w:rPr>
                <w:bCs/>
                <w:color w:val="auto"/>
                <w:sz w:val="24"/>
              </w:rPr>
              <w:t>4</w:t>
            </w:r>
            <w:r>
              <w:rPr>
                <w:rFonts w:hint="eastAsia"/>
                <w:bCs/>
                <w:color w:val="auto"/>
                <w:sz w:val="24"/>
              </w:rPr>
              <w:t>）将各高噪声施工点合理布置在远离噪声敏感点的位置；</w:t>
            </w:r>
          </w:p>
          <w:p w14:paraId="289F2EA1">
            <w:pPr>
              <w:widowControl/>
              <w:spacing w:line="360" w:lineRule="auto"/>
              <w:ind w:firstLine="480"/>
              <w:jc w:val="left"/>
              <w:rPr>
                <w:bCs/>
                <w:color w:val="auto"/>
                <w:sz w:val="24"/>
              </w:rPr>
            </w:pPr>
            <w:r>
              <w:rPr>
                <w:bCs/>
                <w:color w:val="auto"/>
                <w:sz w:val="24"/>
              </w:rPr>
              <w:t>5</w:t>
            </w:r>
            <w:r>
              <w:rPr>
                <w:rFonts w:hint="eastAsia"/>
                <w:bCs/>
                <w:color w:val="auto"/>
                <w:sz w:val="24"/>
              </w:rPr>
              <w:t>）材料的运输车辆场内严禁鸣笛，严禁夜间装卸材料。要求施工单位严格采取相关噪声防治措施，按照施工规范文明施工，加强管理，确保施工期间场界噪声满足《建筑施工场界环境噪声排放标准》（</w:t>
            </w:r>
            <w:r>
              <w:rPr>
                <w:bCs/>
                <w:color w:val="auto"/>
                <w:sz w:val="24"/>
              </w:rPr>
              <w:t>GB12523-2011</w:t>
            </w:r>
            <w:r>
              <w:rPr>
                <w:rFonts w:hint="eastAsia"/>
                <w:bCs/>
                <w:color w:val="auto"/>
                <w:sz w:val="24"/>
              </w:rPr>
              <w:t>）中的相关要求，对周围环境影响较小；</w:t>
            </w:r>
          </w:p>
          <w:p w14:paraId="0FD82BD3">
            <w:pPr>
              <w:widowControl/>
              <w:spacing w:line="360" w:lineRule="auto"/>
              <w:ind w:firstLine="480"/>
              <w:jc w:val="left"/>
              <w:rPr>
                <w:bCs/>
                <w:color w:val="auto"/>
                <w:sz w:val="24"/>
              </w:rPr>
            </w:pPr>
            <w:r>
              <w:rPr>
                <w:bCs/>
                <w:color w:val="auto"/>
                <w:sz w:val="24"/>
              </w:rPr>
              <w:t>6</w:t>
            </w:r>
            <w:r>
              <w:rPr>
                <w:rFonts w:hint="eastAsia"/>
                <w:bCs/>
                <w:color w:val="auto"/>
                <w:sz w:val="24"/>
              </w:rPr>
              <w:t>）合理布局施工现场：避免在同一地点安排大量高噪声设备，以避免局部累积声级过高；</w:t>
            </w:r>
          </w:p>
          <w:p w14:paraId="3D440044">
            <w:pPr>
              <w:widowControl/>
              <w:spacing w:line="360" w:lineRule="auto"/>
              <w:ind w:firstLine="480"/>
              <w:jc w:val="left"/>
              <w:rPr>
                <w:bCs/>
                <w:color w:val="auto"/>
                <w:sz w:val="24"/>
              </w:rPr>
            </w:pPr>
            <w:r>
              <w:rPr>
                <w:bCs/>
                <w:color w:val="auto"/>
                <w:sz w:val="24"/>
              </w:rPr>
              <w:t>7</w:t>
            </w:r>
            <w:r>
              <w:rPr>
                <w:rFonts w:hint="eastAsia"/>
                <w:bCs/>
                <w:color w:val="auto"/>
                <w:sz w:val="24"/>
              </w:rPr>
              <w:t>）施工时采用降噪作业方式：施工机械选型时尽量选用可替代的低噪声的设备，对动力机械设备进行定期的维修、养护，避免设备因松动部件的振动或消音器的损坏而增加其工作时的声压级；设备用完后或不用时应立即关闭；</w:t>
            </w:r>
          </w:p>
          <w:p w14:paraId="31678B15">
            <w:pPr>
              <w:widowControl/>
              <w:spacing w:line="360" w:lineRule="auto"/>
              <w:ind w:firstLine="480"/>
              <w:jc w:val="left"/>
              <w:rPr>
                <w:bCs/>
                <w:color w:val="auto"/>
                <w:sz w:val="24"/>
              </w:rPr>
            </w:pPr>
            <w:r>
              <w:rPr>
                <w:bCs/>
                <w:color w:val="auto"/>
                <w:sz w:val="24"/>
              </w:rPr>
              <w:t>8</w:t>
            </w:r>
            <w:r>
              <w:rPr>
                <w:rFonts w:hint="eastAsia"/>
                <w:bCs/>
                <w:color w:val="auto"/>
                <w:sz w:val="24"/>
              </w:rPr>
              <w:t>）建设与施工单位还应与施工场地周围居民建立良好的关系，及时让他们了解施工进度及采取的降噪措施，并取得大家的共同理解。若因工艺或特殊需要必须连续施工，施工单位应在施工前三日内报请当地相关部门批准，并向施工场地周围的居民或单位发布公告，以征得公众的理解和支持。</w:t>
            </w:r>
          </w:p>
          <w:p w14:paraId="6E374C89">
            <w:pPr>
              <w:widowControl/>
              <w:spacing w:line="360" w:lineRule="auto"/>
              <w:ind w:firstLine="480"/>
              <w:jc w:val="left"/>
              <w:rPr>
                <w:bCs/>
                <w:color w:val="auto"/>
                <w:sz w:val="24"/>
              </w:rPr>
            </w:pPr>
            <w:r>
              <w:rPr>
                <w:rFonts w:hint="eastAsia"/>
                <w:bCs/>
                <w:color w:val="auto"/>
                <w:sz w:val="24"/>
              </w:rPr>
              <w:t>（</w:t>
            </w:r>
            <w:r>
              <w:rPr>
                <w:bCs/>
                <w:color w:val="auto"/>
                <w:sz w:val="24"/>
              </w:rPr>
              <w:t>4</w:t>
            </w:r>
            <w:r>
              <w:rPr>
                <w:rFonts w:hint="eastAsia"/>
                <w:bCs/>
                <w:color w:val="auto"/>
                <w:sz w:val="24"/>
              </w:rPr>
              <w:t>）固体废物环境影响保护措施</w:t>
            </w:r>
          </w:p>
          <w:p w14:paraId="05D11116">
            <w:pPr>
              <w:widowControl/>
              <w:spacing w:line="360" w:lineRule="auto"/>
              <w:ind w:firstLine="480"/>
              <w:jc w:val="left"/>
              <w:rPr>
                <w:bCs/>
                <w:color w:val="auto"/>
                <w:sz w:val="24"/>
              </w:rPr>
            </w:pPr>
            <w:r>
              <w:rPr>
                <w:bCs/>
                <w:color w:val="auto"/>
                <w:sz w:val="24"/>
              </w:rPr>
              <w:t>1</w:t>
            </w:r>
            <w:r>
              <w:rPr>
                <w:rFonts w:hint="eastAsia"/>
                <w:bCs/>
                <w:color w:val="auto"/>
                <w:sz w:val="24"/>
              </w:rPr>
              <w:t>）建筑垃圾可回收利用的，集中收集后交由有回收资质的废品收购站处理；不能回收利用的，集中收集后交由专业的单位清运至指定的建筑垃圾堆放点进行处置，严禁随意倾弃；</w:t>
            </w:r>
          </w:p>
          <w:p w14:paraId="76C84988">
            <w:pPr>
              <w:widowControl/>
              <w:spacing w:line="360" w:lineRule="auto"/>
              <w:ind w:firstLine="480"/>
              <w:jc w:val="left"/>
              <w:rPr>
                <w:bCs/>
                <w:color w:val="auto"/>
                <w:sz w:val="24"/>
              </w:rPr>
            </w:pPr>
            <w:r>
              <w:rPr>
                <w:bCs/>
                <w:color w:val="auto"/>
                <w:sz w:val="24"/>
              </w:rPr>
              <w:t>2</w:t>
            </w:r>
            <w:r>
              <w:rPr>
                <w:rFonts w:hint="eastAsia"/>
                <w:bCs/>
                <w:color w:val="auto"/>
                <w:sz w:val="24"/>
              </w:rPr>
              <w:t>）生活垃圾统一收集后放至指定地点，委托环卫部门清运处置。</w:t>
            </w:r>
          </w:p>
          <w:p w14:paraId="53A61800">
            <w:pPr>
              <w:widowControl/>
              <w:spacing w:line="360" w:lineRule="auto"/>
              <w:ind w:firstLine="480"/>
              <w:jc w:val="left"/>
              <w:rPr>
                <w:bCs/>
                <w:color w:val="auto"/>
                <w:spacing w:val="-10"/>
                <w:szCs w:val="21"/>
              </w:rPr>
            </w:pPr>
            <w:r>
              <w:rPr>
                <w:rFonts w:hint="eastAsia"/>
                <w:bCs/>
                <w:color w:val="auto"/>
                <w:sz w:val="24"/>
              </w:rPr>
              <w:t>综上所述，项目施工期采取环评提出的环保措施，可以实现文明施工，采取必要的降噪、防尘等措施，可以使施工期的环境影响降至最小，避免出现扰民现象。施工期产生的环境影响短暂且影响程度较小，在采取相应污染防治措施后不利影响可得到有效控制，且随着施工的结束，各种影响逐渐消失，区域环境逐渐得到恢复。因此，本环评重点分析营运期环境影响。</w:t>
            </w:r>
          </w:p>
        </w:tc>
      </w:tr>
      <w:tr w14:paraId="0E25D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96" w:type="dxa"/>
            <w:tcMar>
              <w:left w:w="28" w:type="dxa"/>
              <w:right w:w="28" w:type="dxa"/>
            </w:tcMar>
            <w:vAlign w:val="center"/>
          </w:tcPr>
          <w:p w14:paraId="58174030">
            <w:pPr>
              <w:adjustRightInd w:val="0"/>
              <w:snapToGrid w:val="0"/>
              <w:ind w:firstLine="0" w:firstLineChars="0"/>
              <w:jc w:val="center"/>
              <w:rPr>
                <w:bCs/>
                <w:color w:val="auto"/>
                <w:sz w:val="24"/>
              </w:rPr>
            </w:pPr>
            <w:r>
              <w:rPr>
                <w:bCs/>
                <w:color w:val="auto"/>
                <w:sz w:val="24"/>
              </w:rPr>
              <w:t>运营</w:t>
            </w:r>
          </w:p>
          <w:p w14:paraId="5A2451C1">
            <w:pPr>
              <w:adjustRightInd w:val="0"/>
              <w:snapToGrid w:val="0"/>
              <w:ind w:firstLine="0" w:firstLineChars="0"/>
              <w:jc w:val="center"/>
              <w:rPr>
                <w:bCs/>
                <w:color w:val="auto"/>
                <w:sz w:val="24"/>
              </w:rPr>
            </w:pPr>
            <w:r>
              <w:rPr>
                <w:bCs/>
                <w:color w:val="auto"/>
                <w:sz w:val="24"/>
              </w:rPr>
              <w:t>期环</w:t>
            </w:r>
          </w:p>
          <w:p w14:paraId="7EC6A1BA">
            <w:pPr>
              <w:adjustRightInd w:val="0"/>
              <w:snapToGrid w:val="0"/>
              <w:ind w:firstLine="0" w:firstLineChars="0"/>
              <w:jc w:val="center"/>
              <w:rPr>
                <w:bCs/>
                <w:color w:val="auto"/>
                <w:sz w:val="24"/>
              </w:rPr>
            </w:pPr>
            <w:r>
              <w:rPr>
                <w:bCs/>
                <w:color w:val="auto"/>
                <w:sz w:val="24"/>
              </w:rPr>
              <w:t>境影</w:t>
            </w:r>
          </w:p>
          <w:p w14:paraId="1A99A871">
            <w:pPr>
              <w:adjustRightInd w:val="0"/>
              <w:snapToGrid w:val="0"/>
              <w:ind w:firstLine="0" w:firstLineChars="0"/>
              <w:jc w:val="center"/>
              <w:rPr>
                <w:bCs/>
                <w:color w:val="auto"/>
                <w:sz w:val="24"/>
              </w:rPr>
            </w:pPr>
            <w:r>
              <w:rPr>
                <w:bCs/>
                <w:color w:val="auto"/>
                <w:sz w:val="24"/>
              </w:rPr>
              <w:t>响和</w:t>
            </w:r>
          </w:p>
          <w:p w14:paraId="37FADA3A">
            <w:pPr>
              <w:adjustRightInd w:val="0"/>
              <w:snapToGrid w:val="0"/>
              <w:ind w:firstLine="0" w:firstLineChars="0"/>
              <w:jc w:val="center"/>
              <w:rPr>
                <w:bCs/>
                <w:color w:val="auto"/>
                <w:sz w:val="24"/>
              </w:rPr>
            </w:pPr>
            <w:r>
              <w:rPr>
                <w:bCs/>
                <w:color w:val="auto"/>
                <w:sz w:val="24"/>
              </w:rPr>
              <w:t>保护</w:t>
            </w:r>
          </w:p>
          <w:p w14:paraId="6E3E3952">
            <w:pPr>
              <w:adjustRightInd w:val="0"/>
              <w:snapToGrid w:val="0"/>
              <w:ind w:firstLine="0" w:firstLineChars="0"/>
              <w:jc w:val="center"/>
              <w:rPr>
                <w:bCs/>
                <w:color w:val="auto"/>
                <w:sz w:val="24"/>
              </w:rPr>
            </w:pPr>
            <w:r>
              <w:rPr>
                <w:bCs/>
                <w:color w:val="auto"/>
                <w:sz w:val="24"/>
              </w:rPr>
              <w:t>措施</w:t>
            </w:r>
          </w:p>
        </w:tc>
        <w:tc>
          <w:tcPr>
            <w:tcW w:w="9531" w:type="dxa"/>
          </w:tcPr>
          <w:p w14:paraId="261A1D1E">
            <w:pPr>
              <w:spacing w:line="360" w:lineRule="auto"/>
              <w:ind w:firstLine="480"/>
              <w:rPr>
                <w:color w:val="auto"/>
                <w:kern w:val="0"/>
                <w:sz w:val="24"/>
              </w:rPr>
            </w:pPr>
            <w:r>
              <w:rPr>
                <w:color w:val="auto"/>
                <w:kern w:val="0"/>
                <w:sz w:val="24"/>
              </w:rPr>
              <w:t>一、运营期环境影响和保护措施</w:t>
            </w:r>
          </w:p>
          <w:p w14:paraId="1E88A174">
            <w:pPr>
              <w:spacing w:line="360" w:lineRule="auto"/>
              <w:ind w:firstLine="482"/>
              <w:rPr>
                <w:b/>
                <w:bCs/>
                <w:color w:val="auto"/>
                <w:kern w:val="0"/>
                <w:sz w:val="24"/>
              </w:rPr>
            </w:pPr>
            <w:r>
              <w:rPr>
                <w:rFonts w:hint="eastAsia"/>
                <w:b/>
                <w:bCs/>
                <w:color w:val="auto"/>
                <w:kern w:val="0"/>
                <w:sz w:val="24"/>
              </w:rPr>
              <w:t>1</w:t>
            </w:r>
            <w:r>
              <w:rPr>
                <w:b/>
                <w:bCs/>
                <w:color w:val="auto"/>
                <w:kern w:val="0"/>
                <w:sz w:val="24"/>
              </w:rPr>
              <w:t>、</w:t>
            </w:r>
            <w:r>
              <w:rPr>
                <w:rFonts w:hint="eastAsia"/>
                <w:b/>
                <w:bCs/>
                <w:color w:val="auto"/>
                <w:kern w:val="0"/>
                <w:sz w:val="24"/>
              </w:rPr>
              <w:t>废气环境影响及治理措施</w:t>
            </w:r>
          </w:p>
          <w:p w14:paraId="2AC099BE">
            <w:pPr>
              <w:widowControl/>
              <w:spacing w:line="360" w:lineRule="auto"/>
              <w:ind w:firstLine="482"/>
              <w:jc w:val="left"/>
              <w:rPr>
                <w:b/>
                <w:color w:val="auto"/>
                <w:kern w:val="0"/>
                <w:sz w:val="24"/>
                <w:lang w:bidi="en-US"/>
              </w:rPr>
            </w:pPr>
            <w:r>
              <w:rPr>
                <w:b/>
                <w:bCs/>
                <w:color w:val="auto"/>
                <w:kern w:val="0"/>
                <w:sz w:val="24"/>
              </w:rPr>
              <w:t>（一）</w:t>
            </w:r>
            <w:r>
              <w:rPr>
                <w:b/>
                <w:color w:val="auto"/>
                <w:kern w:val="0"/>
                <w:sz w:val="24"/>
                <w:lang w:bidi="en-US"/>
              </w:rPr>
              <w:t>污染物源强核算依据</w:t>
            </w:r>
          </w:p>
          <w:p w14:paraId="24E020C4">
            <w:pPr>
              <w:widowControl/>
              <w:spacing w:line="360" w:lineRule="auto"/>
              <w:ind w:firstLine="480"/>
              <w:jc w:val="left"/>
              <w:rPr>
                <w:bCs/>
                <w:color w:val="auto"/>
                <w:sz w:val="24"/>
              </w:rPr>
            </w:pPr>
            <w:r>
              <w:rPr>
                <w:rFonts w:hint="eastAsia"/>
                <w:bCs/>
                <w:color w:val="auto"/>
                <w:sz w:val="24"/>
              </w:rPr>
              <w:t>（1）</w:t>
            </w:r>
            <w:r>
              <w:rPr>
                <w:rFonts w:hint="eastAsia"/>
                <w:b/>
                <w:bCs w:val="0"/>
                <w:color w:val="auto"/>
                <w:sz w:val="24"/>
              </w:rPr>
              <w:t>有组织废气排放</w:t>
            </w:r>
          </w:p>
          <w:p w14:paraId="2E8525A6">
            <w:pPr>
              <w:widowControl/>
              <w:spacing w:line="360" w:lineRule="auto"/>
              <w:ind w:firstLine="480"/>
              <w:jc w:val="left"/>
              <w:rPr>
                <w:bCs/>
                <w:color w:val="auto"/>
                <w:sz w:val="24"/>
              </w:rPr>
            </w:pPr>
            <w:r>
              <w:rPr>
                <w:bCs/>
                <w:color w:val="auto"/>
                <w:sz w:val="24"/>
              </w:rPr>
              <w:t>1）筒仓粉尘</w:t>
            </w:r>
          </w:p>
          <w:p w14:paraId="2F2B95AB">
            <w:pPr>
              <w:widowControl/>
              <w:spacing w:line="360" w:lineRule="auto"/>
              <w:ind w:firstLine="720" w:firstLineChars="300"/>
              <w:jc w:val="left"/>
              <w:rPr>
                <w:color w:val="auto"/>
                <w:sz w:val="24"/>
              </w:rPr>
            </w:pPr>
            <w:r>
              <w:rPr>
                <w:rFonts w:hint="eastAsia"/>
                <w:bCs/>
                <w:color w:val="auto"/>
                <w:sz w:val="24"/>
                <w:lang w:val="en-US" w:eastAsia="zh-CN"/>
              </w:rPr>
              <w:t>扩建项目</w:t>
            </w:r>
            <w:r>
              <w:rPr>
                <w:rFonts w:hint="eastAsia"/>
                <w:bCs/>
                <w:color w:val="auto"/>
                <w:sz w:val="24"/>
              </w:rPr>
              <w:t>商品混凝土生产线</w:t>
            </w:r>
            <w:r>
              <w:rPr>
                <w:bCs/>
                <w:color w:val="auto"/>
                <w:sz w:val="24"/>
              </w:rPr>
              <w:t>共设置4个筒仓（水泥</w:t>
            </w:r>
            <w:r>
              <w:rPr>
                <w:rFonts w:hint="eastAsia"/>
                <w:bCs/>
                <w:color w:val="auto"/>
                <w:sz w:val="24"/>
              </w:rPr>
              <w:t>筒仓2个、</w:t>
            </w:r>
            <w:r>
              <w:rPr>
                <w:bCs/>
                <w:color w:val="auto"/>
                <w:sz w:val="24"/>
              </w:rPr>
              <w:t>粉煤灰</w:t>
            </w:r>
            <w:r>
              <w:rPr>
                <w:rFonts w:hint="eastAsia"/>
                <w:bCs/>
                <w:color w:val="auto"/>
                <w:sz w:val="24"/>
              </w:rPr>
              <w:t>筒仓1个、矿粉筒仓1个</w:t>
            </w:r>
            <w:r>
              <w:rPr>
                <w:bCs/>
                <w:color w:val="auto"/>
                <w:sz w:val="24"/>
              </w:rPr>
              <w:t>），水泥、粉煤灰</w:t>
            </w:r>
            <w:r>
              <w:rPr>
                <w:rFonts w:hint="eastAsia"/>
                <w:bCs/>
                <w:color w:val="auto"/>
                <w:sz w:val="24"/>
              </w:rPr>
              <w:t>、矿粉</w:t>
            </w:r>
            <w:r>
              <w:rPr>
                <w:bCs/>
                <w:color w:val="auto"/>
                <w:sz w:val="24"/>
              </w:rPr>
              <w:t>均采用密闭罐车运输，由于通过管道进入筒仓时进料口在筒仓下方，罐装车通</w:t>
            </w:r>
            <w:r>
              <w:rPr>
                <w:color w:val="auto"/>
                <w:sz w:val="24"/>
              </w:rPr>
              <w:t>过自带空压机将水泥、粉煤灰</w:t>
            </w:r>
            <w:r>
              <w:rPr>
                <w:rFonts w:hint="eastAsia"/>
                <w:color w:val="auto"/>
                <w:sz w:val="24"/>
              </w:rPr>
              <w:t>、矿粉</w:t>
            </w:r>
            <w:r>
              <w:rPr>
                <w:color w:val="auto"/>
                <w:sz w:val="24"/>
              </w:rPr>
              <w:t>送至筒仓，其筒仓内压力大于大气压，为了保持压力平衡，其仓顶排气口排气过程中将会有粉尘产生。</w:t>
            </w:r>
          </w:p>
          <w:p w14:paraId="12347A25">
            <w:pPr>
              <w:widowControl/>
              <w:spacing w:line="360" w:lineRule="auto"/>
              <w:ind w:firstLine="480"/>
              <w:jc w:val="left"/>
              <w:rPr>
                <w:rFonts w:hint="default" w:eastAsia="宋体"/>
                <w:bCs/>
                <w:color w:val="auto"/>
                <w:sz w:val="24"/>
                <w:szCs w:val="20"/>
                <w:lang w:val="en-US" w:eastAsia="zh-CN"/>
              </w:rPr>
            </w:pPr>
            <w:r>
              <w:rPr>
                <w:rFonts w:hint="eastAsia"/>
                <w:color w:val="auto"/>
                <w:sz w:val="24"/>
                <w:lang w:val="en-US" w:eastAsia="zh-CN"/>
              </w:rPr>
              <w:t>扩建项目</w:t>
            </w:r>
            <w:r>
              <w:rPr>
                <w:rFonts w:hint="eastAsia"/>
                <w:color w:val="auto"/>
                <w:sz w:val="24"/>
              </w:rPr>
              <w:t>水泥、粉煤灰、矿粉</w:t>
            </w:r>
            <w:r>
              <w:rPr>
                <w:color w:val="auto"/>
                <w:sz w:val="24"/>
              </w:rPr>
              <w:t>筒</w:t>
            </w:r>
            <w:r>
              <w:rPr>
                <w:color w:val="auto"/>
                <w:sz w:val="24"/>
                <w:szCs w:val="20"/>
              </w:rPr>
              <w:t>仓均为</w:t>
            </w:r>
            <w:r>
              <w:rPr>
                <w:rFonts w:hint="eastAsia"/>
                <w:color w:val="auto"/>
                <w:sz w:val="24"/>
                <w:szCs w:val="20"/>
              </w:rPr>
              <w:t>2</w:t>
            </w:r>
            <w:r>
              <w:rPr>
                <w:color w:val="auto"/>
                <w:sz w:val="24"/>
                <w:szCs w:val="20"/>
              </w:rPr>
              <w:t>00t</w:t>
            </w:r>
            <w:r>
              <w:rPr>
                <w:rFonts w:hint="eastAsia"/>
                <w:color w:val="auto"/>
                <w:sz w:val="24"/>
                <w:szCs w:val="20"/>
              </w:rPr>
              <w:t>，</w:t>
            </w:r>
            <w:r>
              <w:rPr>
                <w:color w:val="auto"/>
                <w:sz w:val="24"/>
                <w:szCs w:val="20"/>
              </w:rPr>
              <w:t>水泥使用量为</w:t>
            </w:r>
            <w:r>
              <w:rPr>
                <w:rFonts w:hint="eastAsia"/>
                <w:color w:val="auto"/>
                <w:sz w:val="24"/>
                <w:szCs w:val="20"/>
              </w:rPr>
              <w:t>12400</w:t>
            </w:r>
            <w:r>
              <w:rPr>
                <w:color w:val="auto"/>
                <w:sz w:val="24"/>
                <w:szCs w:val="20"/>
              </w:rPr>
              <w:t>t/a，粉煤灰使用量为</w:t>
            </w:r>
            <w:r>
              <w:rPr>
                <w:rFonts w:hint="eastAsia"/>
                <w:color w:val="auto"/>
                <w:sz w:val="24"/>
                <w:szCs w:val="20"/>
              </w:rPr>
              <w:t>3300</w:t>
            </w:r>
            <w:r>
              <w:rPr>
                <w:color w:val="auto"/>
                <w:sz w:val="24"/>
                <w:szCs w:val="20"/>
              </w:rPr>
              <w:t>t/a，</w:t>
            </w:r>
            <w:r>
              <w:rPr>
                <w:rFonts w:hint="eastAsia"/>
                <w:bCs/>
                <w:color w:val="auto"/>
                <w:sz w:val="24"/>
              </w:rPr>
              <w:t>矿粉</w:t>
            </w:r>
            <w:r>
              <w:rPr>
                <w:color w:val="auto"/>
                <w:sz w:val="24"/>
                <w:szCs w:val="20"/>
              </w:rPr>
              <w:t>使用量为</w:t>
            </w:r>
            <w:r>
              <w:rPr>
                <w:rFonts w:hint="eastAsia"/>
                <w:color w:val="auto"/>
                <w:sz w:val="24"/>
                <w:szCs w:val="20"/>
              </w:rPr>
              <w:t>1100</w:t>
            </w:r>
            <w:r>
              <w:rPr>
                <w:color w:val="auto"/>
                <w:sz w:val="24"/>
                <w:szCs w:val="20"/>
              </w:rPr>
              <w:t>t/a</w:t>
            </w:r>
            <w:r>
              <w:rPr>
                <w:rFonts w:hint="eastAsia"/>
                <w:bCs/>
                <w:color w:val="auto"/>
                <w:sz w:val="24"/>
                <w:szCs w:val="20"/>
                <w:lang w:eastAsia="zh-CN"/>
              </w:rPr>
              <w:t>；</w:t>
            </w:r>
            <w:r>
              <w:rPr>
                <w:rFonts w:hint="eastAsia"/>
                <w:bCs/>
                <w:color w:val="auto"/>
                <w:sz w:val="24"/>
                <w:szCs w:val="20"/>
                <w:lang w:val="en-US" w:eastAsia="zh-CN"/>
              </w:rPr>
              <w:t>原项目筒仓</w:t>
            </w:r>
            <w:r>
              <w:rPr>
                <w:color w:val="auto"/>
                <w:sz w:val="24"/>
                <w:szCs w:val="20"/>
              </w:rPr>
              <w:t>均为</w:t>
            </w:r>
            <w:r>
              <w:rPr>
                <w:rFonts w:hint="eastAsia"/>
                <w:color w:val="auto"/>
                <w:sz w:val="24"/>
                <w:szCs w:val="20"/>
                <w:lang w:val="en-US" w:eastAsia="zh-CN"/>
              </w:rPr>
              <w:t>4</w:t>
            </w:r>
            <w:r>
              <w:rPr>
                <w:color w:val="auto"/>
                <w:sz w:val="24"/>
                <w:szCs w:val="20"/>
              </w:rPr>
              <w:t>00t</w:t>
            </w:r>
            <w:r>
              <w:rPr>
                <w:rFonts w:hint="eastAsia"/>
                <w:color w:val="auto"/>
                <w:sz w:val="24"/>
                <w:szCs w:val="20"/>
              </w:rPr>
              <w:t>，</w:t>
            </w:r>
            <w:r>
              <w:rPr>
                <w:color w:val="auto"/>
                <w:sz w:val="24"/>
                <w:szCs w:val="20"/>
              </w:rPr>
              <w:t>水泥使用量为</w:t>
            </w:r>
            <w:r>
              <w:rPr>
                <w:rFonts w:hint="eastAsia"/>
                <w:color w:val="auto"/>
                <w:sz w:val="24"/>
                <w:szCs w:val="20"/>
                <w:lang w:val="en-US" w:eastAsia="zh-CN"/>
              </w:rPr>
              <w:t>31000</w:t>
            </w:r>
            <w:r>
              <w:rPr>
                <w:color w:val="auto"/>
                <w:sz w:val="24"/>
                <w:szCs w:val="20"/>
              </w:rPr>
              <w:t>t/a，粉煤灰使用量为</w:t>
            </w:r>
            <w:r>
              <w:rPr>
                <w:rFonts w:hint="eastAsia"/>
                <w:color w:val="auto"/>
                <w:sz w:val="24"/>
                <w:szCs w:val="20"/>
                <w:lang w:val="en-US" w:eastAsia="zh-CN"/>
              </w:rPr>
              <w:t>8250</w:t>
            </w:r>
            <w:r>
              <w:rPr>
                <w:color w:val="auto"/>
                <w:sz w:val="24"/>
                <w:szCs w:val="20"/>
              </w:rPr>
              <w:t>t/a，</w:t>
            </w:r>
            <w:r>
              <w:rPr>
                <w:rFonts w:hint="eastAsia"/>
                <w:bCs/>
                <w:color w:val="auto"/>
                <w:sz w:val="24"/>
              </w:rPr>
              <w:t>矿粉</w:t>
            </w:r>
            <w:r>
              <w:rPr>
                <w:color w:val="auto"/>
                <w:sz w:val="24"/>
                <w:szCs w:val="20"/>
              </w:rPr>
              <w:t>使用量为</w:t>
            </w:r>
            <w:r>
              <w:rPr>
                <w:rFonts w:hint="eastAsia"/>
                <w:color w:val="auto"/>
                <w:sz w:val="24"/>
                <w:szCs w:val="20"/>
                <w:lang w:val="en-US" w:eastAsia="zh-CN"/>
              </w:rPr>
              <w:t>2750</w:t>
            </w:r>
            <w:r>
              <w:rPr>
                <w:color w:val="auto"/>
                <w:sz w:val="24"/>
                <w:szCs w:val="20"/>
              </w:rPr>
              <w:t>t/a</w:t>
            </w:r>
            <w:r>
              <w:rPr>
                <w:rFonts w:hint="eastAsia"/>
                <w:color w:val="auto"/>
                <w:sz w:val="24"/>
                <w:szCs w:val="20"/>
                <w:lang w:eastAsia="zh-CN"/>
              </w:rPr>
              <w:t>，</w:t>
            </w:r>
            <w:r>
              <w:rPr>
                <w:rFonts w:hint="eastAsia"/>
                <w:color w:val="auto"/>
                <w:sz w:val="24"/>
                <w:szCs w:val="20"/>
                <w:lang w:val="en-US" w:eastAsia="zh-CN"/>
              </w:rPr>
              <w:t>运行时间均为2400h/a</w:t>
            </w:r>
            <w:r>
              <w:rPr>
                <w:rFonts w:hint="eastAsia"/>
                <w:bCs/>
                <w:color w:val="auto"/>
                <w:sz w:val="24"/>
                <w:szCs w:val="20"/>
                <w:lang w:eastAsia="zh-CN"/>
              </w:rPr>
              <w:t>；</w:t>
            </w:r>
          </w:p>
          <w:p w14:paraId="37E107FC">
            <w:pPr>
              <w:widowControl/>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项目原有设备产量为25万吨/年的混凝土搅拌站，装料时水泥有罐车自带的空压装置鼓入现有的水泥筒仓内</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卸料时产生的</w:t>
            </w:r>
            <w:r>
              <w:rPr>
                <w:rFonts w:hint="eastAsia" w:ascii="Times New Roman" w:hAnsi="Times New Roman" w:eastAsia="宋体" w:cs="Times New Roman"/>
                <w:color w:val="auto"/>
                <w:sz w:val="24"/>
              </w:rPr>
              <w:t>卸料时产生的粉尘仍由水泥筒仓顶部自带的单机布袋除尘器除尘后</w:t>
            </w:r>
            <w:r>
              <w:rPr>
                <w:rFonts w:hint="eastAsia" w:cs="Times New Roman"/>
                <w:color w:val="auto"/>
                <w:sz w:val="24"/>
                <w:lang w:eastAsia="zh-CN"/>
              </w:rPr>
              <w:t>（</w:t>
            </w:r>
            <w:r>
              <w:rPr>
                <w:rFonts w:hint="eastAsia" w:cs="Times New Roman"/>
                <w:color w:val="auto"/>
                <w:sz w:val="24"/>
                <w:lang w:val="en-US" w:eastAsia="zh-CN"/>
              </w:rPr>
              <w:t>两个水泥筒仓共用一个布袋除尘器</w:t>
            </w:r>
            <w:r>
              <w:rPr>
                <w:rFonts w:hint="eastAsia" w:cs="Times New Roman"/>
                <w:color w:val="auto"/>
                <w:sz w:val="24"/>
                <w:lang w:eastAsia="zh-CN"/>
              </w:rPr>
              <w:t>）</w:t>
            </w:r>
            <w:r>
              <w:rPr>
                <w:rFonts w:hint="eastAsia" w:ascii="Times New Roman" w:hAnsi="Times New Roman" w:eastAsia="宋体" w:cs="Times New Roman"/>
                <w:color w:val="auto"/>
                <w:sz w:val="24"/>
              </w:rPr>
              <w:t>，经各自的排气筒排放。排气筒（高度</w:t>
            </w:r>
            <w:r>
              <w:rPr>
                <w:rFonts w:hint="eastAsia" w:cs="Times New Roman"/>
                <w:color w:val="auto"/>
                <w:sz w:val="24"/>
                <w:lang w:val="en-US" w:eastAsia="zh-CN"/>
              </w:rPr>
              <w:t>33</w:t>
            </w:r>
            <w:r>
              <w:rPr>
                <w:rFonts w:hint="eastAsia" w:ascii="Times New Roman" w:hAnsi="Times New Roman" w:eastAsia="宋体" w:cs="Times New Roman"/>
                <w:color w:val="auto"/>
                <w:sz w:val="24"/>
              </w:rPr>
              <w:t>m，</w:t>
            </w:r>
            <w:r>
              <w:rPr>
                <w:rFonts w:hint="eastAsia" w:cs="Times New Roman"/>
                <w:color w:val="auto"/>
                <w:sz w:val="24"/>
                <w:lang w:val="en-US" w:eastAsia="zh-CN"/>
              </w:rPr>
              <w:t>截面矩形：</w:t>
            </w:r>
            <w:r>
              <w:rPr>
                <w:rFonts w:hint="eastAsia" w:ascii="Times New Roman" w:hAnsi="Times New Roman" w:eastAsia="宋体" w:cs="Times New Roman"/>
                <w:color w:val="auto"/>
                <w:sz w:val="24"/>
              </w:rPr>
              <w:t>0.22×0.28m）</w:t>
            </w:r>
            <w:r>
              <w:rPr>
                <w:rFonts w:hint="eastAsia" w:cs="Times New Roman"/>
                <w:color w:val="auto"/>
                <w:sz w:val="24"/>
                <w:lang w:eastAsia="zh-CN"/>
              </w:rPr>
              <w:t>；</w:t>
            </w:r>
            <w:r>
              <w:rPr>
                <w:rFonts w:hint="eastAsia" w:cs="Times New Roman"/>
                <w:color w:val="auto"/>
                <w:sz w:val="24"/>
                <w:lang w:val="en-US" w:eastAsia="zh-CN"/>
              </w:rPr>
              <w:t>原有设备水泥用量31000t/a，经检测</w:t>
            </w:r>
            <w:r>
              <w:rPr>
                <w:rFonts w:hint="eastAsia"/>
                <w:bCs/>
                <w:color w:val="auto"/>
                <w:sz w:val="24"/>
              </w:rPr>
              <w:t>水泥筒仓风机风量为</w:t>
            </w:r>
            <w:r>
              <w:rPr>
                <w:rFonts w:hint="eastAsia"/>
                <w:bCs/>
                <w:color w:val="auto"/>
                <w:sz w:val="24"/>
                <w:lang w:val="en-US" w:eastAsia="zh-CN"/>
              </w:rPr>
              <w:t>1092</w:t>
            </w:r>
            <w:r>
              <w:rPr>
                <w:rFonts w:hint="eastAsia"/>
                <w:bCs/>
                <w:color w:val="auto"/>
                <w:sz w:val="24"/>
              </w:rPr>
              <w:t>m</w:t>
            </w:r>
            <w:r>
              <w:rPr>
                <w:rFonts w:hint="eastAsia"/>
                <w:bCs/>
                <w:color w:val="auto"/>
                <w:sz w:val="24"/>
                <w:vertAlign w:val="superscript"/>
              </w:rPr>
              <w:t>3</w:t>
            </w:r>
            <w:r>
              <w:rPr>
                <w:rFonts w:hint="eastAsia"/>
                <w:bCs/>
                <w:color w:val="auto"/>
                <w:sz w:val="24"/>
              </w:rPr>
              <w:t>/h</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检测</w:t>
            </w:r>
            <w:r>
              <w:rPr>
                <w:rFonts w:hint="eastAsia" w:ascii="Times New Roman" w:hAnsi="Times New Roman" w:eastAsia="宋体" w:cs="Times New Roman"/>
                <w:color w:val="auto"/>
                <w:sz w:val="24"/>
                <w:lang w:val="en-US" w:eastAsia="zh-CN"/>
              </w:rPr>
              <w:t>工况：98%）</w:t>
            </w:r>
            <w:r>
              <w:rPr>
                <w:rFonts w:hint="eastAsia"/>
                <w:bCs/>
                <w:color w:val="auto"/>
                <w:sz w:val="24"/>
              </w:rPr>
              <w:t>；处理后排放</w:t>
            </w:r>
            <w:r>
              <w:rPr>
                <w:rFonts w:hint="eastAsia"/>
                <w:bCs/>
                <w:color w:val="auto"/>
                <w:sz w:val="24"/>
                <w:lang w:val="en-US" w:eastAsia="zh-CN"/>
              </w:rPr>
              <w:t>的最大</w:t>
            </w:r>
            <w:r>
              <w:rPr>
                <w:rFonts w:hint="eastAsia"/>
                <w:bCs/>
                <w:color w:val="auto"/>
                <w:sz w:val="24"/>
              </w:rPr>
              <w:t>浓度为</w:t>
            </w:r>
            <w:r>
              <w:rPr>
                <w:rFonts w:hint="eastAsia"/>
                <w:bCs/>
                <w:color w:val="auto"/>
                <w:sz w:val="24"/>
                <w:lang w:val="en-US" w:eastAsia="zh-CN"/>
              </w:rPr>
              <w:t>11.6</w:t>
            </w:r>
            <w:r>
              <w:rPr>
                <w:rFonts w:hint="eastAsia"/>
                <w:bCs/>
                <w:color w:val="auto"/>
                <w:sz w:val="24"/>
              </w:rPr>
              <w:t>mg/m</w:t>
            </w:r>
            <w:r>
              <w:rPr>
                <w:rFonts w:hint="eastAsia"/>
                <w:bCs/>
                <w:color w:val="auto"/>
                <w:sz w:val="24"/>
                <w:vertAlign w:val="superscript"/>
              </w:rPr>
              <w:t>3</w:t>
            </w:r>
            <w:r>
              <w:rPr>
                <w:rFonts w:hint="eastAsia"/>
                <w:bCs/>
                <w:color w:val="auto"/>
                <w:sz w:val="24"/>
              </w:rPr>
              <w:t>，排放速率：</w:t>
            </w:r>
            <w:r>
              <w:rPr>
                <w:rFonts w:hint="eastAsia"/>
                <w:bCs/>
                <w:color w:val="auto"/>
                <w:sz w:val="24"/>
                <w:lang w:val="en-US" w:eastAsia="zh-CN"/>
              </w:rPr>
              <w:t>1.267</w:t>
            </w:r>
            <w:r>
              <w:rPr>
                <w:rFonts w:ascii="Arial" w:hAnsi="Arial" w:cs="Arial"/>
                <w:bCs/>
                <w:color w:val="auto"/>
                <w:sz w:val="24"/>
              </w:rPr>
              <w:t>×</w:t>
            </w:r>
            <w:r>
              <w:rPr>
                <w:rFonts w:hint="eastAsia"/>
                <w:bCs/>
                <w:color w:val="auto"/>
                <w:sz w:val="24"/>
              </w:rPr>
              <w:t>10</w:t>
            </w:r>
            <w:r>
              <w:rPr>
                <w:rFonts w:hint="eastAsia"/>
                <w:bCs/>
                <w:color w:val="auto"/>
                <w:sz w:val="24"/>
                <w:vertAlign w:val="superscript"/>
              </w:rPr>
              <w:t>-</w:t>
            </w:r>
            <w:r>
              <w:rPr>
                <w:rFonts w:hint="eastAsia"/>
                <w:bCs/>
                <w:color w:val="auto"/>
                <w:sz w:val="24"/>
                <w:vertAlign w:val="superscript"/>
                <w:lang w:val="en-US" w:eastAsia="zh-CN"/>
              </w:rPr>
              <w:t>2</w:t>
            </w:r>
            <w:r>
              <w:rPr>
                <w:rFonts w:hint="eastAsia"/>
                <w:bCs/>
                <w:color w:val="auto"/>
                <w:sz w:val="24"/>
              </w:rPr>
              <w:t>kg/h，排放量：0.0</w:t>
            </w:r>
            <w:r>
              <w:rPr>
                <w:rFonts w:hint="eastAsia"/>
                <w:bCs/>
                <w:color w:val="auto"/>
                <w:sz w:val="24"/>
                <w:lang w:val="en-US" w:eastAsia="zh-CN"/>
              </w:rPr>
              <w:t>304</w:t>
            </w:r>
            <w:r>
              <w:rPr>
                <w:rFonts w:hint="eastAsia"/>
                <w:bCs/>
                <w:color w:val="auto"/>
                <w:sz w:val="24"/>
              </w:rPr>
              <w:t>t/a</w:t>
            </w:r>
            <w:r>
              <w:rPr>
                <w:rFonts w:hint="eastAsia"/>
                <w:bCs/>
                <w:color w:val="auto"/>
                <w:sz w:val="24"/>
                <w:lang w:eastAsia="zh-CN"/>
              </w:rPr>
              <w:t>。</w:t>
            </w:r>
          </w:p>
          <w:p w14:paraId="6B323031">
            <w:pPr>
              <w:widowControl/>
              <w:spacing w:line="360" w:lineRule="auto"/>
              <w:ind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本次</w:t>
            </w:r>
            <w:r>
              <w:rPr>
                <w:rFonts w:hint="eastAsia" w:cs="Times New Roman"/>
                <w:color w:val="auto"/>
                <w:sz w:val="24"/>
                <w:lang w:val="en-US" w:eastAsia="zh-CN"/>
              </w:rPr>
              <w:t>扩建</w:t>
            </w:r>
            <w:r>
              <w:rPr>
                <w:rFonts w:hint="eastAsia"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rPr>
              <w:t>沿用原有项目的原料配比，</w:t>
            </w:r>
            <w:r>
              <w:rPr>
                <w:rFonts w:hint="eastAsia" w:cs="Times New Roman"/>
                <w:color w:val="auto"/>
                <w:sz w:val="24"/>
                <w:lang w:val="en-US" w:eastAsia="zh-CN"/>
              </w:rPr>
              <w:t xml:space="preserve">布袋除尘器与原有设备的布袋除尘器规格一致，根据“表2-3 </w:t>
            </w:r>
            <w:r>
              <w:rPr>
                <w:rFonts w:hint="eastAsia" w:ascii="Times New Roman" w:hAnsi="Times New Roman" w:eastAsia="宋体" w:cs="Times New Roman"/>
                <w:color w:val="auto"/>
                <w:sz w:val="24"/>
              </w:rPr>
              <w:t>扩建完成后主要原辅材料一览表</w:t>
            </w:r>
            <w:r>
              <w:rPr>
                <w:rFonts w:hint="eastAsia" w:cs="Times New Roman"/>
                <w:color w:val="auto"/>
                <w:sz w:val="24"/>
                <w:lang w:val="en-US" w:eastAsia="zh-CN"/>
              </w:rPr>
              <w:t>”，水泥用量12400t/a，类比核算本次扩建项目，经计算水泥筒仓粉尘经自带布袋除尘器处理后经排气筒（DA004）排放浓度为4.64mg/m</w:t>
            </w:r>
            <w:r>
              <w:rPr>
                <w:rFonts w:hint="eastAsia" w:cs="Times New Roman"/>
                <w:color w:val="auto"/>
                <w:sz w:val="24"/>
                <w:vertAlign w:val="superscript"/>
                <w:lang w:val="en-US" w:eastAsia="zh-CN"/>
              </w:rPr>
              <w:t>3</w:t>
            </w:r>
            <w:r>
              <w:rPr>
                <w:rFonts w:hint="eastAsia" w:cs="Times New Roman"/>
                <w:color w:val="auto"/>
                <w:sz w:val="24"/>
                <w:lang w:val="en-US" w:eastAsia="zh-CN"/>
              </w:rPr>
              <w:t xml:space="preserve"> ，排放速率为</w:t>
            </w:r>
            <w:r>
              <w:rPr>
                <w:rFonts w:hint="eastAsia"/>
                <w:bCs/>
                <w:color w:val="auto"/>
                <w:sz w:val="24"/>
                <w:lang w:val="en-US" w:eastAsia="zh-CN"/>
              </w:rPr>
              <w:t>5.067</w:t>
            </w:r>
            <w:r>
              <w:rPr>
                <w:rFonts w:ascii="Arial" w:hAnsi="Arial" w:cs="Arial"/>
                <w:bCs/>
                <w:color w:val="auto"/>
                <w:sz w:val="24"/>
              </w:rPr>
              <w:t>×</w:t>
            </w:r>
            <w:r>
              <w:rPr>
                <w:rFonts w:hint="eastAsia"/>
                <w:bCs/>
                <w:color w:val="auto"/>
                <w:sz w:val="24"/>
              </w:rPr>
              <w:t>10</w:t>
            </w:r>
            <w:r>
              <w:rPr>
                <w:rFonts w:hint="eastAsia"/>
                <w:bCs/>
                <w:color w:val="auto"/>
                <w:sz w:val="24"/>
                <w:vertAlign w:val="superscript"/>
              </w:rPr>
              <w:t>-</w:t>
            </w:r>
            <w:r>
              <w:rPr>
                <w:rFonts w:hint="eastAsia"/>
                <w:bCs/>
                <w:color w:val="auto"/>
                <w:sz w:val="24"/>
                <w:vertAlign w:val="superscript"/>
                <w:lang w:val="en-US" w:eastAsia="zh-CN"/>
              </w:rPr>
              <w:t>3</w:t>
            </w:r>
            <w:r>
              <w:rPr>
                <w:rFonts w:hint="eastAsia"/>
                <w:bCs/>
                <w:color w:val="auto"/>
                <w:sz w:val="24"/>
              </w:rPr>
              <w:t>kg/h</w:t>
            </w:r>
            <w:r>
              <w:rPr>
                <w:rFonts w:hint="eastAsia" w:cs="Times New Roman"/>
                <w:color w:val="auto"/>
                <w:sz w:val="24"/>
                <w:lang w:val="en-US" w:eastAsia="zh-CN"/>
              </w:rPr>
              <w:t>，排放量0.01216t/a。</w:t>
            </w:r>
          </w:p>
          <w:p w14:paraId="3228A2A2">
            <w:pPr>
              <w:widowControl/>
              <w:spacing w:line="360" w:lineRule="auto"/>
              <w:ind w:firstLine="480"/>
              <w:rPr>
                <w:color w:val="auto"/>
                <w:sz w:val="24"/>
              </w:rPr>
            </w:pPr>
            <w:r>
              <w:rPr>
                <w:rFonts w:hint="eastAsia"/>
                <w:color w:val="auto"/>
                <w:sz w:val="24"/>
              </w:rPr>
              <w:t>根据《排放源统计调查产排污核算方法和系数手册》公告（公告2021年第24号）中《3021水泥制品制造（含3022砼结构构件制造、3029其他水泥类似制品制造）行业系数手册》中行业系数表，除尘器末端治理效率为99.7%，扩建项目生产负荷为100%时，2个水泥筒仓粉尘的产生浓度为</w:t>
            </w:r>
            <w:r>
              <w:rPr>
                <w:rFonts w:hint="eastAsia"/>
                <w:color w:val="auto"/>
                <w:sz w:val="24"/>
                <w:lang w:val="en-US" w:eastAsia="zh-CN"/>
              </w:rPr>
              <w:t>1546.67</w:t>
            </w:r>
            <w:r>
              <w:rPr>
                <w:rFonts w:hint="eastAsia"/>
                <w:color w:val="auto"/>
                <w:sz w:val="24"/>
              </w:rPr>
              <w:t>mg/m</w:t>
            </w:r>
            <w:r>
              <w:rPr>
                <w:rFonts w:hint="eastAsia"/>
                <w:color w:val="auto"/>
                <w:sz w:val="24"/>
                <w:vertAlign w:val="superscript"/>
              </w:rPr>
              <w:t>3</w:t>
            </w:r>
            <w:r>
              <w:rPr>
                <w:rFonts w:hint="eastAsia"/>
                <w:color w:val="auto"/>
                <w:sz w:val="24"/>
              </w:rPr>
              <w:t>，产生速率为</w:t>
            </w:r>
            <w:r>
              <w:rPr>
                <w:rFonts w:hint="eastAsia"/>
                <w:color w:val="auto"/>
                <w:sz w:val="24"/>
                <w:lang w:val="en-US" w:eastAsia="zh-CN"/>
              </w:rPr>
              <w:t>1.69</w:t>
            </w:r>
            <w:r>
              <w:rPr>
                <w:rFonts w:hint="eastAsia"/>
                <w:color w:val="auto"/>
                <w:sz w:val="24"/>
              </w:rPr>
              <w:t>kg/h，产生量</w:t>
            </w:r>
            <w:r>
              <w:rPr>
                <w:rFonts w:hint="eastAsia"/>
                <w:color w:val="auto"/>
                <w:sz w:val="24"/>
                <w:lang w:val="en-US" w:eastAsia="zh-CN"/>
              </w:rPr>
              <w:t>4.056</w:t>
            </w:r>
            <w:r>
              <w:rPr>
                <w:rFonts w:hint="eastAsia"/>
                <w:color w:val="auto"/>
                <w:sz w:val="24"/>
              </w:rPr>
              <w:t>t/a。</w:t>
            </w:r>
          </w:p>
          <w:p w14:paraId="707F41EE">
            <w:pPr>
              <w:widowControl/>
              <w:spacing w:line="360" w:lineRule="auto"/>
              <w:ind w:firstLine="480"/>
              <w:rPr>
                <w:rFonts w:hint="eastAsia"/>
                <w:bCs/>
                <w:color w:val="auto"/>
                <w:sz w:val="24"/>
              </w:rPr>
            </w:pPr>
            <w:r>
              <w:rPr>
                <w:rFonts w:hint="eastAsia"/>
                <w:color w:val="auto"/>
                <w:sz w:val="24"/>
                <w:lang w:val="en-US" w:eastAsia="zh-CN"/>
              </w:rPr>
              <w:t>原有设备筒仓</w:t>
            </w:r>
            <w:r>
              <w:rPr>
                <w:rFonts w:hint="eastAsia"/>
                <w:color w:val="auto"/>
                <w:sz w:val="24"/>
              </w:rPr>
              <w:t>粉煤灰筒仓顶部设置布袋除尘器，</w:t>
            </w:r>
            <w:r>
              <w:rPr>
                <w:rFonts w:hint="eastAsia"/>
                <w:color w:val="auto"/>
                <w:sz w:val="24"/>
                <w:lang w:val="en-US" w:eastAsia="zh-CN"/>
              </w:rPr>
              <w:t>根据</w:t>
            </w:r>
            <w:r>
              <w:rPr>
                <w:rFonts w:hint="eastAsia"/>
                <w:bCs/>
                <w:color w:val="auto"/>
                <w:sz w:val="24"/>
              </w:rPr>
              <w:t>监测结果，粉煤灰筒仓风机风量为</w:t>
            </w:r>
            <w:r>
              <w:rPr>
                <w:rFonts w:hint="eastAsia"/>
                <w:bCs/>
                <w:color w:val="auto"/>
                <w:sz w:val="24"/>
                <w:lang w:val="en-US" w:eastAsia="zh-CN"/>
              </w:rPr>
              <w:t>1224</w:t>
            </w:r>
            <w:r>
              <w:rPr>
                <w:rFonts w:hint="eastAsia"/>
                <w:bCs/>
                <w:color w:val="auto"/>
                <w:sz w:val="24"/>
              </w:rPr>
              <w:t>m</w:t>
            </w:r>
            <w:r>
              <w:rPr>
                <w:rFonts w:hint="eastAsia"/>
                <w:bCs/>
                <w:color w:val="auto"/>
                <w:sz w:val="24"/>
                <w:vertAlign w:val="superscript"/>
              </w:rPr>
              <w:t>3</w:t>
            </w:r>
            <w:r>
              <w:rPr>
                <w:rFonts w:hint="eastAsia"/>
                <w:bCs/>
                <w:color w:val="auto"/>
                <w:sz w:val="24"/>
              </w:rPr>
              <w:t>/h；处理后排放</w:t>
            </w:r>
            <w:r>
              <w:rPr>
                <w:rFonts w:hint="eastAsia"/>
                <w:bCs/>
                <w:color w:val="auto"/>
                <w:sz w:val="24"/>
                <w:lang w:val="en-US" w:eastAsia="zh-CN"/>
              </w:rPr>
              <w:t>最大</w:t>
            </w:r>
            <w:r>
              <w:rPr>
                <w:rFonts w:hint="eastAsia"/>
                <w:bCs/>
                <w:color w:val="auto"/>
                <w:sz w:val="24"/>
              </w:rPr>
              <w:t>浓度为1</w:t>
            </w:r>
            <w:r>
              <w:rPr>
                <w:rFonts w:hint="eastAsia"/>
                <w:bCs/>
                <w:color w:val="auto"/>
                <w:sz w:val="24"/>
                <w:lang w:val="en-US" w:eastAsia="zh-CN"/>
              </w:rPr>
              <w:t>8</w:t>
            </w:r>
            <w:r>
              <w:rPr>
                <w:rFonts w:hint="eastAsia"/>
                <w:bCs/>
                <w:color w:val="auto"/>
                <w:sz w:val="24"/>
              </w:rPr>
              <w:t>.7mg/m</w:t>
            </w:r>
            <w:r>
              <w:rPr>
                <w:rFonts w:hint="eastAsia"/>
                <w:bCs/>
                <w:color w:val="auto"/>
                <w:sz w:val="24"/>
                <w:vertAlign w:val="superscript"/>
              </w:rPr>
              <w:t>3</w:t>
            </w:r>
            <w:r>
              <w:rPr>
                <w:rFonts w:hint="eastAsia"/>
                <w:bCs/>
                <w:color w:val="auto"/>
                <w:sz w:val="24"/>
              </w:rPr>
              <w:t>，排放速率：0.</w:t>
            </w:r>
            <w:r>
              <w:rPr>
                <w:rFonts w:hint="eastAsia"/>
                <w:bCs/>
                <w:color w:val="auto"/>
                <w:sz w:val="24"/>
                <w:lang w:val="en-US" w:eastAsia="zh-CN"/>
              </w:rPr>
              <w:t>0229</w:t>
            </w:r>
            <w:r>
              <w:rPr>
                <w:rFonts w:hint="eastAsia"/>
                <w:bCs/>
                <w:color w:val="auto"/>
                <w:sz w:val="24"/>
              </w:rPr>
              <w:t>kg/h，排放量：0.</w:t>
            </w:r>
            <w:r>
              <w:rPr>
                <w:rFonts w:hint="eastAsia"/>
                <w:bCs/>
                <w:color w:val="auto"/>
                <w:sz w:val="24"/>
                <w:lang w:val="en-US" w:eastAsia="zh-CN"/>
              </w:rPr>
              <w:t>055t</w:t>
            </w:r>
            <w:r>
              <w:rPr>
                <w:rFonts w:hint="eastAsia"/>
                <w:bCs/>
                <w:color w:val="auto"/>
                <w:sz w:val="24"/>
              </w:rPr>
              <w:t>/a；</w:t>
            </w:r>
          </w:p>
          <w:p w14:paraId="4CCF6F7D">
            <w:pPr>
              <w:widowControl/>
              <w:spacing w:line="360" w:lineRule="auto"/>
              <w:ind w:firstLine="480"/>
              <w:rPr>
                <w:rFonts w:hint="eastAsia"/>
                <w:color w:val="auto"/>
                <w:sz w:val="24"/>
              </w:rPr>
            </w:pPr>
            <w:r>
              <w:rPr>
                <w:rFonts w:hint="eastAsia" w:ascii="Times New Roman" w:hAnsi="Times New Roman" w:eastAsia="宋体" w:cs="Times New Roman"/>
                <w:color w:val="auto"/>
                <w:sz w:val="24"/>
              </w:rPr>
              <w:t>本次</w:t>
            </w:r>
            <w:r>
              <w:rPr>
                <w:rFonts w:hint="eastAsia" w:ascii="Times New Roman" w:hAnsi="Times New Roman" w:eastAsia="宋体" w:cs="Times New Roman"/>
                <w:color w:val="auto"/>
                <w:sz w:val="24"/>
                <w:lang w:val="en-US" w:eastAsia="zh-CN"/>
              </w:rPr>
              <w:t>新建项目</w:t>
            </w:r>
            <w:r>
              <w:rPr>
                <w:rFonts w:hint="eastAsia" w:cs="Times New Roman"/>
                <w:color w:val="auto"/>
                <w:sz w:val="24"/>
                <w:lang w:val="en-US" w:eastAsia="zh-CN"/>
              </w:rPr>
              <w:t xml:space="preserve">根据“表2-3 </w:t>
            </w:r>
            <w:r>
              <w:rPr>
                <w:rFonts w:hint="eastAsia" w:ascii="Times New Roman" w:hAnsi="Times New Roman" w:eastAsia="宋体" w:cs="Times New Roman"/>
                <w:color w:val="auto"/>
                <w:sz w:val="24"/>
              </w:rPr>
              <w:t>扩建完成后主要原辅材料一览表</w:t>
            </w:r>
            <w:r>
              <w:rPr>
                <w:rFonts w:hint="eastAsia" w:cs="Times New Roman"/>
                <w:color w:val="auto"/>
                <w:sz w:val="24"/>
                <w:lang w:val="en-US" w:eastAsia="zh-CN"/>
              </w:rPr>
              <w:t>”，</w:t>
            </w:r>
            <w:r>
              <w:rPr>
                <w:rFonts w:hint="eastAsia"/>
                <w:bCs/>
                <w:color w:val="auto"/>
                <w:sz w:val="24"/>
                <w:lang w:val="en-US" w:eastAsia="zh-CN"/>
              </w:rPr>
              <w:t>粉煤灰</w:t>
            </w:r>
            <w:r>
              <w:rPr>
                <w:rFonts w:hint="eastAsia" w:cs="Times New Roman"/>
                <w:color w:val="auto"/>
                <w:sz w:val="24"/>
                <w:lang w:val="en-US" w:eastAsia="zh-CN"/>
              </w:rPr>
              <w:t>用量3300t/a，类比核算本次扩建项目，经计算粉煤灰筒仓粉尘经自带布袋除尘器处理后经排气筒（DA005）排放浓度为7.49mg/m</w:t>
            </w:r>
            <w:r>
              <w:rPr>
                <w:rFonts w:hint="eastAsia" w:cs="Times New Roman"/>
                <w:color w:val="auto"/>
                <w:sz w:val="24"/>
                <w:vertAlign w:val="superscript"/>
                <w:lang w:val="en-US" w:eastAsia="zh-CN"/>
              </w:rPr>
              <w:t>3</w:t>
            </w:r>
            <w:r>
              <w:rPr>
                <w:rFonts w:hint="eastAsia" w:cs="Times New Roman"/>
                <w:color w:val="auto"/>
                <w:sz w:val="24"/>
                <w:lang w:val="en-US" w:eastAsia="zh-CN"/>
              </w:rPr>
              <w:t xml:space="preserve"> ，排放速率为0.0917kg/h ，排放量0.022t/a。</w:t>
            </w:r>
          </w:p>
          <w:p w14:paraId="7EC2C50E">
            <w:pPr>
              <w:widowControl/>
              <w:spacing w:line="360" w:lineRule="auto"/>
              <w:ind w:firstLine="480"/>
              <w:rPr>
                <w:color w:val="auto"/>
                <w:sz w:val="24"/>
              </w:rPr>
            </w:pPr>
            <w:r>
              <w:rPr>
                <w:rFonts w:hint="eastAsia"/>
                <w:color w:val="auto"/>
                <w:sz w:val="24"/>
              </w:rPr>
              <w:t>根据《排放源统计调查产排污核算方法和系数手册》公告除尘器末端治理效率为99.7%，项目生产负荷为100%时，粉煤灰筒仓粉尘产生浓度为</w:t>
            </w:r>
            <w:r>
              <w:rPr>
                <w:rFonts w:hint="eastAsia"/>
                <w:color w:val="auto"/>
                <w:sz w:val="24"/>
                <w:lang w:val="en-US" w:eastAsia="zh-CN"/>
              </w:rPr>
              <w:t>2496.67</w:t>
            </w:r>
            <w:r>
              <w:rPr>
                <w:rFonts w:hint="eastAsia"/>
                <w:color w:val="auto"/>
                <w:sz w:val="24"/>
              </w:rPr>
              <w:t>mg/m</w:t>
            </w:r>
            <w:r>
              <w:rPr>
                <w:rFonts w:hint="eastAsia"/>
                <w:color w:val="auto"/>
                <w:sz w:val="24"/>
                <w:vertAlign w:val="superscript"/>
              </w:rPr>
              <w:t>3</w:t>
            </w:r>
            <w:r>
              <w:rPr>
                <w:rFonts w:hint="eastAsia"/>
                <w:color w:val="auto"/>
                <w:sz w:val="24"/>
              </w:rPr>
              <w:t>，产生速率为</w:t>
            </w:r>
            <w:r>
              <w:rPr>
                <w:rFonts w:hint="eastAsia"/>
                <w:color w:val="auto"/>
                <w:sz w:val="24"/>
                <w:lang w:val="en-US" w:eastAsia="zh-CN"/>
              </w:rPr>
              <w:t>3.056</w:t>
            </w:r>
            <w:r>
              <w:rPr>
                <w:rFonts w:hint="eastAsia"/>
                <w:color w:val="auto"/>
                <w:sz w:val="24"/>
              </w:rPr>
              <w:t>kg/h，产生量</w:t>
            </w:r>
            <w:r>
              <w:rPr>
                <w:rFonts w:hint="eastAsia"/>
                <w:color w:val="auto"/>
                <w:sz w:val="24"/>
                <w:lang w:val="en-US" w:eastAsia="zh-CN"/>
              </w:rPr>
              <w:t>7.334</w:t>
            </w:r>
            <w:r>
              <w:rPr>
                <w:rFonts w:hint="eastAsia"/>
                <w:color w:val="auto"/>
                <w:sz w:val="24"/>
              </w:rPr>
              <w:t>t/a。</w:t>
            </w:r>
          </w:p>
          <w:p w14:paraId="5DF8E539">
            <w:pPr>
              <w:widowControl/>
              <w:spacing w:line="360" w:lineRule="auto"/>
              <w:ind w:firstLine="480"/>
              <w:rPr>
                <w:rFonts w:hint="eastAsia"/>
                <w:bCs/>
                <w:color w:val="auto"/>
                <w:sz w:val="24"/>
              </w:rPr>
            </w:pPr>
            <w:r>
              <w:rPr>
                <w:rFonts w:hint="eastAsia"/>
                <w:color w:val="auto"/>
                <w:sz w:val="24"/>
                <w:lang w:val="en-US" w:eastAsia="zh-CN"/>
              </w:rPr>
              <w:t>原有设备</w:t>
            </w:r>
            <w:r>
              <w:rPr>
                <w:rFonts w:hint="eastAsia"/>
                <w:color w:val="auto"/>
                <w:sz w:val="24"/>
              </w:rPr>
              <w:t>矿粉筒仓顶部设置布袋除尘器，</w:t>
            </w:r>
            <w:r>
              <w:rPr>
                <w:rFonts w:hint="eastAsia"/>
                <w:color w:val="auto"/>
                <w:sz w:val="24"/>
                <w:lang w:val="en-US" w:eastAsia="zh-CN"/>
              </w:rPr>
              <w:t>矿粉用量2750</w:t>
            </w:r>
            <w:r>
              <w:rPr>
                <w:rFonts w:hint="eastAsia" w:cs="Times New Roman"/>
                <w:color w:val="auto"/>
                <w:sz w:val="24"/>
                <w:lang w:val="en-US" w:eastAsia="zh-CN"/>
              </w:rPr>
              <w:t>t/a，</w:t>
            </w:r>
            <w:r>
              <w:rPr>
                <w:rFonts w:hint="eastAsia"/>
                <w:bCs/>
                <w:color w:val="auto"/>
                <w:sz w:val="24"/>
              </w:rPr>
              <w:t>经监测，矿粉筒仓风机风量为</w:t>
            </w:r>
            <w:r>
              <w:rPr>
                <w:rFonts w:hint="eastAsia"/>
                <w:bCs/>
                <w:color w:val="auto"/>
                <w:sz w:val="24"/>
                <w:lang w:val="en-US" w:eastAsia="zh-CN"/>
              </w:rPr>
              <w:t>1111</w:t>
            </w:r>
            <w:r>
              <w:rPr>
                <w:rFonts w:hint="eastAsia"/>
                <w:bCs/>
                <w:color w:val="auto"/>
                <w:sz w:val="24"/>
              </w:rPr>
              <w:t>m</w:t>
            </w:r>
            <w:r>
              <w:rPr>
                <w:rFonts w:hint="eastAsia"/>
                <w:bCs/>
                <w:color w:val="auto"/>
                <w:sz w:val="24"/>
                <w:vertAlign w:val="superscript"/>
              </w:rPr>
              <w:t>3</w:t>
            </w:r>
            <w:r>
              <w:rPr>
                <w:rFonts w:hint="eastAsia"/>
                <w:bCs/>
                <w:color w:val="auto"/>
                <w:sz w:val="24"/>
              </w:rPr>
              <w:t>/h；处理后排放浓度为</w:t>
            </w:r>
            <w:r>
              <w:rPr>
                <w:rFonts w:hint="eastAsia"/>
                <w:bCs/>
                <w:color w:val="auto"/>
                <w:sz w:val="24"/>
                <w:lang w:val="en-US" w:eastAsia="zh-CN"/>
              </w:rPr>
              <w:t>19.3</w:t>
            </w:r>
            <w:r>
              <w:rPr>
                <w:rFonts w:hint="eastAsia"/>
                <w:bCs/>
                <w:color w:val="auto"/>
                <w:sz w:val="24"/>
              </w:rPr>
              <w:t>mg/m</w:t>
            </w:r>
            <w:r>
              <w:rPr>
                <w:rFonts w:hint="eastAsia"/>
                <w:bCs/>
                <w:color w:val="auto"/>
                <w:sz w:val="24"/>
                <w:vertAlign w:val="superscript"/>
              </w:rPr>
              <w:t>3</w:t>
            </w:r>
            <w:r>
              <w:rPr>
                <w:rFonts w:hint="eastAsia"/>
                <w:bCs/>
                <w:color w:val="auto"/>
                <w:sz w:val="24"/>
              </w:rPr>
              <w:t>，排放速率：0.</w:t>
            </w:r>
            <w:r>
              <w:rPr>
                <w:rFonts w:hint="eastAsia"/>
                <w:bCs/>
                <w:color w:val="auto"/>
                <w:sz w:val="24"/>
                <w:lang w:val="en-US" w:eastAsia="zh-CN"/>
              </w:rPr>
              <w:t>0214</w:t>
            </w:r>
            <w:r>
              <w:rPr>
                <w:rFonts w:hint="eastAsia"/>
                <w:bCs/>
                <w:color w:val="auto"/>
                <w:sz w:val="24"/>
              </w:rPr>
              <w:t>kg/h，排放量：0.</w:t>
            </w:r>
            <w:r>
              <w:rPr>
                <w:rFonts w:hint="eastAsia"/>
                <w:bCs/>
                <w:color w:val="auto"/>
                <w:sz w:val="24"/>
                <w:lang w:val="en-US" w:eastAsia="zh-CN"/>
              </w:rPr>
              <w:t>0514t</w:t>
            </w:r>
            <w:r>
              <w:rPr>
                <w:rFonts w:hint="eastAsia"/>
                <w:bCs/>
                <w:color w:val="auto"/>
                <w:sz w:val="24"/>
              </w:rPr>
              <w:t>/a；</w:t>
            </w:r>
          </w:p>
          <w:p w14:paraId="7F635188">
            <w:pPr>
              <w:widowControl/>
              <w:spacing w:line="360" w:lineRule="auto"/>
              <w:ind w:firstLine="480"/>
              <w:rPr>
                <w:rFonts w:hint="eastAsia"/>
                <w:bCs/>
                <w:color w:val="auto"/>
                <w:sz w:val="24"/>
              </w:rPr>
            </w:pPr>
            <w:r>
              <w:rPr>
                <w:rFonts w:hint="eastAsia" w:ascii="Times New Roman" w:hAnsi="Times New Roman" w:eastAsia="宋体" w:cs="Times New Roman"/>
                <w:color w:val="auto"/>
                <w:sz w:val="24"/>
              </w:rPr>
              <w:t>本次</w:t>
            </w:r>
            <w:r>
              <w:rPr>
                <w:rFonts w:hint="eastAsia" w:ascii="Times New Roman" w:hAnsi="Times New Roman" w:eastAsia="宋体" w:cs="Times New Roman"/>
                <w:color w:val="auto"/>
                <w:sz w:val="24"/>
                <w:lang w:val="en-US" w:eastAsia="zh-CN"/>
              </w:rPr>
              <w:t>新建项目</w:t>
            </w:r>
            <w:r>
              <w:rPr>
                <w:rFonts w:hint="eastAsia" w:cs="Times New Roman"/>
                <w:color w:val="auto"/>
                <w:sz w:val="24"/>
                <w:lang w:val="en-US" w:eastAsia="zh-CN"/>
              </w:rPr>
              <w:t xml:space="preserve">根据“表2-3 </w:t>
            </w:r>
            <w:r>
              <w:rPr>
                <w:rFonts w:hint="eastAsia" w:ascii="Times New Roman" w:hAnsi="Times New Roman" w:eastAsia="宋体" w:cs="Times New Roman"/>
                <w:color w:val="auto"/>
                <w:sz w:val="24"/>
              </w:rPr>
              <w:t>扩建完成后主要原辅材料一览表</w:t>
            </w:r>
            <w:r>
              <w:rPr>
                <w:rFonts w:hint="eastAsia" w:cs="Times New Roman"/>
                <w:color w:val="auto"/>
                <w:sz w:val="24"/>
                <w:lang w:val="en-US" w:eastAsia="zh-CN"/>
              </w:rPr>
              <w:t>”，</w:t>
            </w:r>
            <w:r>
              <w:rPr>
                <w:rFonts w:hint="eastAsia"/>
                <w:bCs/>
                <w:color w:val="auto"/>
                <w:sz w:val="24"/>
                <w:lang w:val="en-US" w:eastAsia="zh-CN"/>
              </w:rPr>
              <w:t>矿粉</w:t>
            </w:r>
            <w:r>
              <w:rPr>
                <w:rFonts w:hint="eastAsia" w:cs="Times New Roman"/>
                <w:color w:val="auto"/>
                <w:sz w:val="24"/>
                <w:lang w:val="en-US" w:eastAsia="zh-CN"/>
              </w:rPr>
              <w:t>用量1100t/a，类比核算本次扩建项目，经计算矿粉筒仓粉尘经自带布袋除尘器处理后经排气筒（DA006）排放浓度为7.71mg/m</w:t>
            </w:r>
            <w:r>
              <w:rPr>
                <w:rFonts w:hint="eastAsia" w:cs="Times New Roman"/>
                <w:color w:val="auto"/>
                <w:sz w:val="24"/>
                <w:vertAlign w:val="superscript"/>
                <w:lang w:val="en-US" w:eastAsia="zh-CN"/>
              </w:rPr>
              <w:t>3</w:t>
            </w:r>
            <w:r>
              <w:rPr>
                <w:rFonts w:hint="eastAsia" w:cs="Times New Roman"/>
                <w:color w:val="auto"/>
                <w:sz w:val="24"/>
                <w:lang w:val="en-US" w:eastAsia="zh-CN"/>
              </w:rPr>
              <w:t xml:space="preserve"> ，排放速率为0.0857kg/h，排放量0.02056t/a。</w:t>
            </w:r>
          </w:p>
          <w:p w14:paraId="73978FE5">
            <w:pPr>
              <w:widowControl/>
              <w:spacing w:line="360" w:lineRule="auto"/>
              <w:ind w:firstLine="480"/>
              <w:rPr>
                <w:rFonts w:hint="eastAsia"/>
                <w:color w:val="auto"/>
                <w:sz w:val="24"/>
              </w:rPr>
            </w:pPr>
            <w:r>
              <w:rPr>
                <w:rFonts w:hint="eastAsia"/>
                <w:color w:val="auto"/>
                <w:sz w:val="24"/>
              </w:rPr>
              <w:t>根据《排放源统计调查产排污核算方法和系数手册》除尘器末端治理效率为99.7%，项目生产负荷为100%时，</w:t>
            </w:r>
            <w:r>
              <w:rPr>
                <w:rFonts w:hint="eastAsia"/>
                <w:color w:val="auto"/>
                <w:sz w:val="24"/>
                <w:lang w:val="en-US" w:eastAsia="zh-CN"/>
              </w:rPr>
              <w:t>矿粉</w:t>
            </w:r>
            <w:r>
              <w:rPr>
                <w:rFonts w:hint="eastAsia"/>
                <w:color w:val="auto"/>
                <w:sz w:val="24"/>
              </w:rPr>
              <w:t>筒仓粉尘产生浓度为</w:t>
            </w:r>
            <w:r>
              <w:rPr>
                <w:rFonts w:hint="eastAsia"/>
                <w:color w:val="auto"/>
                <w:sz w:val="24"/>
                <w:lang w:val="en-US" w:eastAsia="zh-CN"/>
              </w:rPr>
              <w:t>2570</w:t>
            </w:r>
            <w:r>
              <w:rPr>
                <w:rFonts w:hint="eastAsia"/>
                <w:color w:val="auto"/>
                <w:sz w:val="24"/>
              </w:rPr>
              <w:t>mg/m</w:t>
            </w:r>
            <w:r>
              <w:rPr>
                <w:rFonts w:hint="eastAsia"/>
                <w:color w:val="auto"/>
                <w:sz w:val="24"/>
                <w:vertAlign w:val="superscript"/>
              </w:rPr>
              <w:t>3</w:t>
            </w:r>
            <w:r>
              <w:rPr>
                <w:rFonts w:hint="eastAsia"/>
                <w:color w:val="auto"/>
                <w:sz w:val="24"/>
              </w:rPr>
              <w:t>，产生速率为</w:t>
            </w:r>
            <w:r>
              <w:rPr>
                <w:rFonts w:hint="eastAsia"/>
                <w:color w:val="auto"/>
                <w:sz w:val="24"/>
                <w:lang w:val="en-US" w:eastAsia="zh-CN"/>
              </w:rPr>
              <w:t>2.86</w:t>
            </w:r>
            <w:r>
              <w:rPr>
                <w:rFonts w:hint="eastAsia"/>
                <w:color w:val="auto"/>
                <w:sz w:val="24"/>
              </w:rPr>
              <w:t>kg/h，产生量</w:t>
            </w:r>
            <w:r>
              <w:rPr>
                <w:rFonts w:hint="eastAsia"/>
                <w:color w:val="auto"/>
                <w:sz w:val="24"/>
                <w:lang w:val="en-US" w:eastAsia="zh-CN"/>
              </w:rPr>
              <w:t>6.864</w:t>
            </w:r>
            <w:r>
              <w:rPr>
                <w:rFonts w:hint="eastAsia"/>
                <w:color w:val="auto"/>
                <w:sz w:val="24"/>
              </w:rPr>
              <w:t>t/a。</w:t>
            </w:r>
          </w:p>
          <w:p w14:paraId="5AB5F80F">
            <w:pPr>
              <w:pStyle w:val="122"/>
              <w:wordWrap w:val="0"/>
              <w:topLinePunct/>
              <w:spacing w:line="360" w:lineRule="auto"/>
              <w:ind w:firstLine="468"/>
              <w:rPr>
                <w:color w:val="auto"/>
                <w:sz w:val="24"/>
                <w:szCs w:val="24"/>
                <w:lang w:eastAsia="zh-CN"/>
              </w:rPr>
            </w:pPr>
            <w:r>
              <w:rPr>
                <w:color w:val="auto"/>
                <w:spacing w:val="-3"/>
                <w:sz w:val="24"/>
                <w:szCs w:val="24"/>
                <w:lang w:eastAsia="zh-CN"/>
              </w:rPr>
              <w:t>（</w:t>
            </w:r>
            <w:r>
              <w:rPr>
                <w:rFonts w:hint="eastAsia" w:ascii="Times New Roman" w:hAnsi="Times New Roman" w:eastAsia="宋体" w:cs="Times New Roman"/>
                <w:color w:val="auto"/>
                <w:spacing w:val="-3"/>
                <w:sz w:val="24"/>
                <w:szCs w:val="24"/>
                <w:lang w:eastAsia="zh-CN"/>
              </w:rPr>
              <w:t>2</w:t>
            </w:r>
            <w:r>
              <w:rPr>
                <w:color w:val="auto"/>
                <w:spacing w:val="-3"/>
                <w:sz w:val="24"/>
                <w:szCs w:val="24"/>
                <w:lang w:eastAsia="zh-CN"/>
              </w:rPr>
              <w:t>）</w:t>
            </w:r>
            <w:r>
              <w:rPr>
                <w:b/>
                <w:bCs/>
                <w:color w:val="auto"/>
                <w:spacing w:val="-3"/>
                <w:sz w:val="24"/>
                <w:szCs w:val="24"/>
                <w:lang w:eastAsia="zh-CN"/>
              </w:rPr>
              <w:t>非正常排放</w:t>
            </w:r>
          </w:p>
          <w:p w14:paraId="61E2E7FE">
            <w:pPr>
              <w:pStyle w:val="122"/>
              <w:wordWrap w:val="0"/>
              <w:topLinePunct/>
              <w:spacing w:line="360" w:lineRule="auto"/>
              <w:ind w:firstLine="476"/>
              <w:rPr>
                <w:color w:val="auto"/>
                <w:sz w:val="24"/>
                <w:szCs w:val="24"/>
                <w:lang w:eastAsia="zh-CN"/>
              </w:rPr>
            </w:pPr>
            <w:r>
              <w:rPr>
                <w:color w:val="auto"/>
                <w:spacing w:val="-1"/>
                <w:sz w:val="24"/>
                <w:szCs w:val="24"/>
                <w:lang w:eastAsia="zh-CN"/>
              </w:rPr>
              <w:t>项目发生非正常排放，即废气处理设施（布袋除尘器）发生故障时，项目区内的废气处理效率下降，本次环评主要考虑布袋除尘器装置处理效</w:t>
            </w:r>
            <w:r>
              <w:rPr>
                <w:color w:val="auto"/>
                <w:spacing w:val="-2"/>
                <w:sz w:val="24"/>
                <w:szCs w:val="24"/>
                <w:lang w:eastAsia="zh-CN"/>
              </w:rPr>
              <w:t>率降至</w:t>
            </w:r>
            <w:r>
              <w:rPr>
                <w:rFonts w:ascii="Times New Roman" w:hAnsi="Times New Roman" w:eastAsia="Times New Roman" w:cs="Times New Roman"/>
                <w:color w:val="auto"/>
                <w:spacing w:val="-2"/>
                <w:sz w:val="24"/>
                <w:szCs w:val="24"/>
                <w:lang w:eastAsia="zh-CN"/>
              </w:rPr>
              <w:t>50%</w:t>
            </w:r>
            <w:r>
              <w:rPr>
                <w:color w:val="auto"/>
                <w:spacing w:val="-2"/>
                <w:sz w:val="24"/>
                <w:szCs w:val="24"/>
                <w:lang w:eastAsia="zh-CN"/>
              </w:rPr>
              <w:t>。</w:t>
            </w:r>
            <w:r>
              <w:rPr>
                <w:color w:val="auto"/>
                <w:sz w:val="24"/>
                <w:szCs w:val="24"/>
                <w:lang w:eastAsia="zh-CN"/>
              </w:rPr>
              <w:t>此时排气筒中污染物浓度大幅增加，对周围环境影响</w:t>
            </w:r>
            <w:r>
              <w:rPr>
                <w:color w:val="auto"/>
                <w:spacing w:val="-1"/>
                <w:sz w:val="24"/>
                <w:szCs w:val="24"/>
                <w:lang w:eastAsia="zh-CN"/>
              </w:rPr>
              <w:t>较大。项目非正常排放条件</w:t>
            </w:r>
            <w:r>
              <w:rPr>
                <w:color w:val="auto"/>
                <w:spacing w:val="-2"/>
                <w:sz w:val="24"/>
                <w:szCs w:val="24"/>
                <w:lang w:eastAsia="zh-CN"/>
              </w:rPr>
              <w:t>下废气排放情况详见表</w:t>
            </w:r>
            <w:r>
              <w:rPr>
                <w:rFonts w:ascii="Times New Roman" w:hAnsi="Times New Roman" w:eastAsia="Times New Roman" w:cs="Times New Roman"/>
                <w:color w:val="auto"/>
                <w:spacing w:val="-2"/>
                <w:sz w:val="24"/>
                <w:szCs w:val="24"/>
                <w:lang w:eastAsia="zh-CN"/>
              </w:rPr>
              <w:t>4-</w:t>
            </w:r>
            <w:r>
              <w:rPr>
                <w:rFonts w:hint="eastAsia" w:ascii="Times New Roman" w:hAnsi="Times New Roman" w:eastAsia="宋体" w:cs="Times New Roman"/>
                <w:color w:val="auto"/>
                <w:spacing w:val="-2"/>
                <w:sz w:val="24"/>
                <w:szCs w:val="24"/>
                <w:lang w:eastAsia="zh-CN"/>
              </w:rPr>
              <w:t>1</w:t>
            </w:r>
            <w:r>
              <w:rPr>
                <w:color w:val="auto"/>
                <w:spacing w:val="-2"/>
                <w:sz w:val="24"/>
                <w:szCs w:val="24"/>
                <w:lang w:eastAsia="zh-CN"/>
              </w:rPr>
              <w:t>。</w:t>
            </w:r>
          </w:p>
          <w:p w14:paraId="50FB76C8">
            <w:pPr>
              <w:pStyle w:val="122"/>
              <w:spacing w:line="224" w:lineRule="auto"/>
              <w:ind w:firstLine="0" w:firstLineChars="0"/>
              <w:jc w:val="center"/>
              <w:rPr>
                <w:color w:val="auto"/>
                <w:lang w:eastAsia="zh-CN"/>
              </w:rPr>
            </w:pPr>
            <w:r>
              <w:rPr>
                <w:b/>
                <w:bCs/>
                <w:color w:val="auto"/>
                <w:spacing w:val="6"/>
                <w:lang w:eastAsia="zh-CN"/>
              </w:rPr>
              <w:t>表</w:t>
            </w:r>
            <w:r>
              <w:rPr>
                <w:color w:val="auto"/>
                <w:spacing w:val="-33"/>
                <w:lang w:eastAsia="zh-CN"/>
              </w:rPr>
              <w:t xml:space="preserve"> </w:t>
            </w:r>
            <w:r>
              <w:rPr>
                <w:rFonts w:ascii="Times New Roman" w:hAnsi="Times New Roman" w:eastAsia="Times New Roman" w:cs="Times New Roman"/>
                <w:b/>
                <w:bCs/>
                <w:color w:val="auto"/>
                <w:spacing w:val="6"/>
                <w:lang w:eastAsia="zh-CN"/>
              </w:rPr>
              <w:t>4-</w:t>
            </w:r>
            <w:r>
              <w:rPr>
                <w:rFonts w:hint="eastAsia" w:ascii="Times New Roman" w:hAnsi="Times New Roman" w:eastAsia="宋体" w:cs="Times New Roman"/>
                <w:b/>
                <w:bCs/>
                <w:color w:val="auto"/>
                <w:spacing w:val="6"/>
                <w:lang w:eastAsia="zh-CN"/>
              </w:rPr>
              <w:t>1</w:t>
            </w:r>
            <w:r>
              <w:rPr>
                <w:rFonts w:ascii="Times New Roman" w:hAnsi="Times New Roman" w:eastAsia="Times New Roman" w:cs="Times New Roman"/>
                <w:b/>
                <w:bCs/>
                <w:color w:val="auto"/>
                <w:spacing w:val="6"/>
                <w:lang w:eastAsia="zh-CN"/>
              </w:rPr>
              <w:t xml:space="preserve"> </w:t>
            </w:r>
            <w:r>
              <w:rPr>
                <w:rFonts w:hint="eastAsia" w:ascii="Times New Roman" w:hAnsi="Times New Roman" w:eastAsia="Times New Roman" w:cs="Times New Roman"/>
                <w:b/>
                <w:bCs/>
                <w:color w:val="auto"/>
                <w:spacing w:val="6"/>
                <w:lang w:val="en-US" w:eastAsia="zh-CN"/>
              </w:rPr>
              <w:t xml:space="preserve"> </w:t>
            </w:r>
            <w:r>
              <w:rPr>
                <w:b/>
                <w:bCs/>
                <w:color w:val="auto"/>
                <w:spacing w:val="6"/>
                <w:lang w:eastAsia="zh-CN"/>
              </w:rPr>
              <w:t>本项目污染源非正常排放量核算表</w:t>
            </w:r>
          </w:p>
          <w:tbl>
            <w:tblPr>
              <w:tblStyle w:val="1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5"/>
              <w:gridCol w:w="767"/>
              <w:gridCol w:w="617"/>
              <w:gridCol w:w="1572"/>
              <w:gridCol w:w="1430"/>
              <w:gridCol w:w="1115"/>
              <w:gridCol w:w="1018"/>
              <w:gridCol w:w="1068"/>
            </w:tblGrid>
            <w:tr w14:paraId="7915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55" w:type="dxa"/>
                  <w:vAlign w:val="center"/>
                </w:tcPr>
                <w:p w14:paraId="42BF03B2">
                  <w:pPr>
                    <w:wordWrap w:val="0"/>
                    <w:topLinePunct/>
                    <w:ind w:firstLine="0" w:firstLineChars="0"/>
                    <w:jc w:val="center"/>
                    <w:rPr>
                      <w:b/>
                      <w:bCs/>
                      <w:color w:val="auto"/>
                    </w:rPr>
                  </w:pPr>
                  <w:r>
                    <w:rPr>
                      <w:b/>
                      <w:bCs/>
                      <w:color w:val="auto"/>
                    </w:rPr>
                    <w:t>污染源</w:t>
                  </w:r>
                </w:p>
              </w:tc>
              <w:tc>
                <w:tcPr>
                  <w:tcW w:w="737" w:type="dxa"/>
                  <w:vAlign w:val="center"/>
                </w:tcPr>
                <w:p w14:paraId="00824CFE">
                  <w:pPr>
                    <w:wordWrap w:val="0"/>
                    <w:topLinePunct/>
                    <w:ind w:firstLine="0" w:firstLineChars="0"/>
                    <w:jc w:val="center"/>
                    <w:rPr>
                      <w:b/>
                      <w:bCs/>
                      <w:color w:val="auto"/>
                    </w:rPr>
                  </w:pPr>
                  <w:r>
                    <w:rPr>
                      <w:b/>
                      <w:bCs/>
                      <w:color w:val="auto"/>
                    </w:rPr>
                    <w:t>非正常</w:t>
                  </w:r>
                </w:p>
                <w:p w14:paraId="02362E79">
                  <w:pPr>
                    <w:wordWrap w:val="0"/>
                    <w:topLinePunct/>
                    <w:ind w:firstLine="0" w:firstLineChars="0"/>
                    <w:jc w:val="center"/>
                    <w:rPr>
                      <w:b/>
                      <w:bCs/>
                      <w:color w:val="auto"/>
                    </w:rPr>
                  </w:pPr>
                  <w:r>
                    <w:rPr>
                      <w:b/>
                      <w:bCs/>
                      <w:color w:val="auto"/>
                    </w:rPr>
                    <w:t>排放原</w:t>
                  </w:r>
                </w:p>
                <w:p w14:paraId="7F171E90">
                  <w:pPr>
                    <w:wordWrap w:val="0"/>
                    <w:topLinePunct/>
                    <w:ind w:firstLine="0" w:firstLineChars="0"/>
                    <w:jc w:val="center"/>
                    <w:rPr>
                      <w:b/>
                      <w:bCs/>
                      <w:color w:val="auto"/>
                    </w:rPr>
                  </w:pPr>
                  <w:r>
                    <w:rPr>
                      <w:b/>
                      <w:bCs/>
                      <w:color w:val="auto"/>
                    </w:rPr>
                    <w:t>因</w:t>
                  </w:r>
                </w:p>
              </w:tc>
              <w:tc>
                <w:tcPr>
                  <w:tcW w:w="593" w:type="dxa"/>
                  <w:vAlign w:val="center"/>
                </w:tcPr>
                <w:p w14:paraId="20B800DD">
                  <w:pPr>
                    <w:wordWrap w:val="0"/>
                    <w:topLinePunct/>
                    <w:ind w:firstLine="0" w:firstLineChars="0"/>
                    <w:jc w:val="center"/>
                    <w:rPr>
                      <w:b/>
                      <w:bCs/>
                      <w:color w:val="auto"/>
                      <w:sz w:val="21"/>
                    </w:rPr>
                  </w:pPr>
                  <w:r>
                    <w:rPr>
                      <w:b/>
                      <w:bCs/>
                      <w:color w:val="auto"/>
                      <w:sz w:val="21"/>
                    </w:rPr>
                    <w:t>污染物</w:t>
                  </w:r>
                </w:p>
              </w:tc>
              <w:tc>
                <w:tcPr>
                  <w:tcW w:w="1511" w:type="dxa"/>
                  <w:vAlign w:val="center"/>
                </w:tcPr>
                <w:p w14:paraId="2C169951">
                  <w:pPr>
                    <w:wordWrap w:val="0"/>
                    <w:topLinePunct/>
                    <w:ind w:firstLine="0" w:firstLineChars="0"/>
                    <w:jc w:val="center"/>
                    <w:rPr>
                      <w:b/>
                      <w:bCs/>
                      <w:color w:val="auto"/>
                      <w:sz w:val="21"/>
                    </w:rPr>
                  </w:pPr>
                  <w:r>
                    <w:rPr>
                      <w:b/>
                      <w:bCs/>
                      <w:color w:val="auto"/>
                      <w:sz w:val="21"/>
                    </w:rPr>
                    <w:t>非正常排放浓度/（mg/m3）</w:t>
                  </w:r>
                </w:p>
              </w:tc>
              <w:tc>
                <w:tcPr>
                  <w:tcW w:w="1375" w:type="dxa"/>
                  <w:vAlign w:val="center"/>
                </w:tcPr>
                <w:p w14:paraId="2508C1D1">
                  <w:pPr>
                    <w:wordWrap w:val="0"/>
                    <w:topLinePunct/>
                    <w:ind w:firstLine="0" w:firstLineChars="0"/>
                    <w:jc w:val="center"/>
                    <w:rPr>
                      <w:b/>
                      <w:bCs/>
                      <w:color w:val="auto"/>
                    </w:rPr>
                  </w:pPr>
                  <w:r>
                    <w:rPr>
                      <w:b/>
                      <w:bCs/>
                      <w:color w:val="auto"/>
                    </w:rPr>
                    <w:t>非正常排放速率/（kg/h）</w:t>
                  </w:r>
                </w:p>
              </w:tc>
              <w:tc>
                <w:tcPr>
                  <w:tcW w:w="1072" w:type="dxa"/>
                  <w:vAlign w:val="center"/>
                </w:tcPr>
                <w:p w14:paraId="794BCD0C">
                  <w:pPr>
                    <w:wordWrap w:val="0"/>
                    <w:topLinePunct/>
                    <w:ind w:firstLine="0" w:firstLineChars="0"/>
                    <w:jc w:val="center"/>
                    <w:rPr>
                      <w:b/>
                      <w:bCs/>
                      <w:color w:val="auto"/>
                    </w:rPr>
                  </w:pPr>
                  <w:r>
                    <w:rPr>
                      <w:b/>
                      <w:bCs/>
                      <w:color w:val="auto"/>
                    </w:rPr>
                    <w:t>单次持续时间/h</w:t>
                  </w:r>
                </w:p>
              </w:tc>
              <w:tc>
                <w:tcPr>
                  <w:tcW w:w="979" w:type="dxa"/>
                  <w:vAlign w:val="center"/>
                </w:tcPr>
                <w:p w14:paraId="6EB31CAB">
                  <w:pPr>
                    <w:wordWrap w:val="0"/>
                    <w:topLinePunct/>
                    <w:ind w:firstLine="0" w:firstLineChars="0"/>
                    <w:jc w:val="center"/>
                    <w:rPr>
                      <w:b/>
                      <w:bCs/>
                      <w:color w:val="auto"/>
                    </w:rPr>
                  </w:pPr>
                  <w:r>
                    <w:rPr>
                      <w:b/>
                      <w:bCs/>
                      <w:color w:val="auto"/>
                    </w:rPr>
                    <w:t>年发生频次</w:t>
                  </w:r>
                </w:p>
              </w:tc>
              <w:tc>
                <w:tcPr>
                  <w:tcW w:w="1027" w:type="dxa"/>
                  <w:vAlign w:val="center"/>
                </w:tcPr>
                <w:p w14:paraId="60DAE814">
                  <w:pPr>
                    <w:wordWrap w:val="0"/>
                    <w:topLinePunct/>
                    <w:ind w:firstLine="0" w:firstLineChars="0"/>
                    <w:jc w:val="center"/>
                    <w:rPr>
                      <w:b/>
                      <w:bCs/>
                      <w:color w:val="auto"/>
                    </w:rPr>
                  </w:pPr>
                  <w:r>
                    <w:rPr>
                      <w:b/>
                      <w:bCs/>
                      <w:color w:val="auto"/>
                    </w:rPr>
                    <w:t>应对措施</w:t>
                  </w:r>
                </w:p>
              </w:tc>
            </w:tr>
            <w:tr w14:paraId="43BA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55" w:type="dxa"/>
                  <w:vAlign w:val="center"/>
                </w:tcPr>
                <w:p w14:paraId="7BDC19BA">
                  <w:pPr>
                    <w:wordWrap w:val="0"/>
                    <w:topLinePunct/>
                    <w:ind w:firstLine="0" w:firstLineChars="0"/>
                    <w:jc w:val="center"/>
                    <w:rPr>
                      <w:color w:val="auto"/>
                    </w:rPr>
                  </w:pPr>
                  <w:r>
                    <w:rPr>
                      <w:color w:val="auto"/>
                    </w:rPr>
                    <w:t>水泥筒仓排气筒（DA</w:t>
                  </w:r>
                  <w:r>
                    <w:rPr>
                      <w:rFonts w:hint="eastAsia"/>
                      <w:color w:val="auto"/>
                    </w:rPr>
                    <w:t>00</w:t>
                  </w:r>
                  <w:r>
                    <w:rPr>
                      <w:rFonts w:hint="eastAsia"/>
                      <w:color w:val="auto"/>
                      <w:lang w:val="en-US" w:eastAsia="zh-CN"/>
                    </w:rPr>
                    <w:t>4</w:t>
                  </w:r>
                  <w:r>
                    <w:rPr>
                      <w:color w:val="auto"/>
                    </w:rPr>
                    <w:t>）</w:t>
                  </w:r>
                </w:p>
              </w:tc>
              <w:tc>
                <w:tcPr>
                  <w:tcW w:w="737" w:type="dxa"/>
                  <w:vMerge w:val="restart"/>
                  <w:vAlign w:val="center"/>
                </w:tcPr>
                <w:p w14:paraId="6D1B3C60">
                  <w:pPr>
                    <w:wordWrap w:val="0"/>
                    <w:topLinePunct/>
                    <w:ind w:firstLine="0" w:firstLineChars="0"/>
                    <w:jc w:val="center"/>
                    <w:rPr>
                      <w:color w:val="auto"/>
                    </w:rPr>
                  </w:pPr>
                </w:p>
                <w:p w14:paraId="4D08CE95">
                  <w:pPr>
                    <w:wordWrap w:val="0"/>
                    <w:topLinePunct/>
                    <w:ind w:firstLine="0" w:firstLineChars="0"/>
                    <w:jc w:val="center"/>
                    <w:rPr>
                      <w:color w:val="auto"/>
                    </w:rPr>
                  </w:pPr>
                  <w:r>
                    <w:rPr>
                      <w:color w:val="auto"/>
                    </w:rPr>
                    <w:t>布袋除</w:t>
                  </w:r>
                </w:p>
                <w:p w14:paraId="31BE88A9">
                  <w:pPr>
                    <w:wordWrap w:val="0"/>
                    <w:topLinePunct/>
                    <w:ind w:firstLine="0" w:firstLineChars="0"/>
                    <w:jc w:val="center"/>
                    <w:rPr>
                      <w:color w:val="auto"/>
                    </w:rPr>
                  </w:pPr>
                  <w:r>
                    <w:rPr>
                      <w:color w:val="auto"/>
                    </w:rPr>
                    <w:t>尘器故</w:t>
                  </w:r>
                </w:p>
                <w:p w14:paraId="0F2FDD1A">
                  <w:pPr>
                    <w:wordWrap w:val="0"/>
                    <w:topLinePunct/>
                    <w:ind w:firstLine="0" w:firstLineChars="0"/>
                    <w:jc w:val="center"/>
                    <w:rPr>
                      <w:color w:val="auto"/>
                    </w:rPr>
                  </w:pPr>
                  <w:r>
                    <w:rPr>
                      <w:color w:val="auto"/>
                    </w:rPr>
                    <w:t>障</w:t>
                  </w:r>
                </w:p>
              </w:tc>
              <w:tc>
                <w:tcPr>
                  <w:tcW w:w="593" w:type="dxa"/>
                  <w:vMerge w:val="restart"/>
                  <w:vAlign w:val="center"/>
                </w:tcPr>
                <w:p w14:paraId="337FB4B2">
                  <w:pPr>
                    <w:wordWrap w:val="0"/>
                    <w:topLinePunct/>
                    <w:ind w:firstLine="0" w:firstLineChars="0"/>
                    <w:jc w:val="center"/>
                    <w:rPr>
                      <w:color w:val="auto"/>
                    </w:rPr>
                  </w:pPr>
                  <w:r>
                    <w:rPr>
                      <w:color w:val="auto"/>
                    </w:rPr>
                    <w:t>颗粒物</w:t>
                  </w:r>
                </w:p>
              </w:tc>
              <w:tc>
                <w:tcPr>
                  <w:tcW w:w="1511" w:type="dxa"/>
                  <w:vAlign w:val="center"/>
                </w:tcPr>
                <w:p w14:paraId="36EDD149">
                  <w:pPr>
                    <w:keepNext w:val="0"/>
                    <w:keepLines w:val="0"/>
                    <w:widowControl/>
                    <w:suppressLineNumbers w:val="0"/>
                    <w:ind w:firstLine="440" w:firstLineChars="200"/>
                    <w:jc w:val="center"/>
                    <w:textAlignment w:val="center"/>
                    <w:rPr>
                      <w:rFonts w:hint="default" w:ascii="Times New Roman" w:hAnsi="Times New Roman" w:eastAsia="宋体" w:cs="Times New Roman"/>
                      <w:color w:val="auto"/>
                      <w:lang w:val="en-US" w:eastAsia="zh-CN"/>
                    </w:rPr>
                  </w:pPr>
                  <w:r>
                    <w:rPr>
                      <w:rFonts w:hint="eastAsia" w:cs="Times New Roman"/>
                      <w:i w:val="0"/>
                      <w:iCs w:val="0"/>
                      <w:color w:val="auto"/>
                      <w:kern w:val="0"/>
                      <w:sz w:val="22"/>
                      <w:szCs w:val="22"/>
                      <w:u w:val="none"/>
                      <w:lang w:val="en-US" w:eastAsia="zh-CN" w:bidi="ar"/>
                    </w:rPr>
                    <w:t>773.335</w:t>
                  </w:r>
                </w:p>
              </w:tc>
              <w:tc>
                <w:tcPr>
                  <w:tcW w:w="1375" w:type="dxa"/>
                  <w:vAlign w:val="center"/>
                </w:tcPr>
                <w:p w14:paraId="0D55EF98">
                  <w:pPr>
                    <w:wordWrap w:val="0"/>
                    <w:topLinePunct/>
                    <w:ind w:firstLine="0" w:firstLineChars="0"/>
                    <w:jc w:val="center"/>
                    <w:rPr>
                      <w:rFonts w:hint="default" w:eastAsia="宋体"/>
                      <w:color w:val="auto"/>
                      <w:lang w:val="en-US" w:eastAsia="zh-CN"/>
                    </w:rPr>
                  </w:pPr>
                  <w:r>
                    <w:rPr>
                      <w:rFonts w:hint="eastAsia"/>
                      <w:color w:val="auto"/>
                      <w:lang w:val="en-US" w:eastAsia="zh-CN"/>
                    </w:rPr>
                    <w:t>0.845</w:t>
                  </w:r>
                </w:p>
              </w:tc>
              <w:tc>
                <w:tcPr>
                  <w:tcW w:w="1072" w:type="dxa"/>
                  <w:vAlign w:val="center"/>
                </w:tcPr>
                <w:p w14:paraId="2BDE8ACE">
                  <w:pPr>
                    <w:wordWrap w:val="0"/>
                    <w:topLinePunct/>
                    <w:ind w:firstLine="0" w:firstLineChars="0"/>
                    <w:jc w:val="center"/>
                    <w:rPr>
                      <w:color w:val="auto"/>
                    </w:rPr>
                  </w:pPr>
                  <w:r>
                    <w:rPr>
                      <w:color w:val="auto"/>
                    </w:rPr>
                    <w:t>1h</w:t>
                  </w:r>
                </w:p>
              </w:tc>
              <w:tc>
                <w:tcPr>
                  <w:tcW w:w="979" w:type="dxa"/>
                  <w:vAlign w:val="center"/>
                </w:tcPr>
                <w:p w14:paraId="72C30978">
                  <w:pPr>
                    <w:wordWrap w:val="0"/>
                    <w:topLinePunct/>
                    <w:ind w:firstLine="0" w:firstLineChars="0"/>
                    <w:jc w:val="center"/>
                    <w:rPr>
                      <w:color w:val="auto"/>
                    </w:rPr>
                  </w:pPr>
                  <w:r>
                    <w:rPr>
                      <w:color w:val="auto"/>
                    </w:rPr>
                    <w:t>1次/年</w:t>
                  </w:r>
                </w:p>
              </w:tc>
              <w:tc>
                <w:tcPr>
                  <w:tcW w:w="1027" w:type="dxa"/>
                  <w:vMerge w:val="restart"/>
                  <w:vAlign w:val="center"/>
                </w:tcPr>
                <w:p w14:paraId="1AFCC908">
                  <w:pPr>
                    <w:wordWrap w:val="0"/>
                    <w:topLinePunct/>
                    <w:ind w:firstLine="0" w:firstLineChars="0"/>
                    <w:jc w:val="center"/>
                    <w:rPr>
                      <w:color w:val="auto"/>
                    </w:rPr>
                  </w:pPr>
                </w:p>
                <w:p w14:paraId="0544C855">
                  <w:pPr>
                    <w:wordWrap w:val="0"/>
                    <w:topLinePunct/>
                    <w:ind w:firstLine="0" w:firstLineChars="0"/>
                    <w:jc w:val="center"/>
                    <w:rPr>
                      <w:color w:val="auto"/>
                    </w:rPr>
                  </w:pPr>
                  <w:r>
                    <w:rPr>
                      <w:color w:val="auto"/>
                    </w:rPr>
                    <w:t>设专人负责，加强巡查，定期排查、检修，发现问题及时检修维护</w:t>
                  </w:r>
                </w:p>
              </w:tc>
            </w:tr>
            <w:tr w14:paraId="018B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55" w:type="dxa"/>
                  <w:vAlign w:val="center"/>
                </w:tcPr>
                <w:p w14:paraId="57CF795B">
                  <w:pPr>
                    <w:wordWrap w:val="0"/>
                    <w:topLinePunct/>
                    <w:ind w:firstLine="0" w:firstLineChars="0"/>
                    <w:jc w:val="center"/>
                    <w:rPr>
                      <w:color w:val="auto"/>
                    </w:rPr>
                  </w:pPr>
                  <w:r>
                    <w:rPr>
                      <w:color w:val="auto"/>
                    </w:rPr>
                    <w:t>粉煤灰筒仓排气筒（DA</w:t>
                  </w:r>
                </w:p>
                <w:p w14:paraId="0C4ED78C">
                  <w:pPr>
                    <w:wordWrap w:val="0"/>
                    <w:topLinePunct/>
                    <w:ind w:firstLine="0" w:firstLineChars="0"/>
                    <w:jc w:val="center"/>
                    <w:rPr>
                      <w:color w:val="auto"/>
                    </w:rPr>
                  </w:pPr>
                  <w:r>
                    <w:rPr>
                      <w:color w:val="auto"/>
                    </w:rPr>
                    <w:t>00</w:t>
                  </w:r>
                  <w:r>
                    <w:rPr>
                      <w:rFonts w:hint="eastAsia"/>
                      <w:color w:val="auto"/>
                      <w:lang w:val="en-US" w:eastAsia="zh-CN"/>
                    </w:rPr>
                    <w:t>5</w:t>
                  </w:r>
                  <w:r>
                    <w:rPr>
                      <w:color w:val="auto"/>
                    </w:rPr>
                    <w:t>）</w:t>
                  </w:r>
                </w:p>
              </w:tc>
              <w:tc>
                <w:tcPr>
                  <w:tcW w:w="737" w:type="dxa"/>
                  <w:vMerge w:val="continue"/>
                  <w:vAlign w:val="center"/>
                </w:tcPr>
                <w:p w14:paraId="52DC2CA9">
                  <w:pPr>
                    <w:wordWrap w:val="0"/>
                    <w:topLinePunct/>
                    <w:ind w:firstLine="0" w:firstLineChars="0"/>
                    <w:jc w:val="center"/>
                    <w:rPr>
                      <w:color w:val="auto"/>
                    </w:rPr>
                  </w:pPr>
                </w:p>
              </w:tc>
              <w:tc>
                <w:tcPr>
                  <w:tcW w:w="593" w:type="dxa"/>
                  <w:vMerge w:val="continue"/>
                  <w:vAlign w:val="center"/>
                </w:tcPr>
                <w:p w14:paraId="08139F51">
                  <w:pPr>
                    <w:wordWrap w:val="0"/>
                    <w:topLinePunct/>
                    <w:ind w:firstLine="0" w:firstLineChars="0"/>
                    <w:jc w:val="center"/>
                    <w:rPr>
                      <w:color w:val="auto"/>
                    </w:rPr>
                  </w:pPr>
                </w:p>
              </w:tc>
              <w:tc>
                <w:tcPr>
                  <w:tcW w:w="1511" w:type="dxa"/>
                  <w:vAlign w:val="center"/>
                </w:tcPr>
                <w:p w14:paraId="08B9E156">
                  <w:pPr>
                    <w:keepNext w:val="0"/>
                    <w:keepLines w:val="0"/>
                    <w:widowControl/>
                    <w:suppressLineNumbers w:val="0"/>
                    <w:ind w:firstLine="440" w:firstLineChars="200"/>
                    <w:jc w:val="center"/>
                    <w:textAlignment w:val="center"/>
                    <w:rPr>
                      <w:rFonts w:hint="default" w:ascii="Times New Roman" w:hAnsi="Times New Roman" w:eastAsia="宋体" w:cs="Times New Roman"/>
                      <w:color w:val="auto"/>
                      <w:lang w:val="en-US" w:eastAsia="zh-CN"/>
                    </w:rPr>
                  </w:pPr>
                  <w:r>
                    <w:rPr>
                      <w:rFonts w:hint="eastAsia" w:cs="Times New Roman"/>
                      <w:i w:val="0"/>
                      <w:iCs w:val="0"/>
                      <w:color w:val="auto"/>
                      <w:kern w:val="0"/>
                      <w:sz w:val="22"/>
                      <w:szCs w:val="22"/>
                      <w:u w:val="none"/>
                      <w:lang w:val="en-US" w:eastAsia="zh-CN" w:bidi="ar"/>
                    </w:rPr>
                    <w:t>1248.335</w:t>
                  </w:r>
                </w:p>
              </w:tc>
              <w:tc>
                <w:tcPr>
                  <w:tcW w:w="1375" w:type="dxa"/>
                  <w:vAlign w:val="center"/>
                </w:tcPr>
                <w:p w14:paraId="46F09032">
                  <w:pPr>
                    <w:wordWrap w:val="0"/>
                    <w:topLinePunct/>
                    <w:ind w:firstLine="0" w:firstLineChars="0"/>
                    <w:jc w:val="center"/>
                    <w:rPr>
                      <w:rFonts w:hint="default" w:eastAsia="宋体"/>
                      <w:color w:val="auto"/>
                      <w:lang w:val="en-US" w:eastAsia="zh-CN"/>
                    </w:rPr>
                  </w:pPr>
                  <w:r>
                    <w:rPr>
                      <w:rFonts w:hint="eastAsia"/>
                      <w:color w:val="auto"/>
                      <w:lang w:val="en-US" w:eastAsia="zh-CN"/>
                    </w:rPr>
                    <w:t>1.528</w:t>
                  </w:r>
                </w:p>
              </w:tc>
              <w:tc>
                <w:tcPr>
                  <w:tcW w:w="1072" w:type="dxa"/>
                  <w:vAlign w:val="center"/>
                </w:tcPr>
                <w:p w14:paraId="5A7BE71E">
                  <w:pPr>
                    <w:wordWrap w:val="0"/>
                    <w:topLinePunct/>
                    <w:ind w:firstLine="0" w:firstLineChars="0"/>
                    <w:jc w:val="center"/>
                    <w:rPr>
                      <w:color w:val="auto"/>
                    </w:rPr>
                  </w:pPr>
                  <w:r>
                    <w:rPr>
                      <w:color w:val="auto"/>
                    </w:rPr>
                    <w:t>1h</w:t>
                  </w:r>
                </w:p>
              </w:tc>
              <w:tc>
                <w:tcPr>
                  <w:tcW w:w="979" w:type="dxa"/>
                  <w:vAlign w:val="center"/>
                </w:tcPr>
                <w:p w14:paraId="19B99A93">
                  <w:pPr>
                    <w:wordWrap w:val="0"/>
                    <w:topLinePunct/>
                    <w:ind w:firstLine="0" w:firstLineChars="0"/>
                    <w:jc w:val="center"/>
                    <w:rPr>
                      <w:color w:val="auto"/>
                    </w:rPr>
                  </w:pPr>
                  <w:r>
                    <w:rPr>
                      <w:color w:val="auto"/>
                    </w:rPr>
                    <w:t>1次/年</w:t>
                  </w:r>
                </w:p>
              </w:tc>
              <w:tc>
                <w:tcPr>
                  <w:tcW w:w="1027" w:type="dxa"/>
                  <w:vMerge w:val="continue"/>
                  <w:vAlign w:val="center"/>
                </w:tcPr>
                <w:p w14:paraId="04DE7F03">
                  <w:pPr>
                    <w:wordWrap w:val="0"/>
                    <w:topLinePunct/>
                    <w:ind w:firstLine="0" w:firstLineChars="0"/>
                    <w:jc w:val="center"/>
                    <w:rPr>
                      <w:color w:val="auto"/>
                    </w:rPr>
                  </w:pPr>
                </w:p>
              </w:tc>
            </w:tr>
            <w:tr w14:paraId="1C41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55" w:type="dxa"/>
                  <w:vAlign w:val="center"/>
                </w:tcPr>
                <w:p w14:paraId="0118098E">
                  <w:pPr>
                    <w:wordWrap w:val="0"/>
                    <w:topLinePunct/>
                    <w:ind w:firstLine="0" w:firstLineChars="0"/>
                    <w:jc w:val="center"/>
                    <w:rPr>
                      <w:color w:val="auto"/>
                    </w:rPr>
                  </w:pPr>
                  <w:r>
                    <w:rPr>
                      <w:rFonts w:hint="eastAsia"/>
                      <w:color w:val="auto"/>
                    </w:rPr>
                    <w:t>矿粉筒仓</w:t>
                  </w:r>
                  <w:r>
                    <w:rPr>
                      <w:color w:val="auto"/>
                    </w:rPr>
                    <w:t>排气筒（DA</w:t>
                  </w:r>
                  <w:r>
                    <w:rPr>
                      <w:rFonts w:hint="eastAsia"/>
                      <w:color w:val="auto"/>
                    </w:rPr>
                    <w:t>00</w:t>
                  </w:r>
                  <w:r>
                    <w:rPr>
                      <w:rFonts w:hint="eastAsia"/>
                      <w:color w:val="auto"/>
                      <w:lang w:val="en-US" w:eastAsia="zh-CN"/>
                    </w:rPr>
                    <w:t>6</w:t>
                  </w:r>
                  <w:r>
                    <w:rPr>
                      <w:color w:val="auto"/>
                    </w:rPr>
                    <w:t>）</w:t>
                  </w:r>
                </w:p>
              </w:tc>
              <w:tc>
                <w:tcPr>
                  <w:tcW w:w="737" w:type="dxa"/>
                  <w:vMerge w:val="continue"/>
                  <w:vAlign w:val="center"/>
                </w:tcPr>
                <w:p w14:paraId="63CCBA0E">
                  <w:pPr>
                    <w:wordWrap w:val="0"/>
                    <w:topLinePunct/>
                    <w:ind w:firstLine="0" w:firstLineChars="0"/>
                    <w:jc w:val="center"/>
                    <w:rPr>
                      <w:color w:val="auto"/>
                    </w:rPr>
                  </w:pPr>
                </w:p>
              </w:tc>
              <w:tc>
                <w:tcPr>
                  <w:tcW w:w="593" w:type="dxa"/>
                  <w:vMerge w:val="continue"/>
                  <w:vAlign w:val="center"/>
                </w:tcPr>
                <w:p w14:paraId="2864F679">
                  <w:pPr>
                    <w:wordWrap w:val="0"/>
                    <w:topLinePunct/>
                    <w:ind w:firstLine="0" w:firstLineChars="0"/>
                    <w:jc w:val="center"/>
                    <w:rPr>
                      <w:color w:val="auto"/>
                    </w:rPr>
                  </w:pPr>
                </w:p>
              </w:tc>
              <w:tc>
                <w:tcPr>
                  <w:tcW w:w="1511" w:type="dxa"/>
                  <w:vAlign w:val="center"/>
                </w:tcPr>
                <w:p w14:paraId="5C2D5A25">
                  <w:pPr>
                    <w:keepNext w:val="0"/>
                    <w:keepLines w:val="0"/>
                    <w:widowControl/>
                    <w:suppressLineNumbers w:val="0"/>
                    <w:ind w:firstLine="440" w:firstLineChars="20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12</w:t>
                  </w:r>
                  <w:r>
                    <w:rPr>
                      <w:rFonts w:hint="eastAsia" w:cs="Times New Roman"/>
                      <w:i w:val="0"/>
                      <w:iCs w:val="0"/>
                      <w:color w:val="auto"/>
                      <w:kern w:val="0"/>
                      <w:sz w:val="22"/>
                      <w:szCs w:val="22"/>
                      <w:u w:val="none"/>
                      <w:lang w:val="en-US" w:eastAsia="zh-CN" w:bidi="ar"/>
                    </w:rPr>
                    <w:t>85</w:t>
                  </w:r>
                </w:p>
              </w:tc>
              <w:tc>
                <w:tcPr>
                  <w:tcW w:w="1375" w:type="dxa"/>
                  <w:vAlign w:val="center"/>
                </w:tcPr>
                <w:p w14:paraId="269D09F6">
                  <w:pPr>
                    <w:wordWrap w:val="0"/>
                    <w:topLinePunct/>
                    <w:ind w:firstLine="0" w:firstLineChars="0"/>
                    <w:jc w:val="center"/>
                    <w:rPr>
                      <w:rFonts w:hint="default" w:eastAsia="宋体"/>
                      <w:color w:val="auto"/>
                      <w:lang w:val="en-US" w:eastAsia="zh-CN"/>
                    </w:rPr>
                  </w:pPr>
                  <w:r>
                    <w:rPr>
                      <w:rFonts w:hint="eastAsia"/>
                      <w:color w:val="auto"/>
                      <w:lang w:val="en-US" w:eastAsia="zh-CN"/>
                    </w:rPr>
                    <w:t>1.43</w:t>
                  </w:r>
                </w:p>
              </w:tc>
              <w:tc>
                <w:tcPr>
                  <w:tcW w:w="1072" w:type="dxa"/>
                  <w:vAlign w:val="center"/>
                </w:tcPr>
                <w:p w14:paraId="5293724D">
                  <w:pPr>
                    <w:wordWrap w:val="0"/>
                    <w:topLinePunct/>
                    <w:ind w:firstLine="0" w:firstLineChars="0"/>
                    <w:jc w:val="center"/>
                    <w:rPr>
                      <w:color w:val="auto"/>
                    </w:rPr>
                  </w:pPr>
                  <w:r>
                    <w:rPr>
                      <w:color w:val="auto"/>
                    </w:rPr>
                    <w:t>1h</w:t>
                  </w:r>
                </w:p>
              </w:tc>
              <w:tc>
                <w:tcPr>
                  <w:tcW w:w="979" w:type="dxa"/>
                  <w:vAlign w:val="center"/>
                </w:tcPr>
                <w:p w14:paraId="0E05DA9D">
                  <w:pPr>
                    <w:wordWrap w:val="0"/>
                    <w:topLinePunct/>
                    <w:ind w:firstLine="0" w:firstLineChars="0"/>
                    <w:jc w:val="center"/>
                    <w:rPr>
                      <w:color w:val="auto"/>
                    </w:rPr>
                  </w:pPr>
                  <w:r>
                    <w:rPr>
                      <w:color w:val="auto"/>
                    </w:rPr>
                    <w:t>1次/年</w:t>
                  </w:r>
                </w:p>
              </w:tc>
              <w:tc>
                <w:tcPr>
                  <w:tcW w:w="1027" w:type="dxa"/>
                  <w:vMerge w:val="continue"/>
                  <w:vAlign w:val="center"/>
                </w:tcPr>
                <w:p w14:paraId="722D931A">
                  <w:pPr>
                    <w:wordWrap w:val="0"/>
                    <w:topLinePunct/>
                    <w:ind w:firstLine="0" w:firstLineChars="0"/>
                    <w:jc w:val="center"/>
                    <w:rPr>
                      <w:color w:val="auto"/>
                    </w:rPr>
                  </w:pPr>
                </w:p>
              </w:tc>
            </w:tr>
          </w:tbl>
          <w:p w14:paraId="7A2490D3">
            <w:pPr>
              <w:pStyle w:val="122"/>
              <w:spacing w:line="360" w:lineRule="auto"/>
              <w:ind w:firstLine="480"/>
              <w:rPr>
                <w:color w:val="auto"/>
                <w:sz w:val="24"/>
                <w:szCs w:val="24"/>
                <w:lang w:eastAsia="zh-CN"/>
              </w:rPr>
            </w:pPr>
            <w:r>
              <w:rPr>
                <w:color w:val="auto"/>
                <w:sz w:val="24"/>
                <w:szCs w:val="24"/>
                <w:lang w:eastAsia="zh-CN"/>
              </w:rPr>
              <w:t>根据上表，非正常情况下，即当布袋除尘器除尘效率因故障降为</w:t>
            </w:r>
            <w:r>
              <w:rPr>
                <w:rFonts w:ascii="Times New Roman" w:hAnsi="Times New Roman" w:eastAsia="Times New Roman" w:cs="Times New Roman"/>
                <w:color w:val="auto"/>
                <w:sz w:val="24"/>
                <w:szCs w:val="24"/>
                <w:lang w:eastAsia="zh-CN"/>
              </w:rPr>
              <w:t>50%</w:t>
            </w:r>
            <w:r>
              <w:rPr>
                <w:color w:val="auto"/>
                <w:sz w:val="24"/>
                <w:szCs w:val="24"/>
                <w:lang w:eastAsia="zh-CN"/>
              </w:rPr>
              <w:t>的情况，所有排气筒中颗粒物排放浓度均不能满足《水泥工业大气污染物排放标准》（</w:t>
            </w:r>
            <w:r>
              <w:rPr>
                <w:rFonts w:ascii="Times New Roman" w:hAnsi="Times New Roman" w:eastAsia="Times New Roman" w:cs="Times New Roman"/>
                <w:color w:val="auto"/>
                <w:sz w:val="24"/>
                <w:szCs w:val="24"/>
                <w:lang w:eastAsia="zh-CN"/>
              </w:rPr>
              <w:t>GB4915-2013</w:t>
            </w:r>
            <w:r>
              <w:rPr>
                <w:color w:val="auto"/>
                <w:sz w:val="24"/>
                <w:szCs w:val="24"/>
                <w:lang w:eastAsia="zh-CN"/>
              </w:rPr>
              <w:t>）中排放限值要求。为了进一步降低生产废气排放对周围环境空气的影响，必须杜绝项目废气的非正常排放，本次评价提出以下建议措施：</w:t>
            </w:r>
          </w:p>
          <w:p w14:paraId="7FC82D76">
            <w:pPr>
              <w:pStyle w:val="122"/>
              <w:spacing w:line="360" w:lineRule="auto"/>
              <w:ind w:firstLine="480"/>
              <w:rPr>
                <w:color w:val="auto"/>
                <w:sz w:val="24"/>
                <w:szCs w:val="24"/>
                <w:lang w:eastAsia="zh-CN"/>
              </w:rPr>
            </w:pPr>
            <w:r>
              <w:rPr>
                <w:color w:val="auto"/>
                <w:sz w:val="24"/>
                <w:szCs w:val="24"/>
                <w:lang w:eastAsia="zh-CN"/>
              </w:rPr>
              <w:t>①加强管理，明确岗位责任制，定期检查、维修、保养设备及构件，确保各种工艺、电气、设备的正常运转。</w:t>
            </w:r>
          </w:p>
          <w:p w14:paraId="73E927B9">
            <w:pPr>
              <w:pStyle w:val="122"/>
              <w:spacing w:line="360" w:lineRule="auto"/>
              <w:ind w:firstLine="480"/>
              <w:rPr>
                <w:bCs/>
                <w:color w:val="auto"/>
                <w:sz w:val="24"/>
                <w:lang w:eastAsia="zh-CN"/>
              </w:rPr>
            </w:pPr>
            <w:r>
              <w:rPr>
                <w:color w:val="auto"/>
                <w:sz w:val="24"/>
                <w:szCs w:val="24"/>
                <w:lang w:eastAsia="zh-CN"/>
              </w:rPr>
              <w:t>②在必要位置设置监控、预警等装置，做到及时发现，及时解决。若出现非正常情况，应及时停产维修，减少废气对大气环境的影响。</w:t>
            </w:r>
          </w:p>
          <w:p w14:paraId="56283592">
            <w:pPr>
              <w:numPr>
                <w:ilvl w:val="0"/>
                <w:numId w:val="6"/>
              </w:numPr>
              <w:spacing w:line="360" w:lineRule="auto"/>
              <w:ind w:firstLine="480"/>
              <w:jc w:val="left"/>
              <w:rPr>
                <w:rFonts w:hint="eastAsia"/>
                <w:b/>
                <w:bCs w:val="0"/>
                <w:color w:val="auto"/>
                <w:sz w:val="24"/>
              </w:rPr>
            </w:pPr>
            <w:r>
              <w:rPr>
                <w:rFonts w:hint="eastAsia"/>
                <w:b/>
                <w:bCs w:val="0"/>
                <w:color w:val="auto"/>
                <w:sz w:val="24"/>
              </w:rPr>
              <w:t>无组织废气排放</w:t>
            </w:r>
          </w:p>
          <w:p w14:paraId="66DDC0E0">
            <w:pPr>
              <w:widowControl/>
              <w:spacing w:line="360" w:lineRule="auto"/>
              <w:ind w:firstLine="480"/>
              <w:jc w:val="left"/>
              <w:rPr>
                <w:bCs/>
                <w:color w:val="auto"/>
                <w:sz w:val="24"/>
                <w:szCs w:val="20"/>
              </w:rPr>
            </w:pPr>
            <w:r>
              <w:rPr>
                <w:rFonts w:hint="eastAsia"/>
                <w:bCs/>
                <w:color w:val="auto"/>
                <w:sz w:val="24"/>
                <w:szCs w:val="20"/>
                <w:lang w:val="en-US" w:eastAsia="zh-CN"/>
              </w:rPr>
              <w:t>1</w:t>
            </w:r>
            <w:r>
              <w:rPr>
                <w:bCs/>
                <w:color w:val="auto"/>
                <w:sz w:val="24"/>
                <w:szCs w:val="20"/>
              </w:rPr>
              <w:t>）</w:t>
            </w:r>
            <w:r>
              <w:rPr>
                <w:rFonts w:hint="eastAsia"/>
                <w:bCs/>
                <w:color w:val="auto"/>
                <w:sz w:val="24"/>
                <w:szCs w:val="20"/>
              </w:rPr>
              <w:t>制砂</w:t>
            </w:r>
            <w:r>
              <w:rPr>
                <w:bCs/>
                <w:color w:val="auto"/>
                <w:sz w:val="24"/>
              </w:rPr>
              <w:t>生产线</w:t>
            </w:r>
            <w:r>
              <w:rPr>
                <w:rFonts w:hint="eastAsia"/>
                <w:bCs/>
                <w:color w:val="auto"/>
                <w:sz w:val="24"/>
                <w:szCs w:val="20"/>
              </w:rPr>
              <w:t>制砂</w:t>
            </w:r>
            <w:r>
              <w:rPr>
                <w:bCs/>
                <w:color w:val="auto"/>
                <w:sz w:val="24"/>
                <w:szCs w:val="20"/>
              </w:rPr>
              <w:t>粉尘</w:t>
            </w:r>
          </w:p>
          <w:p w14:paraId="22F55D56">
            <w:pPr>
              <w:widowControl/>
              <w:spacing w:line="360" w:lineRule="auto"/>
              <w:ind w:firstLine="480"/>
              <w:jc w:val="left"/>
              <w:rPr>
                <w:bCs/>
                <w:color w:val="auto"/>
                <w:sz w:val="24"/>
              </w:rPr>
            </w:pPr>
            <w:r>
              <w:rPr>
                <w:rFonts w:hint="eastAsia"/>
                <w:bCs/>
                <w:color w:val="auto"/>
                <w:sz w:val="24"/>
                <w:szCs w:val="20"/>
              </w:rPr>
              <w:t>制砂</w:t>
            </w:r>
            <w:r>
              <w:rPr>
                <w:bCs/>
                <w:color w:val="auto"/>
                <w:sz w:val="24"/>
                <w:szCs w:val="20"/>
              </w:rPr>
              <w:t>加工</w:t>
            </w:r>
            <w:r>
              <w:rPr>
                <w:bCs/>
                <w:color w:val="auto"/>
                <w:sz w:val="24"/>
              </w:rPr>
              <w:t>生产线采用</w:t>
            </w:r>
            <w:r>
              <w:rPr>
                <w:rFonts w:hint="eastAsia"/>
                <w:bCs/>
                <w:color w:val="auto"/>
                <w:sz w:val="24"/>
              </w:rPr>
              <w:t>一级</w:t>
            </w:r>
            <w:r>
              <w:rPr>
                <w:bCs/>
                <w:color w:val="auto"/>
                <w:sz w:val="24"/>
              </w:rPr>
              <w:t>破碎</w:t>
            </w:r>
            <w:r>
              <w:rPr>
                <w:rFonts w:hint="eastAsia"/>
                <w:bCs/>
                <w:color w:val="auto"/>
                <w:sz w:val="24"/>
              </w:rPr>
              <w:t>+</w:t>
            </w:r>
            <w:r>
              <w:rPr>
                <w:bCs/>
                <w:color w:val="auto"/>
                <w:sz w:val="24"/>
              </w:rPr>
              <w:t>筛分工艺，破碎</w:t>
            </w:r>
            <w:r>
              <w:rPr>
                <w:rFonts w:hint="eastAsia"/>
                <w:bCs/>
                <w:color w:val="auto"/>
                <w:sz w:val="24"/>
              </w:rPr>
              <w:t>、筛分</w:t>
            </w:r>
            <w:r>
              <w:rPr>
                <w:color w:val="auto"/>
                <w:sz w:val="24"/>
              </w:rPr>
              <w:t>粉尘系数取自《排放源统计调查产排污核算方法和系数手册</w:t>
            </w:r>
            <w:r>
              <w:rPr>
                <w:rFonts w:hint="eastAsia"/>
                <w:color w:val="auto"/>
                <w:sz w:val="24"/>
                <w:lang w:eastAsia="zh-CN"/>
              </w:rPr>
              <w:t>》</w:t>
            </w:r>
            <w:r>
              <w:rPr>
                <w:rFonts w:hint="eastAsia"/>
                <w:bCs/>
                <w:color w:val="auto"/>
                <w:sz w:val="24"/>
                <w:lang w:val="en-US" w:eastAsia="zh-CN"/>
              </w:rPr>
              <w:t>参考“石灰石石膏开采行业系数手册”中石灰石</w:t>
            </w:r>
            <w:r>
              <w:rPr>
                <w:bCs/>
                <w:color w:val="auto"/>
                <w:sz w:val="24"/>
                <w:lang w:eastAsia="zh-CN"/>
              </w:rPr>
              <w:t>破碎</w:t>
            </w:r>
            <w:r>
              <w:rPr>
                <w:rFonts w:hint="eastAsia"/>
                <w:bCs/>
                <w:color w:val="auto"/>
                <w:sz w:val="24"/>
                <w:lang w:eastAsia="zh-CN"/>
              </w:rPr>
              <w:t>，</w:t>
            </w:r>
            <w:r>
              <w:rPr>
                <w:rFonts w:hint="eastAsia"/>
                <w:bCs/>
                <w:color w:val="auto"/>
                <w:sz w:val="24"/>
                <w:lang w:val="en-US" w:eastAsia="zh-CN"/>
              </w:rPr>
              <w:t>筛分系数</w:t>
            </w:r>
            <w:r>
              <w:rPr>
                <w:bCs/>
                <w:color w:val="auto"/>
                <w:sz w:val="24"/>
              </w:rPr>
              <w:t>。</w:t>
            </w:r>
          </w:p>
          <w:p w14:paraId="0D2CC49D">
            <w:pPr>
              <w:snapToGrid w:val="0"/>
              <w:spacing w:line="360" w:lineRule="auto"/>
              <w:ind w:firstLine="422"/>
              <w:jc w:val="center"/>
              <w:rPr>
                <w:b/>
                <w:color w:val="auto"/>
                <w:szCs w:val="21"/>
              </w:rPr>
            </w:pPr>
            <w:r>
              <w:rPr>
                <w:b/>
                <w:color w:val="auto"/>
                <w:szCs w:val="21"/>
                <w:lang w:bidi="ar"/>
              </w:rPr>
              <w:t>表4-</w:t>
            </w:r>
            <w:r>
              <w:rPr>
                <w:rFonts w:hint="eastAsia"/>
                <w:b/>
                <w:color w:val="auto"/>
                <w:szCs w:val="21"/>
                <w:lang w:val="en-US" w:eastAsia="zh-CN" w:bidi="ar"/>
              </w:rPr>
              <w:t xml:space="preserve">2 </w:t>
            </w:r>
            <w:r>
              <w:rPr>
                <w:b/>
                <w:color w:val="auto"/>
                <w:szCs w:val="21"/>
                <w:lang w:bidi="ar"/>
              </w:rPr>
              <w:t xml:space="preserve"> </w:t>
            </w:r>
            <w:r>
              <w:rPr>
                <w:rFonts w:hint="eastAsia"/>
                <w:b/>
                <w:color w:val="auto"/>
                <w:szCs w:val="21"/>
                <w:lang w:bidi="ar"/>
              </w:rPr>
              <w:t>1011石灰石、石膏开采行业系数表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15"/>
              <w:gridCol w:w="1390"/>
              <w:gridCol w:w="1192"/>
              <w:gridCol w:w="1048"/>
              <w:gridCol w:w="1420"/>
              <w:gridCol w:w="1311"/>
              <w:gridCol w:w="1216"/>
            </w:tblGrid>
            <w:tr w14:paraId="247940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39" w:type="pct"/>
                  <w:vAlign w:val="center"/>
                </w:tcPr>
                <w:p w14:paraId="21CEE073">
                  <w:pPr>
                    <w:tabs>
                      <w:tab w:val="left" w:pos="0"/>
                    </w:tabs>
                    <w:adjustRightInd w:val="0"/>
                    <w:snapToGrid w:val="0"/>
                    <w:ind w:firstLine="0" w:firstLineChars="0"/>
                    <w:jc w:val="center"/>
                    <w:rPr>
                      <w:bCs/>
                      <w:color w:val="auto"/>
                      <w:kern w:val="21"/>
                      <w:szCs w:val="21"/>
                    </w:rPr>
                  </w:pPr>
                  <w:r>
                    <w:rPr>
                      <w:bCs/>
                      <w:color w:val="auto"/>
                      <w:kern w:val="21"/>
                      <w:szCs w:val="21"/>
                    </w:rPr>
                    <w:t>产品名称</w:t>
                  </w:r>
                </w:p>
              </w:tc>
              <w:tc>
                <w:tcPr>
                  <w:tcW w:w="781" w:type="pct"/>
                  <w:vAlign w:val="center"/>
                </w:tcPr>
                <w:p w14:paraId="6E35CDF1">
                  <w:pPr>
                    <w:tabs>
                      <w:tab w:val="left" w:pos="0"/>
                    </w:tabs>
                    <w:adjustRightInd w:val="0"/>
                    <w:snapToGrid w:val="0"/>
                    <w:ind w:firstLine="0" w:firstLineChars="0"/>
                    <w:jc w:val="center"/>
                    <w:rPr>
                      <w:bCs/>
                      <w:color w:val="auto"/>
                      <w:kern w:val="21"/>
                      <w:szCs w:val="21"/>
                    </w:rPr>
                  </w:pPr>
                  <w:r>
                    <w:rPr>
                      <w:bCs/>
                      <w:color w:val="auto"/>
                      <w:kern w:val="21"/>
                      <w:szCs w:val="21"/>
                    </w:rPr>
                    <w:t>原料名称</w:t>
                  </w:r>
                </w:p>
              </w:tc>
              <w:tc>
                <w:tcPr>
                  <w:tcW w:w="670" w:type="pct"/>
                  <w:vAlign w:val="center"/>
                </w:tcPr>
                <w:p w14:paraId="5C721F6D">
                  <w:pPr>
                    <w:tabs>
                      <w:tab w:val="left" w:pos="0"/>
                    </w:tabs>
                    <w:adjustRightInd w:val="0"/>
                    <w:snapToGrid w:val="0"/>
                    <w:ind w:firstLine="0" w:firstLineChars="0"/>
                    <w:jc w:val="center"/>
                    <w:rPr>
                      <w:bCs/>
                      <w:color w:val="auto"/>
                      <w:kern w:val="21"/>
                      <w:szCs w:val="21"/>
                    </w:rPr>
                  </w:pPr>
                  <w:r>
                    <w:rPr>
                      <w:bCs/>
                      <w:color w:val="auto"/>
                      <w:kern w:val="21"/>
                      <w:szCs w:val="21"/>
                    </w:rPr>
                    <w:t>工艺名称</w:t>
                  </w:r>
                </w:p>
              </w:tc>
              <w:tc>
                <w:tcPr>
                  <w:tcW w:w="589" w:type="pct"/>
                  <w:vAlign w:val="center"/>
                </w:tcPr>
                <w:p w14:paraId="4C913BDC">
                  <w:pPr>
                    <w:tabs>
                      <w:tab w:val="left" w:pos="0"/>
                    </w:tabs>
                    <w:adjustRightInd w:val="0"/>
                    <w:snapToGrid w:val="0"/>
                    <w:ind w:firstLine="0" w:firstLineChars="0"/>
                    <w:jc w:val="center"/>
                    <w:rPr>
                      <w:bCs/>
                      <w:color w:val="auto"/>
                      <w:kern w:val="21"/>
                      <w:szCs w:val="21"/>
                    </w:rPr>
                  </w:pPr>
                  <w:r>
                    <w:rPr>
                      <w:bCs/>
                      <w:color w:val="auto"/>
                      <w:kern w:val="21"/>
                      <w:szCs w:val="21"/>
                    </w:rPr>
                    <w:t>规模等级</w:t>
                  </w:r>
                </w:p>
              </w:tc>
              <w:tc>
                <w:tcPr>
                  <w:tcW w:w="798" w:type="pct"/>
                  <w:vAlign w:val="center"/>
                </w:tcPr>
                <w:p w14:paraId="190294CF">
                  <w:pPr>
                    <w:tabs>
                      <w:tab w:val="left" w:pos="0"/>
                    </w:tabs>
                    <w:adjustRightInd w:val="0"/>
                    <w:snapToGrid w:val="0"/>
                    <w:ind w:firstLine="0" w:firstLineChars="0"/>
                    <w:jc w:val="center"/>
                    <w:rPr>
                      <w:bCs/>
                      <w:color w:val="auto"/>
                      <w:kern w:val="21"/>
                      <w:szCs w:val="21"/>
                    </w:rPr>
                  </w:pPr>
                  <w:r>
                    <w:rPr>
                      <w:bCs/>
                      <w:color w:val="auto"/>
                      <w:kern w:val="21"/>
                      <w:szCs w:val="21"/>
                    </w:rPr>
                    <w:t>污染物指标</w:t>
                  </w:r>
                </w:p>
              </w:tc>
              <w:tc>
                <w:tcPr>
                  <w:tcW w:w="737" w:type="pct"/>
                  <w:vAlign w:val="center"/>
                </w:tcPr>
                <w:p w14:paraId="654DA467">
                  <w:pPr>
                    <w:tabs>
                      <w:tab w:val="left" w:pos="0"/>
                    </w:tabs>
                    <w:adjustRightInd w:val="0"/>
                    <w:snapToGrid w:val="0"/>
                    <w:ind w:firstLine="0" w:firstLineChars="0"/>
                    <w:jc w:val="center"/>
                    <w:rPr>
                      <w:bCs/>
                      <w:color w:val="auto"/>
                      <w:kern w:val="21"/>
                      <w:szCs w:val="21"/>
                    </w:rPr>
                  </w:pPr>
                  <w:r>
                    <w:rPr>
                      <w:bCs/>
                      <w:color w:val="auto"/>
                      <w:kern w:val="21"/>
                      <w:szCs w:val="21"/>
                    </w:rPr>
                    <w:t>单位</w:t>
                  </w:r>
                </w:p>
              </w:tc>
              <w:tc>
                <w:tcPr>
                  <w:tcW w:w="683" w:type="pct"/>
                  <w:vAlign w:val="center"/>
                </w:tcPr>
                <w:p w14:paraId="73EE8E43">
                  <w:pPr>
                    <w:tabs>
                      <w:tab w:val="left" w:pos="0"/>
                    </w:tabs>
                    <w:adjustRightInd w:val="0"/>
                    <w:snapToGrid w:val="0"/>
                    <w:ind w:firstLine="0" w:firstLineChars="0"/>
                    <w:jc w:val="center"/>
                    <w:rPr>
                      <w:bCs/>
                      <w:color w:val="auto"/>
                      <w:kern w:val="21"/>
                      <w:szCs w:val="21"/>
                    </w:rPr>
                  </w:pPr>
                  <w:r>
                    <w:rPr>
                      <w:bCs/>
                      <w:color w:val="auto"/>
                      <w:kern w:val="21"/>
                      <w:szCs w:val="21"/>
                    </w:rPr>
                    <w:t>产污系数</w:t>
                  </w:r>
                </w:p>
              </w:tc>
            </w:tr>
            <w:tr w14:paraId="135543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5" w:hRule="atLeast"/>
              </w:trPr>
              <w:tc>
                <w:tcPr>
                  <w:tcW w:w="739" w:type="pct"/>
                  <w:vAlign w:val="center"/>
                </w:tcPr>
                <w:p w14:paraId="3B0BEEAD">
                  <w:pPr>
                    <w:tabs>
                      <w:tab w:val="left" w:pos="0"/>
                    </w:tabs>
                    <w:adjustRightInd w:val="0"/>
                    <w:snapToGrid w:val="0"/>
                    <w:ind w:firstLine="0" w:firstLineChars="0"/>
                    <w:jc w:val="center"/>
                    <w:rPr>
                      <w:bCs/>
                      <w:color w:val="auto"/>
                      <w:kern w:val="21"/>
                      <w:szCs w:val="21"/>
                    </w:rPr>
                  </w:pPr>
                  <w:r>
                    <w:rPr>
                      <w:bCs/>
                      <w:color w:val="auto"/>
                      <w:kern w:val="21"/>
                      <w:szCs w:val="21"/>
                    </w:rPr>
                    <w:t>砂石骨料</w:t>
                  </w:r>
                </w:p>
              </w:tc>
              <w:tc>
                <w:tcPr>
                  <w:tcW w:w="781" w:type="pct"/>
                  <w:vAlign w:val="center"/>
                </w:tcPr>
                <w:p w14:paraId="4275DD76">
                  <w:pPr>
                    <w:tabs>
                      <w:tab w:val="left" w:pos="0"/>
                    </w:tabs>
                    <w:adjustRightInd w:val="0"/>
                    <w:snapToGrid w:val="0"/>
                    <w:ind w:firstLine="0" w:firstLineChars="0"/>
                    <w:jc w:val="center"/>
                    <w:rPr>
                      <w:rFonts w:hint="eastAsia" w:eastAsia="宋体"/>
                      <w:bCs/>
                      <w:color w:val="auto"/>
                      <w:kern w:val="21"/>
                      <w:szCs w:val="21"/>
                      <w:lang w:eastAsia="zh-CN"/>
                    </w:rPr>
                  </w:pPr>
                  <w:r>
                    <w:rPr>
                      <w:rFonts w:hint="eastAsia"/>
                      <w:bCs/>
                      <w:color w:val="auto"/>
                      <w:kern w:val="21"/>
                      <w:szCs w:val="21"/>
                      <w:lang w:val="en-US" w:eastAsia="zh-CN"/>
                    </w:rPr>
                    <w:t>机制砂</w:t>
                  </w:r>
                </w:p>
              </w:tc>
              <w:tc>
                <w:tcPr>
                  <w:tcW w:w="670" w:type="pct"/>
                  <w:vAlign w:val="center"/>
                </w:tcPr>
                <w:p w14:paraId="70B75EB9">
                  <w:pPr>
                    <w:tabs>
                      <w:tab w:val="left" w:pos="0"/>
                    </w:tabs>
                    <w:adjustRightInd w:val="0"/>
                    <w:snapToGrid w:val="0"/>
                    <w:ind w:firstLine="0" w:firstLineChars="0"/>
                    <w:jc w:val="center"/>
                    <w:rPr>
                      <w:bCs/>
                      <w:color w:val="auto"/>
                      <w:kern w:val="21"/>
                      <w:szCs w:val="21"/>
                    </w:rPr>
                  </w:pPr>
                  <w:r>
                    <w:rPr>
                      <w:bCs/>
                      <w:color w:val="auto"/>
                      <w:kern w:val="21"/>
                      <w:szCs w:val="21"/>
                    </w:rPr>
                    <w:t>破碎、筛分</w:t>
                  </w:r>
                </w:p>
              </w:tc>
              <w:tc>
                <w:tcPr>
                  <w:tcW w:w="589" w:type="pct"/>
                  <w:vAlign w:val="center"/>
                </w:tcPr>
                <w:p w14:paraId="5A85789A">
                  <w:pPr>
                    <w:tabs>
                      <w:tab w:val="left" w:pos="0"/>
                    </w:tabs>
                    <w:adjustRightInd w:val="0"/>
                    <w:snapToGrid w:val="0"/>
                    <w:ind w:firstLine="0" w:firstLineChars="0"/>
                    <w:jc w:val="center"/>
                    <w:rPr>
                      <w:bCs/>
                      <w:color w:val="auto"/>
                      <w:kern w:val="21"/>
                      <w:szCs w:val="21"/>
                    </w:rPr>
                  </w:pPr>
                  <w:r>
                    <w:rPr>
                      <w:bCs/>
                      <w:color w:val="auto"/>
                      <w:kern w:val="21"/>
                      <w:szCs w:val="21"/>
                    </w:rPr>
                    <w:t>所有规模</w:t>
                  </w:r>
                </w:p>
              </w:tc>
              <w:tc>
                <w:tcPr>
                  <w:tcW w:w="798" w:type="pct"/>
                  <w:vAlign w:val="center"/>
                </w:tcPr>
                <w:p w14:paraId="7DCB6BB9">
                  <w:pPr>
                    <w:tabs>
                      <w:tab w:val="left" w:pos="0"/>
                    </w:tabs>
                    <w:adjustRightInd w:val="0"/>
                    <w:snapToGrid w:val="0"/>
                    <w:ind w:firstLine="0" w:firstLineChars="0"/>
                    <w:jc w:val="center"/>
                    <w:rPr>
                      <w:bCs/>
                      <w:color w:val="auto"/>
                      <w:kern w:val="21"/>
                      <w:szCs w:val="21"/>
                    </w:rPr>
                  </w:pPr>
                  <w:r>
                    <w:rPr>
                      <w:bCs/>
                      <w:color w:val="auto"/>
                      <w:kern w:val="21"/>
                      <w:szCs w:val="21"/>
                    </w:rPr>
                    <w:t>颗粒物</w:t>
                  </w:r>
                </w:p>
              </w:tc>
              <w:tc>
                <w:tcPr>
                  <w:tcW w:w="737" w:type="pct"/>
                  <w:vAlign w:val="center"/>
                </w:tcPr>
                <w:p w14:paraId="67A363C0">
                  <w:pPr>
                    <w:tabs>
                      <w:tab w:val="left" w:pos="0"/>
                    </w:tabs>
                    <w:adjustRightInd w:val="0"/>
                    <w:snapToGrid w:val="0"/>
                    <w:ind w:firstLine="0" w:firstLineChars="0"/>
                    <w:jc w:val="center"/>
                    <w:rPr>
                      <w:bCs/>
                      <w:color w:val="auto"/>
                      <w:kern w:val="21"/>
                      <w:szCs w:val="21"/>
                    </w:rPr>
                  </w:pPr>
                  <w:r>
                    <w:rPr>
                      <w:bCs/>
                      <w:color w:val="auto"/>
                      <w:kern w:val="21"/>
                      <w:szCs w:val="21"/>
                    </w:rPr>
                    <w:t>千克/吨-产品</w:t>
                  </w:r>
                </w:p>
              </w:tc>
              <w:tc>
                <w:tcPr>
                  <w:tcW w:w="683" w:type="pct"/>
                  <w:vAlign w:val="center"/>
                </w:tcPr>
                <w:p w14:paraId="7EAB2810">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0.4</w:t>
                  </w:r>
                </w:p>
              </w:tc>
            </w:tr>
          </w:tbl>
          <w:p w14:paraId="27BE0576">
            <w:pPr>
              <w:widowControl/>
              <w:wordWrap w:val="0"/>
              <w:topLinePunct/>
              <w:spacing w:line="360" w:lineRule="auto"/>
              <w:ind w:firstLine="480"/>
              <w:jc w:val="left"/>
              <w:rPr>
                <w:color w:val="auto"/>
                <w:kern w:val="0"/>
                <w:sz w:val="24"/>
                <w:lang w:bidi="en-US"/>
              </w:rPr>
            </w:pPr>
            <w:r>
              <w:rPr>
                <w:rFonts w:hint="eastAsia"/>
                <w:color w:val="auto"/>
                <w:sz w:val="24"/>
                <w:lang w:val="en-US" w:eastAsia="zh-CN"/>
              </w:rPr>
              <w:t>扩建</w:t>
            </w:r>
            <w:r>
              <w:rPr>
                <w:color w:val="auto"/>
                <w:sz w:val="24"/>
              </w:rPr>
              <w:t>项目机制砂成品产生量按照</w:t>
            </w:r>
            <w:r>
              <w:rPr>
                <w:rFonts w:hint="eastAsia"/>
                <w:color w:val="auto"/>
                <w:sz w:val="24"/>
              </w:rPr>
              <w:t>33200</w:t>
            </w:r>
            <w:r>
              <w:rPr>
                <w:color w:val="auto"/>
                <w:sz w:val="24"/>
              </w:rPr>
              <w:t>t/a计，根据上式算得粉尘产生量为</w:t>
            </w:r>
            <w:r>
              <w:rPr>
                <w:rFonts w:hint="eastAsia"/>
                <w:color w:val="auto"/>
                <w:sz w:val="24"/>
                <w:lang w:val="en-US" w:eastAsia="zh-CN"/>
              </w:rPr>
              <w:t>13.28</w:t>
            </w:r>
            <w:r>
              <w:rPr>
                <w:color w:val="auto"/>
                <w:sz w:val="24"/>
              </w:rPr>
              <w:t>t/a</w:t>
            </w:r>
            <w:r>
              <w:rPr>
                <w:rFonts w:hint="eastAsia"/>
                <w:color w:val="auto"/>
                <w:sz w:val="24"/>
              </w:rPr>
              <w:t>，</w:t>
            </w:r>
            <w:r>
              <w:rPr>
                <w:bCs/>
                <w:color w:val="auto"/>
                <w:sz w:val="24"/>
              </w:rPr>
              <w:t>该部分粉尘约</w:t>
            </w:r>
            <w:r>
              <w:rPr>
                <w:color w:val="auto"/>
                <w:kern w:val="0"/>
                <w:sz w:val="24"/>
                <w:lang w:bidi="en-US"/>
              </w:rPr>
              <w:t>60%经厂房阻隔会在车间内沉降，对未沉降的逸散性粉尘采用车间顶部喷雾除尘，喷雾除尘效率可达到</w:t>
            </w:r>
            <w:r>
              <w:rPr>
                <w:rFonts w:hint="eastAsia"/>
                <w:color w:val="auto"/>
                <w:kern w:val="0"/>
                <w:sz w:val="24"/>
                <w:lang w:val="en-US" w:eastAsia="zh-CN" w:bidi="en-US"/>
              </w:rPr>
              <w:t>74</w:t>
            </w:r>
            <w:r>
              <w:rPr>
                <w:color w:val="auto"/>
                <w:kern w:val="0"/>
                <w:sz w:val="24"/>
                <w:lang w:bidi="en-US"/>
              </w:rPr>
              <w:t>%以上，本次评价按</w:t>
            </w:r>
            <w:r>
              <w:rPr>
                <w:rFonts w:hint="eastAsia"/>
                <w:color w:val="auto"/>
                <w:kern w:val="0"/>
                <w:sz w:val="24"/>
                <w:lang w:val="en-US" w:eastAsia="zh-CN" w:bidi="en-US"/>
              </w:rPr>
              <w:t>74</w:t>
            </w:r>
            <w:r>
              <w:rPr>
                <w:color w:val="auto"/>
                <w:kern w:val="0"/>
                <w:sz w:val="24"/>
                <w:lang w:bidi="en-US"/>
              </w:rPr>
              <w:t>%计，经自然沉降、喷雾除尘后，车间粉尘无组织粉尘排放量约为</w:t>
            </w:r>
            <w:r>
              <w:rPr>
                <w:rFonts w:hint="eastAsia"/>
                <w:color w:val="auto"/>
                <w:kern w:val="0"/>
                <w:sz w:val="24"/>
                <w:lang w:val="en-US" w:eastAsia="zh-CN" w:bidi="en-US"/>
              </w:rPr>
              <w:t>1.38112</w:t>
            </w:r>
            <w:r>
              <w:rPr>
                <w:color w:val="auto"/>
                <w:kern w:val="0"/>
                <w:sz w:val="24"/>
                <w:lang w:bidi="en-US"/>
              </w:rPr>
              <w:t>t/a。</w:t>
            </w:r>
          </w:p>
          <w:p w14:paraId="1CD5BCFB">
            <w:pPr>
              <w:widowControl/>
              <w:wordWrap w:val="0"/>
              <w:topLinePunct/>
              <w:spacing w:line="360" w:lineRule="auto"/>
              <w:ind w:firstLine="480"/>
              <w:jc w:val="left"/>
              <w:rPr>
                <w:color w:val="auto"/>
                <w:kern w:val="0"/>
                <w:sz w:val="24"/>
                <w:lang w:bidi="en-US"/>
              </w:rPr>
            </w:pPr>
            <w:r>
              <w:rPr>
                <w:rFonts w:hint="eastAsia"/>
                <w:color w:val="auto"/>
                <w:kern w:val="0"/>
                <w:sz w:val="24"/>
                <w:lang w:val="en-US" w:eastAsia="zh-CN" w:bidi="en-US"/>
              </w:rPr>
              <w:t>2</w:t>
            </w:r>
            <w:r>
              <w:rPr>
                <w:color w:val="auto"/>
                <w:kern w:val="0"/>
                <w:sz w:val="24"/>
                <w:lang w:bidi="en-US"/>
              </w:rPr>
              <w:t>）砂石料堆颗粒物</w:t>
            </w:r>
          </w:p>
          <w:p w14:paraId="2E4D114F">
            <w:pPr>
              <w:widowControl/>
              <w:wordWrap w:val="0"/>
              <w:topLinePunct/>
              <w:spacing w:line="360" w:lineRule="auto"/>
              <w:ind w:firstLine="480"/>
              <w:jc w:val="left"/>
              <w:rPr>
                <w:color w:val="auto"/>
                <w:kern w:val="0"/>
                <w:sz w:val="24"/>
                <w:lang w:bidi="en-US"/>
              </w:rPr>
            </w:pPr>
            <w:r>
              <w:rPr>
                <w:color w:val="auto"/>
                <w:kern w:val="0"/>
                <w:sz w:val="24"/>
                <w:lang w:bidi="en-US"/>
              </w:rPr>
              <w:t>砂石料堆颗粒物核算方法参照《扬尘源颗粒物排放清单编制技术指南（试行）》 中对堆场扬尘源排放量计算方法进行计算。</w:t>
            </w:r>
          </w:p>
          <w:p w14:paraId="2BEAC454">
            <w:pPr>
              <w:widowControl/>
              <w:wordWrap w:val="0"/>
              <w:topLinePunct/>
              <w:spacing w:line="360" w:lineRule="auto"/>
              <w:ind w:firstLine="480"/>
              <w:jc w:val="left"/>
              <w:rPr>
                <w:color w:val="auto"/>
                <w:kern w:val="0"/>
                <w:sz w:val="24"/>
                <w:lang w:bidi="en-US"/>
              </w:rPr>
            </w:pPr>
            <w:r>
              <w:rPr>
                <w:color w:val="auto"/>
                <w:kern w:val="0"/>
                <w:sz w:val="24"/>
                <w:lang w:bidi="en-US"/>
              </w:rPr>
              <w:t>根据《扬尘源颗粒物排放清单编制技术指南（试行）》，堆场的扬尘源排放量是装卸、运输引起的扬尘与堆积存放期间风蚀扬尘的加和。计算公式如下：</w:t>
            </w:r>
          </w:p>
          <w:p w14:paraId="2EC1C185">
            <w:pPr>
              <w:spacing w:before="31" w:line="749" w:lineRule="exact"/>
              <w:ind w:left="2128"/>
              <w:rPr>
                <w:color w:val="auto"/>
              </w:rPr>
            </w:pPr>
            <w:r>
              <w:rPr>
                <w:color w:val="auto"/>
                <w:position w:val="-15"/>
              </w:rPr>
              <w:drawing>
                <wp:inline distT="0" distB="0" distL="0" distR="0">
                  <wp:extent cx="2825115" cy="474980"/>
                  <wp:effectExtent l="0" t="0" r="13335" b="127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3"/>
                          <a:stretch>
                            <a:fillRect/>
                          </a:stretch>
                        </pic:blipFill>
                        <pic:spPr>
                          <a:xfrm>
                            <a:off x="0" y="0"/>
                            <a:ext cx="2825604" cy="475429"/>
                          </a:xfrm>
                          <a:prstGeom prst="rect">
                            <a:avLst/>
                          </a:prstGeom>
                        </pic:spPr>
                      </pic:pic>
                    </a:graphicData>
                  </a:graphic>
                </wp:inline>
              </w:drawing>
            </w:r>
          </w:p>
          <w:p w14:paraId="4C2F521A">
            <w:pPr>
              <w:widowControl/>
              <w:wordWrap w:val="0"/>
              <w:topLinePunct/>
              <w:spacing w:line="360" w:lineRule="auto"/>
              <w:ind w:firstLine="480"/>
              <w:jc w:val="left"/>
              <w:rPr>
                <w:rFonts w:hint="eastAsia"/>
                <w:color w:val="auto"/>
                <w:kern w:val="0"/>
                <w:sz w:val="24"/>
                <w:lang w:val="en-US" w:eastAsia="zh-CN" w:bidi="en-US"/>
              </w:rPr>
            </w:pPr>
            <w:r>
              <w:rPr>
                <w:rFonts w:hint="eastAsia"/>
                <w:color w:val="auto"/>
                <w:kern w:val="0"/>
                <w:sz w:val="24"/>
                <w:lang w:val="en-US" w:eastAsia="zh-CN" w:bidi="en-US"/>
              </w:rPr>
              <w:t>式中：</w:t>
            </w:r>
          </w:p>
          <w:p w14:paraId="1CE5BFDE">
            <w:pPr>
              <w:widowControl/>
              <w:wordWrap w:val="0"/>
              <w:topLinePunct/>
              <w:spacing w:line="360" w:lineRule="auto"/>
              <w:ind w:firstLine="480"/>
              <w:jc w:val="left"/>
              <w:rPr>
                <w:rFonts w:hint="eastAsia"/>
                <w:color w:val="auto"/>
                <w:kern w:val="0"/>
                <w:sz w:val="24"/>
                <w:lang w:val="en-US" w:eastAsia="zh-CN" w:bidi="en-US"/>
              </w:rPr>
            </w:pPr>
            <w:r>
              <w:rPr>
                <w:rFonts w:hint="eastAsia"/>
                <w:color w:val="auto"/>
                <w:kern w:val="0"/>
                <w:sz w:val="24"/>
                <w:lang w:val="en-US" w:eastAsia="zh-CN" w:bidi="en-US"/>
              </w:rPr>
              <w:t>WY——堆场扬尘源中颗粒物总排放量，t/a；</w:t>
            </w:r>
          </w:p>
          <w:p w14:paraId="277361D6">
            <w:pPr>
              <w:widowControl/>
              <w:wordWrap w:val="0"/>
              <w:topLinePunct/>
              <w:spacing w:line="360" w:lineRule="auto"/>
              <w:ind w:firstLine="480"/>
              <w:jc w:val="left"/>
              <w:rPr>
                <w:rFonts w:hint="eastAsia"/>
                <w:color w:val="auto"/>
                <w:kern w:val="0"/>
                <w:sz w:val="24"/>
                <w:lang w:val="en-US" w:eastAsia="zh-CN" w:bidi="en-US"/>
              </w:rPr>
            </w:pPr>
            <w:r>
              <w:rPr>
                <w:rFonts w:hint="eastAsia"/>
                <w:color w:val="auto"/>
                <w:kern w:val="0"/>
                <w:sz w:val="24"/>
                <w:lang w:val="en-US" w:eastAsia="zh-CN" w:bidi="en-US"/>
              </w:rPr>
              <w:t xml:space="preserve">Eh——堆场装卸运输过程的扬尘颗粒物排放系数，kg/t； </w:t>
            </w:r>
          </w:p>
          <w:p w14:paraId="751CE05E">
            <w:pPr>
              <w:widowControl/>
              <w:wordWrap w:val="0"/>
              <w:topLinePunct/>
              <w:spacing w:line="360" w:lineRule="auto"/>
              <w:ind w:firstLine="480"/>
              <w:jc w:val="left"/>
              <w:rPr>
                <w:rFonts w:hint="eastAsia"/>
                <w:color w:val="auto"/>
                <w:kern w:val="0"/>
                <w:sz w:val="24"/>
                <w:lang w:val="en-US" w:eastAsia="zh-CN" w:bidi="en-US"/>
              </w:rPr>
            </w:pPr>
            <w:r>
              <w:rPr>
                <w:rFonts w:hint="eastAsia"/>
                <w:color w:val="auto"/>
                <w:kern w:val="0"/>
                <w:sz w:val="24"/>
                <w:lang w:val="en-US" w:eastAsia="zh-CN" w:bidi="en-US"/>
              </w:rPr>
              <w:t>m——每年料堆物料装卸总次数；</w:t>
            </w:r>
          </w:p>
          <w:p w14:paraId="7303CC6D">
            <w:pPr>
              <w:widowControl/>
              <w:wordWrap w:val="0"/>
              <w:topLinePunct/>
              <w:spacing w:line="360" w:lineRule="auto"/>
              <w:ind w:firstLine="480"/>
              <w:jc w:val="left"/>
              <w:rPr>
                <w:rFonts w:hint="eastAsia"/>
                <w:color w:val="auto"/>
                <w:kern w:val="0"/>
                <w:sz w:val="24"/>
                <w:lang w:val="en-US" w:eastAsia="zh-CN" w:bidi="en-US"/>
              </w:rPr>
            </w:pPr>
            <w:r>
              <w:rPr>
                <w:rFonts w:hint="eastAsia"/>
                <w:color w:val="auto"/>
                <w:kern w:val="0"/>
                <w:sz w:val="24"/>
                <w:lang w:val="en-US" w:eastAsia="zh-CN" w:bidi="en-US"/>
              </w:rPr>
              <w:t>GYi——第i次装卸过程的物料装卸量，t；</w:t>
            </w:r>
          </w:p>
          <w:p w14:paraId="1B5E7622">
            <w:pPr>
              <w:widowControl/>
              <w:wordWrap w:val="0"/>
              <w:topLinePunct/>
              <w:spacing w:line="360" w:lineRule="auto"/>
              <w:ind w:firstLine="480"/>
              <w:jc w:val="left"/>
              <w:rPr>
                <w:rFonts w:hint="eastAsia"/>
                <w:color w:val="auto"/>
                <w:kern w:val="0"/>
                <w:sz w:val="24"/>
                <w:lang w:val="en-US" w:eastAsia="zh-CN" w:bidi="en-US"/>
              </w:rPr>
            </w:pPr>
            <w:r>
              <w:rPr>
                <w:rFonts w:hint="eastAsia"/>
                <w:color w:val="auto"/>
                <w:kern w:val="0"/>
                <w:sz w:val="24"/>
                <w:lang w:val="en-US" w:eastAsia="zh-CN" w:bidi="en-US"/>
              </w:rPr>
              <w:t>Ew——料堆受到风蚀作用的颗粒物排放系数，kg/m</w:t>
            </w:r>
            <w:r>
              <w:rPr>
                <w:rFonts w:hint="eastAsia"/>
                <w:color w:val="auto"/>
                <w:kern w:val="0"/>
                <w:sz w:val="24"/>
                <w:vertAlign w:val="superscript"/>
                <w:lang w:val="en-US" w:eastAsia="zh-CN" w:bidi="en-US"/>
              </w:rPr>
              <w:t>2</w:t>
            </w:r>
            <w:r>
              <w:rPr>
                <w:rFonts w:hint="eastAsia"/>
                <w:color w:val="auto"/>
                <w:kern w:val="0"/>
                <w:sz w:val="24"/>
                <w:lang w:val="en-US" w:eastAsia="zh-CN" w:bidi="en-US"/>
              </w:rPr>
              <w:t xml:space="preserve">； </w:t>
            </w:r>
          </w:p>
          <w:p w14:paraId="005AE894">
            <w:pPr>
              <w:widowControl/>
              <w:wordWrap w:val="0"/>
              <w:topLinePunct/>
              <w:spacing w:line="360" w:lineRule="auto"/>
              <w:ind w:firstLine="480"/>
              <w:jc w:val="left"/>
              <w:rPr>
                <w:rFonts w:hint="eastAsia"/>
                <w:color w:val="auto"/>
                <w:kern w:val="0"/>
                <w:sz w:val="24"/>
                <w:lang w:val="en-US" w:eastAsia="zh-CN" w:bidi="en-US"/>
              </w:rPr>
            </w:pPr>
            <w:r>
              <w:rPr>
                <w:rFonts w:hint="eastAsia"/>
                <w:color w:val="auto"/>
                <w:kern w:val="0"/>
                <w:sz w:val="24"/>
                <w:lang w:val="en-US" w:eastAsia="zh-CN" w:bidi="en-US"/>
              </w:rPr>
              <w:t>AY——料堆表面积，m</w:t>
            </w:r>
            <w:r>
              <w:rPr>
                <w:rFonts w:hint="eastAsia"/>
                <w:color w:val="auto"/>
                <w:kern w:val="0"/>
                <w:sz w:val="24"/>
                <w:vertAlign w:val="superscript"/>
                <w:lang w:val="en-US" w:eastAsia="zh-CN" w:bidi="en-US"/>
              </w:rPr>
              <w:t>2</w:t>
            </w:r>
            <w:r>
              <w:rPr>
                <w:rFonts w:hint="eastAsia"/>
                <w:color w:val="auto"/>
                <w:kern w:val="0"/>
                <w:sz w:val="24"/>
                <w:lang w:val="en-US" w:eastAsia="zh-CN" w:bidi="en-US"/>
              </w:rPr>
              <w:t>。</w:t>
            </w:r>
          </w:p>
          <w:p w14:paraId="36B048D8">
            <w:pPr>
              <w:widowControl/>
              <w:wordWrap w:val="0"/>
              <w:topLinePunct/>
              <w:spacing w:line="360" w:lineRule="auto"/>
              <w:ind w:firstLine="480"/>
              <w:jc w:val="left"/>
              <w:rPr>
                <w:rFonts w:hint="eastAsia"/>
                <w:color w:val="auto"/>
                <w:kern w:val="0"/>
                <w:sz w:val="24"/>
                <w:lang w:val="en-US" w:eastAsia="zh-CN" w:bidi="en-US"/>
              </w:rPr>
            </w:pPr>
            <w:r>
              <w:rPr>
                <w:rFonts w:hint="eastAsia"/>
                <w:color w:val="auto"/>
                <w:kern w:val="0"/>
                <w:sz w:val="24"/>
                <w:lang w:val="en-US" w:eastAsia="zh-CN" w:bidi="en-US"/>
              </w:rPr>
              <w:t>A.料堆表面遭受风扰动后引起颗粒物排放的排放系数可以用下式计算：</w:t>
            </w:r>
          </w:p>
          <w:p w14:paraId="2C8EF5F1">
            <w:pPr>
              <w:spacing w:before="177" w:line="746" w:lineRule="exact"/>
              <w:ind w:left="2601"/>
              <w:rPr>
                <w:color w:val="auto"/>
              </w:rPr>
            </w:pPr>
            <w:r>
              <w:rPr>
                <w:color w:val="auto"/>
                <w:position w:val="-15"/>
              </w:rPr>
              <w:drawing>
                <wp:inline distT="0" distB="0" distL="0" distR="0">
                  <wp:extent cx="2232660" cy="473710"/>
                  <wp:effectExtent l="0" t="0" r="15240" b="254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4"/>
                          <a:stretch>
                            <a:fillRect/>
                          </a:stretch>
                        </pic:blipFill>
                        <pic:spPr>
                          <a:xfrm>
                            <a:off x="0" y="0"/>
                            <a:ext cx="2233085" cy="473905"/>
                          </a:xfrm>
                          <a:prstGeom prst="rect">
                            <a:avLst/>
                          </a:prstGeom>
                        </pic:spPr>
                      </pic:pic>
                    </a:graphicData>
                  </a:graphic>
                </wp:inline>
              </w:drawing>
            </w:r>
          </w:p>
          <w:p w14:paraId="2FE281B2">
            <w:pPr>
              <w:spacing w:before="172" w:line="555" w:lineRule="exact"/>
              <w:ind w:left="1869"/>
              <w:rPr>
                <w:color w:val="auto"/>
              </w:rPr>
            </w:pPr>
            <w:r>
              <w:rPr>
                <w:color w:val="auto"/>
                <w:position w:val="-11"/>
              </w:rPr>
              <w:drawing>
                <wp:inline distT="0" distB="0" distL="0" distR="0">
                  <wp:extent cx="3169285" cy="352425"/>
                  <wp:effectExtent l="0" t="0" r="12065" b="9525"/>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5"/>
                          <a:stretch>
                            <a:fillRect/>
                          </a:stretch>
                        </pic:blipFill>
                        <pic:spPr>
                          <a:xfrm>
                            <a:off x="0" y="0"/>
                            <a:ext cx="3169323" cy="352539"/>
                          </a:xfrm>
                          <a:prstGeom prst="rect">
                            <a:avLst/>
                          </a:prstGeom>
                        </pic:spPr>
                      </pic:pic>
                    </a:graphicData>
                  </a:graphic>
                </wp:inline>
              </w:drawing>
            </w:r>
          </w:p>
          <w:p w14:paraId="3E8E409F">
            <w:pPr>
              <w:pStyle w:val="122"/>
              <w:spacing w:before="177" w:line="221" w:lineRule="auto"/>
              <w:ind w:left="121"/>
              <w:rPr>
                <w:color w:val="auto"/>
                <w:sz w:val="24"/>
                <w:szCs w:val="24"/>
              </w:rPr>
            </w:pPr>
            <w:r>
              <w:rPr>
                <w:color w:val="auto"/>
                <w:spacing w:val="-5"/>
                <w:sz w:val="24"/>
                <w:szCs w:val="24"/>
              </w:rPr>
              <w:t>式中：</w:t>
            </w:r>
          </w:p>
          <w:p w14:paraId="42681A8F">
            <w:pPr>
              <w:pStyle w:val="122"/>
              <w:keepNext w:val="0"/>
              <w:keepLines w:val="0"/>
              <w:pageBreakBefore w:val="0"/>
              <w:widowControl/>
              <w:kinsoku/>
              <w:wordWrap w:val="0"/>
              <w:overflowPunct/>
              <w:topLinePunct/>
              <w:autoSpaceDE/>
              <w:autoSpaceDN/>
              <w:bidi w:val="0"/>
              <w:adjustRightInd/>
              <w:snapToGrid/>
              <w:spacing w:line="360" w:lineRule="auto"/>
              <w:ind w:left="0" w:right="0" w:firstLine="3"/>
              <w:jc w:val="left"/>
              <w:textAlignment w:val="auto"/>
              <w:rPr>
                <w:color w:val="auto"/>
                <w:spacing w:val="-3"/>
                <w:sz w:val="24"/>
                <w:szCs w:val="24"/>
              </w:rPr>
            </w:pPr>
            <w:r>
              <w:rPr>
                <w:rFonts w:ascii="Times New Roman" w:hAnsi="Times New Roman" w:eastAsia="Times New Roman" w:cs="Times New Roman"/>
                <w:color w:val="auto"/>
                <w:spacing w:val="-3"/>
                <w:sz w:val="24"/>
                <w:szCs w:val="24"/>
              </w:rPr>
              <w:t>E</w:t>
            </w:r>
            <w:r>
              <w:rPr>
                <w:rFonts w:ascii="Times New Roman" w:hAnsi="Times New Roman" w:eastAsia="Times New Roman" w:cs="Times New Roman"/>
                <w:color w:val="auto"/>
                <w:spacing w:val="-3"/>
                <w:position w:val="-1"/>
                <w:sz w:val="15"/>
                <w:szCs w:val="15"/>
              </w:rPr>
              <w:t>w</w:t>
            </w:r>
            <w:r>
              <w:rPr>
                <w:rFonts w:ascii="Times New Roman" w:hAnsi="Times New Roman" w:eastAsia="Times New Roman" w:cs="Times New Roman"/>
                <w:color w:val="auto"/>
                <w:spacing w:val="-3"/>
                <w:sz w:val="24"/>
                <w:szCs w:val="24"/>
              </w:rPr>
              <w:t>——</w:t>
            </w:r>
            <w:r>
              <w:rPr>
                <w:color w:val="auto"/>
                <w:spacing w:val="-3"/>
                <w:sz w:val="24"/>
                <w:szCs w:val="24"/>
              </w:rPr>
              <w:t>堆场风蚀扬尘的排放系数，</w:t>
            </w:r>
            <w:r>
              <w:rPr>
                <w:rFonts w:ascii="Times New Roman" w:hAnsi="Times New Roman" w:eastAsia="Times New Roman" w:cs="Times New Roman"/>
                <w:color w:val="auto"/>
                <w:spacing w:val="-3"/>
                <w:sz w:val="24"/>
                <w:szCs w:val="24"/>
              </w:rPr>
              <w:t>kg/m</w:t>
            </w:r>
            <w:r>
              <w:rPr>
                <w:rFonts w:ascii="Times New Roman" w:hAnsi="Times New Roman" w:eastAsia="Times New Roman" w:cs="Times New Roman"/>
                <w:color w:val="auto"/>
                <w:spacing w:val="-3"/>
                <w:position w:val="7"/>
                <w:sz w:val="15"/>
                <w:szCs w:val="15"/>
              </w:rPr>
              <w:t>2</w:t>
            </w:r>
            <w:r>
              <w:rPr>
                <w:color w:val="auto"/>
                <w:spacing w:val="-3"/>
                <w:sz w:val="24"/>
                <w:szCs w:val="24"/>
              </w:rPr>
              <w:t>；</w:t>
            </w:r>
          </w:p>
          <w:p w14:paraId="13D9B104">
            <w:pPr>
              <w:pStyle w:val="122"/>
              <w:keepNext w:val="0"/>
              <w:keepLines w:val="0"/>
              <w:pageBreakBefore w:val="0"/>
              <w:widowControl/>
              <w:kinsoku/>
              <w:wordWrap w:val="0"/>
              <w:overflowPunct/>
              <w:topLinePunct/>
              <w:autoSpaceDE/>
              <w:autoSpaceDN/>
              <w:bidi w:val="0"/>
              <w:adjustRightInd/>
              <w:snapToGrid/>
              <w:spacing w:line="360" w:lineRule="auto"/>
              <w:ind w:left="0" w:right="0" w:firstLine="3"/>
              <w:jc w:val="left"/>
              <w:textAlignment w:val="auto"/>
              <w:rPr>
                <w:color w:val="auto"/>
                <w:sz w:val="24"/>
                <w:szCs w:val="24"/>
              </w:rPr>
            </w:pPr>
            <w:r>
              <w:rPr>
                <w:rFonts w:ascii="Times New Roman" w:hAnsi="Times New Roman" w:eastAsia="Times New Roman" w:cs="Times New Roman"/>
                <w:color w:val="auto"/>
                <w:spacing w:val="-1"/>
                <w:sz w:val="24"/>
                <w:szCs w:val="24"/>
              </w:rPr>
              <w:t>k</w:t>
            </w:r>
            <w:r>
              <w:rPr>
                <w:rFonts w:ascii="Times New Roman" w:hAnsi="Times New Roman" w:eastAsia="Times New Roman" w:cs="Times New Roman"/>
                <w:color w:val="auto"/>
                <w:spacing w:val="-1"/>
                <w:sz w:val="15"/>
                <w:szCs w:val="15"/>
              </w:rPr>
              <w:t>i</w:t>
            </w:r>
            <w:r>
              <w:rPr>
                <w:rFonts w:ascii="Times New Roman" w:hAnsi="Times New Roman" w:eastAsia="Times New Roman" w:cs="Times New Roman"/>
                <w:color w:val="auto"/>
                <w:spacing w:val="-1"/>
                <w:sz w:val="24"/>
                <w:szCs w:val="24"/>
              </w:rPr>
              <w:t>——</w:t>
            </w:r>
            <w:r>
              <w:rPr>
                <w:color w:val="auto"/>
                <w:spacing w:val="-1"/>
                <w:sz w:val="24"/>
                <w:szCs w:val="24"/>
              </w:rPr>
              <w:t>物料的粒度乘数；</w:t>
            </w:r>
          </w:p>
          <w:p w14:paraId="41311E16">
            <w:pPr>
              <w:keepNext w:val="0"/>
              <w:keepLines w:val="0"/>
              <w:pageBreakBefore w:val="0"/>
              <w:widowControl/>
              <w:kinsoku/>
              <w:wordWrap w:val="0"/>
              <w:overflowPunct/>
              <w:topLinePunct/>
              <w:autoSpaceDE/>
              <w:autoSpaceDN/>
              <w:bidi w:val="0"/>
              <w:adjustRightInd/>
              <w:snapToGrid/>
              <w:spacing w:line="360" w:lineRule="auto"/>
              <w:ind w:left="0" w:right="0" w:firstLine="480"/>
              <w:jc w:val="left"/>
              <w:textAlignment w:val="auto"/>
              <w:rPr>
                <w:color w:val="auto"/>
                <w:sz w:val="24"/>
              </w:rPr>
            </w:pPr>
            <w:r>
              <w:rPr>
                <w:rFonts w:ascii="Times New Roman" w:hAnsi="Times New Roman" w:eastAsia="Times New Roman" w:cs="Times New Roman"/>
                <w:color w:val="auto"/>
                <w:spacing w:val="-1"/>
                <w:sz w:val="24"/>
                <w:szCs w:val="24"/>
              </w:rPr>
              <w:t>n——</w:t>
            </w:r>
            <w:r>
              <w:rPr>
                <w:color w:val="auto"/>
                <w:spacing w:val="-1"/>
                <w:sz w:val="24"/>
                <w:szCs w:val="24"/>
              </w:rPr>
              <w:t>料堆每年受扰动的次数；</w:t>
            </w:r>
          </w:p>
          <w:p w14:paraId="0E3812FA">
            <w:pPr>
              <w:pStyle w:val="122"/>
              <w:keepNext w:val="0"/>
              <w:keepLines w:val="0"/>
              <w:pageBreakBefore w:val="0"/>
              <w:widowControl/>
              <w:kinsoku/>
              <w:wordWrap w:val="0"/>
              <w:overflowPunct/>
              <w:topLinePunct/>
              <w:autoSpaceDE/>
              <w:autoSpaceDN/>
              <w:bidi w:val="0"/>
              <w:adjustRightInd/>
              <w:snapToGrid/>
              <w:spacing w:line="360" w:lineRule="auto"/>
              <w:ind w:left="0" w:right="0" w:firstLine="2"/>
              <w:jc w:val="left"/>
              <w:textAlignment w:val="auto"/>
              <w:rPr>
                <w:color w:val="auto"/>
                <w:spacing w:val="-4"/>
                <w:sz w:val="24"/>
                <w:szCs w:val="24"/>
              </w:rPr>
            </w:pPr>
            <w:r>
              <w:rPr>
                <w:rFonts w:ascii="Times New Roman" w:hAnsi="Times New Roman" w:eastAsia="Times New Roman" w:cs="Times New Roman"/>
                <w:color w:val="auto"/>
                <w:spacing w:val="-3"/>
                <w:sz w:val="24"/>
                <w:szCs w:val="24"/>
              </w:rPr>
              <w:t>P</w:t>
            </w:r>
            <w:r>
              <w:rPr>
                <w:rFonts w:ascii="Times New Roman" w:hAnsi="Times New Roman" w:eastAsia="Times New Roman" w:cs="Times New Roman"/>
                <w:color w:val="auto"/>
                <w:spacing w:val="-3"/>
                <w:sz w:val="15"/>
                <w:szCs w:val="15"/>
              </w:rPr>
              <w:t>i</w:t>
            </w:r>
            <w:r>
              <w:rPr>
                <w:rFonts w:ascii="Times New Roman" w:hAnsi="Times New Roman" w:eastAsia="Times New Roman" w:cs="Times New Roman"/>
                <w:color w:val="auto"/>
                <w:spacing w:val="-3"/>
                <w:sz w:val="24"/>
                <w:szCs w:val="24"/>
              </w:rPr>
              <w:t>——</w:t>
            </w:r>
            <w:r>
              <w:rPr>
                <w:color w:val="auto"/>
                <w:spacing w:val="-3"/>
                <w:sz w:val="24"/>
                <w:szCs w:val="24"/>
              </w:rPr>
              <w:t>第</w:t>
            </w:r>
            <w:r>
              <w:rPr>
                <w:color w:val="auto"/>
                <w:spacing w:val="-53"/>
                <w:sz w:val="24"/>
                <w:szCs w:val="24"/>
              </w:rPr>
              <w:t xml:space="preserve"> </w:t>
            </w:r>
            <w:r>
              <w:rPr>
                <w:rFonts w:ascii="Times New Roman" w:hAnsi="Times New Roman" w:eastAsia="Times New Roman" w:cs="Times New Roman"/>
                <w:color w:val="auto"/>
                <w:spacing w:val="-3"/>
                <w:sz w:val="24"/>
                <w:szCs w:val="24"/>
              </w:rPr>
              <w:t>i</w:t>
            </w:r>
            <w:r>
              <w:rPr>
                <w:rFonts w:ascii="Times New Roman" w:hAnsi="Times New Roman" w:eastAsia="Times New Roman" w:cs="Times New Roman"/>
                <w:color w:val="auto"/>
                <w:spacing w:val="17"/>
                <w:sz w:val="24"/>
                <w:szCs w:val="24"/>
              </w:rPr>
              <w:t xml:space="preserve"> </w:t>
            </w:r>
            <w:r>
              <w:rPr>
                <w:color w:val="auto"/>
                <w:spacing w:val="-3"/>
                <w:sz w:val="24"/>
                <w:szCs w:val="24"/>
              </w:rPr>
              <w:t>次扰动中观测的最大风速的风蚀潜势，</w:t>
            </w:r>
            <w:r>
              <w:rPr>
                <w:rFonts w:ascii="Times New Roman" w:hAnsi="Times New Roman" w:eastAsia="Times New Roman" w:cs="Times New Roman"/>
                <w:color w:val="auto"/>
                <w:spacing w:val="-3"/>
                <w:sz w:val="24"/>
                <w:szCs w:val="24"/>
              </w:rPr>
              <w:t>g/m</w:t>
            </w:r>
            <w:r>
              <w:rPr>
                <w:rFonts w:ascii="Times New Roman" w:hAnsi="Times New Roman" w:eastAsia="Times New Roman" w:cs="Times New Roman"/>
                <w:color w:val="auto"/>
                <w:spacing w:val="-4"/>
                <w:position w:val="7"/>
                <w:sz w:val="15"/>
                <w:szCs w:val="15"/>
              </w:rPr>
              <w:t>2</w:t>
            </w:r>
            <w:r>
              <w:rPr>
                <w:color w:val="auto"/>
                <w:spacing w:val="-4"/>
                <w:sz w:val="24"/>
                <w:szCs w:val="24"/>
              </w:rPr>
              <w:t>；</w:t>
            </w:r>
          </w:p>
          <w:p w14:paraId="31218352">
            <w:pPr>
              <w:pStyle w:val="122"/>
              <w:keepNext w:val="0"/>
              <w:keepLines w:val="0"/>
              <w:pageBreakBefore w:val="0"/>
              <w:widowControl/>
              <w:kinsoku/>
              <w:wordWrap w:val="0"/>
              <w:overflowPunct/>
              <w:topLinePunct/>
              <w:autoSpaceDE/>
              <w:autoSpaceDN/>
              <w:bidi w:val="0"/>
              <w:adjustRightInd/>
              <w:snapToGrid/>
              <w:spacing w:line="360" w:lineRule="auto"/>
              <w:ind w:left="0" w:right="0" w:firstLine="2"/>
              <w:jc w:val="left"/>
              <w:textAlignment w:val="auto"/>
              <w:rPr>
                <w:color w:val="auto"/>
                <w:sz w:val="24"/>
                <w:szCs w:val="24"/>
              </w:rPr>
            </w:pPr>
            <w:r>
              <w:rPr>
                <w:rFonts w:ascii="Times New Roman" w:hAnsi="Times New Roman" w:eastAsia="Times New Roman" w:cs="Times New Roman"/>
                <w:color w:val="auto"/>
                <w:spacing w:val="-1"/>
                <w:sz w:val="24"/>
                <w:szCs w:val="24"/>
              </w:rPr>
              <w:t>η——</w:t>
            </w:r>
            <w:r>
              <w:rPr>
                <w:color w:val="auto"/>
                <w:spacing w:val="-1"/>
                <w:sz w:val="24"/>
                <w:szCs w:val="24"/>
              </w:rPr>
              <w:t>污染控制技术对扬尘的去除效率，</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pacing w:val="-33"/>
                <w:sz w:val="24"/>
                <w:szCs w:val="24"/>
              </w:rPr>
              <w:t xml:space="preserve"> </w:t>
            </w:r>
            <w:r>
              <w:rPr>
                <w:color w:val="auto"/>
                <w:spacing w:val="-5"/>
                <w:sz w:val="24"/>
                <w:szCs w:val="24"/>
              </w:rPr>
              <w:t>；</w:t>
            </w:r>
          </w:p>
          <w:p w14:paraId="175A8419">
            <w:pPr>
              <w:pStyle w:val="122"/>
              <w:keepNext w:val="0"/>
              <w:keepLines w:val="0"/>
              <w:pageBreakBefore w:val="0"/>
              <w:widowControl/>
              <w:kinsoku/>
              <w:wordWrap w:val="0"/>
              <w:overflowPunct/>
              <w:topLinePunct/>
              <w:autoSpaceDE/>
              <w:autoSpaceDN/>
              <w:bidi w:val="0"/>
              <w:adjustRightInd/>
              <w:snapToGrid/>
              <w:spacing w:line="360" w:lineRule="auto"/>
              <w:ind w:left="0" w:right="0"/>
              <w:jc w:val="left"/>
              <w:textAlignment w:val="auto"/>
              <w:rPr>
                <w:color w:val="auto"/>
                <w:sz w:val="24"/>
                <w:szCs w:val="24"/>
              </w:rPr>
            </w:pPr>
            <w:r>
              <w:rPr>
                <w:rFonts w:ascii="Times New Roman" w:hAnsi="Times New Roman" w:eastAsia="Times New Roman" w:cs="Times New Roman"/>
                <w:color w:val="auto"/>
                <w:position w:val="2"/>
                <w:sz w:val="24"/>
                <w:szCs w:val="24"/>
              </w:rPr>
              <w:t>u*——</w:t>
            </w:r>
            <w:r>
              <w:rPr>
                <w:color w:val="auto"/>
                <w:position w:val="2"/>
                <w:sz w:val="24"/>
                <w:szCs w:val="24"/>
              </w:rPr>
              <w:t>摩擦风速，</w:t>
            </w:r>
            <w:r>
              <w:rPr>
                <w:rFonts w:ascii="Times New Roman" w:hAnsi="Times New Roman" w:eastAsia="Times New Roman" w:cs="Times New Roman"/>
                <w:color w:val="auto"/>
                <w:position w:val="2"/>
                <w:sz w:val="24"/>
                <w:szCs w:val="24"/>
              </w:rPr>
              <w:t>m/s</w:t>
            </w:r>
            <w:r>
              <w:rPr>
                <w:color w:val="auto"/>
                <w:position w:val="2"/>
                <w:sz w:val="24"/>
                <w:szCs w:val="24"/>
              </w:rPr>
              <w:t>；</w:t>
            </w:r>
          </w:p>
          <w:p w14:paraId="4E31EC39">
            <w:pPr>
              <w:pStyle w:val="122"/>
              <w:spacing w:before="106" w:line="331" w:lineRule="auto"/>
              <w:ind w:left="107" w:right="101" w:firstLine="470"/>
              <w:rPr>
                <w:color w:val="auto"/>
                <w:sz w:val="24"/>
                <w:szCs w:val="24"/>
              </w:rPr>
            </w:pPr>
            <w:r>
              <w:rPr>
                <w:rFonts w:ascii="Times New Roman" w:hAnsi="Times New Roman" w:eastAsia="Times New Roman" w:cs="Times New Roman"/>
                <w:color w:val="auto"/>
                <w:spacing w:val="-3"/>
                <w:sz w:val="24"/>
                <w:szCs w:val="24"/>
              </w:rPr>
              <w:t>ut*——</w:t>
            </w:r>
            <w:r>
              <w:rPr>
                <w:color w:val="auto"/>
                <w:spacing w:val="-3"/>
                <w:sz w:val="24"/>
                <w:szCs w:val="24"/>
              </w:rPr>
              <w:t>阈值摩擦风速，即起尘的临界摩擦风速，</w:t>
            </w:r>
            <w:r>
              <w:rPr>
                <w:rFonts w:ascii="Times New Roman" w:hAnsi="Times New Roman" w:eastAsia="Times New Roman" w:cs="Times New Roman"/>
                <w:color w:val="auto"/>
                <w:spacing w:val="-3"/>
                <w:sz w:val="24"/>
                <w:szCs w:val="24"/>
              </w:rPr>
              <w:t>m/s</w:t>
            </w:r>
            <w:r>
              <w:rPr>
                <w:color w:val="auto"/>
                <w:spacing w:val="-3"/>
                <w:sz w:val="24"/>
                <w:szCs w:val="24"/>
              </w:rPr>
              <w:t>，参考《扬尘源颗粒物排放清单编制技术指南（试行）》表</w:t>
            </w:r>
            <w:r>
              <w:rPr>
                <w:rFonts w:ascii="Times New Roman" w:hAnsi="Times New Roman" w:eastAsia="Times New Roman" w:cs="Times New Roman"/>
                <w:color w:val="auto"/>
                <w:spacing w:val="-3"/>
                <w:sz w:val="24"/>
                <w:szCs w:val="24"/>
              </w:rPr>
              <w:t>15</w:t>
            </w:r>
            <w:r>
              <w:rPr>
                <w:rFonts w:ascii="Times New Roman" w:hAnsi="Times New Roman" w:eastAsia="Times New Roman" w:cs="Times New Roman"/>
                <w:color w:val="auto"/>
                <w:spacing w:val="-34"/>
                <w:sz w:val="24"/>
                <w:szCs w:val="24"/>
              </w:rPr>
              <w:t xml:space="preserve"> </w:t>
            </w:r>
            <w:r>
              <w:rPr>
                <w:color w:val="auto"/>
                <w:spacing w:val="-3"/>
                <w:sz w:val="24"/>
                <w:szCs w:val="24"/>
              </w:rPr>
              <w:t>，</w:t>
            </w:r>
            <w:r>
              <w:rPr>
                <w:rFonts w:hint="eastAsia" w:eastAsia="宋体"/>
                <w:color w:val="auto"/>
                <w:spacing w:val="-3"/>
                <w:sz w:val="24"/>
                <w:szCs w:val="24"/>
                <w:lang w:val="en-US" w:eastAsia="zh-CN"/>
              </w:rPr>
              <w:t>矿渣</w:t>
            </w:r>
            <w:r>
              <w:rPr>
                <w:color w:val="auto"/>
                <w:spacing w:val="-3"/>
                <w:sz w:val="24"/>
                <w:szCs w:val="24"/>
              </w:rPr>
              <w:t>的阈值摩擦风速取值为</w:t>
            </w:r>
            <w:r>
              <w:rPr>
                <w:rFonts w:ascii="Times New Roman" w:hAnsi="Times New Roman" w:eastAsia="Times New Roman" w:cs="Times New Roman"/>
                <w:color w:val="auto"/>
                <w:spacing w:val="-3"/>
                <w:sz w:val="24"/>
                <w:szCs w:val="24"/>
              </w:rPr>
              <w:t>1.33</w:t>
            </w:r>
            <w:r>
              <w:rPr>
                <w:color w:val="auto"/>
                <w:spacing w:val="-3"/>
                <w:sz w:val="24"/>
                <w:szCs w:val="24"/>
              </w:rPr>
              <w:t>。</w:t>
            </w:r>
          </w:p>
          <w:p w14:paraId="532DF464">
            <w:pPr>
              <w:spacing w:before="108" w:line="516" w:lineRule="exact"/>
              <w:ind w:left="3308"/>
              <w:rPr>
                <w:color w:val="auto"/>
              </w:rPr>
            </w:pPr>
            <w:r>
              <w:rPr>
                <w:color w:val="auto"/>
                <w:position w:val="-10"/>
              </w:rPr>
              <w:drawing>
                <wp:inline distT="0" distB="0" distL="0" distR="0">
                  <wp:extent cx="1313815" cy="32766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6"/>
                          <a:stretch>
                            <a:fillRect/>
                          </a:stretch>
                        </pic:blipFill>
                        <pic:spPr>
                          <a:xfrm>
                            <a:off x="0" y="0"/>
                            <a:ext cx="1313916" cy="327729"/>
                          </a:xfrm>
                          <a:prstGeom prst="rect">
                            <a:avLst/>
                          </a:prstGeom>
                        </pic:spPr>
                      </pic:pic>
                    </a:graphicData>
                  </a:graphic>
                </wp:inline>
              </w:drawing>
            </w:r>
          </w:p>
          <w:p w14:paraId="16FAE512">
            <w:pPr>
              <w:pStyle w:val="122"/>
              <w:keepNext w:val="0"/>
              <w:keepLines w:val="0"/>
              <w:pageBreakBefore w:val="0"/>
              <w:widowControl w:val="0"/>
              <w:kinsoku/>
              <w:wordWrap/>
              <w:overflowPunct/>
              <w:topLinePunct w:val="0"/>
              <w:autoSpaceDE/>
              <w:autoSpaceDN/>
              <w:bidi w:val="0"/>
              <w:adjustRightInd/>
              <w:snapToGrid/>
              <w:spacing w:line="360" w:lineRule="auto"/>
              <w:ind w:left="0" w:right="0" w:hanging="4"/>
              <w:jc w:val="left"/>
              <w:textAlignment w:val="auto"/>
              <w:rPr>
                <w:color w:val="auto"/>
                <w:spacing w:val="6"/>
                <w:sz w:val="24"/>
                <w:szCs w:val="24"/>
              </w:rPr>
            </w:pPr>
            <w:r>
              <w:rPr>
                <w:rFonts w:ascii="Times New Roman" w:hAnsi="Times New Roman" w:eastAsia="Times New Roman" w:cs="Times New Roman"/>
                <w:color w:val="auto"/>
                <w:spacing w:val="-1"/>
                <w:sz w:val="24"/>
                <w:szCs w:val="24"/>
              </w:rPr>
              <w:t>u</w:t>
            </w:r>
            <w:r>
              <w:rPr>
                <w:color w:val="auto"/>
                <w:spacing w:val="-1"/>
                <w:sz w:val="24"/>
                <w:szCs w:val="24"/>
              </w:rPr>
              <w:t>（</w:t>
            </w:r>
            <w:r>
              <w:rPr>
                <w:rFonts w:ascii="Times New Roman" w:hAnsi="Times New Roman" w:eastAsia="Times New Roman" w:cs="Times New Roman"/>
                <w:color w:val="auto"/>
                <w:spacing w:val="-1"/>
                <w:sz w:val="24"/>
                <w:szCs w:val="24"/>
              </w:rPr>
              <w:t>z</w:t>
            </w:r>
            <w:r>
              <w:rPr>
                <w:color w:val="auto"/>
                <w:spacing w:val="-1"/>
                <w:sz w:val="24"/>
                <w:szCs w:val="24"/>
              </w:rPr>
              <w:t>）</w:t>
            </w:r>
            <w:r>
              <w:rPr>
                <w:rFonts w:ascii="Times New Roman" w:hAnsi="Times New Roman" w:eastAsia="Times New Roman" w:cs="Times New Roman"/>
                <w:color w:val="auto"/>
                <w:spacing w:val="-1"/>
                <w:sz w:val="24"/>
                <w:szCs w:val="24"/>
              </w:rPr>
              <w:t>——</w:t>
            </w:r>
            <w:r>
              <w:rPr>
                <w:color w:val="auto"/>
                <w:spacing w:val="-1"/>
                <w:sz w:val="24"/>
                <w:szCs w:val="24"/>
              </w:rPr>
              <w:t>地面风速</w:t>
            </w:r>
            <w:r>
              <w:rPr>
                <w:rFonts w:hint="eastAsia" w:eastAsia="宋体"/>
                <w:color w:val="auto"/>
                <w:spacing w:val="-1"/>
                <w:sz w:val="24"/>
                <w:szCs w:val="24"/>
                <w:lang w:eastAsia="zh-CN"/>
              </w:rPr>
              <w:t>，</w:t>
            </w:r>
            <w:r>
              <w:rPr>
                <w:rFonts w:ascii="Times New Roman" w:hAnsi="Times New Roman" w:eastAsia="Times New Roman" w:cs="Times New Roman"/>
                <w:color w:val="auto"/>
                <w:spacing w:val="-1"/>
                <w:sz w:val="24"/>
                <w:szCs w:val="24"/>
              </w:rPr>
              <w:t>m/s</w:t>
            </w:r>
            <w:r>
              <w:rPr>
                <w:color w:val="auto"/>
                <w:spacing w:val="-1"/>
                <w:sz w:val="24"/>
                <w:szCs w:val="24"/>
              </w:rPr>
              <w:t>；</w:t>
            </w:r>
            <w:r>
              <w:rPr>
                <w:color w:val="auto"/>
                <w:spacing w:val="6"/>
                <w:sz w:val="24"/>
                <w:szCs w:val="24"/>
              </w:rPr>
              <w:t xml:space="preserve"> </w:t>
            </w:r>
          </w:p>
          <w:p w14:paraId="635EA3A8">
            <w:pPr>
              <w:pStyle w:val="122"/>
              <w:keepNext w:val="0"/>
              <w:keepLines w:val="0"/>
              <w:pageBreakBefore w:val="0"/>
              <w:widowControl w:val="0"/>
              <w:kinsoku/>
              <w:wordWrap/>
              <w:overflowPunct/>
              <w:topLinePunct w:val="0"/>
              <w:autoSpaceDE/>
              <w:autoSpaceDN/>
              <w:bidi w:val="0"/>
              <w:adjustRightInd/>
              <w:snapToGrid/>
              <w:spacing w:line="360" w:lineRule="auto"/>
              <w:ind w:left="0" w:right="0" w:hanging="4"/>
              <w:jc w:val="left"/>
              <w:textAlignment w:val="auto"/>
              <w:rPr>
                <w:color w:val="auto"/>
                <w:sz w:val="24"/>
                <w:szCs w:val="24"/>
              </w:rPr>
            </w:pPr>
            <w:r>
              <w:rPr>
                <w:color w:val="auto"/>
                <w:spacing w:val="6"/>
                <w:sz w:val="24"/>
                <w:szCs w:val="24"/>
              </w:rPr>
              <w:t xml:space="preserve"> </w:t>
            </w:r>
            <w:r>
              <w:rPr>
                <w:rFonts w:ascii="Times New Roman" w:hAnsi="Times New Roman" w:eastAsia="Times New Roman" w:cs="Times New Roman"/>
                <w:color w:val="auto"/>
                <w:spacing w:val="-5"/>
                <w:sz w:val="24"/>
                <w:szCs w:val="24"/>
              </w:rPr>
              <w:t>z——</w:t>
            </w:r>
            <w:r>
              <w:rPr>
                <w:color w:val="auto"/>
                <w:spacing w:val="-5"/>
                <w:sz w:val="24"/>
                <w:szCs w:val="24"/>
              </w:rPr>
              <w:t>地面风速检测高度，</w:t>
            </w:r>
            <w:r>
              <w:rPr>
                <w:rFonts w:ascii="Times New Roman" w:hAnsi="Times New Roman" w:eastAsia="Times New Roman" w:cs="Times New Roman"/>
                <w:color w:val="auto"/>
                <w:spacing w:val="-5"/>
                <w:sz w:val="24"/>
                <w:szCs w:val="24"/>
              </w:rPr>
              <w:t>m</w:t>
            </w:r>
            <w:r>
              <w:rPr>
                <w:color w:val="auto"/>
                <w:spacing w:val="-5"/>
                <w:sz w:val="24"/>
                <w:szCs w:val="24"/>
              </w:rPr>
              <w:t>；</w:t>
            </w:r>
          </w:p>
          <w:p w14:paraId="4759D042">
            <w:pPr>
              <w:pStyle w:val="122"/>
              <w:keepNext w:val="0"/>
              <w:keepLines w:val="0"/>
              <w:pageBreakBefore w:val="0"/>
              <w:widowControl w:val="0"/>
              <w:kinsoku/>
              <w:wordWrap/>
              <w:overflowPunct/>
              <w:topLinePunct w:val="0"/>
              <w:autoSpaceDE/>
              <w:autoSpaceDN/>
              <w:bidi w:val="0"/>
              <w:adjustRightInd/>
              <w:snapToGrid/>
              <w:spacing w:line="360" w:lineRule="auto"/>
              <w:ind w:left="0" w:right="0" w:hanging="3"/>
              <w:jc w:val="left"/>
              <w:textAlignment w:val="auto"/>
              <w:rPr>
                <w:color w:val="auto"/>
                <w:spacing w:val="-5"/>
                <w:sz w:val="24"/>
                <w:szCs w:val="24"/>
              </w:rPr>
            </w:pPr>
            <w:r>
              <w:rPr>
                <w:rFonts w:ascii="Times New Roman" w:hAnsi="Times New Roman" w:eastAsia="Times New Roman" w:cs="Times New Roman"/>
                <w:color w:val="auto"/>
                <w:spacing w:val="-5"/>
                <w:sz w:val="24"/>
                <w:szCs w:val="24"/>
              </w:rPr>
              <w:t>z0——</w:t>
            </w:r>
            <w:r>
              <w:rPr>
                <w:color w:val="auto"/>
                <w:spacing w:val="-5"/>
                <w:sz w:val="24"/>
                <w:szCs w:val="24"/>
              </w:rPr>
              <w:t>地面粗糙度，</w:t>
            </w:r>
            <w:r>
              <w:rPr>
                <w:rFonts w:ascii="Times New Roman" w:hAnsi="Times New Roman" w:eastAsia="Times New Roman" w:cs="Times New Roman"/>
                <w:color w:val="auto"/>
                <w:spacing w:val="-5"/>
                <w:sz w:val="24"/>
                <w:szCs w:val="24"/>
              </w:rPr>
              <w:t>m</w:t>
            </w:r>
            <w:r>
              <w:rPr>
                <w:rFonts w:ascii="Times New Roman" w:hAnsi="Times New Roman" w:eastAsia="Times New Roman" w:cs="Times New Roman"/>
                <w:color w:val="auto"/>
                <w:spacing w:val="-15"/>
                <w:sz w:val="24"/>
                <w:szCs w:val="24"/>
              </w:rPr>
              <w:t xml:space="preserve"> </w:t>
            </w:r>
            <w:r>
              <w:rPr>
                <w:color w:val="auto"/>
                <w:spacing w:val="-5"/>
                <w:sz w:val="24"/>
                <w:szCs w:val="24"/>
              </w:rPr>
              <w:t>，城市取值</w:t>
            </w:r>
            <w:r>
              <w:rPr>
                <w:color w:val="auto"/>
                <w:spacing w:val="-52"/>
                <w:sz w:val="24"/>
                <w:szCs w:val="24"/>
              </w:rPr>
              <w:t xml:space="preserve"> </w:t>
            </w:r>
            <w:r>
              <w:rPr>
                <w:rFonts w:ascii="Times New Roman" w:hAnsi="Times New Roman" w:eastAsia="Times New Roman" w:cs="Times New Roman"/>
                <w:color w:val="auto"/>
                <w:spacing w:val="-5"/>
                <w:sz w:val="24"/>
                <w:szCs w:val="24"/>
              </w:rPr>
              <w:t>0.6</w:t>
            </w:r>
            <w:r>
              <w:rPr>
                <w:rFonts w:ascii="Times New Roman" w:hAnsi="Times New Roman" w:eastAsia="Times New Roman" w:cs="Times New Roman"/>
                <w:color w:val="auto"/>
                <w:spacing w:val="-33"/>
                <w:sz w:val="24"/>
                <w:szCs w:val="24"/>
              </w:rPr>
              <w:t xml:space="preserve"> </w:t>
            </w:r>
            <w:r>
              <w:rPr>
                <w:color w:val="auto"/>
                <w:spacing w:val="-5"/>
                <w:sz w:val="24"/>
                <w:szCs w:val="24"/>
              </w:rPr>
              <w:t>，郊区取值</w:t>
            </w:r>
            <w:r>
              <w:rPr>
                <w:color w:val="auto"/>
                <w:spacing w:val="-52"/>
                <w:sz w:val="24"/>
                <w:szCs w:val="24"/>
              </w:rPr>
              <w:t xml:space="preserve"> </w:t>
            </w:r>
            <w:r>
              <w:rPr>
                <w:rFonts w:ascii="Times New Roman" w:hAnsi="Times New Roman" w:eastAsia="Times New Roman" w:cs="Times New Roman"/>
                <w:color w:val="auto"/>
                <w:spacing w:val="-5"/>
                <w:sz w:val="24"/>
                <w:szCs w:val="24"/>
              </w:rPr>
              <w:t>0.2</w:t>
            </w:r>
            <w:r>
              <w:rPr>
                <w:rFonts w:ascii="Times New Roman" w:hAnsi="Times New Roman" w:eastAsia="Times New Roman" w:cs="Times New Roman"/>
                <w:color w:val="auto"/>
                <w:spacing w:val="-34"/>
                <w:sz w:val="24"/>
                <w:szCs w:val="24"/>
              </w:rPr>
              <w:t xml:space="preserve"> </w:t>
            </w:r>
            <w:r>
              <w:rPr>
                <w:color w:val="auto"/>
                <w:spacing w:val="-5"/>
                <w:sz w:val="24"/>
                <w:szCs w:val="24"/>
              </w:rPr>
              <w:t>，本次计算取值</w:t>
            </w:r>
            <w:r>
              <w:rPr>
                <w:color w:val="auto"/>
                <w:spacing w:val="-51"/>
                <w:sz w:val="24"/>
                <w:szCs w:val="24"/>
              </w:rPr>
              <w:t xml:space="preserve"> </w:t>
            </w:r>
            <w:r>
              <w:rPr>
                <w:rFonts w:ascii="Times New Roman" w:hAnsi="Times New Roman" w:eastAsia="Times New Roman" w:cs="Times New Roman"/>
                <w:color w:val="auto"/>
                <w:spacing w:val="-5"/>
                <w:sz w:val="24"/>
                <w:szCs w:val="24"/>
              </w:rPr>
              <w:t>0.2</w:t>
            </w:r>
            <w:r>
              <w:rPr>
                <w:color w:val="auto"/>
                <w:spacing w:val="-5"/>
                <w:sz w:val="24"/>
                <w:szCs w:val="24"/>
              </w:rPr>
              <w:t>；</w:t>
            </w:r>
          </w:p>
          <w:p w14:paraId="1830F358">
            <w:pPr>
              <w:pStyle w:val="122"/>
              <w:keepNext w:val="0"/>
              <w:keepLines w:val="0"/>
              <w:pageBreakBefore w:val="0"/>
              <w:widowControl w:val="0"/>
              <w:kinsoku/>
              <w:wordWrap/>
              <w:overflowPunct/>
              <w:topLinePunct w:val="0"/>
              <w:autoSpaceDE/>
              <w:autoSpaceDN/>
              <w:bidi w:val="0"/>
              <w:adjustRightInd/>
              <w:snapToGrid/>
              <w:spacing w:line="360" w:lineRule="auto"/>
              <w:ind w:left="0" w:right="0" w:hanging="3"/>
              <w:jc w:val="left"/>
              <w:textAlignment w:val="auto"/>
              <w:rPr>
                <w:color w:val="auto"/>
                <w:sz w:val="24"/>
                <w:szCs w:val="24"/>
              </w:rPr>
            </w:pPr>
            <w:r>
              <w:rPr>
                <w:color w:val="auto"/>
                <w:sz w:val="24"/>
                <w:szCs w:val="24"/>
              </w:rPr>
              <w:t xml:space="preserve"> </w:t>
            </w:r>
            <w:r>
              <w:rPr>
                <w:rFonts w:ascii="Times New Roman" w:hAnsi="Times New Roman" w:eastAsia="Times New Roman" w:cs="Times New Roman"/>
                <w:color w:val="auto"/>
                <w:spacing w:val="-1"/>
                <w:sz w:val="24"/>
                <w:szCs w:val="24"/>
              </w:rPr>
              <w:t>0.4——</w:t>
            </w:r>
            <w:r>
              <w:rPr>
                <w:color w:val="auto"/>
                <w:spacing w:val="-1"/>
                <w:sz w:val="24"/>
                <w:szCs w:val="24"/>
              </w:rPr>
              <w:t>冯卡门常数，无量纲。</w:t>
            </w:r>
          </w:p>
          <w:p w14:paraId="20E442BD">
            <w:pPr>
              <w:pStyle w:val="122"/>
              <w:spacing w:before="31" w:line="219" w:lineRule="auto"/>
              <w:ind w:left="582"/>
              <w:rPr>
                <w:color w:val="auto"/>
                <w:sz w:val="24"/>
                <w:szCs w:val="24"/>
              </w:rPr>
            </w:pPr>
            <w:r>
              <w:rPr>
                <w:rFonts w:ascii="Times New Roman" w:hAnsi="Times New Roman" w:eastAsia="Times New Roman" w:cs="Times New Roman"/>
                <w:color w:val="auto"/>
                <w:sz w:val="24"/>
                <w:szCs w:val="24"/>
              </w:rPr>
              <w:t>B.</w:t>
            </w:r>
            <w:r>
              <w:rPr>
                <w:color w:val="auto"/>
                <w:sz w:val="24"/>
                <w:szCs w:val="24"/>
              </w:rPr>
              <w:t>装卸、运输物料过程扬尘排放系数的估算采用下列公</w:t>
            </w:r>
            <w:r>
              <w:rPr>
                <w:color w:val="auto"/>
                <w:spacing w:val="-1"/>
                <w:sz w:val="24"/>
                <w:szCs w:val="24"/>
              </w:rPr>
              <w:t>式进行计算</w:t>
            </w:r>
          </w:p>
          <w:p w14:paraId="78F0B94F">
            <w:pPr>
              <w:spacing w:before="178" w:line="1162" w:lineRule="exact"/>
              <w:ind w:left="2397"/>
              <w:rPr>
                <w:color w:val="auto"/>
              </w:rPr>
            </w:pPr>
            <w:r>
              <w:rPr>
                <w:color w:val="auto"/>
                <w:position w:val="-23"/>
              </w:rPr>
              <w:drawing>
                <wp:inline distT="0" distB="0" distL="0" distR="0">
                  <wp:extent cx="2484755" cy="73723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7"/>
                          <a:stretch>
                            <a:fillRect/>
                          </a:stretch>
                        </pic:blipFill>
                        <pic:spPr>
                          <a:xfrm>
                            <a:off x="0" y="0"/>
                            <a:ext cx="2485034" cy="737831"/>
                          </a:xfrm>
                          <a:prstGeom prst="rect">
                            <a:avLst/>
                          </a:prstGeom>
                        </pic:spPr>
                      </pic:pic>
                    </a:graphicData>
                  </a:graphic>
                </wp:inline>
              </w:drawing>
            </w:r>
          </w:p>
          <w:p w14:paraId="7DEB9ADB">
            <w:pPr>
              <w:pStyle w:val="122"/>
              <w:spacing w:before="178" w:line="221" w:lineRule="auto"/>
              <w:ind w:left="112"/>
              <w:rPr>
                <w:color w:val="auto"/>
                <w:sz w:val="24"/>
                <w:szCs w:val="24"/>
              </w:rPr>
            </w:pPr>
            <w:r>
              <w:rPr>
                <w:color w:val="auto"/>
                <w:spacing w:val="-5"/>
                <w:sz w:val="24"/>
                <w:szCs w:val="24"/>
              </w:rPr>
              <w:t>式中：</w:t>
            </w:r>
          </w:p>
          <w:p w14:paraId="18D137A0">
            <w:pPr>
              <w:pStyle w:val="122"/>
              <w:keepNext w:val="0"/>
              <w:keepLines w:val="0"/>
              <w:pageBreakBefore w:val="0"/>
              <w:kinsoku/>
              <w:wordWrap/>
              <w:overflowPunct/>
              <w:topLinePunct w:val="0"/>
              <w:autoSpaceDE/>
              <w:autoSpaceDN/>
              <w:bidi w:val="0"/>
              <w:adjustRightInd/>
              <w:snapToGrid/>
              <w:spacing w:line="360" w:lineRule="auto"/>
              <w:ind w:left="0" w:right="0"/>
              <w:jc w:val="left"/>
              <w:textAlignment w:val="auto"/>
              <w:rPr>
                <w:color w:val="auto"/>
                <w:sz w:val="24"/>
                <w:szCs w:val="24"/>
              </w:rPr>
            </w:pPr>
            <w:r>
              <w:rPr>
                <w:rFonts w:ascii="Times New Roman" w:hAnsi="Times New Roman" w:eastAsia="Times New Roman" w:cs="Times New Roman"/>
                <w:color w:val="auto"/>
                <w:spacing w:val="-1"/>
                <w:position w:val="3"/>
                <w:sz w:val="24"/>
                <w:szCs w:val="24"/>
              </w:rPr>
              <w:t>E</w:t>
            </w:r>
            <w:r>
              <w:rPr>
                <w:rFonts w:ascii="Times New Roman" w:hAnsi="Times New Roman" w:eastAsia="Times New Roman" w:cs="Times New Roman"/>
                <w:color w:val="auto"/>
                <w:spacing w:val="-1"/>
                <w:position w:val="3"/>
                <w:sz w:val="15"/>
                <w:szCs w:val="15"/>
              </w:rPr>
              <w:t>h</w:t>
            </w:r>
            <w:r>
              <w:rPr>
                <w:rFonts w:ascii="Times New Roman" w:hAnsi="Times New Roman" w:eastAsia="Times New Roman" w:cs="Times New Roman"/>
                <w:color w:val="auto"/>
                <w:spacing w:val="-1"/>
                <w:position w:val="3"/>
                <w:sz w:val="24"/>
                <w:szCs w:val="24"/>
              </w:rPr>
              <w:t>——</w:t>
            </w:r>
            <w:r>
              <w:rPr>
                <w:color w:val="auto"/>
                <w:spacing w:val="-1"/>
                <w:position w:val="3"/>
                <w:sz w:val="24"/>
                <w:szCs w:val="24"/>
              </w:rPr>
              <w:t>堆场装卸颗粒物的排放系数，</w:t>
            </w:r>
            <w:r>
              <w:rPr>
                <w:rFonts w:ascii="Times New Roman" w:hAnsi="Times New Roman" w:eastAsia="Times New Roman" w:cs="Times New Roman"/>
                <w:color w:val="auto"/>
                <w:spacing w:val="-1"/>
                <w:position w:val="3"/>
                <w:sz w:val="24"/>
                <w:szCs w:val="24"/>
              </w:rPr>
              <w:t>kg/t</w:t>
            </w:r>
            <w:r>
              <w:rPr>
                <w:color w:val="auto"/>
                <w:spacing w:val="-1"/>
                <w:position w:val="3"/>
                <w:sz w:val="24"/>
                <w:szCs w:val="24"/>
              </w:rPr>
              <w:t>；</w:t>
            </w:r>
          </w:p>
          <w:p w14:paraId="3A0CABAC">
            <w:pPr>
              <w:pStyle w:val="122"/>
              <w:keepNext w:val="0"/>
              <w:keepLines w:val="0"/>
              <w:pageBreakBefore w:val="0"/>
              <w:kinsoku/>
              <w:wordWrap/>
              <w:overflowPunct/>
              <w:topLinePunct w:val="0"/>
              <w:autoSpaceDE/>
              <w:autoSpaceDN/>
              <w:bidi w:val="0"/>
              <w:adjustRightInd/>
              <w:snapToGrid/>
              <w:spacing w:line="360" w:lineRule="auto"/>
              <w:ind w:left="0" w:right="0" w:firstLine="469"/>
              <w:jc w:val="left"/>
              <w:textAlignment w:val="auto"/>
              <w:rPr>
                <w:color w:val="auto"/>
                <w:sz w:val="24"/>
                <w:szCs w:val="24"/>
              </w:rPr>
            </w:pPr>
            <w:r>
              <w:rPr>
                <w:rFonts w:ascii="Times New Roman" w:hAnsi="Times New Roman" w:eastAsia="Times New Roman" w:cs="Times New Roman"/>
                <w:color w:val="auto"/>
                <w:spacing w:val="-6"/>
                <w:sz w:val="24"/>
                <w:szCs w:val="24"/>
              </w:rPr>
              <w:t>k</w:t>
            </w:r>
            <w:r>
              <w:rPr>
                <w:rFonts w:ascii="Times New Roman" w:hAnsi="Times New Roman" w:eastAsia="Times New Roman" w:cs="Times New Roman"/>
                <w:color w:val="auto"/>
                <w:spacing w:val="-6"/>
                <w:sz w:val="15"/>
                <w:szCs w:val="15"/>
              </w:rPr>
              <w:t>i</w:t>
            </w:r>
            <w:r>
              <w:rPr>
                <w:rFonts w:ascii="Times New Roman" w:hAnsi="Times New Roman" w:eastAsia="Times New Roman" w:cs="Times New Roman"/>
                <w:color w:val="auto"/>
                <w:spacing w:val="-6"/>
                <w:sz w:val="24"/>
                <w:szCs w:val="24"/>
              </w:rPr>
              <w:t>——</w:t>
            </w:r>
            <w:r>
              <w:rPr>
                <w:color w:val="auto"/>
                <w:spacing w:val="-6"/>
                <w:sz w:val="24"/>
                <w:szCs w:val="24"/>
              </w:rPr>
              <w:t>物料的粒度乘数，参考《扬尘源颗粒物排放清单编制技术指南（试行）》</w:t>
            </w:r>
            <w:r>
              <w:rPr>
                <w:color w:val="auto"/>
                <w:spacing w:val="17"/>
                <w:sz w:val="24"/>
                <w:szCs w:val="24"/>
              </w:rPr>
              <w:t xml:space="preserve"> </w:t>
            </w:r>
            <w:r>
              <w:rPr>
                <w:color w:val="auto"/>
                <w:spacing w:val="-8"/>
                <w:sz w:val="24"/>
                <w:szCs w:val="24"/>
              </w:rPr>
              <w:t>表</w:t>
            </w:r>
            <w:r>
              <w:rPr>
                <w:color w:val="auto"/>
                <w:spacing w:val="-25"/>
                <w:sz w:val="24"/>
                <w:szCs w:val="24"/>
              </w:rPr>
              <w:t xml:space="preserve"> </w:t>
            </w:r>
            <w:r>
              <w:rPr>
                <w:rFonts w:ascii="Times New Roman" w:hAnsi="Times New Roman" w:eastAsia="Times New Roman" w:cs="Times New Roman"/>
                <w:color w:val="auto"/>
                <w:spacing w:val="-8"/>
                <w:sz w:val="24"/>
                <w:szCs w:val="24"/>
              </w:rPr>
              <w:t>10</w:t>
            </w:r>
            <w:r>
              <w:rPr>
                <w:rFonts w:ascii="Times New Roman" w:hAnsi="Times New Roman" w:eastAsia="Times New Roman" w:cs="Times New Roman"/>
                <w:color w:val="auto"/>
                <w:spacing w:val="31"/>
                <w:w w:val="101"/>
                <w:sz w:val="24"/>
                <w:szCs w:val="24"/>
              </w:rPr>
              <w:t xml:space="preserve"> </w:t>
            </w:r>
            <w:r>
              <w:rPr>
                <w:color w:val="auto"/>
                <w:spacing w:val="-8"/>
                <w:sz w:val="24"/>
                <w:szCs w:val="24"/>
              </w:rPr>
              <w:t>中</w:t>
            </w:r>
            <w:r>
              <w:rPr>
                <w:color w:val="auto"/>
                <w:spacing w:val="-54"/>
                <w:sz w:val="24"/>
                <w:szCs w:val="24"/>
              </w:rPr>
              <w:t xml:space="preserve"> </w:t>
            </w:r>
            <w:r>
              <w:rPr>
                <w:rFonts w:ascii="Times New Roman" w:hAnsi="Times New Roman" w:eastAsia="Times New Roman" w:cs="Times New Roman"/>
                <w:color w:val="auto"/>
                <w:spacing w:val="-8"/>
                <w:sz w:val="24"/>
                <w:szCs w:val="24"/>
              </w:rPr>
              <w:t>TSP</w:t>
            </w:r>
            <w:r>
              <w:rPr>
                <w:color w:val="auto"/>
                <w:spacing w:val="-8"/>
                <w:sz w:val="24"/>
                <w:szCs w:val="24"/>
              </w:rPr>
              <w:t>的粒度乘数为</w:t>
            </w:r>
            <w:r>
              <w:rPr>
                <w:color w:val="auto"/>
                <w:spacing w:val="-52"/>
                <w:sz w:val="24"/>
                <w:szCs w:val="24"/>
              </w:rPr>
              <w:t xml:space="preserve"> </w:t>
            </w:r>
            <w:r>
              <w:rPr>
                <w:rFonts w:ascii="Times New Roman" w:hAnsi="Times New Roman" w:eastAsia="Times New Roman" w:cs="Times New Roman"/>
                <w:color w:val="auto"/>
                <w:spacing w:val="-8"/>
                <w:sz w:val="24"/>
                <w:szCs w:val="24"/>
              </w:rPr>
              <w:t>0.74</w:t>
            </w:r>
            <w:r>
              <w:rPr>
                <w:color w:val="auto"/>
                <w:spacing w:val="-8"/>
                <w:sz w:val="24"/>
                <w:szCs w:val="24"/>
              </w:rPr>
              <w:t>；</w:t>
            </w:r>
          </w:p>
          <w:p w14:paraId="11DA58BB">
            <w:pPr>
              <w:pStyle w:val="122"/>
              <w:keepNext w:val="0"/>
              <w:keepLines w:val="0"/>
              <w:pageBreakBefore w:val="0"/>
              <w:kinsoku/>
              <w:wordWrap/>
              <w:overflowPunct/>
              <w:topLinePunct w:val="0"/>
              <w:autoSpaceDE/>
              <w:autoSpaceDN/>
              <w:bidi w:val="0"/>
              <w:adjustRightInd/>
              <w:snapToGrid/>
              <w:spacing w:line="360" w:lineRule="auto"/>
              <w:ind w:left="0" w:right="0" w:firstLine="468"/>
              <w:jc w:val="left"/>
              <w:textAlignment w:val="auto"/>
              <w:rPr>
                <w:color w:val="auto"/>
                <w:sz w:val="24"/>
                <w:szCs w:val="24"/>
              </w:rPr>
            </w:pPr>
            <w:r>
              <w:rPr>
                <w:rFonts w:ascii="Times New Roman" w:hAnsi="Times New Roman" w:eastAsia="Times New Roman" w:cs="Times New Roman"/>
                <w:color w:val="auto"/>
                <w:spacing w:val="-1"/>
                <w:sz w:val="24"/>
                <w:szCs w:val="24"/>
              </w:rPr>
              <w:t>u——</w:t>
            </w:r>
            <w:r>
              <w:rPr>
                <w:color w:val="auto"/>
                <w:spacing w:val="-1"/>
                <w:sz w:val="24"/>
                <w:szCs w:val="24"/>
              </w:rPr>
              <w:t>地面平均风速，</w:t>
            </w:r>
            <w:r>
              <w:rPr>
                <w:rFonts w:ascii="Times New Roman" w:hAnsi="Times New Roman" w:eastAsia="Times New Roman" w:cs="Times New Roman"/>
                <w:color w:val="auto"/>
                <w:spacing w:val="-1"/>
                <w:sz w:val="24"/>
                <w:szCs w:val="24"/>
              </w:rPr>
              <w:t>m/s</w:t>
            </w:r>
            <w:r>
              <w:rPr>
                <w:rFonts w:ascii="Times New Roman" w:hAnsi="Times New Roman" w:eastAsia="Times New Roman" w:cs="Times New Roman"/>
                <w:color w:val="auto"/>
                <w:spacing w:val="-28"/>
                <w:sz w:val="24"/>
                <w:szCs w:val="24"/>
              </w:rPr>
              <w:t xml:space="preserve"> </w:t>
            </w:r>
            <w:r>
              <w:rPr>
                <w:color w:val="auto"/>
                <w:spacing w:val="-1"/>
                <w:sz w:val="24"/>
                <w:szCs w:val="24"/>
              </w:rPr>
              <w:t>，砂石料均在半密闭厂房内，厂房没有特定通风设</w:t>
            </w:r>
            <w:r>
              <w:rPr>
                <w:color w:val="auto"/>
                <w:spacing w:val="-2"/>
                <w:sz w:val="24"/>
                <w:szCs w:val="24"/>
              </w:rPr>
              <w:t>备，</w:t>
            </w:r>
            <w:r>
              <w:rPr>
                <w:rFonts w:ascii="Times New Roman" w:hAnsi="Times New Roman" w:eastAsia="Times New Roman" w:cs="Times New Roman"/>
                <w:color w:val="auto"/>
                <w:spacing w:val="-2"/>
                <w:sz w:val="24"/>
                <w:szCs w:val="24"/>
              </w:rPr>
              <w:t>u=0.2m/s</w:t>
            </w:r>
            <w:r>
              <w:rPr>
                <w:color w:val="auto"/>
                <w:spacing w:val="-2"/>
                <w:sz w:val="24"/>
                <w:szCs w:val="24"/>
              </w:rPr>
              <w:t>；</w:t>
            </w:r>
          </w:p>
          <w:p w14:paraId="1E1194AA">
            <w:pPr>
              <w:pStyle w:val="122"/>
              <w:keepNext w:val="0"/>
              <w:keepLines w:val="0"/>
              <w:pageBreakBefore w:val="0"/>
              <w:kinsoku/>
              <w:wordWrap/>
              <w:overflowPunct/>
              <w:topLinePunct w:val="0"/>
              <w:autoSpaceDE/>
              <w:autoSpaceDN/>
              <w:bidi w:val="0"/>
              <w:adjustRightInd/>
              <w:snapToGrid/>
              <w:spacing w:line="360" w:lineRule="auto"/>
              <w:ind w:left="0" w:right="0"/>
              <w:jc w:val="left"/>
              <w:textAlignment w:val="auto"/>
              <w:rPr>
                <w:color w:val="auto"/>
                <w:sz w:val="24"/>
                <w:szCs w:val="24"/>
              </w:rPr>
            </w:pPr>
            <w:r>
              <w:rPr>
                <w:rFonts w:ascii="Times New Roman" w:hAnsi="Times New Roman" w:eastAsia="Times New Roman" w:cs="Times New Roman"/>
                <w:color w:val="auto"/>
                <w:spacing w:val="-2"/>
                <w:position w:val="2"/>
                <w:sz w:val="24"/>
                <w:szCs w:val="24"/>
              </w:rPr>
              <w:t>M——</w:t>
            </w:r>
            <w:r>
              <w:rPr>
                <w:color w:val="auto"/>
                <w:spacing w:val="-2"/>
                <w:position w:val="2"/>
                <w:sz w:val="24"/>
                <w:szCs w:val="24"/>
              </w:rPr>
              <w:t>物料含水率，</w:t>
            </w:r>
            <w:r>
              <w:rPr>
                <w:rFonts w:ascii="Times New Roman" w:hAnsi="Times New Roman" w:eastAsia="Times New Roman" w:cs="Times New Roman"/>
                <w:color w:val="auto"/>
                <w:spacing w:val="-2"/>
                <w:position w:val="2"/>
                <w:sz w:val="24"/>
                <w:szCs w:val="24"/>
              </w:rPr>
              <w:t>%</w:t>
            </w:r>
            <w:r>
              <w:rPr>
                <w:rFonts w:ascii="Times New Roman" w:hAnsi="Times New Roman" w:eastAsia="Times New Roman" w:cs="Times New Roman"/>
                <w:color w:val="auto"/>
                <w:spacing w:val="-24"/>
                <w:position w:val="2"/>
                <w:sz w:val="24"/>
                <w:szCs w:val="24"/>
              </w:rPr>
              <w:t xml:space="preserve"> </w:t>
            </w:r>
            <w:r>
              <w:rPr>
                <w:color w:val="auto"/>
                <w:spacing w:val="-2"/>
                <w:position w:val="2"/>
                <w:sz w:val="24"/>
                <w:szCs w:val="24"/>
              </w:rPr>
              <w:t>，根据建设单位提供的资料，砂石料含水率约为</w:t>
            </w:r>
            <w:r>
              <w:rPr>
                <w:rFonts w:ascii="Times New Roman" w:hAnsi="Times New Roman" w:eastAsia="Times New Roman" w:cs="Times New Roman"/>
                <w:color w:val="auto"/>
                <w:spacing w:val="-2"/>
                <w:position w:val="2"/>
                <w:sz w:val="24"/>
                <w:szCs w:val="24"/>
              </w:rPr>
              <w:t>15%</w:t>
            </w:r>
            <w:r>
              <w:rPr>
                <w:color w:val="auto"/>
                <w:spacing w:val="-2"/>
                <w:position w:val="2"/>
                <w:sz w:val="24"/>
                <w:szCs w:val="24"/>
              </w:rPr>
              <w:t>；</w:t>
            </w:r>
          </w:p>
          <w:p w14:paraId="3188EEEF">
            <w:pPr>
              <w:keepNext w:val="0"/>
              <w:keepLines w:val="0"/>
              <w:pageBreakBefore w:val="0"/>
              <w:widowControl/>
              <w:kinsoku/>
              <w:wordWrap/>
              <w:overflowPunct/>
              <w:topLinePunct w:val="0"/>
              <w:autoSpaceDE/>
              <w:autoSpaceDN/>
              <w:bidi w:val="0"/>
              <w:adjustRightInd/>
              <w:snapToGrid/>
              <w:spacing w:line="360" w:lineRule="auto"/>
              <w:ind w:left="0" w:right="0" w:firstLine="480"/>
              <w:jc w:val="left"/>
              <w:textAlignment w:val="auto"/>
              <w:rPr>
                <w:color w:val="auto"/>
                <w:spacing w:val="-2"/>
                <w:sz w:val="24"/>
                <w:szCs w:val="24"/>
              </w:rPr>
            </w:pPr>
            <w:r>
              <w:rPr>
                <w:rFonts w:ascii="Times New Roman" w:hAnsi="Times New Roman" w:eastAsia="Times New Roman" w:cs="Times New Roman"/>
                <w:color w:val="auto"/>
                <w:spacing w:val="-1"/>
                <w:sz w:val="24"/>
                <w:szCs w:val="24"/>
              </w:rPr>
              <w:t>η——</w:t>
            </w:r>
            <w:r>
              <w:rPr>
                <w:color w:val="auto"/>
                <w:spacing w:val="-1"/>
                <w:sz w:val="24"/>
                <w:szCs w:val="24"/>
              </w:rPr>
              <w:t>污染控制技术对扬尘的去除效率，</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pacing w:val="-30"/>
                <w:sz w:val="24"/>
                <w:szCs w:val="24"/>
              </w:rPr>
              <w:t xml:space="preserve"> </w:t>
            </w:r>
            <w:r>
              <w:rPr>
                <w:color w:val="auto"/>
                <w:spacing w:val="-1"/>
                <w:sz w:val="24"/>
                <w:szCs w:val="24"/>
              </w:rPr>
              <w:t>，本项目砂石料堆棚半封闭（仅留</w:t>
            </w:r>
            <w:r>
              <w:rPr>
                <w:rFonts w:ascii="Times New Roman" w:hAnsi="Times New Roman" w:eastAsia="Times New Roman" w:cs="Times New Roman"/>
                <w:color w:val="auto"/>
                <w:spacing w:val="-2"/>
                <w:sz w:val="24"/>
                <w:szCs w:val="24"/>
              </w:rPr>
              <w:t>1</w:t>
            </w:r>
            <w:r>
              <w:rPr>
                <w:color w:val="auto"/>
                <w:spacing w:val="-2"/>
                <w:sz w:val="24"/>
                <w:szCs w:val="24"/>
              </w:rPr>
              <w:t>个出入口</w:t>
            </w:r>
            <w:r>
              <w:rPr>
                <w:color w:val="auto"/>
                <w:spacing w:val="12"/>
                <w:sz w:val="24"/>
                <w:szCs w:val="24"/>
              </w:rPr>
              <w:t>），</w:t>
            </w:r>
            <w:r>
              <w:rPr>
                <w:color w:val="auto"/>
                <w:spacing w:val="-2"/>
                <w:sz w:val="24"/>
                <w:szCs w:val="24"/>
              </w:rPr>
              <w:t>采取喷淋降尘措施，根据《工业行业产排污系数手册</w:t>
            </w:r>
            <w:r>
              <w:rPr>
                <w:rFonts w:ascii="Times New Roman" w:hAnsi="Times New Roman" w:eastAsia="Times New Roman" w:cs="Times New Roman"/>
                <w:color w:val="auto"/>
                <w:spacing w:val="-2"/>
                <w:sz w:val="24"/>
                <w:szCs w:val="24"/>
              </w:rPr>
              <w:t>--</w:t>
            </w:r>
            <w:r>
              <w:rPr>
                <w:color w:val="auto"/>
                <w:spacing w:val="-2"/>
                <w:sz w:val="24"/>
                <w:szCs w:val="24"/>
              </w:rPr>
              <w:t>附表</w:t>
            </w:r>
            <w:r>
              <w:rPr>
                <w:color w:val="auto"/>
                <w:spacing w:val="-54"/>
                <w:sz w:val="24"/>
                <w:szCs w:val="24"/>
              </w:rPr>
              <w:t xml:space="preserve"> </w:t>
            </w:r>
            <w:r>
              <w:rPr>
                <w:rFonts w:ascii="Times New Roman" w:hAnsi="Times New Roman" w:eastAsia="Times New Roman" w:cs="Times New Roman"/>
                <w:color w:val="auto"/>
                <w:spacing w:val="-2"/>
                <w:sz w:val="24"/>
                <w:szCs w:val="24"/>
              </w:rPr>
              <w:t>2</w:t>
            </w:r>
            <w:r>
              <w:rPr>
                <w:color w:val="auto"/>
                <w:spacing w:val="-2"/>
                <w:sz w:val="24"/>
                <w:szCs w:val="24"/>
              </w:rPr>
              <w:t>固体</w:t>
            </w:r>
            <w:r>
              <w:rPr>
                <w:color w:val="auto"/>
                <w:spacing w:val="-1"/>
                <w:sz w:val="24"/>
                <w:szCs w:val="24"/>
              </w:rPr>
              <w:t>物料堆存颗粒物产排污核算系数手册》，半封闭式堆场粉</w:t>
            </w:r>
            <w:r>
              <w:rPr>
                <w:color w:val="auto"/>
                <w:spacing w:val="-2"/>
                <w:sz w:val="24"/>
                <w:szCs w:val="24"/>
              </w:rPr>
              <w:t>尘控制效率为</w:t>
            </w:r>
            <w:r>
              <w:rPr>
                <w:color w:val="auto"/>
                <w:spacing w:val="-50"/>
                <w:sz w:val="24"/>
                <w:szCs w:val="24"/>
              </w:rPr>
              <w:t xml:space="preserve"> </w:t>
            </w:r>
            <w:r>
              <w:rPr>
                <w:rFonts w:ascii="Times New Roman" w:hAnsi="Times New Roman" w:eastAsia="Times New Roman" w:cs="Times New Roman"/>
                <w:color w:val="auto"/>
                <w:spacing w:val="-2"/>
                <w:sz w:val="24"/>
                <w:szCs w:val="24"/>
              </w:rPr>
              <w:t>60%</w:t>
            </w:r>
            <w:r>
              <w:rPr>
                <w:rFonts w:ascii="Times New Roman" w:hAnsi="Times New Roman" w:eastAsia="Times New Roman" w:cs="Times New Roman"/>
                <w:color w:val="auto"/>
                <w:spacing w:val="-35"/>
                <w:sz w:val="24"/>
                <w:szCs w:val="24"/>
              </w:rPr>
              <w:t xml:space="preserve"> </w:t>
            </w:r>
            <w:r>
              <w:rPr>
                <w:color w:val="auto"/>
                <w:spacing w:val="-2"/>
                <w:sz w:val="24"/>
                <w:szCs w:val="24"/>
              </w:rPr>
              <w:t>，洒</w:t>
            </w:r>
            <w:r>
              <w:rPr>
                <w:color w:val="auto"/>
                <w:spacing w:val="-1"/>
                <w:sz w:val="24"/>
                <w:szCs w:val="24"/>
              </w:rPr>
              <w:t>水措施粉尘控制效率为</w:t>
            </w:r>
            <w:r>
              <w:rPr>
                <w:color w:val="auto"/>
                <w:spacing w:val="-51"/>
                <w:sz w:val="24"/>
                <w:szCs w:val="24"/>
              </w:rPr>
              <w:t xml:space="preserve"> </w:t>
            </w:r>
            <w:r>
              <w:rPr>
                <w:rFonts w:ascii="Times New Roman" w:hAnsi="Times New Roman" w:eastAsia="Times New Roman" w:cs="Times New Roman"/>
                <w:color w:val="auto"/>
                <w:spacing w:val="-1"/>
                <w:sz w:val="24"/>
                <w:szCs w:val="24"/>
              </w:rPr>
              <w:t>7</w:t>
            </w:r>
            <w:r>
              <w:rPr>
                <w:rFonts w:hint="eastAsia" w:eastAsia="宋体" w:cs="Times New Roman"/>
                <w:color w:val="auto"/>
                <w:spacing w:val="-1"/>
                <w:sz w:val="24"/>
                <w:szCs w:val="24"/>
                <w:lang w:val="en-US" w:eastAsia="zh-CN"/>
              </w:rPr>
              <w:t>4</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pacing w:val="-34"/>
                <w:sz w:val="24"/>
                <w:szCs w:val="24"/>
              </w:rPr>
              <w:t xml:space="preserve"> </w:t>
            </w:r>
            <w:r>
              <w:rPr>
                <w:color w:val="auto"/>
                <w:spacing w:val="-1"/>
                <w:sz w:val="24"/>
                <w:szCs w:val="24"/>
              </w:rPr>
              <w:t>，故本项目堆棚</w:t>
            </w:r>
            <w:r>
              <w:rPr>
                <w:color w:val="auto"/>
                <w:spacing w:val="-2"/>
                <w:sz w:val="24"/>
                <w:szCs w:val="24"/>
              </w:rPr>
              <w:t>对颗粒物的综合控制效率为</w:t>
            </w:r>
            <w:r>
              <w:rPr>
                <w:color w:val="auto"/>
                <w:spacing w:val="-51"/>
                <w:sz w:val="24"/>
                <w:szCs w:val="24"/>
              </w:rPr>
              <w:t xml:space="preserve"> </w:t>
            </w:r>
            <w:r>
              <w:rPr>
                <w:rFonts w:hint="eastAsia" w:eastAsia="宋体" w:cs="Times New Roman"/>
                <w:color w:val="auto"/>
                <w:spacing w:val="-2"/>
                <w:sz w:val="24"/>
                <w:szCs w:val="24"/>
                <w:lang w:val="en-US" w:eastAsia="zh-CN"/>
              </w:rPr>
              <w:t>89.6</w:t>
            </w:r>
            <w:r>
              <w:rPr>
                <w:rFonts w:ascii="Times New Roman" w:hAnsi="Times New Roman" w:eastAsia="Times New Roman" w:cs="Times New Roman"/>
                <w:color w:val="auto"/>
                <w:spacing w:val="-2"/>
                <w:sz w:val="24"/>
                <w:szCs w:val="24"/>
              </w:rPr>
              <w:t>%</w:t>
            </w:r>
            <w:r>
              <w:rPr>
                <w:color w:val="auto"/>
                <w:spacing w:val="-2"/>
                <w:sz w:val="24"/>
                <w:szCs w:val="24"/>
              </w:rPr>
              <w:t>。</w:t>
            </w:r>
          </w:p>
          <w:p w14:paraId="026D195A">
            <w:pPr>
              <w:keepNext w:val="0"/>
              <w:keepLines w:val="0"/>
              <w:pageBreakBefore w:val="0"/>
              <w:widowControl/>
              <w:kinsoku/>
              <w:wordWrap/>
              <w:overflowPunct/>
              <w:topLinePunct w:val="0"/>
              <w:autoSpaceDE/>
              <w:autoSpaceDN/>
              <w:bidi w:val="0"/>
              <w:adjustRightInd/>
              <w:snapToGrid/>
              <w:spacing w:line="360" w:lineRule="auto"/>
              <w:ind w:left="0" w:right="0" w:firstLine="480"/>
              <w:jc w:val="center"/>
              <w:textAlignment w:val="auto"/>
              <w:rPr>
                <w:rFonts w:hint="default" w:eastAsia="宋体"/>
                <w:color w:val="auto"/>
                <w:spacing w:val="-2"/>
                <w:sz w:val="24"/>
                <w:szCs w:val="24"/>
                <w:lang w:val="en-US" w:eastAsia="zh-CN"/>
              </w:rPr>
            </w:pPr>
            <w:r>
              <w:rPr>
                <w:b/>
                <w:bCs/>
                <w:color w:val="auto"/>
                <w:spacing w:val="7"/>
              </w:rPr>
              <w:t>表</w:t>
            </w:r>
            <w:r>
              <w:rPr>
                <w:color w:val="auto"/>
                <w:spacing w:val="-40"/>
              </w:rPr>
              <w:t xml:space="preserve"> </w:t>
            </w:r>
            <w:r>
              <w:rPr>
                <w:rFonts w:ascii="Times New Roman" w:hAnsi="Times New Roman" w:eastAsia="Times New Roman" w:cs="Times New Roman"/>
                <w:b/>
                <w:bCs/>
                <w:color w:val="auto"/>
                <w:spacing w:val="7"/>
              </w:rPr>
              <w:t>4-</w:t>
            </w:r>
            <w:r>
              <w:rPr>
                <w:rFonts w:hint="eastAsia" w:cs="Times New Roman"/>
                <w:b/>
                <w:bCs/>
                <w:color w:val="auto"/>
                <w:spacing w:val="7"/>
                <w:lang w:val="en-US" w:eastAsia="zh-CN"/>
              </w:rPr>
              <w:t>3</w:t>
            </w:r>
            <w:r>
              <w:rPr>
                <w:rFonts w:hint="eastAsia" w:eastAsia="宋体" w:cs="Times New Roman"/>
                <w:b/>
                <w:bCs/>
                <w:color w:val="auto"/>
                <w:spacing w:val="7"/>
                <w:lang w:val="en-US" w:eastAsia="zh-CN"/>
              </w:rPr>
              <w:t xml:space="preserve"> </w:t>
            </w:r>
            <w:r>
              <w:rPr>
                <w:rFonts w:ascii="Times New Roman" w:hAnsi="Times New Roman" w:eastAsia="Times New Roman" w:cs="Times New Roman"/>
                <w:b/>
                <w:bCs/>
                <w:color w:val="auto"/>
                <w:spacing w:val="7"/>
              </w:rPr>
              <w:t xml:space="preserve"> </w:t>
            </w:r>
            <w:r>
              <w:rPr>
                <w:b/>
                <w:bCs/>
                <w:color w:val="auto"/>
                <w:spacing w:val="7"/>
              </w:rPr>
              <w:t>装卸过程砂石料堆颗粒物排放系数</w:t>
            </w:r>
            <w:r>
              <w:rPr>
                <w:color w:val="auto"/>
                <w:spacing w:val="-41"/>
              </w:rPr>
              <w:t xml:space="preserve"> </w:t>
            </w:r>
            <w:r>
              <w:rPr>
                <w:rFonts w:ascii="Times New Roman" w:hAnsi="Times New Roman" w:eastAsia="Times New Roman" w:cs="Times New Roman"/>
                <w:b/>
                <w:bCs/>
                <w:color w:val="auto"/>
              </w:rPr>
              <w:t>Eh</w:t>
            </w:r>
            <w:r>
              <w:rPr>
                <w:rFonts w:ascii="Times New Roman" w:hAnsi="Times New Roman" w:eastAsia="Times New Roman" w:cs="Times New Roman"/>
                <w:b/>
                <w:bCs/>
                <w:color w:val="auto"/>
                <w:spacing w:val="7"/>
              </w:rPr>
              <w:t xml:space="preserve"> </w:t>
            </w:r>
            <w:r>
              <w:rPr>
                <w:b/>
                <w:bCs/>
                <w:color w:val="auto"/>
                <w:spacing w:val="7"/>
              </w:rPr>
              <w:t>计算参数及结</w:t>
            </w:r>
            <w:r>
              <w:rPr>
                <w:b/>
                <w:bCs/>
                <w:color w:val="auto"/>
                <w:spacing w:val="6"/>
              </w:rPr>
              <w:t>果表</w:t>
            </w:r>
          </w:p>
          <w:tbl>
            <w:tblPr>
              <w:tblStyle w:val="121"/>
              <w:tblW w:w="889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89"/>
              <w:gridCol w:w="906"/>
              <w:gridCol w:w="74"/>
              <w:gridCol w:w="247"/>
              <w:gridCol w:w="598"/>
              <w:gridCol w:w="95"/>
              <w:gridCol w:w="190"/>
              <w:gridCol w:w="600"/>
              <w:gridCol w:w="265"/>
              <w:gridCol w:w="646"/>
              <w:gridCol w:w="242"/>
              <w:gridCol w:w="133"/>
              <w:gridCol w:w="809"/>
              <w:gridCol w:w="123"/>
              <w:gridCol w:w="114"/>
              <w:gridCol w:w="951"/>
              <w:gridCol w:w="39"/>
              <w:gridCol w:w="174"/>
              <w:gridCol w:w="1197"/>
            </w:tblGrid>
            <w:tr w14:paraId="685CC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489" w:type="dxa"/>
                  <w:tcBorders>
                    <w:top w:val="single" w:color="auto" w:sz="4" w:space="0"/>
                    <w:left w:val="single" w:color="auto" w:sz="4" w:space="0"/>
                    <w:bottom w:val="single" w:color="auto" w:sz="4" w:space="0"/>
                    <w:right w:val="single" w:color="auto" w:sz="4" w:space="0"/>
                  </w:tcBorders>
                  <w:vAlign w:val="top"/>
                </w:tcPr>
                <w:p w14:paraId="2E752363">
                  <w:pPr>
                    <w:pStyle w:val="122"/>
                    <w:keepNext w:val="0"/>
                    <w:keepLines w:val="0"/>
                    <w:pageBreakBefore w:val="0"/>
                    <w:widowControl w:val="0"/>
                    <w:kinsoku/>
                    <w:wordWrap/>
                    <w:overflowPunct/>
                    <w:topLinePunct w:val="0"/>
                    <w:autoSpaceDE/>
                    <w:autoSpaceDN/>
                    <w:bidi w:val="0"/>
                    <w:adjustRightInd/>
                    <w:snapToGrid/>
                    <w:spacing w:before="178" w:line="240" w:lineRule="auto"/>
                    <w:ind w:left="485" w:firstLine="0" w:firstLineChars="0"/>
                    <w:jc w:val="center"/>
                    <w:textAlignment w:val="auto"/>
                    <w:rPr>
                      <w:color w:val="auto"/>
                    </w:rPr>
                  </w:pPr>
                  <w:r>
                    <w:rPr>
                      <w:b/>
                      <w:bCs/>
                      <w:color w:val="auto"/>
                      <w:spacing w:val="5"/>
                    </w:rPr>
                    <w:t>排放源</w:t>
                  </w:r>
                </w:p>
              </w:tc>
              <w:tc>
                <w:tcPr>
                  <w:tcW w:w="980" w:type="dxa"/>
                  <w:gridSpan w:val="2"/>
                  <w:tcBorders>
                    <w:top w:val="single" w:color="auto" w:sz="4" w:space="0"/>
                    <w:left w:val="single" w:color="auto" w:sz="4" w:space="0"/>
                    <w:bottom w:val="single" w:color="auto" w:sz="4" w:space="0"/>
                    <w:right w:val="single" w:color="auto" w:sz="4" w:space="0"/>
                  </w:tcBorders>
                  <w:vAlign w:val="top"/>
                </w:tcPr>
                <w:p w14:paraId="16EF9C71">
                  <w:pPr>
                    <w:pStyle w:val="122"/>
                    <w:keepNext w:val="0"/>
                    <w:keepLines w:val="0"/>
                    <w:pageBreakBefore w:val="0"/>
                    <w:widowControl w:val="0"/>
                    <w:kinsoku/>
                    <w:wordWrap/>
                    <w:overflowPunct/>
                    <w:topLinePunct w:val="0"/>
                    <w:autoSpaceDE/>
                    <w:autoSpaceDN/>
                    <w:bidi w:val="0"/>
                    <w:adjustRightInd/>
                    <w:snapToGrid/>
                    <w:spacing w:line="240" w:lineRule="auto"/>
                    <w:ind w:left="0" w:right="6" w:firstLine="0" w:firstLineChars="0"/>
                    <w:jc w:val="center"/>
                    <w:textAlignment w:val="auto"/>
                    <w:rPr>
                      <w:b/>
                      <w:bCs/>
                      <w:color w:val="auto"/>
                      <w:spacing w:val="-15"/>
                    </w:rPr>
                  </w:pPr>
                  <w:r>
                    <w:rPr>
                      <w:rFonts w:ascii="Times New Roman" w:hAnsi="Times New Roman" w:eastAsia="Times New Roman" w:cs="Times New Roman"/>
                      <w:b/>
                      <w:bCs/>
                      <w:color w:val="auto"/>
                      <w:spacing w:val="-4"/>
                    </w:rPr>
                    <w:t>U</w:t>
                  </w:r>
                  <w:r>
                    <w:rPr>
                      <w:b/>
                      <w:bCs/>
                      <w:color w:val="auto"/>
                      <w:spacing w:val="-4"/>
                    </w:rPr>
                    <w:t>（</w:t>
                  </w:r>
                  <w:r>
                    <w:rPr>
                      <w:rFonts w:ascii="Times New Roman" w:hAnsi="Times New Roman" w:eastAsia="Times New Roman" w:cs="Times New Roman"/>
                      <w:b/>
                      <w:bCs/>
                      <w:color w:val="auto"/>
                      <w:spacing w:val="-4"/>
                    </w:rPr>
                    <w:t>z</w:t>
                  </w:r>
                  <w:r>
                    <w:rPr>
                      <w:b/>
                      <w:bCs/>
                      <w:color w:val="auto"/>
                      <w:spacing w:val="-15"/>
                    </w:rPr>
                    <w:t>）</w:t>
                  </w:r>
                </w:p>
                <w:p w14:paraId="1F06D46B">
                  <w:pPr>
                    <w:pStyle w:val="122"/>
                    <w:keepNext w:val="0"/>
                    <w:keepLines w:val="0"/>
                    <w:pageBreakBefore w:val="0"/>
                    <w:widowControl w:val="0"/>
                    <w:kinsoku/>
                    <w:wordWrap/>
                    <w:overflowPunct/>
                    <w:topLinePunct w:val="0"/>
                    <w:autoSpaceDE/>
                    <w:autoSpaceDN/>
                    <w:bidi w:val="0"/>
                    <w:adjustRightInd/>
                    <w:snapToGrid/>
                    <w:spacing w:line="240" w:lineRule="auto"/>
                    <w:ind w:left="0" w:right="6" w:firstLine="0" w:firstLineChars="0"/>
                    <w:jc w:val="center"/>
                    <w:textAlignment w:val="auto"/>
                    <w:rPr>
                      <w:color w:val="auto"/>
                    </w:rPr>
                  </w:pPr>
                  <w:r>
                    <w:rPr>
                      <w:b/>
                      <w:bCs/>
                      <w:color w:val="auto"/>
                      <w:spacing w:val="-15"/>
                    </w:rPr>
                    <w:t>（</w:t>
                  </w:r>
                  <w:r>
                    <w:rPr>
                      <w:rFonts w:ascii="Times New Roman" w:hAnsi="Times New Roman" w:eastAsia="Times New Roman" w:cs="Times New Roman"/>
                      <w:b/>
                      <w:bCs/>
                      <w:color w:val="auto"/>
                      <w:spacing w:val="-4"/>
                    </w:rPr>
                    <w:t>m</w:t>
                  </w:r>
                  <w:r>
                    <w:rPr>
                      <w:rFonts w:ascii="Times New Roman" w:hAnsi="Times New Roman" w:eastAsia="Times New Roman" w:cs="Times New Roman"/>
                      <w:b/>
                      <w:bCs/>
                      <w:color w:val="auto"/>
                    </w:rPr>
                    <w:t xml:space="preserve"> </w:t>
                  </w:r>
                  <w:r>
                    <w:rPr>
                      <w:rFonts w:ascii="Times New Roman" w:hAnsi="Times New Roman" w:eastAsia="Times New Roman" w:cs="Times New Roman"/>
                      <w:b/>
                      <w:bCs/>
                      <w:color w:val="auto"/>
                      <w:spacing w:val="1"/>
                    </w:rPr>
                    <w:t>/s</w:t>
                  </w:r>
                  <w:r>
                    <w:rPr>
                      <w:b/>
                      <w:bCs/>
                      <w:color w:val="auto"/>
                      <w:spacing w:val="1"/>
                    </w:rPr>
                    <w:t>）</w:t>
                  </w:r>
                </w:p>
              </w:tc>
              <w:tc>
                <w:tcPr>
                  <w:tcW w:w="845" w:type="dxa"/>
                  <w:gridSpan w:val="2"/>
                  <w:tcBorders>
                    <w:top w:val="single" w:color="auto" w:sz="4" w:space="0"/>
                    <w:left w:val="single" w:color="auto" w:sz="4" w:space="0"/>
                    <w:bottom w:val="single" w:color="auto" w:sz="4" w:space="0"/>
                    <w:right w:val="single" w:color="auto" w:sz="4" w:space="0"/>
                  </w:tcBorders>
                  <w:vAlign w:val="top"/>
                </w:tcPr>
                <w:p w14:paraId="42B34DE8">
                  <w:pPr>
                    <w:pStyle w:val="122"/>
                    <w:keepNext w:val="0"/>
                    <w:keepLines w:val="0"/>
                    <w:pageBreakBefore w:val="0"/>
                    <w:widowControl w:val="0"/>
                    <w:kinsoku/>
                    <w:wordWrap/>
                    <w:overflowPunct/>
                    <w:topLinePunct w:val="0"/>
                    <w:autoSpaceDE/>
                    <w:autoSpaceDN/>
                    <w:bidi w:val="0"/>
                    <w:adjustRightInd/>
                    <w:snapToGrid/>
                    <w:spacing w:before="178" w:line="240" w:lineRule="auto"/>
                    <w:ind w:left="49" w:firstLine="0" w:firstLineChars="0"/>
                    <w:jc w:val="center"/>
                    <w:textAlignment w:val="auto"/>
                    <w:rPr>
                      <w:color w:val="auto"/>
                    </w:rPr>
                  </w:pPr>
                  <w:r>
                    <w:rPr>
                      <w:rFonts w:ascii="Times New Roman" w:hAnsi="Times New Roman" w:eastAsia="Times New Roman" w:cs="Times New Roman"/>
                      <w:b/>
                      <w:bCs/>
                      <w:color w:val="auto"/>
                      <w:spacing w:val="4"/>
                    </w:rPr>
                    <w:t>Z</w:t>
                  </w:r>
                  <w:r>
                    <w:rPr>
                      <w:b/>
                      <w:bCs/>
                      <w:color w:val="auto"/>
                      <w:spacing w:val="4"/>
                    </w:rPr>
                    <w:t>（</w:t>
                  </w:r>
                  <w:r>
                    <w:rPr>
                      <w:rFonts w:ascii="Times New Roman" w:hAnsi="Times New Roman" w:eastAsia="Times New Roman" w:cs="Times New Roman"/>
                      <w:b/>
                      <w:bCs/>
                      <w:color w:val="auto"/>
                      <w:spacing w:val="4"/>
                    </w:rPr>
                    <w:t>m</w:t>
                  </w:r>
                  <w:r>
                    <w:rPr>
                      <w:b/>
                      <w:bCs/>
                      <w:color w:val="auto"/>
                      <w:spacing w:val="4"/>
                    </w:rPr>
                    <w:t>）</w:t>
                  </w:r>
                </w:p>
              </w:tc>
              <w:tc>
                <w:tcPr>
                  <w:tcW w:w="885" w:type="dxa"/>
                  <w:gridSpan w:val="3"/>
                  <w:tcBorders>
                    <w:top w:val="single" w:color="auto" w:sz="4" w:space="0"/>
                    <w:left w:val="single" w:color="auto" w:sz="4" w:space="0"/>
                    <w:bottom w:val="single" w:color="auto" w:sz="4" w:space="0"/>
                    <w:right w:val="single" w:color="auto" w:sz="4" w:space="0"/>
                  </w:tcBorders>
                  <w:vAlign w:val="top"/>
                </w:tcPr>
                <w:p w14:paraId="5C9BD237">
                  <w:pPr>
                    <w:pStyle w:val="122"/>
                    <w:keepNext w:val="0"/>
                    <w:keepLines w:val="0"/>
                    <w:pageBreakBefore w:val="0"/>
                    <w:widowControl w:val="0"/>
                    <w:kinsoku/>
                    <w:wordWrap/>
                    <w:overflowPunct/>
                    <w:topLinePunct w:val="0"/>
                    <w:autoSpaceDE/>
                    <w:autoSpaceDN/>
                    <w:bidi w:val="0"/>
                    <w:adjustRightInd/>
                    <w:snapToGrid/>
                    <w:spacing w:before="178" w:line="240" w:lineRule="auto"/>
                    <w:ind w:left="18" w:firstLine="0" w:firstLineChars="0"/>
                    <w:jc w:val="center"/>
                    <w:textAlignment w:val="auto"/>
                    <w:rPr>
                      <w:color w:val="auto"/>
                    </w:rPr>
                  </w:pPr>
                  <w:r>
                    <w:rPr>
                      <w:rFonts w:ascii="Times New Roman" w:hAnsi="Times New Roman" w:eastAsia="Times New Roman" w:cs="Times New Roman"/>
                      <w:b/>
                      <w:bCs/>
                      <w:color w:val="auto"/>
                      <w:spacing w:val="4"/>
                    </w:rPr>
                    <w:t>Z0</w:t>
                  </w:r>
                  <w:r>
                    <w:rPr>
                      <w:b/>
                      <w:bCs/>
                      <w:color w:val="auto"/>
                      <w:spacing w:val="4"/>
                    </w:rPr>
                    <w:t>（</w:t>
                  </w:r>
                  <w:r>
                    <w:rPr>
                      <w:rFonts w:ascii="Times New Roman" w:hAnsi="Times New Roman" w:eastAsia="Times New Roman" w:cs="Times New Roman"/>
                      <w:b/>
                      <w:bCs/>
                      <w:color w:val="auto"/>
                      <w:spacing w:val="4"/>
                    </w:rPr>
                    <w:t>m</w:t>
                  </w:r>
                  <w:r>
                    <w:rPr>
                      <w:b/>
                      <w:bCs/>
                      <w:color w:val="auto"/>
                      <w:spacing w:val="4"/>
                    </w:rPr>
                    <w:t>）</w:t>
                  </w:r>
                </w:p>
              </w:tc>
              <w:tc>
                <w:tcPr>
                  <w:tcW w:w="1153" w:type="dxa"/>
                  <w:gridSpan w:val="3"/>
                  <w:tcBorders>
                    <w:top w:val="single" w:color="auto" w:sz="4" w:space="0"/>
                    <w:left w:val="single" w:color="auto" w:sz="4" w:space="0"/>
                    <w:bottom w:val="single" w:color="auto" w:sz="4" w:space="0"/>
                    <w:right w:val="single" w:color="auto" w:sz="4" w:space="0"/>
                  </w:tcBorders>
                  <w:vAlign w:val="top"/>
                </w:tcPr>
                <w:p w14:paraId="24AEFEF4">
                  <w:pPr>
                    <w:pStyle w:val="122"/>
                    <w:keepNext w:val="0"/>
                    <w:keepLines w:val="0"/>
                    <w:pageBreakBefore w:val="0"/>
                    <w:widowControl w:val="0"/>
                    <w:kinsoku/>
                    <w:wordWrap/>
                    <w:overflowPunct/>
                    <w:topLinePunct w:val="0"/>
                    <w:autoSpaceDE/>
                    <w:autoSpaceDN/>
                    <w:bidi w:val="0"/>
                    <w:adjustRightInd/>
                    <w:snapToGrid/>
                    <w:spacing w:before="178" w:line="240" w:lineRule="auto"/>
                    <w:ind w:left="98" w:firstLine="0" w:firstLineChars="0"/>
                    <w:jc w:val="center"/>
                    <w:textAlignment w:val="auto"/>
                    <w:rPr>
                      <w:color w:val="auto"/>
                    </w:rPr>
                  </w:pPr>
                  <w:r>
                    <w:rPr>
                      <w:rFonts w:ascii="Times New Roman" w:hAnsi="Times New Roman" w:eastAsia="Times New Roman" w:cs="Times New Roman"/>
                      <w:b/>
                      <w:bCs/>
                      <w:color w:val="auto"/>
                      <w:spacing w:val="-3"/>
                    </w:rPr>
                    <w:t>u*</w:t>
                  </w:r>
                  <w:r>
                    <w:rPr>
                      <w:b/>
                      <w:bCs/>
                      <w:color w:val="auto"/>
                      <w:spacing w:val="-3"/>
                    </w:rPr>
                    <w:t>（</w:t>
                  </w:r>
                  <w:r>
                    <w:rPr>
                      <w:color w:val="auto"/>
                      <w:spacing w:val="-56"/>
                    </w:rPr>
                    <w:t xml:space="preserve"> </w:t>
                  </w:r>
                  <w:r>
                    <w:rPr>
                      <w:rFonts w:ascii="Times New Roman" w:hAnsi="Times New Roman" w:eastAsia="Times New Roman" w:cs="Times New Roman"/>
                      <w:b/>
                      <w:bCs/>
                      <w:color w:val="auto"/>
                      <w:spacing w:val="-3"/>
                    </w:rPr>
                    <w:t>m/s</w:t>
                  </w:r>
                  <w:r>
                    <w:rPr>
                      <w:b/>
                      <w:bCs/>
                      <w:color w:val="auto"/>
                      <w:spacing w:val="-3"/>
                    </w:rPr>
                    <w:t>）</w:t>
                  </w:r>
                </w:p>
              </w:tc>
              <w:tc>
                <w:tcPr>
                  <w:tcW w:w="1065" w:type="dxa"/>
                  <w:gridSpan w:val="3"/>
                  <w:tcBorders>
                    <w:top w:val="single" w:color="auto" w:sz="4" w:space="0"/>
                    <w:left w:val="single" w:color="auto" w:sz="4" w:space="0"/>
                    <w:bottom w:val="single" w:color="auto" w:sz="4" w:space="0"/>
                    <w:right w:val="single" w:color="auto" w:sz="4" w:space="0"/>
                  </w:tcBorders>
                  <w:vAlign w:val="top"/>
                </w:tcPr>
                <w:p w14:paraId="0A2914C9">
                  <w:pPr>
                    <w:pStyle w:val="122"/>
                    <w:keepNext w:val="0"/>
                    <w:keepLines w:val="0"/>
                    <w:pageBreakBefore w:val="0"/>
                    <w:widowControl w:val="0"/>
                    <w:kinsoku/>
                    <w:wordWrap/>
                    <w:overflowPunct/>
                    <w:topLinePunct w:val="0"/>
                    <w:autoSpaceDE/>
                    <w:autoSpaceDN/>
                    <w:bidi w:val="0"/>
                    <w:adjustRightInd/>
                    <w:snapToGrid/>
                    <w:spacing w:before="178" w:line="240" w:lineRule="auto"/>
                    <w:ind w:left="23" w:firstLine="0" w:firstLineChars="0"/>
                    <w:jc w:val="center"/>
                    <w:textAlignment w:val="auto"/>
                    <w:rPr>
                      <w:color w:val="auto"/>
                    </w:rPr>
                  </w:pPr>
                  <w:r>
                    <w:rPr>
                      <w:rFonts w:ascii="Times New Roman" w:hAnsi="Times New Roman" w:eastAsia="Times New Roman" w:cs="Times New Roman"/>
                      <w:b/>
                      <w:bCs/>
                      <w:color w:val="auto"/>
                      <w:spacing w:val="-2"/>
                    </w:rPr>
                    <w:t>ut*</w:t>
                  </w:r>
                  <w:r>
                    <w:rPr>
                      <w:b/>
                      <w:bCs/>
                      <w:color w:val="auto"/>
                      <w:spacing w:val="-2"/>
                    </w:rPr>
                    <w:t>（</w:t>
                  </w:r>
                  <w:r>
                    <w:rPr>
                      <w:color w:val="auto"/>
                      <w:spacing w:val="-58"/>
                    </w:rPr>
                    <w:t xml:space="preserve"> </w:t>
                  </w:r>
                  <w:r>
                    <w:rPr>
                      <w:rFonts w:ascii="Times New Roman" w:hAnsi="Times New Roman" w:eastAsia="Times New Roman" w:cs="Times New Roman"/>
                      <w:b/>
                      <w:bCs/>
                      <w:color w:val="auto"/>
                      <w:spacing w:val="-2"/>
                    </w:rPr>
                    <w:t>m/s</w:t>
                  </w:r>
                  <w:r>
                    <w:rPr>
                      <w:b/>
                      <w:bCs/>
                      <w:color w:val="auto"/>
                      <w:spacing w:val="-2"/>
                    </w:rPr>
                    <w:t>）</w:t>
                  </w:r>
                </w:p>
              </w:tc>
              <w:tc>
                <w:tcPr>
                  <w:tcW w:w="1065" w:type="dxa"/>
                  <w:gridSpan w:val="2"/>
                  <w:tcBorders>
                    <w:top w:val="single" w:color="auto" w:sz="4" w:space="0"/>
                    <w:left w:val="single" w:color="auto" w:sz="4" w:space="0"/>
                    <w:bottom w:val="single" w:color="auto" w:sz="4" w:space="0"/>
                    <w:right w:val="single" w:color="auto" w:sz="4" w:space="0"/>
                  </w:tcBorders>
                  <w:vAlign w:val="top"/>
                </w:tcPr>
                <w:p w14:paraId="11720474">
                  <w:pPr>
                    <w:pStyle w:val="122"/>
                    <w:keepNext w:val="0"/>
                    <w:keepLines w:val="0"/>
                    <w:pageBreakBefore w:val="0"/>
                    <w:widowControl w:val="0"/>
                    <w:kinsoku/>
                    <w:wordWrap/>
                    <w:overflowPunct/>
                    <w:topLinePunct w:val="0"/>
                    <w:autoSpaceDE/>
                    <w:autoSpaceDN/>
                    <w:bidi w:val="0"/>
                    <w:adjustRightInd/>
                    <w:snapToGrid/>
                    <w:spacing w:before="178" w:line="240" w:lineRule="auto"/>
                    <w:ind w:left="29" w:firstLine="0" w:firstLineChars="0"/>
                    <w:jc w:val="center"/>
                    <w:textAlignment w:val="auto"/>
                    <w:rPr>
                      <w:color w:val="auto"/>
                    </w:rPr>
                  </w:pPr>
                  <w:r>
                    <w:rPr>
                      <w:rFonts w:ascii="Times New Roman" w:hAnsi="Times New Roman" w:eastAsia="Times New Roman" w:cs="Times New Roman"/>
                      <w:b/>
                      <w:bCs/>
                      <w:color w:val="auto"/>
                    </w:rPr>
                    <w:t>Pi</w:t>
                  </w:r>
                  <w:r>
                    <w:rPr>
                      <w:b/>
                      <w:bCs/>
                      <w:color w:val="auto"/>
                      <w:spacing w:val="4"/>
                    </w:rPr>
                    <w:t>（</w:t>
                  </w:r>
                  <w:r>
                    <w:rPr>
                      <w:rFonts w:ascii="Times New Roman" w:hAnsi="Times New Roman" w:eastAsia="Times New Roman" w:cs="Times New Roman"/>
                      <w:b/>
                      <w:bCs/>
                      <w:color w:val="auto"/>
                      <w:spacing w:val="4"/>
                    </w:rPr>
                    <w:t>g/m</w:t>
                  </w:r>
                  <w:r>
                    <w:rPr>
                      <w:rFonts w:ascii="Times New Roman" w:hAnsi="Times New Roman" w:eastAsia="Times New Roman" w:cs="Times New Roman"/>
                      <w:b/>
                      <w:bCs/>
                      <w:color w:val="auto"/>
                      <w:spacing w:val="4"/>
                      <w:position w:val="6"/>
                      <w:sz w:val="13"/>
                      <w:szCs w:val="13"/>
                    </w:rPr>
                    <w:t>2</w:t>
                  </w:r>
                  <w:r>
                    <w:rPr>
                      <w:b/>
                      <w:bCs/>
                      <w:color w:val="auto"/>
                      <w:spacing w:val="4"/>
                    </w:rPr>
                    <w:t>）</w:t>
                  </w:r>
                </w:p>
              </w:tc>
              <w:tc>
                <w:tcPr>
                  <w:tcW w:w="1410" w:type="dxa"/>
                  <w:gridSpan w:val="3"/>
                  <w:tcBorders>
                    <w:top w:val="single" w:color="auto" w:sz="4" w:space="0"/>
                    <w:left w:val="single" w:color="auto" w:sz="4" w:space="0"/>
                    <w:bottom w:val="single" w:color="auto" w:sz="4" w:space="0"/>
                    <w:right w:val="single" w:color="auto" w:sz="4" w:space="0"/>
                  </w:tcBorders>
                  <w:vAlign w:val="top"/>
                </w:tcPr>
                <w:p w14:paraId="38F56BDE">
                  <w:pPr>
                    <w:pStyle w:val="122"/>
                    <w:keepNext w:val="0"/>
                    <w:keepLines w:val="0"/>
                    <w:pageBreakBefore w:val="0"/>
                    <w:widowControl w:val="0"/>
                    <w:kinsoku/>
                    <w:wordWrap/>
                    <w:overflowPunct/>
                    <w:topLinePunct w:val="0"/>
                    <w:autoSpaceDE/>
                    <w:autoSpaceDN/>
                    <w:bidi w:val="0"/>
                    <w:adjustRightInd/>
                    <w:snapToGrid/>
                    <w:spacing w:before="178" w:line="240" w:lineRule="auto"/>
                    <w:ind w:firstLine="0" w:firstLineChars="0"/>
                    <w:jc w:val="center"/>
                    <w:textAlignment w:val="auto"/>
                    <w:rPr>
                      <w:color w:val="auto"/>
                    </w:rPr>
                  </w:pPr>
                  <w:r>
                    <w:rPr>
                      <w:rFonts w:ascii="Times New Roman" w:hAnsi="Times New Roman" w:eastAsia="Times New Roman" w:cs="Times New Roman"/>
                      <w:b/>
                      <w:bCs/>
                      <w:color w:val="auto"/>
                    </w:rPr>
                    <w:t>Ew</w:t>
                  </w:r>
                  <w:r>
                    <w:rPr>
                      <w:b/>
                      <w:bCs/>
                      <w:color w:val="auto"/>
                      <w:spacing w:val="4"/>
                    </w:rPr>
                    <w:t>（</w:t>
                  </w:r>
                  <w:r>
                    <w:rPr>
                      <w:rFonts w:ascii="Times New Roman" w:hAnsi="Times New Roman" w:eastAsia="Times New Roman" w:cs="Times New Roman"/>
                      <w:b/>
                      <w:bCs/>
                      <w:color w:val="auto"/>
                    </w:rPr>
                    <w:t>kg</w:t>
                  </w:r>
                  <w:r>
                    <w:rPr>
                      <w:rFonts w:ascii="Times New Roman" w:hAnsi="Times New Roman" w:eastAsia="Times New Roman" w:cs="Times New Roman"/>
                      <w:b/>
                      <w:bCs/>
                      <w:color w:val="auto"/>
                      <w:spacing w:val="4"/>
                    </w:rPr>
                    <w:t>/m</w:t>
                  </w:r>
                  <w:r>
                    <w:rPr>
                      <w:rFonts w:ascii="Times New Roman" w:hAnsi="Times New Roman" w:eastAsia="Times New Roman" w:cs="Times New Roman"/>
                      <w:b/>
                      <w:bCs/>
                      <w:color w:val="auto"/>
                      <w:spacing w:val="4"/>
                      <w:position w:val="6"/>
                      <w:sz w:val="13"/>
                      <w:szCs w:val="13"/>
                    </w:rPr>
                    <w:t>2</w:t>
                  </w:r>
                  <w:r>
                    <w:rPr>
                      <w:b/>
                      <w:bCs/>
                      <w:color w:val="auto"/>
                      <w:spacing w:val="4"/>
                    </w:rPr>
                    <w:t>）</w:t>
                  </w:r>
                </w:p>
              </w:tc>
            </w:tr>
            <w:tr w14:paraId="6E79B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489" w:type="dxa"/>
                  <w:tcBorders>
                    <w:top w:val="single" w:color="auto" w:sz="4" w:space="0"/>
                    <w:left w:val="single" w:color="auto" w:sz="4" w:space="0"/>
                    <w:bottom w:val="single" w:color="auto" w:sz="4" w:space="0"/>
                    <w:right w:val="single" w:color="auto" w:sz="4" w:space="0"/>
                  </w:tcBorders>
                  <w:vAlign w:val="top"/>
                </w:tcPr>
                <w:p w14:paraId="25177F4D">
                  <w:pPr>
                    <w:pStyle w:val="122"/>
                    <w:keepNext w:val="0"/>
                    <w:keepLines w:val="0"/>
                    <w:pageBreakBefore w:val="0"/>
                    <w:widowControl w:val="0"/>
                    <w:kinsoku/>
                    <w:wordWrap/>
                    <w:overflowPunct/>
                    <w:topLinePunct w:val="0"/>
                    <w:autoSpaceDE/>
                    <w:autoSpaceDN/>
                    <w:bidi w:val="0"/>
                    <w:adjustRightInd/>
                    <w:snapToGrid/>
                    <w:spacing w:before="45" w:line="240" w:lineRule="auto"/>
                    <w:ind w:left="381" w:firstLine="0" w:firstLineChars="0"/>
                    <w:textAlignment w:val="auto"/>
                    <w:rPr>
                      <w:color w:val="auto"/>
                    </w:rPr>
                  </w:pPr>
                  <w:r>
                    <w:rPr>
                      <w:color w:val="auto"/>
                      <w:spacing w:val="7"/>
                    </w:rPr>
                    <w:t>砂石料堆</w:t>
                  </w:r>
                </w:p>
              </w:tc>
              <w:tc>
                <w:tcPr>
                  <w:tcW w:w="980" w:type="dxa"/>
                  <w:gridSpan w:val="2"/>
                  <w:tcBorders>
                    <w:top w:val="single" w:color="auto" w:sz="4" w:space="0"/>
                    <w:left w:val="single" w:color="auto" w:sz="4" w:space="0"/>
                    <w:bottom w:val="single" w:color="auto" w:sz="4" w:space="0"/>
                    <w:right w:val="single" w:color="auto" w:sz="4" w:space="0"/>
                  </w:tcBorders>
                  <w:vAlign w:val="top"/>
                </w:tcPr>
                <w:p w14:paraId="31E10E6F">
                  <w:pPr>
                    <w:keepNext w:val="0"/>
                    <w:keepLines w:val="0"/>
                    <w:pageBreakBefore w:val="0"/>
                    <w:widowControl w:val="0"/>
                    <w:kinsoku/>
                    <w:wordWrap/>
                    <w:overflowPunct/>
                    <w:topLinePunct w:val="0"/>
                    <w:autoSpaceDE/>
                    <w:autoSpaceDN/>
                    <w:bidi w:val="0"/>
                    <w:adjustRightInd/>
                    <w:snapToGrid/>
                    <w:spacing w:before="81" w:line="240" w:lineRule="auto"/>
                    <w:ind w:left="357"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0.2</w:t>
                  </w:r>
                </w:p>
              </w:tc>
              <w:tc>
                <w:tcPr>
                  <w:tcW w:w="845" w:type="dxa"/>
                  <w:gridSpan w:val="2"/>
                  <w:tcBorders>
                    <w:top w:val="single" w:color="auto" w:sz="4" w:space="0"/>
                    <w:left w:val="single" w:color="auto" w:sz="4" w:space="0"/>
                    <w:bottom w:val="single" w:color="auto" w:sz="4" w:space="0"/>
                    <w:right w:val="single" w:color="auto" w:sz="4" w:space="0"/>
                  </w:tcBorders>
                  <w:vAlign w:val="top"/>
                </w:tcPr>
                <w:p w14:paraId="6D1F45A0">
                  <w:pPr>
                    <w:keepNext w:val="0"/>
                    <w:keepLines w:val="0"/>
                    <w:pageBreakBefore w:val="0"/>
                    <w:widowControl w:val="0"/>
                    <w:kinsoku/>
                    <w:wordWrap/>
                    <w:overflowPunct/>
                    <w:topLinePunct w:val="0"/>
                    <w:autoSpaceDE/>
                    <w:autoSpaceDN/>
                    <w:bidi w:val="0"/>
                    <w:adjustRightInd/>
                    <w:snapToGrid/>
                    <w:spacing w:before="81" w:line="240" w:lineRule="auto"/>
                    <w:ind w:left="371"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3</w:t>
                  </w:r>
                </w:p>
              </w:tc>
              <w:tc>
                <w:tcPr>
                  <w:tcW w:w="885" w:type="dxa"/>
                  <w:gridSpan w:val="3"/>
                  <w:tcBorders>
                    <w:top w:val="single" w:color="auto" w:sz="4" w:space="0"/>
                    <w:left w:val="single" w:color="auto" w:sz="4" w:space="0"/>
                    <w:bottom w:val="single" w:color="auto" w:sz="4" w:space="0"/>
                    <w:right w:val="single" w:color="auto" w:sz="4" w:space="0"/>
                  </w:tcBorders>
                  <w:vAlign w:val="top"/>
                </w:tcPr>
                <w:p w14:paraId="59B0AA3C">
                  <w:pPr>
                    <w:keepNext w:val="0"/>
                    <w:keepLines w:val="0"/>
                    <w:pageBreakBefore w:val="0"/>
                    <w:widowControl w:val="0"/>
                    <w:kinsoku/>
                    <w:wordWrap/>
                    <w:overflowPunct/>
                    <w:topLinePunct w:val="0"/>
                    <w:autoSpaceDE/>
                    <w:autoSpaceDN/>
                    <w:bidi w:val="0"/>
                    <w:adjustRightInd/>
                    <w:snapToGrid/>
                    <w:spacing w:before="81" w:line="240" w:lineRule="auto"/>
                    <w:ind w:left="312"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0.2</w:t>
                  </w:r>
                </w:p>
              </w:tc>
              <w:tc>
                <w:tcPr>
                  <w:tcW w:w="1153" w:type="dxa"/>
                  <w:gridSpan w:val="3"/>
                  <w:tcBorders>
                    <w:top w:val="single" w:color="auto" w:sz="4" w:space="0"/>
                    <w:left w:val="single" w:color="auto" w:sz="4" w:space="0"/>
                    <w:bottom w:val="single" w:color="auto" w:sz="4" w:space="0"/>
                    <w:right w:val="single" w:color="auto" w:sz="4" w:space="0"/>
                  </w:tcBorders>
                  <w:vAlign w:val="top"/>
                </w:tcPr>
                <w:p w14:paraId="0F0208E1">
                  <w:pPr>
                    <w:keepNext w:val="0"/>
                    <w:keepLines w:val="0"/>
                    <w:pageBreakBefore w:val="0"/>
                    <w:widowControl w:val="0"/>
                    <w:kinsoku/>
                    <w:wordWrap/>
                    <w:overflowPunct/>
                    <w:topLinePunct w:val="0"/>
                    <w:autoSpaceDE/>
                    <w:autoSpaceDN/>
                    <w:bidi w:val="0"/>
                    <w:adjustRightInd/>
                    <w:snapToGrid/>
                    <w:spacing w:before="81" w:line="240" w:lineRule="auto"/>
                    <w:ind w:left="395" w:firstLine="0" w:firstLineChars="0"/>
                    <w:textAlignment w:val="auto"/>
                    <w:rPr>
                      <w:rFonts w:hint="eastAsia" w:ascii="Times New Roman" w:hAnsi="Times New Roman" w:eastAsia="宋体" w:cs="Times New Roman"/>
                      <w:color w:val="auto"/>
                      <w:sz w:val="20"/>
                      <w:szCs w:val="20"/>
                      <w:lang w:val="en-US" w:eastAsia="zh-CN"/>
                    </w:rPr>
                  </w:pPr>
                  <w:r>
                    <w:rPr>
                      <w:rFonts w:ascii="Times New Roman" w:hAnsi="Times New Roman" w:eastAsia="Times New Roman" w:cs="Times New Roman"/>
                      <w:color w:val="auto"/>
                      <w:spacing w:val="2"/>
                      <w:sz w:val="20"/>
                      <w:szCs w:val="20"/>
                    </w:rPr>
                    <w:t>0.06</w:t>
                  </w:r>
                  <w:r>
                    <w:rPr>
                      <w:rFonts w:hint="eastAsia" w:eastAsia="宋体" w:cs="Times New Roman"/>
                      <w:color w:val="auto"/>
                      <w:spacing w:val="2"/>
                      <w:sz w:val="20"/>
                      <w:szCs w:val="20"/>
                      <w:lang w:val="en-US" w:eastAsia="zh-CN"/>
                    </w:rPr>
                    <w:t>8</w:t>
                  </w:r>
                </w:p>
              </w:tc>
              <w:tc>
                <w:tcPr>
                  <w:tcW w:w="1065" w:type="dxa"/>
                  <w:gridSpan w:val="3"/>
                  <w:tcBorders>
                    <w:top w:val="single" w:color="auto" w:sz="4" w:space="0"/>
                    <w:left w:val="single" w:color="auto" w:sz="4" w:space="0"/>
                    <w:bottom w:val="single" w:color="auto" w:sz="4" w:space="0"/>
                    <w:right w:val="single" w:color="auto" w:sz="4" w:space="0"/>
                  </w:tcBorders>
                  <w:vAlign w:val="top"/>
                </w:tcPr>
                <w:p w14:paraId="007CD745">
                  <w:pPr>
                    <w:keepNext w:val="0"/>
                    <w:keepLines w:val="0"/>
                    <w:pageBreakBefore w:val="0"/>
                    <w:widowControl w:val="0"/>
                    <w:kinsoku/>
                    <w:wordWrap/>
                    <w:overflowPunct/>
                    <w:topLinePunct w:val="0"/>
                    <w:autoSpaceDE/>
                    <w:autoSpaceDN/>
                    <w:bidi w:val="0"/>
                    <w:adjustRightInd/>
                    <w:snapToGrid/>
                    <w:spacing w:before="81" w:line="240" w:lineRule="auto"/>
                    <w:ind w:left="370"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sz w:val="20"/>
                      <w:szCs w:val="20"/>
                    </w:rPr>
                    <w:t>1.33</w:t>
                  </w:r>
                </w:p>
              </w:tc>
              <w:tc>
                <w:tcPr>
                  <w:tcW w:w="1065" w:type="dxa"/>
                  <w:gridSpan w:val="2"/>
                  <w:tcBorders>
                    <w:top w:val="single" w:color="auto" w:sz="4" w:space="0"/>
                    <w:left w:val="single" w:color="auto" w:sz="4" w:space="0"/>
                    <w:bottom w:val="single" w:color="auto" w:sz="4" w:space="0"/>
                    <w:right w:val="single" w:color="auto" w:sz="4" w:space="0"/>
                  </w:tcBorders>
                  <w:vAlign w:val="top"/>
                </w:tcPr>
                <w:p w14:paraId="54E67A0E">
                  <w:pPr>
                    <w:keepNext w:val="0"/>
                    <w:keepLines w:val="0"/>
                    <w:pageBreakBefore w:val="0"/>
                    <w:widowControl w:val="0"/>
                    <w:kinsoku/>
                    <w:wordWrap/>
                    <w:overflowPunct/>
                    <w:topLinePunct w:val="0"/>
                    <w:autoSpaceDE/>
                    <w:autoSpaceDN/>
                    <w:bidi w:val="0"/>
                    <w:adjustRightInd/>
                    <w:snapToGrid/>
                    <w:spacing w:before="81" w:line="240" w:lineRule="auto"/>
                    <w:ind w:left="488"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1410" w:type="dxa"/>
                  <w:gridSpan w:val="3"/>
                  <w:tcBorders>
                    <w:top w:val="single" w:color="auto" w:sz="4" w:space="0"/>
                    <w:left w:val="single" w:color="auto" w:sz="4" w:space="0"/>
                    <w:bottom w:val="single" w:color="auto" w:sz="4" w:space="0"/>
                    <w:right w:val="single" w:color="auto" w:sz="4" w:space="0"/>
                  </w:tcBorders>
                  <w:vAlign w:val="top"/>
                </w:tcPr>
                <w:p w14:paraId="3B2A282D">
                  <w:pPr>
                    <w:keepNext w:val="0"/>
                    <w:keepLines w:val="0"/>
                    <w:pageBreakBefore w:val="0"/>
                    <w:widowControl w:val="0"/>
                    <w:kinsoku/>
                    <w:wordWrap/>
                    <w:overflowPunct/>
                    <w:topLinePunct w:val="0"/>
                    <w:autoSpaceDE/>
                    <w:autoSpaceDN/>
                    <w:bidi w:val="0"/>
                    <w:adjustRightInd/>
                    <w:snapToGrid/>
                    <w:spacing w:before="81" w:line="240" w:lineRule="auto"/>
                    <w:ind w:left="527"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r>
            <w:tr w14:paraId="4352F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8892" w:type="dxa"/>
                  <w:gridSpan w:val="19"/>
                  <w:tcBorders>
                    <w:top w:val="single" w:color="auto" w:sz="4" w:space="0"/>
                    <w:left w:val="single" w:color="auto" w:sz="4" w:space="0"/>
                    <w:bottom w:val="single" w:color="auto" w:sz="4" w:space="0"/>
                    <w:right w:val="single" w:color="auto" w:sz="4" w:space="0"/>
                  </w:tcBorders>
                  <w:vAlign w:val="top"/>
                </w:tcPr>
                <w:p w14:paraId="40BACB59">
                  <w:pPr>
                    <w:pStyle w:val="122"/>
                    <w:keepNext w:val="0"/>
                    <w:keepLines w:val="0"/>
                    <w:pageBreakBefore w:val="0"/>
                    <w:widowControl w:val="0"/>
                    <w:kinsoku/>
                    <w:wordWrap/>
                    <w:overflowPunct/>
                    <w:topLinePunct w:val="0"/>
                    <w:autoSpaceDE/>
                    <w:autoSpaceDN/>
                    <w:bidi w:val="0"/>
                    <w:adjustRightInd/>
                    <w:snapToGrid/>
                    <w:spacing w:before="16" w:line="240" w:lineRule="auto"/>
                    <w:ind w:left="132" w:firstLine="0" w:firstLineChars="0"/>
                    <w:textAlignment w:val="auto"/>
                    <w:rPr>
                      <w:color w:val="auto"/>
                    </w:rPr>
                  </w:pPr>
                  <w:r>
                    <w:rPr>
                      <w:color w:val="auto"/>
                      <w:spacing w:val="6"/>
                      <w:position w:val="1"/>
                    </w:rPr>
                    <w:t>备注：</w:t>
                  </w:r>
                  <w:r>
                    <w:rPr>
                      <w:rFonts w:ascii="Times New Roman" w:hAnsi="Times New Roman" w:eastAsia="Times New Roman" w:cs="Times New Roman"/>
                      <w:color w:val="auto"/>
                      <w:spacing w:val="6"/>
                      <w:position w:val="1"/>
                    </w:rPr>
                    <w:t>u</w:t>
                  </w:r>
                  <w:r>
                    <w:rPr>
                      <w:color w:val="auto"/>
                      <w:spacing w:val="6"/>
                      <w:position w:val="1"/>
                    </w:rPr>
                    <w:t>（</w:t>
                  </w:r>
                  <w:r>
                    <w:rPr>
                      <w:rFonts w:ascii="Times New Roman" w:hAnsi="Times New Roman" w:eastAsia="Times New Roman" w:cs="Times New Roman"/>
                      <w:color w:val="auto"/>
                      <w:spacing w:val="6"/>
                      <w:position w:val="1"/>
                    </w:rPr>
                    <w:t>z</w:t>
                  </w:r>
                  <w:r>
                    <w:rPr>
                      <w:color w:val="auto"/>
                      <w:spacing w:val="6"/>
                      <w:position w:val="1"/>
                    </w:rPr>
                    <w:t>）取值为室内风速</w:t>
                  </w:r>
                  <w:r>
                    <w:rPr>
                      <w:color w:val="auto"/>
                      <w:spacing w:val="-33"/>
                      <w:position w:val="1"/>
                    </w:rPr>
                    <w:t xml:space="preserve"> </w:t>
                  </w:r>
                  <w:r>
                    <w:rPr>
                      <w:rFonts w:ascii="Times New Roman" w:hAnsi="Times New Roman" w:eastAsia="Times New Roman" w:cs="Times New Roman"/>
                      <w:color w:val="auto"/>
                      <w:spacing w:val="6"/>
                      <w:position w:val="1"/>
                    </w:rPr>
                    <w:t>0.2m/s</w:t>
                  </w:r>
                  <w:r>
                    <w:rPr>
                      <w:color w:val="auto"/>
                      <w:spacing w:val="6"/>
                      <w:position w:val="1"/>
                    </w:rPr>
                    <w:t>。</w:t>
                  </w:r>
                </w:p>
              </w:tc>
            </w:tr>
            <w:tr w14:paraId="1A913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8892" w:type="dxa"/>
                  <w:gridSpan w:val="19"/>
                  <w:tcBorders>
                    <w:top w:val="single" w:color="auto" w:sz="4" w:space="0"/>
                    <w:left w:val="single" w:color="auto" w:sz="4" w:space="0"/>
                    <w:bottom w:val="single" w:color="auto" w:sz="4" w:space="0"/>
                    <w:right w:val="single" w:color="auto" w:sz="4" w:space="0"/>
                  </w:tcBorders>
                  <w:vAlign w:val="top"/>
                </w:tcPr>
                <w:p w14:paraId="0B05FC13">
                  <w:pPr>
                    <w:pStyle w:val="122"/>
                    <w:keepNext w:val="0"/>
                    <w:keepLines w:val="0"/>
                    <w:pageBreakBefore w:val="0"/>
                    <w:widowControl w:val="0"/>
                    <w:kinsoku/>
                    <w:wordWrap/>
                    <w:overflowPunct/>
                    <w:topLinePunct w:val="0"/>
                    <w:autoSpaceDE/>
                    <w:autoSpaceDN/>
                    <w:bidi w:val="0"/>
                    <w:adjustRightInd/>
                    <w:snapToGrid/>
                    <w:spacing w:before="28" w:line="240" w:lineRule="auto"/>
                    <w:ind w:left="1382" w:firstLine="0" w:firstLineChars="0"/>
                    <w:textAlignment w:val="auto"/>
                    <w:rPr>
                      <w:color w:val="auto"/>
                    </w:rPr>
                  </w:pPr>
                  <w:r>
                    <w:rPr>
                      <w:b/>
                      <w:bCs/>
                      <w:color w:val="auto"/>
                      <w:spacing w:val="7"/>
                    </w:rPr>
                    <w:t>表</w:t>
                  </w:r>
                  <w:r>
                    <w:rPr>
                      <w:color w:val="auto"/>
                      <w:spacing w:val="-40"/>
                    </w:rPr>
                    <w:t xml:space="preserve"> </w:t>
                  </w:r>
                  <w:r>
                    <w:rPr>
                      <w:rFonts w:ascii="Times New Roman" w:hAnsi="Times New Roman" w:eastAsia="Times New Roman" w:cs="Times New Roman"/>
                      <w:b/>
                      <w:bCs/>
                      <w:color w:val="auto"/>
                      <w:spacing w:val="7"/>
                    </w:rPr>
                    <w:t>4-</w:t>
                  </w:r>
                  <w:r>
                    <w:rPr>
                      <w:rFonts w:hint="eastAsia" w:ascii="Times New Roman" w:hAnsi="Times New Roman" w:eastAsia="宋体" w:cs="Times New Roman"/>
                      <w:b/>
                      <w:bCs/>
                      <w:color w:val="auto"/>
                      <w:spacing w:val="7"/>
                      <w:lang w:val="en-US" w:eastAsia="zh-CN"/>
                    </w:rPr>
                    <w:t>4</w:t>
                  </w:r>
                  <w:r>
                    <w:rPr>
                      <w:rFonts w:ascii="Times New Roman" w:hAnsi="Times New Roman" w:eastAsia="Times New Roman" w:cs="Times New Roman"/>
                      <w:b/>
                      <w:bCs/>
                      <w:color w:val="auto"/>
                      <w:spacing w:val="7"/>
                    </w:rPr>
                    <w:t xml:space="preserve">  </w:t>
                  </w:r>
                  <w:r>
                    <w:rPr>
                      <w:b/>
                      <w:bCs/>
                      <w:color w:val="auto"/>
                      <w:spacing w:val="7"/>
                    </w:rPr>
                    <w:t>装卸过程砂石料堆颗粒物排放系数</w:t>
                  </w:r>
                  <w:r>
                    <w:rPr>
                      <w:color w:val="auto"/>
                      <w:spacing w:val="-41"/>
                    </w:rPr>
                    <w:t xml:space="preserve"> </w:t>
                  </w:r>
                  <w:r>
                    <w:rPr>
                      <w:rFonts w:ascii="Times New Roman" w:hAnsi="Times New Roman" w:eastAsia="Times New Roman" w:cs="Times New Roman"/>
                      <w:b/>
                      <w:bCs/>
                      <w:color w:val="auto"/>
                    </w:rPr>
                    <w:t>Eh</w:t>
                  </w:r>
                  <w:r>
                    <w:rPr>
                      <w:rFonts w:ascii="Times New Roman" w:hAnsi="Times New Roman" w:eastAsia="Times New Roman" w:cs="Times New Roman"/>
                      <w:b/>
                      <w:bCs/>
                      <w:color w:val="auto"/>
                      <w:spacing w:val="7"/>
                    </w:rPr>
                    <w:t xml:space="preserve"> </w:t>
                  </w:r>
                  <w:r>
                    <w:rPr>
                      <w:b/>
                      <w:bCs/>
                      <w:color w:val="auto"/>
                      <w:spacing w:val="7"/>
                    </w:rPr>
                    <w:t>计算参数及结</w:t>
                  </w:r>
                  <w:r>
                    <w:rPr>
                      <w:b/>
                      <w:bCs/>
                      <w:color w:val="auto"/>
                      <w:spacing w:val="6"/>
                    </w:rPr>
                    <w:t>果表</w:t>
                  </w:r>
                </w:p>
              </w:tc>
            </w:tr>
            <w:tr w14:paraId="1A4B5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716" w:type="dxa"/>
                  <w:gridSpan w:val="4"/>
                  <w:tcBorders>
                    <w:top w:val="single" w:color="auto" w:sz="4" w:space="0"/>
                    <w:left w:val="single" w:color="auto" w:sz="4" w:space="0"/>
                    <w:bottom w:val="single" w:color="auto" w:sz="4" w:space="0"/>
                    <w:right w:val="single" w:color="auto" w:sz="4" w:space="0"/>
                  </w:tcBorders>
                  <w:vAlign w:val="top"/>
                </w:tcPr>
                <w:p w14:paraId="0A8257B9">
                  <w:pPr>
                    <w:pStyle w:val="122"/>
                    <w:keepNext w:val="0"/>
                    <w:keepLines w:val="0"/>
                    <w:pageBreakBefore w:val="0"/>
                    <w:widowControl w:val="0"/>
                    <w:kinsoku/>
                    <w:wordWrap/>
                    <w:overflowPunct/>
                    <w:topLinePunct w:val="0"/>
                    <w:autoSpaceDE/>
                    <w:autoSpaceDN/>
                    <w:bidi w:val="0"/>
                    <w:adjustRightInd/>
                    <w:snapToGrid/>
                    <w:spacing w:before="27" w:line="240" w:lineRule="auto"/>
                    <w:ind w:left="979" w:firstLine="0" w:firstLineChars="0"/>
                    <w:textAlignment w:val="auto"/>
                    <w:rPr>
                      <w:color w:val="auto"/>
                    </w:rPr>
                  </w:pPr>
                  <w:r>
                    <w:rPr>
                      <w:b/>
                      <w:bCs/>
                      <w:color w:val="auto"/>
                      <w:spacing w:val="5"/>
                    </w:rPr>
                    <w:t>排放源</w:t>
                  </w:r>
                </w:p>
              </w:tc>
              <w:tc>
                <w:tcPr>
                  <w:tcW w:w="883" w:type="dxa"/>
                  <w:gridSpan w:val="3"/>
                  <w:tcBorders>
                    <w:top w:val="single" w:color="auto" w:sz="4" w:space="0"/>
                    <w:left w:val="single" w:color="auto" w:sz="4" w:space="0"/>
                    <w:bottom w:val="single" w:color="auto" w:sz="4" w:space="0"/>
                    <w:right w:val="single" w:color="auto" w:sz="4" w:space="0"/>
                  </w:tcBorders>
                  <w:vAlign w:val="top"/>
                </w:tcPr>
                <w:p w14:paraId="747DA1A9">
                  <w:pPr>
                    <w:keepNext w:val="0"/>
                    <w:keepLines w:val="0"/>
                    <w:pageBreakBefore w:val="0"/>
                    <w:widowControl w:val="0"/>
                    <w:kinsoku/>
                    <w:wordWrap/>
                    <w:overflowPunct/>
                    <w:topLinePunct w:val="0"/>
                    <w:autoSpaceDE/>
                    <w:autoSpaceDN/>
                    <w:bidi w:val="0"/>
                    <w:adjustRightInd/>
                    <w:snapToGrid/>
                    <w:spacing w:before="63" w:line="240" w:lineRule="auto"/>
                    <w:ind w:left="329"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pacing w:val="2"/>
                      <w:sz w:val="20"/>
                      <w:szCs w:val="20"/>
                    </w:rPr>
                    <w:t>Ki</w:t>
                  </w:r>
                </w:p>
              </w:tc>
              <w:tc>
                <w:tcPr>
                  <w:tcW w:w="1511" w:type="dxa"/>
                  <w:gridSpan w:val="3"/>
                  <w:tcBorders>
                    <w:top w:val="single" w:color="auto" w:sz="4" w:space="0"/>
                    <w:left w:val="single" w:color="auto" w:sz="4" w:space="0"/>
                    <w:bottom w:val="single" w:color="auto" w:sz="4" w:space="0"/>
                    <w:right w:val="single" w:color="auto" w:sz="4" w:space="0"/>
                  </w:tcBorders>
                  <w:vAlign w:val="top"/>
                </w:tcPr>
                <w:p w14:paraId="20DCF04C">
                  <w:pPr>
                    <w:pStyle w:val="122"/>
                    <w:keepNext w:val="0"/>
                    <w:keepLines w:val="0"/>
                    <w:pageBreakBefore w:val="0"/>
                    <w:widowControl w:val="0"/>
                    <w:kinsoku/>
                    <w:wordWrap/>
                    <w:overflowPunct/>
                    <w:topLinePunct w:val="0"/>
                    <w:autoSpaceDE/>
                    <w:autoSpaceDN/>
                    <w:bidi w:val="0"/>
                    <w:adjustRightInd/>
                    <w:snapToGrid/>
                    <w:spacing w:before="27" w:line="240" w:lineRule="auto"/>
                    <w:ind w:left="341" w:firstLine="0" w:firstLineChars="0"/>
                    <w:textAlignment w:val="auto"/>
                    <w:rPr>
                      <w:color w:val="auto"/>
                    </w:rPr>
                  </w:pPr>
                  <w:r>
                    <w:rPr>
                      <w:rFonts w:ascii="Times New Roman" w:hAnsi="Times New Roman" w:eastAsia="Times New Roman" w:cs="Times New Roman"/>
                      <w:b/>
                      <w:bCs/>
                      <w:color w:val="auto"/>
                      <w:spacing w:val="4"/>
                    </w:rPr>
                    <w:t>M</w:t>
                  </w:r>
                  <w:r>
                    <w:rPr>
                      <w:b/>
                      <w:bCs/>
                      <w:color w:val="auto"/>
                      <w:spacing w:val="4"/>
                    </w:rPr>
                    <w:t>（</w:t>
                  </w:r>
                  <w:r>
                    <w:rPr>
                      <w:rFonts w:ascii="Times New Roman" w:hAnsi="Times New Roman" w:eastAsia="Times New Roman" w:cs="Times New Roman"/>
                      <w:b/>
                      <w:bCs/>
                      <w:color w:val="auto"/>
                      <w:spacing w:val="4"/>
                    </w:rPr>
                    <w:t>%</w:t>
                  </w:r>
                  <w:r>
                    <w:rPr>
                      <w:b/>
                      <w:bCs/>
                      <w:color w:val="auto"/>
                      <w:spacing w:val="4"/>
                    </w:rPr>
                    <w:t>）</w:t>
                  </w:r>
                </w:p>
              </w:tc>
              <w:tc>
                <w:tcPr>
                  <w:tcW w:w="1184" w:type="dxa"/>
                  <w:gridSpan w:val="3"/>
                  <w:tcBorders>
                    <w:top w:val="single" w:color="auto" w:sz="4" w:space="0"/>
                    <w:left w:val="single" w:color="auto" w:sz="4" w:space="0"/>
                    <w:bottom w:val="single" w:color="auto" w:sz="4" w:space="0"/>
                    <w:right w:val="single" w:color="auto" w:sz="4" w:space="0"/>
                  </w:tcBorders>
                  <w:vAlign w:val="top"/>
                </w:tcPr>
                <w:p w14:paraId="54AD38B3">
                  <w:pPr>
                    <w:pStyle w:val="122"/>
                    <w:keepNext w:val="0"/>
                    <w:keepLines w:val="0"/>
                    <w:pageBreakBefore w:val="0"/>
                    <w:widowControl w:val="0"/>
                    <w:kinsoku/>
                    <w:wordWrap/>
                    <w:overflowPunct/>
                    <w:topLinePunct w:val="0"/>
                    <w:autoSpaceDE/>
                    <w:autoSpaceDN/>
                    <w:bidi w:val="0"/>
                    <w:adjustRightInd/>
                    <w:snapToGrid/>
                    <w:spacing w:before="27" w:line="240" w:lineRule="auto"/>
                    <w:ind w:left="226" w:firstLine="0" w:firstLineChars="0"/>
                    <w:textAlignment w:val="auto"/>
                    <w:rPr>
                      <w:color w:val="auto"/>
                    </w:rPr>
                  </w:pPr>
                  <w:r>
                    <w:rPr>
                      <w:b/>
                      <w:bCs/>
                      <w:color w:val="auto"/>
                      <w:spacing w:val="-9"/>
                    </w:rPr>
                    <w:t>η（</w:t>
                  </w:r>
                  <w:r>
                    <w:rPr>
                      <w:rFonts w:ascii="Times New Roman" w:hAnsi="Times New Roman" w:eastAsia="Times New Roman" w:cs="Times New Roman"/>
                      <w:b/>
                      <w:bCs/>
                      <w:color w:val="auto"/>
                      <w:spacing w:val="-9"/>
                    </w:rPr>
                    <w:t>%</w:t>
                  </w:r>
                  <w:r>
                    <w:rPr>
                      <w:b/>
                      <w:bCs/>
                      <w:color w:val="auto"/>
                      <w:spacing w:val="-9"/>
                    </w:rPr>
                    <w:t>）</w:t>
                  </w:r>
                </w:p>
              </w:tc>
              <w:tc>
                <w:tcPr>
                  <w:tcW w:w="1227" w:type="dxa"/>
                  <w:gridSpan w:val="4"/>
                  <w:tcBorders>
                    <w:top w:val="single" w:color="auto" w:sz="4" w:space="0"/>
                    <w:left w:val="single" w:color="auto" w:sz="4" w:space="0"/>
                    <w:bottom w:val="single" w:color="auto" w:sz="4" w:space="0"/>
                    <w:right w:val="single" w:color="auto" w:sz="4" w:space="0"/>
                  </w:tcBorders>
                  <w:vAlign w:val="top"/>
                </w:tcPr>
                <w:p w14:paraId="57D60736">
                  <w:pPr>
                    <w:pStyle w:val="122"/>
                    <w:keepNext w:val="0"/>
                    <w:keepLines w:val="0"/>
                    <w:pageBreakBefore w:val="0"/>
                    <w:widowControl w:val="0"/>
                    <w:kinsoku/>
                    <w:wordWrap/>
                    <w:overflowPunct/>
                    <w:topLinePunct w:val="0"/>
                    <w:autoSpaceDE/>
                    <w:autoSpaceDN/>
                    <w:bidi w:val="0"/>
                    <w:adjustRightInd/>
                    <w:snapToGrid/>
                    <w:spacing w:before="27" w:line="240" w:lineRule="auto"/>
                    <w:ind w:left="192" w:firstLine="0" w:firstLineChars="0"/>
                    <w:textAlignment w:val="auto"/>
                    <w:rPr>
                      <w:color w:val="auto"/>
                    </w:rPr>
                  </w:pPr>
                  <w:r>
                    <w:rPr>
                      <w:rFonts w:ascii="Times New Roman" w:hAnsi="Times New Roman" w:eastAsia="Times New Roman" w:cs="Times New Roman"/>
                      <w:b/>
                      <w:bCs/>
                      <w:color w:val="auto"/>
                      <w:spacing w:val="-4"/>
                    </w:rPr>
                    <w:t>u</w:t>
                  </w:r>
                  <w:r>
                    <w:rPr>
                      <w:b/>
                      <w:bCs/>
                      <w:color w:val="auto"/>
                      <w:spacing w:val="-4"/>
                    </w:rPr>
                    <w:t>（</w:t>
                  </w:r>
                  <w:r>
                    <w:rPr>
                      <w:color w:val="auto"/>
                      <w:spacing w:val="-59"/>
                    </w:rPr>
                    <w:t xml:space="preserve"> </w:t>
                  </w:r>
                  <w:r>
                    <w:rPr>
                      <w:rFonts w:ascii="Times New Roman" w:hAnsi="Times New Roman" w:eastAsia="Times New Roman" w:cs="Times New Roman"/>
                      <w:b/>
                      <w:bCs/>
                      <w:color w:val="auto"/>
                      <w:spacing w:val="-4"/>
                    </w:rPr>
                    <w:t>m/s</w:t>
                  </w:r>
                  <w:r>
                    <w:rPr>
                      <w:b/>
                      <w:bCs/>
                      <w:color w:val="auto"/>
                      <w:spacing w:val="-4"/>
                    </w:rPr>
                    <w:t>）</w:t>
                  </w:r>
                </w:p>
              </w:tc>
              <w:tc>
                <w:tcPr>
                  <w:tcW w:w="1371" w:type="dxa"/>
                  <w:gridSpan w:val="2"/>
                  <w:tcBorders>
                    <w:top w:val="single" w:color="auto" w:sz="4" w:space="0"/>
                    <w:left w:val="single" w:color="auto" w:sz="4" w:space="0"/>
                    <w:bottom w:val="single" w:color="auto" w:sz="4" w:space="0"/>
                    <w:right w:val="single" w:color="auto" w:sz="4" w:space="0"/>
                  </w:tcBorders>
                  <w:vAlign w:val="top"/>
                </w:tcPr>
                <w:p w14:paraId="0F8CA0DD">
                  <w:pPr>
                    <w:pStyle w:val="122"/>
                    <w:keepNext w:val="0"/>
                    <w:keepLines w:val="0"/>
                    <w:pageBreakBefore w:val="0"/>
                    <w:widowControl w:val="0"/>
                    <w:kinsoku/>
                    <w:wordWrap/>
                    <w:overflowPunct/>
                    <w:topLinePunct w:val="0"/>
                    <w:autoSpaceDE/>
                    <w:autoSpaceDN/>
                    <w:bidi w:val="0"/>
                    <w:adjustRightInd/>
                    <w:snapToGrid/>
                    <w:spacing w:before="27" w:line="240" w:lineRule="auto"/>
                    <w:ind w:left="158" w:firstLine="0" w:firstLineChars="0"/>
                    <w:textAlignment w:val="auto"/>
                    <w:rPr>
                      <w:color w:val="auto"/>
                    </w:rPr>
                  </w:pPr>
                  <w:r>
                    <w:rPr>
                      <w:rFonts w:ascii="Times New Roman" w:hAnsi="Times New Roman" w:eastAsia="Times New Roman" w:cs="Times New Roman"/>
                      <w:b/>
                      <w:bCs/>
                      <w:color w:val="auto"/>
                    </w:rPr>
                    <w:t>Eh</w:t>
                  </w:r>
                  <w:r>
                    <w:rPr>
                      <w:b/>
                      <w:bCs/>
                      <w:color w:val="auto"/>
                      <w:spacing w:val="7"/>
                    </w:rPr>
                    <w:t>（</w:t>
                  </w:r>
                  <w:r>
                    <w:rPr>
                      <w:rFonts w:ascii="Times New Roman" w:hAnsi="Times New Roman" w:eastAsia="Times New Roman" w:cs="Times New Roman"/>
                      <w:b/>
                      <w:bCs/>
                      <w:color w:val="auto"/>
                    </w:rPr>
                    <w:t>kg</w:t>
                  </w:r>
                  <w:r>
                    <w:rPr>
                      <w:rFonts w:ascii="Times New Roman" w:hAnsi="Times New Roman" w:eastAsia="Times New Roman" w:cs="Times New Roman"/>
                      <w:b/>
                      <w:bCs/>
                      <w:color w:val="auto"/>
                      <w:spacing w:val="7"/>
                    </w:rPr>
                    <w:t>/t</w:t>
                  </w:r>
                  <w:r>
                    <w:rPr>
                      <w:b/>
                      <w:bCs/>
                      <w:color w:val="auto"/>
                      <w:spacing w:val="7"/>
                    </w:rPr>
                    <w:t>）</w:t>
                  </w:r>
                </w:p>
              </w:tc>
            </w:tr>
            <w:tr w14:paraId="0C58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716" w:type="dxa"/>
                  <w:gridSpan w:val="4"/>
                  <w:tcBorders>
                    <w:top w:val="single" w:color="auto" w:sz="4" w:space="0"/>
                    <w:left w:val="single" w:color="auto" w:sz="4" w:space="0"/>
                    <w:bottom w:val="single" w:color="auto" w:sz="4" w:space="0"/>
                    <w:right w:val="single" w:color="auto" w:sz="4" w:space="0"/>
                  </w:tcBorders>
                  <w:vAlign w:val="top"/>
                </w:tcPr>
                <w:p w14:paraId="278834FA">
                  <w:pPr>
                    <w:pStyle w:val="122"/>
                    <w:keepNext w:val="0"/>
                    <w:keepLines w:val="0"/>
                    <w:pageBreakBefore w:val="0"/>
                    <w:widowControl w:val="0"/>
                    <w:kinsoku/>
                    <w:wordWrap/>
                    <w:overflowPunct/>
                    <w:topLinePunct w:val="0"/>
                    <w:autoSpaceDE/>
                    <w:autoSpaceDN/>
                    <w:bidi w:val="0"/>
                    <w:adjustRightInd/>
                    <w:snapToGrid/>
                    <w:spacing w:before="28" w:line="240" w:lineRule="auto"/>
                    <w:ind w:left="875" w:firstLine="0" w:firstLineChars="0"/>
                    <w:textAlignment w:val="auto"/>
                    <w:rPr>
                      <w:color w:val="auto"/>
                    </w:rPr>
                  </w:pPr>
                  <w:r>
                    <w:rPr>
                      <w:color w:val="auto"/>
                      <w:spacing w:val="7"/>
                    </w:rPr>
                    <w:t>砂石料堆</w:t>
                  </w:r>
                </w:p>
              </w:tc>
              <w:tc>
                <w:tcPr>
                  <w:tcW w:w="883" w:type="dxa"/>
                  <w:gridSpan w:val="3"/>
                  <w:tcBorders>
                    <w:top w:val="single" w:color="auto" w:sz="4" w:space="0"/>
                    <w:left w:val="single" w:color="auto" w:sz="4" w:space="0"/>
                    <w:bottom w:val="single" w:color="auto" w:sz="4" w:space="0"/>
                    <w:right w:val="single" w:color="auto" w:sz="4" w:space="0"/>
                  </w:tcBorders>
                  <w:vAlign w:val="top"/>
                </w:tcPr>
                <w:p w14:paraId="281DAA2E">
                  <w:pPr>
                    <w:keepNext w:val="0"/>
                    <w:keepLines w:val="0"/>
                    <w:pageBreakBefore w:val="0"/>
                    <w:widowControl w:val="0"/>
                    <w:kinsoku/>
                    <w:wordWrap/>
                    <w:overflowPunct/>
                    <w:topLinePunct w:val="0"/>
                    <w:autoSpaceDE/>
                    <w:autoSpaceDN/>
                    <w:bidi w:val="0"/>
                    <w:adjustRightInd/>
                    <w:snapToGrid/>
                    <w:spacing w:before="64" w:line="240" w:lineRule="auto"/>
                    <w:ind w:left="260"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sz w:val="20"/>
                      <w:szCs w:val="20"/>
                    </w:rPr>
                    <w:t>0.74</w:t>
                  </w:r>
                </w:p>
              </w:tc>
              <w:tc>
                <w:tcPr>
                  <w:tcW w:w="1511" w:type="dxa"/>
                  <w:gridSpan w:val="3"/>
                  <w:tcBorders>
                    <w:top w:val="single" w:color="auto" w:sz="4" w:space="0"/>
                    <w:left w:val="single" w:color="auto" w:sz="4" w:space="0"/>
                    <w:bottom w:val="single" w:color="auto" w:sz="4" w:space="0"/>
                    <w:right w:val="single" w:color="auto" w:sz="4" w:space="0"/>
                  </w:tcBorders>
                  <w:vAlign w:val="top"/>
                </w:tcPr>
                <w:p w14:paraId="00DE60FD">
                  <w:pPr>
                    <w:keepNext w:val="0"/>
                    <w:keepLines w:val="0"/>
                    <w:pageBreakBefore w:val="0"/>
                    <w:widowControl w:val="0"/>
                    <w:kinsoku/>
                    <w:wordWrap/>
                    <w:overflowPunct/>
                    <w:topLinePunct w:val="0"/>
                    <w:autoSpaceDE/>
                    <w:autoSpaceDN/>
                    <w:bidi w:val="0"/>
                    <w:adjustRightInd/>
                    <w:snapToGrid/>
                    <w:spacing w:before="64" w:line="240" w:lineRule="auto"/>
                    <w:ind w:left="671"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8"/>
                      <w:sz w:val="20"/>
                      <w:szCs w:val="20"/>
                    </w:rPr>
                    <w:t>15</w:t>
                  </w:r>
                </w:p>
              </w:tc>
              <w:tc>
                <w:tcPr>
                  <w:tcW w:w="1184" w:type="dxa"/>
                  <w:gridSpan w:val="3"/>
                  <w:tcBorders>
                    <w:top w:val="single" w:color="auto" w:sz="4" w:space="0"/>
                    <w:left w:val="single" w:color="auto" w:sz="4" w:space="0"/>
                    <w:bottom w:val="single" w:color="auto" w:sz="4" w:space="0"/>
                    <w:right w:val="single" w:color="auto" w:sz="4" w:space="0"/>
                  </w:tcBorders>
                  <w:vAlign w:val="top"/>
                </w:tcPr>
                <w:p w14:paraId="09CEF852">
                  <w:pPr>
                    <w:keepNext w:val="0"/>
                    <w:keepLines w:val="0"/>
                    <w:pageBreakBefore w:val="0"/>
                    <w:widowControl w:val="0"/>
                    <w:kinsoku/>
                    <w:wordWrap/>
                    <w:overflowPunct/>
                    <w:topLinePunct w:val="0"/>
                    <w:autoSpaceDE/>
                    <w:autoSpaceDN/>
                    <w:bidi w:val="0"/>
                    <w:adjustRightInd/>
                    <w:snapToGrid/>
                    <w:spacing w:before="64" w:line="240" w:lineRule="auto"/>
                    <w:ind w:left="413" w:firstLine="0" w:firstLineChars="0"/>
                    <w:textAlignment w:val="auto"/>
                    <w:rPr>
                      <w:rFonts w:hint="default" w:ascii="Times New Roman" w:hAnsi="Times New Roman" w:eastAsia="宋体" w:cs="Times New Roman"/>
                      <w:color w:val="auto"/>
                      <w:sz w:val="20"/>
                      <w:szCs w:val="20"/>
                      <w:lang w:val="en-US" w:eastAsia="zh-CN"/>
                    </w:rPr>
                  </w:pPr>
                  <w:r>
                    <w:rPr>
                      <w:rFonts w:hint="eastAsia" w:eastAsia="宋体" w:cs="Times New Roman"/>
                      <w:color w:val="auto"/>
                      <w:spacing w:val="2"/>
                      <w:sz w:val="20"/>
                      <w:szCs w:val="20"/>
                      <w:lang w:val="en-US" w:eastAsia="zh-CN"/>
                    </w:rPr>
                    <w:t>89.6</w:t>
                  </w:r>
                </w:p>
              </w:tc>
              <w:tc>
                <w:tcPr>
                  <w:tcW w:w="1227" w:type="dxa"/>
                  <w:gridSpan w:val="4"/>
                  <w:tcBorders>
                    <w:top w:val="single" w:color="auto" w:sz="4" w:space="0"/>
                    <w:left w:val="single" w:color="auto" w:sz="4" w:space="0"/>
                    <w:bottom w:val="single" w:color="auto" w:sz="4" w:space="0"/>
                    <w:right w:val="single" w:color="auto" w:sz="4" w:space="0"/>
                  </w:tcBorders>
                  <w:vAlign w:val="top"/>
                </w:tcPr>
                <w:p w14:paraId="49332A21">
                  <w:pPr>
                    <w:keepNext w:val="0"/>
                    <w:keepLines w:val="0"/>
                    <w:pageBreakBefore w:val="0"/>
                    <w:widowControl w:val="0"/>
                    <w:kinsoku/>
                    <w:wordWrap/>
                    <w:overflowPunct/>
                    <w:topLinePunct w:val="0"/>
                    <w:autoSpaceDE/>
                    <w:autoSpaceDN/>
                    <w:bidi w:val="0"/>
                    <w:adjustRightInd/>
                    <w:snapToGrid/>
                    <w:spacing w:before="64" w:line="240" w:lineRule="auto"/>
                    <w:ind w:left="488"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0.2</w:t>
                  </w:r>
                </w:p>
              </w:tc>
              <w:tc>
                <w:tcPr>
                  <w:tcW w:w="1371" w:type="dxa"/>
                  <w:gridSpan w:val="2"/>
                  <w:tcBorders>
                    <w:top w:val="single" w:color="auto" w:sz="4" w:space="0"/>
                    <w:left w:val="single" w:color="auto" w:sz="4" w:space="0"/>
                    <w:bottom w:val="single" w:color="auto" w:sz="4" w:space="0"/>
                    <w:right w:val="single" w:color="auto" w:sz="4" w:space="0"/>
                  </w:tcBorders>
                  <w:vAlign w:val="top"/>
                </w:tcPr>
                <w:p w14:paraId="455FA289">
                  <w:pPr>
                    <w:keepNext w:val="0"/>
                    <w:keepLines w:val="0"/>
                    <w:pageBreakBefore w:val="0"/>
                    <w:widowControl w:val="0"/>
                    <w:kinsoku/>
                    <w:wordWrap/>
                    <w:overflowPunct/>
                    <w:topLinePunct w:val="0"/>
                    <w:autoSpaceDE/>
                    <w:autoSpaceDN/>
                    <w:bidi w:val="0"/>
                    <w:adjustRightInd/>
                    <w:snapToGrid/>
                    <w:spacing w:before="64" w:line="240" w:lineRule="auto"/>
                    <w:ind w:left="229"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4"/>
                      <w:sz w:val="20"/>
                      <w:szCs w:val="20"/>
                    </w:rPr>
                    <w:t>0.0000003</w:t>
                  </w:r>
                </w:p>
              </w:tc>
            </w:tr>
            <w:tr w14:paraId="2D953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8892" w:type="dxa"/>
                  <w:gridSpan w:val="19"/>
                  <w:tcBorders>
                    <w:top w:val="single" w:color="auto" w:sz="4" w:space="0"/>
                    <w:left w:val="single" w:color="auto" w:sz="4" w:space="0"/>
                    <w:bottom w:val="single" w:color="auto" w:sz="4" w:space="0"/>
                    <w:right w:val="single" w:color="auto" w:sz="4" w:space="0"/>
                  </w:tcBorders>
                  <w:vAlign w:val="top"/>
                </w:tcPr>
                <w:p w14:paraId="4501CF90">
                  <w:pPr>
                    <w:pStyle w:val="122"/>
                    <w:keepNext w:val="0"/>
                    <w:keepLines w:val="0"/>
                    <w:pageBreakBefore w:val="0"/>
                    <w:widowControl w:val="0"/>
                    <w:kinsoku/>
                    <w:wordWrap/>
                    <w:overflowPunct/>
                    <w:topLinePunct w:val="0"/>
                    <w:autoSpaceDE/>
                    <w:autoSpaceDN/>
                    <w:bidi w:val="0"/>
                    <w:adjustRightInd/>
                    <w:snapToGrid/>
                    <w:spacing w:before="29" w:line="240" w:lineRule="auto"/>
                    <w:ind w:left="2090" w:firstLine="0" w:firstLineChars="0"/>
                    <w:textAlignment w:val="auto"/>
                    <w:rPr>
                      <w:color w:val="auto"/>
                    </w:rPr>
                  </w:pPr>
                  <w:r>
                    <w:rPr>
                      <w:b/>
                      <w:bCs/>
                      <w:color w:val="auto"/>
                      <w:spacing w:val="6"/>
                    </w:rPr>
                    <w:t>表</w:t>
                  </w:r>
                  <w:r>
                    <w:rPr>
                      <w:color w:val="auto"/>
                      <w:spacing w:val="-26"/>
                    </w:rPr>
                    <w:t xml:space="preserve"> </w:t>
                  </w:r>
                  <w:r>
                    <w:rPr>
                      <w:rFonts w:ascii="Times New Roman" w:hAnsi="Times New Roman" w:eastAsia="Times New Roman" w:cs="Times New Roman"/>
                      <w:b/>
                      <w:bCs/>
                      <w:color w:val="auto"/>
                      <w:spacing w:val="6"/>
                    </w:rPr>
                    <w:t>4-</w:t>
                  </w:r>
                  <w:r>
                    <w:rPr>
                      <w:rFonts w:hint="eastAsia" w:ascii="Times New Roman" w:hAnsi="Times New Roman" w:eastAsia="宋体" w:cs="Times New Roman"/>
                      <w:b/>
                      <w:bCs/>
                      <w:color w:val="auto"/>
                      <w:spacing w:val="6"/>
                      <w:lang w:val="en-US" w:eastAsia="zh-CN"/>
                    </w:rPr>
                    <w:t>5</w:t>
                  </w:r>
                  <w:r>
                    <w:rPr>
                      <w:rFonts w:ascii="Times New Roman" w:hAnsi="Times New Roman" w:eastAsia="Times New Roman" w:cs="Times New Roman"/>
                      <w:b/>
                      <w:bCs/>
                      <w:color w:val="auto"/>
                      <w:spacing w:val="6"/>
                    </w:rPr>
                    <w:t xml:space="preserve">  </w:t>
                  </w:r>
                  <w:r>
                    <w:rPr>
                      <w:b/>
                      <w:bCs/>
                      <w:color w:val="auto"/>
                      <w:spacing w:val="6"/>
                    </w:rPr>
                    <w:t>砂石料堆颗粒物排放量计算参数及结果表</w:t>
                  </w:r>
                </w:p>
              </w:tc>
            </w:tr>
            <w:tr w14:paraId="5E8D9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5" w:type="dxa"/>
                  <w:gridSpan w:val="2"/>
                  <w:tcBorders>
                    <w:top w:val="single" w:color="auto" w:sz="4" w:space="0"/>
                    <w:left w:val="single" w:color="auto" w:sz="4" w:space="0"/>
                    <w:bottom w:val="single" w:color="auto" w:sz="4" w:space="0"/>
                    <w:right w:val="single" w:color="auto" w:sz="4" w:space="0"/>
                  </w:tcBorders>
                  <w:vAlign w:val="top"/>
                </w:tcPr>
                <w:p w14:paraId="0FD6D318">
                  <w:pPr>
                    <w:pStyle w:val="122"/>
                    <w:keepNext w:val="0"/>
                    <w:keepLines w:val="0"/>
                    <w:pageBreakBefore w:val="0"/>
                    <w:widowControl w:val="0"/>
                    <w:kinsoku/>
                    <w:wordWrap/>
                    <w:overflowPunct/>
                    <w:topLinePunct w:val="0"/>
                    <w:autoSpaceDE/>
                    <w:autoSpaceDN/>
                    <w:bidi w:val="0"/>
                    <w:adjustRightInd/>
                    <w:snapToGrid/>
                    <w:spacing w:before="45" w:line="240" w:lineRule="auto"/>
                    <w:ind w:left="819" w:firstLine="0" w:firstLineChars="0"/>
                    <w:textAlignment w:val="auto"/>
                    <w:rPr>
                      <w:color w:val="auto"/>
                    </w:rPr>
                  </w:pPr>
                  <w:r>
                    <w:rPr>
                      <w:b/>
                      <w:bCs/>
                      <w:color w:val="auto"/>
                      <w:spacing w:val="5"/>
                    </w:rPr>
                    <w:t>排放源</w:t>
                  </w:r>
                </w:p>
              </w:tc>
              <w:tc>
                <w:tcPr>
                  <w:tcW w:w="1014" w:type="dxa"/>
                  <w:gridSpan w:val="4"/>
                  <w:tcBorders>
                    <w:top w:val="single" w:color="auto" w:sz="4" w:space="0"/>
                    <w:left w:val="single" w:color="auto" w:sz="4" w:space="0"/>
                    <w:bottom w:val="single" w:color="auto" w:sz="4" w:space="0"/>
                    <w:right w:val="single" w:color="auto" w:sz="4" w:space="0"/>
                  </w:tcBorders>
                  <w:vAlign w:val="top"/>
                </w:tcPr>
                <w:p w14:paraId="37C978ED">
                  <w:pPr>
                    <w:pStyle w:val="122"/>
                    <w:keepNext w:val="0"/>
                    <w:keepLines w:val="0"/>
                    <w:pageBreakBefore w:val="0"/>
                    <w:widowControl w:val="0"/>
                    <w:kinsoku/>
                    <w:wordWrap/>
                    <w:overflowPunct/>
                    <w:topLinePunct w:val="0"/>
                    <w:autoSpaceDE/>
                    <w:autoSpaceDN/>
                    <w:bidi w:val="0"/>
                    <w:adjustRightInd/>
                    <w:snapToGrid/>
                    <w:spacing w:before="46" w:line="240" w:lineRule="auto"/>
                    <w:ind w:left="11" w:firstLine="0" w:firstLineChars="0"/>
                    <w:textAlignment w:val="auto"/>
                    <w:rPr>
                      <w:color w:val="auto"/>
                    </w:rPr>
                  </w:pPr>
                  <w:r>
                    <w:rPr>
                      <w:rFonts w:ascii="Times New Roman" w:hAnsi="Times New Roman" w:eastAsia="Times New Roman" w:cs="Times New Roman"/>
                      <w:b/>
                      <w:bCs/>
                      <w:color w:val="auto"/>
                    </w:rPr>
                    <w:t>E</w:t>
                  </w:r>
                  <w:r>
                    <w:rPr>
                      <w:rFonts w:ascii="Times New Roman" w:hAnsi="Times New Roman" w:eastAsia="Times New Roman" w:cs="Times New Roman"/>
                      <w:b/>
                      <w:bCs/>
                      <w:color w:val="auto"/>
                      <w:position w:val="-1"/>
                      <w:sz w:val="13"/>
                      <w:szCs w:val="13"/>
                    </w:rPr>
                    <w:t>h</w:t>
                  </w:r>
                  <w:r>
                    <w:rPr>
                      <w:b/>
                      <w:bCs/>
                      <w:color w:val="auto"/>
                      <w:spacing w:val="6"/>
                    </w:rPr>
                    <w:t>（</w:t>
                  </w:r>
                  <w:r>
                    <w:rPr>
                      <w:rFonts w:ascii="Times New Roman" w:hAnsi="Times New Roman" w:eastAsia="Times New Roman" w:cs="Times New Roman"/>
                      <w:b/>
                      <w:bCs/>
                      <w:color w:val="auto"/>
                    </w:rPr>
                    <w:t>kg</w:t>
                  </w:r>
                  <w:r>
                    <w:rPr>
                      <w:rFonts w:ascii="Times New Roman" w:hAnsi="Times New Roman" w:eastAsia="Times New Roman" w:cs="Times New Roman"/>
                      <w:b/>
                      <w:bCs/>
                      <w:color w:val="auto"/>
                      <w:spacing w:val="6"/>
                    </w:rPr>
                    <w:t>/t</w:t>
                  </w:r>
                  <w:r>
                    <w:rPr>
                      <w:b/>
                      <w:bCs/>
                      <w:color w:val="auto"/>
                      <w:spacing w:val="6"/>
                    </w:rPr>
                    <w:t>）</w:t>
                  </w:r>
                </w:p>
              </w:tc>
              <w:tc>
                <w:tcPr>
                  <w:tcW w:w="1055" w:type="dxa"/>
                  <w:gridSpan w:val="3"/>
                  <w:tcBorders>
                    <w:top w:val="single" w:color="auto" w:sz="4" w:space="0"/>
                    <w:left w:val="single" w:color="auto" w:sz="4" w:space="0"/>
                    <w:bottom w:val="single" w:color="auto" w:sz="4" w:space="0"/>
                    <w:right w:val="single" w:color="auto" w:sz="4" w:space="0"/>
                  </w:tcBorders>
                  <w:vAlign w:val="top"/>
                </w:tcPr>
                <w:p w14:paraId="590D5799">
                  <w:pPr>
                    <w:pStyle w:val="122"/>
                    <w:keepNext w:val="0"/>
                    <w:keepLines w:val="0"/>
                    <w:pageBreakBefore w:val="0"/>
                    <w:widowControl w:val="0"/>
                    <w:kinsoku/>
                    <w:wordWrap/>
                    <w:overflowPunct/>
                    <w:topLinePunct w:val="0"/>
                    <w:autoSpaceDE/>
                    <w:autoSpaceDN/>
                    <w:bidi w:val="0"/>
                    <w:adjustRightInd/>
                    <w:snapToGrid/>
                    <w:spacing w:before="46" w:line="240" w:lineRule="auto"/>
                    <w:ind w:left="126" w:firstLine="0" w:firstLineChars="0"/>
                    <w:textAlignment w:val="auto"/>
                    <w:rPr>
                      <w:color w:val="auto"/>
                    </w:rPr>
                  </w:pPr>
                  <w:r>
                    <w:rPr>
                      <w:rFonts w:ascii="Times New Roman" w:hAnsi="Times New Roman" w:eastAsia="Times New Roman" w:cs="Times New Roman"/>
                      <w:b/>
                      <w:bCs/>
                      <w:color w:val="auto"/>
                      <w:spacing w:val="3"/>
                    </w:rPr>
                    <w:t>m</w:t>
                  </w:r>
                  <w:r>
                    <w:rPr>
                      <w:b/>
                      <w:bCs/>
                      <w:color w:val="auto"/>
                      <w:spacing w:val="3"/>
                    </w:rPr>
                    <w:t>（次）</w:t>
                  </w:r>
                </w:p>
              </w:tc>
              <w:tc>
                <w:tcPr>
                  <w:tcW w:w="1021" w:type="dxa"/>
                  <w:gridSpan w:val="3"/>
                  <w:tcBorders>
                    <w:top w:val="single" w:color="auto" w:sz="4" w:space="0"/>
                    <w:left w:val="single" w:color="auto" w:sz="4" w:space="0"/>
                    <w:bottom w:val="single" w:color="auto" w:sz="4" w:space="0"/>
                    <w:right w:val="single" w:color="auto" w:sz="4" w:space="0"/>
                  </w:tcBorders>
                  <w:vAlign w:val="top"/>
                </w:tcPr>
                <w:p w14:paraId="169E98C1">
                  <w:pPr>
                    <w:pStyle w:val="122"/>
                    <w:keepNext w:val="0"/>
                    <w:keepLines w:val="0"/>
                    <w:pageBreakBefore w:val="0"/>
                    <w:widowControl w:val="0"/>
                    <w:kinsoku/>
                    <w:wordWrap/>
                    <w:overflowPunct/>
                    <w:topLinePunct w:val="0"/>
                    <w:autoSpaceDE/>
                    <w:autoSpaceDN/>
                    <w:bidi w:val="0"/>
                    <w:adjustRightInd/>
                    <w:snapToGrid/>
                    <w:spacing w:before="46" w:line="240" w:lineRule="auto"/>
                    <w:ind w:left="123" w:firstLine="0" w:firstLineChars="0"/>
                    <w:textAlignment w:val="auto"/>
                    <w:rPr>
                      <w:color w:val="auto"/>
                    </w:rPr>
                  </w:pPr>
                  <w:r>
                    <w:rPr>
                      <w:rFonts w:ascii="Times New Roman" w:hAnsi="Times New Roman" w:eastAsia="Times New Roman" w:cs="Times New Roman"/>
                      <w:b/>
                      <w:bCs/>
                      <w:color w:val="auto"/>
                    </w:rPr>
                    <w:t>G</w:t>
                  </w:r>
                  <w:r>
                    <w:rPr>
                      <w:rFonts w:ascii="Times New Roman" w:hAnsi="Times New Roman" w:eastAsia="Times New Roman" w:cs="Times New Roman"/>
                      <w:b/>
                      <w:bCs/>
                      <w:color w:val="auto"/>
                      <w:position w:val="-1"/>
                      <w:sz w:val="13"/>
                      <w:szCs w:val="13"/>
                    </w:rPr>
                    <w:t>Yi</w:t>
                  </w:r>
                  <w:r>
                    <w:rPr>
                      <w:b/>
                      <w:bCs/>
                      <w:color w:val="auto"/>
                      <w:spacing w:val="1"/>
                    </w:rPr>
                    <w:t>（</w:t>
                  </w:r>
                  <w:r>
                    <w:rPr>
                      <w:rFonts w:ascii="Times New Roman" w:hAnsi="Times New Roman" w:eastAsia="Times New Roman" w:cs="Times New Roman"/>
                      <w:b/>
                      <w:bCs/>
                      <w:color w:val="auto"/>
                      <w:spacing w:val="1"/>
                    </w:rPr>
                    <w:t>t</w:t>
                  </w:r>
                  <w:r>
                    <w:rPr>
                      <w:b/>
                      <w:bCs/>
                      <w:color w:val="auto"/>
                      <w:spacing w:val="1"/>
                    </w:rPr>
                    <w:t>）</w:t>
                  </w:r>
                </w:p>
              </w:tc>
              <w:tc>
                <w:tcPr>
                  <w:tcW w:w="1046" w:type="dxa"/>
                  <w:gridSpan w:val="3"/>
                  <w:tcBorders>
                    <w:top w:val="single" w:color="auto" w:sz="4" w:space="0"/>
                    <w:left w:val="single" w:color="auto" w:sz="4" w:space="0"/>
                    <w:bottom w:val="single" w:color="auto" w:sz="4" w:space="0"/>
                    <w:right w:val="single" w:color="auto" w:sz="4" w:space="0"/>
                  </w:tcBorders>
                  <w:vAlign w:val="top"/>
                </w:tcPr>
                <w:p w14:paraId="4A620CFE">
                  <w:pPr>
                    <w:pStyle w:val="122"/>
                    <w:keepNext w:val="0"/>
                    <w:keepLines w:val="0"/>
                    <w:pageBreakBefore w:val="0"/>
                    <w:widowControl w:val="0"/>
                    <w:kinsoku/>
                    <w:wordWrap/>
                    <w:overflowPunct/>
                    <w:topLinePunct w:val="0"/>
                    <w:autoSpaceDE/>
                    <w:autoSpaceDN/>
                    <w:bidi w:val="0"/>
                    <w:adjustRightInd/>
                    <w:snapToGrid/>
                    <w:spacing w:before="46" w:line="240" w:lineRule="auto"/>
                    <w:ind w:firstLine="0" w:firstLineChars="0"/>
                    <w:jc w:val="right"/>
                    <w:textAlignment w:val="auto"/>
                    <w:rPr>
                      <w:color w:val="auto"/>
                    </w:rPr>
                  </w:pPr>
                  <w:r>
                    <w:rPr>
                      <w:rFonts w:ascii="Times New Roman" w:hAnsi="Times New Roman" w:eastAsia="Times New Roman" w:cs="Times New Roman"/>
                      <w:b/>
                      <w:bCs/>
                      <w:color w:val="auto"/>
                      <w:spacing w:val="-6"/>
                    </w:rPr>
                    <w:t>E</w:t>
                  </w:r>
                  <w:r>
                    <w:rPr>
                      <w:rFonts w:ascii="Times New Roman" w:hAnsi="Times New Roman" w:eastAsia="Times New Roman" w:cs="Times New Roman"/>
                      <w:b/>
                      <w:bCs/>
                      <w:color w:val="auto"/>
                      <w:spacing w:val="-6"/>
                      <w:position w:val="-1"/>
                      <w:sz w:val="13"/>
                      <w:szCs w:val="13"/>
                    </w:rPr>
                    <w:t>w</w:t>
                  </w:r>
                  <w:r>
                    <w:rPr>
                      <w:b/>
                      <w:bCs/>
                      <w:color w:val="auto"/>
                      <w:spacing w:val="-14"/>
                    </w:rPr>
                    <w:t>（</w:t>
                  </w:r>
                  <w:r>
                    <w:rPr>
                      <w:rFonts w:ascii="Times New Roman" w:hAnsi="Times New Roman" w:eastAsia="Times New Roman" w:cs="Times New Roman"/>
                      <w:b/>
                      <w:bCs/>
                      <w:color w:val="auto"/>
                      <w:spacing w:val="-14"/>
                    </w:rPr>
                    <w:t>kg/m</w:t>
                  </w:r>
                  <w:r>
                    <w:rPr>
                      <w:rFonts w:ascii="Times New Roman" w:hAnsi="Times New Roman" w:eastAsia="Times New Roman" w:cs="Times New Roman"/>
                      <w:b/>
                      <w:bCs/>
                      <w:color w:val="auto"/>
                      <w:spacing w:val="6"/>
                      <w:position w:val="6"/>
                      <w:sz w:val="13"/>
                      <w:szCs w:val="13"/>
                    </w:rPr>
                    <w:t>2</w:t>
                  </w:r>
                  <w:r>
                    <w:rPr>
                      <w:b/>
                      <w:bCs/>
                      <w:color w:val="auto"/>
                      <w:spacing w:val="-27"/>
                    </w:rPr>
                    <w:t>）</w:t>
                  </w:r>
                </w:p>
              </w:tc>
              <w:tc>
                <w:tcPr>
                  <w:tcW w:w="1164" w:type="dxa"/>
                  <w:gridSpan w:val="3"/>
                  <w:tcBorders>
                    <w:top w:val="single" w:color="auto" w:sz="4" w:space="0"/>
                    <w:left w:val="single" w:color="auto" w:sz="4" w:space="0"/>
                    <w:bottom w:val="single" w:color="auto" w:sz="4" w:space="0"/>
                    <w:right w:val="single" w:color="auto" w:sz="4" w:space="0"/>
                  </w:tcBorders>
                  <w:vAlign w:val="top"/>
                </w:tcPr>
                <w:p w14:paraId="36D2B768">
                  <w:pPr>
                    <w:pStyle w:val="122"/>
                    <w:keepNext w:val="0"/>
                    <w:keepLines w:val="0"/>
                    <w:pageBreakBefore w:val="0"/>
                    <w:widowControl w:val="0"/>
                    <w:kinsoku/>
                    <w:wordWrap/>
                    <w:overflowPunct/>
                    <w:topLinePunct w:val="0"/>
                    <w:autoSpaceDE/>
                    <w:autoSpaceDN/>
                    <w:bidi w:val="0"/>
                    <w:adjustRightInd/>
                    <w:snapToGrid/>
                    <w:spacing w:before="45" w:line="240" w:lineRule="auto"/>
                    <w:ind w:left="125" w:firstLine="0" w:firstLineChars="0"/>
                    <w:textAlignment w:val="auto"/>
                    <w:rPr>
                      <w:color w:val="auto"/>
                    </w:rPr>
                  </w:pPr>
                  <w:r>
                    <w:rPr>
                      <w:rFonts w:ascii="Times New Roman" w:hAnsi="Times New Roman" w:eastAsia="Times New Roman" w:cs="Times New Roman"/>
                      <w:b/>
                      <w:bCs/>
                      <w:color w:val="auto"/>
                      <w:spacing w:val="-3"/>
                    </w:rPr>
                    <w:t>A</w:t>
                  </w:r>
                  <w:r>
                    <w:rPr>
                      <w:rFonts w:ascii="Times New Roman" w:hAnsi="Times New Roman" w:eastAsia="Times New Roman" w:cs="Times New Roman"/>
                      <w:b/>
                      <w:bCs/>
                      <w:color w:val="auto"/>
                      <w:spacing w:val="-3"/>
                      <w:position w:val="-2"/>
                      <w:sz w:val="13"/>
                      <w:szCs w:val="13"/>
                    </w:rPr>
                    <w:t>Y</w:t>
                  </w:r>
                  <w:r>
                    <w:rPr>
                      <w:b/>
                      <w:bCs/>
                      <w:color w:val="auto"/>
                      <w:spacing w:val="-3"/>
                    </w:rPr>
                    <w:t>（</w:t>
                  </w:r>
                  <w:r>
                    <w:rPr>
                      <w:color w:val="auto"/>
                      <w:spacing w:val="-57"/>
                    </w:rPr>
                    <w:t xml:space="preserve"> </w:t>
                  </w:r>
                  <w:r>
                    <w:rPr>
                      <w:rFonts w:ascii="Times New Roman" w:hAnsi="Times New Roman" w:eastAsia="Times New Roman" w:cs="Times New Roman"/>
                      <w:b/>
                      <w:bCs/>
                      <w:color w:val="auto"/>
                      <w:spacing w:val="-3"/>
                    </w:rPr>
                    <w:t>m</w:t>
                  </w:r>
                  <w:r>
                    <w:rPr>
                      <w:rFonts w:ascii="Times New Roman" w:hAnsi="Times New Roman" w:eastAsia="Times New Roman" w:cs="Times New Roman"/>
                      <w:b/>
                      <w:bCs/>
                      <w:color w:val="auto"/>
                      <w:spacing w:val="-3"/>
                      <w:position w:val="6"/>
                      <w:sz w:val="13"/>
                      <w:szCs w:val="13"/>
                    </w:rPr>
                    <w:t>2</w:t>
                  </w:r>
                  <w:r>
                    <w:rPr>
                      <w:b/>
                      <w:bCs/>
                      <w:color w:val="auto"/>
                      <w:spacing w:val="-3"/>
                    </w:rPr>
                    <w:t>）</w:t>
                  </w:r>
                </w:p>
              </w:tc>
              <w:tc>
                <w:tcPr>
                  <w:tcW w:w="1197" w:type="dxa"/>
                  <w:tcBorders>
                    <w:top w:val="single" w:color="auto" w:sz="4" w:space="0"/>
                    <w:left w:val="single" w:color="auto" w:sz="4" w:space="0"/>
                    <w:bottom w:val="single" w:color="auto" w:sz="4" w:space="0"/>
                    <w:right w:val="single" w:color="auto" w:sz="4" w:space="0"/>
                  </w:tcBorders>
                  <w:vAlign w:val="top"/>
                </w:tcPr>
                <w:p w14:paraId="29ED327C">
                  <w:pPr>
                    <w:pStyle w:val="122"/>
                    <w:keepNext w:val="0"/>
                    <w:keepLines w:val="0"/>
                    <w:pageBreakBefore w:val="0"/>
                    <w:widowControl w:val="0"/>
                    <w:kinsoku/>
                    <w:wordWrap/>
                    <w:overflowPunct/>
                    <w:topLinePunct w:val="0"/>
                    <w:autoSpaceDE/>
                    <w:autoSpaceDN/>
                    <w:bidi w:val="0"/>
                    <w:adjustRightInd/>
                    <w:snapToGrid/>
                    <w:spacing w:before="46" w:line="240" w:lineRule="auto"/>
                    <w:ind w:left="102" w:firstLine="0" w:firstLineChars="0"/>
                    <w:textAlignment w:val="auto"/>
                    <w:rPr>
                      <w:color w:val="auto"/>
                    </w:rPr>
                  </w:pPr>
                  <w:r>
                    <w:rPr>
                      <w:rFonts w:ascii="Times New Roman" w:hAnsi="Times New Roman" w:eastAsia="Times New Roman" w:cs="Times New Roman"/>
                      <w:b/>
                      <w:bCs/>
                      <w:color w:val="auto"/>
                    </w:rPr>
                    <w:t>W</w:t>
                  </w:r>
                  <w:r>
                    <w:rPr>
                      <w:rFonts w:ascii="Times New Roman" w:hAnsi="Times New Roman" w:eastAsia="Times New Roman" w:cs="Times New Roman"/>
                      <w:b/>
                      <w:bCs/>
                      <w:color w:val="auto"/>
                      <w:position w:val="-1"/>
                      <w:sz w:val="13"/>
                      <w:szCs w:val="13"/>
                    </w:rPr>
                    <w:t>Y</w:t>
                  </w:r>
                  <w:r>
                    <w:rPr>
                      <w:b/>
                      <w:bCs/>
                      <w:color w:val="auto"/>
                      <w:spacing w:val="5"/>
                    </w:rPr>
                    <w:t>（</w:t>
                  </w:r>
                  <w:r>
                    <w:rPr>
                      <w:rFonts w:ascii="Times New Roman" w:hAnsi="Times New Roman" w:eastAsia="Times New Roman" w:cs="Times New Roman"/>
                      <w:b/>
                      <w:bCs/>
                      <w:color w:val="auto"/>
                      <w:spacing w:val="5"/>
                    </w:rPr>
                    <w:t>t/a</w:t>
                  </w:r>
                  <w:r>
                    <w:rPr>
                      <w:b/>
                      <w:bCs/>
                      <w:color w:val="auto"/>
                      <w:spacing w:val="5"/>
                    </w:rPr>
                    <w:t>）</w:t>
                  </w:r>
                </w:p>
              </w:tc>
            </w:tr>
            <w:tr w14:paraId="7761C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395" w:type="dxa"/>
                  <w:gridSpan w:val="2"/>
                  <w:tcBorders>
                    <w:top w:val="single" w:color="auto" w:sz="4" w:space="0"/>
                    <w:left w:val="single" w:color="auto" w:sz="4" w:space="0"/>
                    <w:bottom w:val="single" w:color="auto" w:sz="4" w:space="0"/>
                    <w:right w:val="single" w:color="auto" w:sz="4" w:space="0"/>
                  </w:tcBorders>
                  <w:vAlign w:val="top"/>
                </w:tcPr>
                <w:p w14:paraId="65100817">
                  <w:pPr>
                    <w:pStyle w:val="122"/>
                    <w:keepNext w:val="0"/>
                    <w:keepLines w:val="0"/>
                    <w:pageBreakBefore w:val="0"/>
                    <w:widowControl w:val="0"/>
                    <w:kinsoku/>
                    <w:wordWrap/>
                    <w:overflowPunct/>
                    <w:topLinePunct w:val="0"/>
                    <w:autoSpaceDE/>
                    <w:autoSpaceDN/>
                    <w:bidi w:val="0"/>
                    <w:adjustRightInd/>
                    <w:snapToGrid/>
                    <w:spacing w:before="27" w:line="240" w:lineRule="auto"/>
                    <w:ind w:left="715" w:firstLine="0" w:firstLineChars="0"/>
                    <w:textAlignment w:val="auto"/>
                    <w:rPr>
                      <w:color w:val="auto"/>
                    </w:rPr>
                  </w:pPr>
                  <w:r>
                    <w:rPr>
                      <w:color w:val="auto"/>
                      <w:spacing w:val="7"/>
                    </w:rPr>
                    <w:t>砂石料堆</w:t>
                  </w:r>
                </w:p>
              </w:tc>
              <w:tc>
                <w:tcPr>
                  <w:tcW w:w="1014" w:type="dxa"/>
                  <w:gridSpan w:val="4"/>
                  <w:tcBorders>
                    <w:top w:val="single" w:color="auto" w:sz="4" w:space="0"/>
                    <w:left w:val="single" w:color="auto" w:sz="4" w:space="0"/>
                    <w:bottom w:val="single" w:color="auto" w:sz="4" w:space="0"/>
                    <w:right w:val="single" w:color="auto" w:sz="4" w:space="0"/>
                  </w:tcBorders>
                  <w:vAlign w:val="top"/>
                </w:tcPr>
                <w:p w14:paraId="678D9724">
                  <w:pPr>
                    <w:keepNext w:val="0"/>
                    <w:keepLines w:val="0"/>
                    <w:pageBreakBefore w:val="0"/>
                    <w:widowControl w:val="0"/>
                    <w:kinsoku/>
                    <w:wordWrap/>
                    <w:overflowPunct/>
                    <w:topLinePunct w:val="0"/>
                    <w:autoSpaceDE/>
                    <w:autoSpaceDN/>
                    <w:bidi w:val="0"/>
                    <w:adjustRightInd/>
                    <w:snapToGrid/>
                    <w:spacing w:before="61" w:line="240" w:lineRule="auto"/>
                    <w:ind w:left="63"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4"/>
                      <w:sz w:val="20"/>
                      <w:szCs w:val="20"/>
                    </w:rPr>
                    <w:t>0.0000003</w:t>
                  </w:r>
                </w:p>
              </w:tc>
              <w:tc>
                <w:tcPr>
                  <w:tcW w:w="1055" w:type="dxa"/>
                  <w:gridSpan w:val="3"/>
                  <w:tcBorders>
                    <w:top w:val="single" w:color="auto" w:sz="4" w:space="0"/>
                    <w:left w:val="single" w:color="auto" w:sz="4" w:space="0"/>
                    <w:bottom w:val="single" w:color="auto" w:sz="4" w:space="0"/>
                    <w:right w:val="single" w:color="auto" w:sz="4" w:space="0"/>
                  </w:tcBorders>
                  <w:vAlign w:val="top"/>
                </w:tcPr>
                <w:p w14:paraId="40F8AF3F">
                  <w:pPr>
                    <w:keepNext w:val="0"/>
                    <w:keepLines w:val="0"/>
                    <w:pageBreakBefore w:val="0"/>
                    <w:widowControl w:val="0"/>
                    <w:kinsoku/>
                    <w:wordWrap/>
                    <w:overflowPunct/>
                    <w:topLinePunct w:val="0"/>
                    <w:autoSpaceDE/>
                    <w:autoSpaceDN/>
                    <w:bidi w:val="0"/>
                    <w:adjustRightInd/>
                    <w:snapToGrid/>
                    <w:spacing w:before="61" w:line="240" w:lineRule="auto"/>
                    <w:ind w:left="269" w:firstLine="0" w:firstLineChars="0"/>
                    <w:textAlignment w:val="auto"/>
                    <w:rPr>
                      <w:rFonts w:hint="default" w:ascii="Times New Roman" w:hAnsi="Times New Roman" w:eastAsia="宋体" w:cs="Times New Roman"/>
                      <w:color w:val="auto"/>
                      <w:sz w:val="20"/>
                      <w:szCs w:val="20"/>
                      <w:lang w:val="en-US" w:eastAsia="zh-CN"/>
                    </w:rPr>
                  </w:pPr>
                  <w:r>
                    <w:rPr>
                      <w:rFonts w:hint="eastAsia" w:eastAsia="宋体" w:cs="Times New Roman"/>
                      <w:color w:val="auto"/>
                      <w:spacing w:val="3"/>
                      <w:sz w:val="20"/>
                      <w:szCs w:val="20"/>
                      <w:lang w:val="en-US" w:eastAsia="zh-CN"/>
                    </w:rPr>
                    <w:t>5823</w:t>
                  </w:r>
                </w:p>
              </w:tc>
              <w:tc>
                <w:tcPr>
                  <w:tcW w:w="1021" w:type="dxa"/>
                  <w:gridSpan w:val="3"/>
                  <w:tcBorders>
                    <w:top w:val="single" w:color="auto" w:sz="4" w:space="0"/>
                    <w:left w:val="single" w:color="auto" w:sz="4" w:space="0"/>
                    <w:bottom w:val="single" w:color="auto" w:sz="4" w:space="0"/>
                    <w:right w:val="single" w:color="auto" w:sz="4" w:space="0"/>
                  </w:tcBorders>
                  <w:vAlign w:val="top"/>
                </w:tcPr>
                <w:p w14:paraId="087EDFBF">
                  <w:pPr>
                    <w:keepNext w:val="0"/>
                    <w:keepLines w:val="0"/>
                    <w:pageBreakBefore w:val="0"/>
                    <w:widowControl w:val="0"/>
                    <w:kinsoku/>
                    <w:wordWrap/>
                    <w:overflowPunct/>
                    <w:topLinePunct w:val="0"/>
                    <w:autoSpaceDE/>
                    <w:autoSpaceDN/>
                    <w:bidi w:val="0"/>
                    <w:adjustRightInd/>
                    <w:snapToGrid/>
                    <w:spacing w:before="61" w:line="240" w:lineRule="auto"/>
                    <w:ind w:left="407"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sz w:val="20"/>
                      <w:szCs w:val="20"/>
                    </w:rPr>
                    <w:t>20</w:t>
                  </w:r>
                </w:p>
              </w:tc>
              <w:tc>
                <w:tcPr>
                  <w:tcW w:w="1046" w:type="dxa"/>
                  <w:gridSpan w:val="3"/>
                  <w:tcBorders>
                    <w:top w:val="single" w:color="auto" w:sz="4" w:space="0"/>
                    <w:left w:val="single" w:color="auto" w:sz="4" w:space="0"/>
                    <w:bottom w:val="single" w:color="auto" w:sz="4" w:space="0"/>
                    <w:right w:val="single" w:color="auto" w:sz="4" w:space="0"/>
                  </w:tcBorders>
                  <w:vAlign w:val="top"/>
                </w:tcPr>
                <w:p w14:paraId="24C0D90C">
                  <w:pPr>
                    <w:keepNext w:val="0"/>
                    <w:keepLines w:val="0"/>
                    <w:pageBreakBefore w:val="0"/>
                    <w:widowControl w:val="0"/>
                    <w:kinsoku/>
                    <w:wordWrap/>
                    <w:overflowPunct/>
                    <w:topLinePunct w:val="0"/>
                    <w:autoSpaceDE/>
                    <w:autoSpaceDN/>
                    <w:bidi w:val="0"/>
                    <w:adjustRightInd/>
                    <w:snapToGrid/>
                    <w:spacing w:before="61" w:line="240" w:lineRule="auto"/>
                    <w:ind w:left="474" w:firstLine="0" w:firstLineChars="0"/>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0</w:t>
                  </w:r>
                </w:p>
              </w:tc>
              <w:tc>
                <w:tcPr>
                  <w:tcW w:w="1164" w:type="dxa"/>
                  <w:gridSpan w:val="3"/>
                  <w:tcBorders>
                    <w:top w:val="single" w:color="auto" w:sz="4" w:space="0"/>
                    <w:left w:val="single" w:color="auto" w:sz="4" w:space="0"/>
                    <w:bottom w:val="single" w:color="auto" w:sz="4" w:space="0"/>
                    <w:right w:val="single" w:color="auto" w:sz="4" w:space="0"/>
                  </w:tcBorders>
                  <w:vAlign w:val="top"/>
                </w:tcPr>
                <w:p w14:paraId="2B04BAA0">
                  <w:pPr>
                    <w:keepNext w:val="0"/>
                    <w:keepLines w:val="0"/>
                    <w:pageBreakBefore w:val="0"/>
                    <w:widowControl w:val="0"/>
                    <w:kinsoku/>
                    <w:wordWrap/>
                    <w:overflowPunct/>
                    <w:topLinePunct w:val="0"/>
                    <w:autoSpaceDE/>
                    <w:autoSpaceDN/>
                    <w:bidi w:val="0"/>
                    <w:adjustRightInd/>
                    <w:snapToGrid/>
                    <w:spacing w:before="61" w:line="240" w:lineRule="auto"/>
                    <w:ind w:left="373" w:firstLine="0" w:firstLineChars="0"/>
                    <w:textAlignment w:val="auto"/>
                    <w:rPr>
                      <w:rFonts w:hint="default" w:ascii="Times New Roman" w:hAnsi="Times New Roman" w:eastAsia="宋体" w:cs="Times New Roman"/>
                      <w:color w:val="auto"/>
                      <w:sz w:val="20"/>
                      <w:szCs w:val="20"/>
                      <w:lang w:val="en-US" w:eastAsia="zh-CN"/>
                    </w:rPr>
                  </w:pPr>
                  <w:r>
                    <w:rPr>
                      <w:rFonts w:hint="eastAsia" w:eastAsia="宋体" w:cs="Times New Roman"/>
                      <w:color w:val="auto"/>
                      <w:spacing w:val="4"/>
                      <w:sz w:val="20"/>
                      <w:szCs w:val="20"/>
                      <w:lang w:val="en-US" w:eastAsia="zh-CN"/>
                    </w:rPr>
                    <w:t>800</w:t>
                  </w:r>
                </w:p>
              </w:tc>
              <w:tc>
                <w:tcPr>
                  <w:tcW w:w="1197" w:type="dxa"/>
                  <w:tcBorders>
                    <w:top w:val="single" w:color="auto" w:sz="4" w:space="0"/>
                    <w:left w:val="single" w:color="auto" w:sz="4" w:space="0"/>
                    <w:bottom w:val="single" w:color="auto" w:sz="4" w:space="0"/>
                    <w:right w:val="single" w:color="auto" w:sz="4" w:space="0"/>
                  </w:tcBorders>
                  <w:vAlign w:val="top"/>
                </w:tcPr>
                <w:p w14:paraId="4F028617">
                  <w:pPr>
                    <w:keepNext w:val="0"/>
                    <w:keepLines w:val="0"/>
                    <w:pageBreakBefore w:val="0"/>
                    <w:widowControl w:val="0"/>
                    <w:kinsoku/>
                    <w:wordWrap/>
                    <w:overflowPunct/>
                    <w:topLinePunct w:val="0"/>
                    <w:autoSpaceDE/>
                    <w:autoSpaceDN/>
                    <w:bidi w:val="0"/>
                    <w:adjustRightInd/>
                    <w:snapToGrid/>
                    <w:spacing w:before="61" w:line="240" w:lineRule="auto"/>
                    <w:ind w:left="299" w:firstLine="0" w:firstLineChars="0"/>
                    <w:textAlignment w:val="auto"/>
                    <w:rPr>
                      <w:rFonts w:hint="default" w:ascii="Times New Roman" w:hAnsi="Times New Roman" w:eastAsia="宋体" w:cs="Times New Roman"/>
                      <w:color w:val="auto"/>
                      <w:sz w:val="20"/>
                      <w:szCs w:val="20"/>
                      <w:lang w:val="en-US" w:eastAsia="zh-CN"/>
                    </w:rPr>
                  </w:pPr>
                  <w:r>
                    <w:rPr>
                      <w:rFonts w:ascii="Times New Roman" w:hAnsi="Times New Roman" w:eastAsia="Times New Roman" w:cs="Times New Roman"/>
                      <w:color w:val="auto"/>
                      <w:spacing w:val="3"/>
                      <w:sz w:val="20"/>
                      <w:szCs w:val="20"/>
                    </w:rPr>
                    <w:t>0.000</w:t>
                  </w:r>
                  <w:r>
                    <w:rPr>
                      <w:rFonts w:hint="eastAsia" w:eastAsia="宋体" w:cs="Times New Roman"/>
                      <w:color w:val="auto"/>
                      <w:spacing w:val="3"/>
                      <w:sz w:val="20"/>
                      <w:szCs w:val="20"/>
                      <w:lang w:val="en-US" w:eastAsia="zh-CN"/>
                    </w:rPr>
                    <w:t>0378</w:t>
                  </w:r>
                </w:p>
              </w:tc>
            </w:tr>
          </w:tbl>
          <w:p w14:paraId="512909E8">
            <w:pPr>
              <w:pStyle w:val="122"/>
              <w:keepNext w:val="0"/>
              <w:keepLines w:val="0"/>
              <w:pageBreakBefore w:val="0"/>
              <w:widowControl w:val="0"/>
              <w:kinsoku/>
              <w:wordWrap w:val="0"/>
              <w:overflowPunct/>
              <w:topLinePunct/>
              <w:autoSpaceDE/>
              <w:autoSpaceDN/>
              <w:bidi w:val="0"/>
              <w:adjustRightInd/>
              <w:snapToGrid/>
              <w:spacing w:line="348" w:lineRule="auto"/>
              <w:ind w:left="0" w:firstLine="483"/>
              <w:jc w:val="left"/>
              <w:textAlignment w:val="auto"/>
              <w:rPr>
                <w:rFonts w:hint="default" w:ascii="Times New Roman" w:hAnsi="Times New Roman" w:cs="Times New Roman"/>
                <w:color w:val="auto"/>
                <w:spacing w:val="0"/>
                <w:w w:val="100"/>
                <w:sz w:val="24"/>
                <w:szCs w:val="24"/>
              </w:rPr>
            </w:pPr>
            <w:r>
              <w:rPr>
                <w:rFonts w:hint="default" w:ascii="Times New Roman" w:hAnsi="Times New Roman" w:cs="Times New Roman"/>
                <w:color w:val="auto"/>
                <w:spacing w:val="0"/>
                <w:w w:val="100"/>
                <w:sz w:val="24"/>
                <w:szCs w:val="24"/>
              </w:rPr>
              <w:t>根据上述公式计算，砂石料颗粒物在采取所在堆棚半封闭（仅留</w:t>
            </w:r>
            <w:r>
              <w:rPr>
                <w:rFonts w:hint="default" w:ascii="Times New Roman" w:hAnsi="Times New Roman" w:eastAsia="Times New Roman" w:cs="Times New Roman"/>
                <w:color w:val="auto"/>
                <w:spacing w:val="0"/>
                <w:w w:val="100"/>
                <w:sz w:val="24"/>
                <w:szCs w:val="24"/>
              </w:rPr>
              <w:t>1</w:t>
            </w:r>
            <w:r>
              <w:rPr>
                <w:rFonts w:hint="default" w:ascii="Times New Roman" w:hAnsi="Times New Roman" w:cs="Times New Roman"/>
                <w:color w:val="auto"/>
                <w:spacing w:val="0"/>
                <w:w w:val="100"/>
                <w:sz w:val="24"/>
                <w:szCs w:val="24"/>
              </w:rPr>
              <w:t>个出入口），采取喷淋降尘措施的废气防治措施下，颗粒物排放量为</w:t>
            </w:r>
            <w:r>
              <w:rPr>
                <w:rFonts w:hint="default" w:ascii="Times New Roman" w:hAnsi="Times New Roman" w:eastAsia="Times New Roman" w:cs="Times New Roman"/>
                <w:color w:val="auto"/>
                <w:spacing w:val="0"/>
                <w:w w:val="100"/>
                <w:sz w:val="24"/>
                <w:szCs w:val="24"/>
              </w:rPr>
              <w:t>0.000</w:t>
            </w:r>
            <w:r>
              <w:rPr>
                <w:rFonts w:hint="eastAsia" w:ascii="Times New Roman" w:hAnsi="Times New Roman" w:eastAsia="宋体" w:cs="Times New Roman"/>
                <w:color w:val="auto"/>
                <w:spacing w:val="0"/>
                <w:w w:val="100"/>
                <w:sz w:val="24"/>
                <w:szCs w:val="24"/>
                <w:lang w:val="en-US" w:eastAsia="zh-CN"/>
              </w:rPr>
              <w:t>065</w:t>
            </w:r>
            <w:r>
              <w:rPr>
                <w:rFonts w:hint="default" w:ascii="Times New Roman" w:hAnsi="Times New Roman" w:eastAsia="Times New Roman" w:cs="Times New Roman"/>
                <w:color w:val="auto"/>
                <w:spacing w:val="0"/>
                <w:w w:val="100"/>
                <w:sz w:val="24"/>
                <w:szCs w:val="24"/>
              </w:rPr>
              <w:t>t/a</w:t>
            </w:r>
            <w:r>
              <w:rPr>
                <w:rFonts w:hint="default" w:ascii="Times New Roman" w:hAnsi="Times New Roman" w:cs="Times New Roman"/>
                <w:color w:val="auto"/>
                <w:spacing w:val="0"/>
                <w:w w:val="100"/>
                <w:sz w:val="24"/>
                <w:szCs w:val="24"/>
              </w:rPr>
              <w:t>，根据《工业行业产排污系数手册</w:t>
            </w:r>
            <w:r>
              <w:rPr>
                <w:rFonts w:hint="default" w:ascii="Times New Roman" w:hAnsi="Times New Roman" w:eastAsia="Times New Roman" w:cs="Times New Roman"/>
                <w:color w:val="auto"/>
                <w:spacing w:val="0"/>
                <w:w w:val="100"/>
                <w:sz w:val="24"/>
                <w:szCs w:val="24"/>
              </w:rPr>
              <w:t>--</w:t>
            </w:r>
            <w:r>
              <w:rPr>
                <w:rFonts w:hint="default" w:ascii="Times New Roman" w:hAnsi="Times New Roman" w:cs="Times New Roman"/>
                <w:color w:val="auto"/>
                <w:spacing w:val="0"/>
                <w:w w:val="100"/>
                <w:sz w:val="24"/>
                <w:szCs w:val="24"/>
              </w:rPr>
              <w:t>附表</w:t>
            </w:r>
            <w:r>
              <w:rPr>
                <w:rFonts w:hint="default" w:ascii="Times New Roman" w:hAnsi="Times New Roman" w:eastAsia="Times New Roman" w:cs="Times New Roman"/>
                <w:color w:val="auto"/>
                <w:spacing w:val="0"/>
                <w:w w:val="100"/>
                <w:sz w:val="24"/>
                <w:szCs w:val="24"/>
              </w:rPr>
              <w:t>2</w:t>
            </w:r>
            <w:r>
              <w:rPr>
                <w:rFonts w:hint="default" w:ascii="Times New Roman" w:hAnsi="Times New Roman" w:cs="Times New Roman"/>
                <w:color w:val="auto"/>
                <w:spacing w:val="0"/>
                <w:w w:val="100"/>
                <w:sz w:val="24"/>
                <w:szCs w:val="24"/>
              </w:rPr>
              <w:t>固体物料堆存颗粒物产排污核算系数手册》，半封闭式堆场粉尘控制效率为</w:t>
            </w:r>
            <w:r>
              <w:rPr>
                <w:rFonts w:hint="default" w:ascii="Times New Roman" w:hAnsi="Times New Roman" w:eastAsia="宋体" w:cs="Times New Roman"/>
                <w:color w:val="auto"/>
                <w:spacing w:val="0"/>
                <w:w w:val="100"/>
                <w:sz w:val="24"/>
                <w:szCs w:val="24"/>
                <w:lang w:val="en-US" w:eastAsia="zh-CN"/>
              </w:rPr>
              <w:t>6</w:t>
            </w:r>
            <w:r>
              <w:rPr>
                <w:rFonts w:hint="default" w:ascii="Times New Roman" w:hAnsi="Times New Roman" w:eastAsia="Times New Roman" w:cs="Times New Roman"/>
                <w:color w:val="auto"/>
                <w:spacing w:val="0"/>
                <w:w w:val="100"/>
                <w:sz w:val="24"/>
                <w:szCs w:val="24"/>
              </w:rPr>
              <w:t>0%</w:t>
            </w:r>
            <w:r>
              <w:rPr>
                <w:rFonts w:hint="default" w:ascii="Times New Roman" w:hAnsi="Times New Roman" w:cs="Times New Roman"/>
                <w:color w:val="auto"/>
                <w:spacing w:val="0"/>
                <w:w w:val="100"/>
                <w:sz w:val="24"/>
                <w:szCs w:val="24"/>
              </w:rPr>
              <w:t>，洒水措施粉尘控制效率为</w:t>
            </w:r>
            <w:r>
              <w:rPr>
                <w:rFonts w:hint="default" w:ascii="Times New Roman" w:hAnsi="Times New Roman" w:eastAsia="Times New Roman" w:cs="Times New Roman"/>
                <w:color w:val="auto"/>
                <w:spacing w:val="0"/>
                <w:w w:val="100"/>
                <w:sz w:val="24"/>
                <w:szCs w:val="24"/>
              </w:rPr>
              <w:t>7</w:t>
            </w:r>
            <w:r>
              <w:rPr>
                <w:rFonts w:hint="default" w:ascii="Times New Roman" w:hAnsi="Times New Roman" w:eastAsia="宋体" w:cs="Times New Roman"/>
                <w:color w:val="auto"/>
                <w:spacing w:val="0"/>
                <w:w w:val="100"/>
                <w:sz w:val="24"/>
                <w:szCs w:val="24"/>
                <w:lang w:val="en-US" w:eastAsia="zh-CN"/>
              </w:rPr>
              <w:t>4</w:t>
            </w:r>
            <w:r>
              <w:rPr>
                <w:rFonts w:hint="default" w:ascii="Times New Roman" w:hAnsi="Times New Roman" w:eastAsia="Times New Roman" w:cs="Times New Roman"/>
                <w:color w:val="auto"/>
                <w:spacing w:val="0"/>
                <w:w w:val="100"/>
                <w:sz w:val="24"/>
                <w:szCs w:val="24"/>
              </w:rPr>
              <w:t>%</w:t>
            </w:r>
            <w:r>
              <w:rPr>
                <w:rFonts w:hint="default" w:ascii="Times New Roman" w:hAnsi="Times New Roman" w:cs="Times New Roman"/>
                <w:color w:val="auto"/>
                <w:spacing w:val="0"/>
                <w:w w:val="100"/>
                <w:sz w:val="24"/>
                <w:szCs w:val="24"/>
              </w:rPr>
              <w:t>，故本项目堆棚对颗粒物的综合控制效率为</w:t>
            </w:r>
            <w:r>
              <w:rPr>
                <w:rFonts w:hint="eastAsia" w:ascii="Times New Roman" w:hAnsi="Times New Roman" w:eastAsia="宋体" w:cs="Times New Roman"/>
                <w:color w:val="auto"/>
                <w:spacing w:val="0"/>
                <w:w w:val="100"/>
                <w:sz w:val="24"/>
                <w:szCs w:val="24"/>
                <w:lang w:val="en-US" w:eastAsia="zh-CN"/>
              </w:rPr>
              <w:t>89.6</w:t>
            </w:r>
            <w:r>
              <w:rPr>
                <w:rFonts w:hint="default" w:ascii="Times New Roman" w:hAnsi="Times New Roman" w:eastAsia="Times New Roman" w:cs="Times New Roman"/>
                <w:color w:val="auto"/>
                <w:spacing w:val="0"/>
                <w:w w:val="100"/>
                <w:sz w:val="24"/>
                <w:szCs w:val="24"/>
              </w:rPr>
              <w:t>%</w:t>
            </w:r>
            <w:r>
              <w:rPr>
                <w:rFonts w:hint="default" w:ascii="Times New Roman" w:hAnsi="Times New Roman" w:cs="Times New Roman"/>
                <w:color w:val="auto"/>
                <w:spacing w:val="0"/>
                <w:w w:val="100"/>
                <w:sz w:val="24"/>
                <w:szCs w:val="24"/>
              </w:rPr>
              <w:t>，经计算，颗粒物产生量为</w:t>
            </w:r>
            <w:r>
              <w:rPr>
                <w:rFonts w:hint="default" w:ascii="Times New Roman" w:hAnsi="Times New Roman" w:eastAsia="Times New Roman" w:cs="Times New Roman"/>
                <w:color w:val="auto"/>
                <w:spacing w:val="0"/>
                <w:w w:val="100"/>
                <w:sz w:val="24"/>
                <w:szCs w:val="24"/>
              </w:rPr>
              <w:t>0.00</w:t>
            </w:r>
            <w:r>
              <w:rPr>
                <w:rFonts w:hint="eastAsia" w:ascii="Times New Roman" w:hAnsi="Times New Roman" w:eastAsia="宋体" w:cs="Times New Roman"/>
                <w:color w:val="auto"/>
                <w:spacing w:val="0"/>
                <w:w w:val="100"/>
                <w:sz w:val="24"/>
                <w:szCs w:val="24"/>
                <w:lang w:val="en-US" w:eastAsia="zh-CN"/>
              </w:rPr>
              <w:t>00378</w:t>
            </w:r>
            <w:r>
              <w:rPr>
                <w:rFonts w:hint="default" w:ascii="Times New Roman" w:hAnsi="Times New Roman" w:eastAsia="Times New Roman" w:cs="Times New Roman"/>
                <w:color w:val="auto"/>
                <w:spacing w:val="0"/>
                <w:w w:val="100"/>
                <w:sz w:val="24"/>
                <w:szCs w:val="24"/>
              </w:rPr>
              <w:t>t/a</w:t>
            </w:r>
            <w:r>
              <w:rPr>
                <w:rFonts w:hint="default" w:ascii="Times New Roman" w:hAnsi="Times New Roman" w:cs="Times New Roman"/>
                <w:color w:val="auto"/>
                <w:spacing w:val="0"/>
                <w:w w:val="100"/>
                <w:sz w:val="24"/>
                <w:szCs w:val="24"/>
              </w:rPr>
              <w:t>。本项目年工作</w:t>
            </w:r>
            <w:r>
              <w:rPr>
                <w:rFonts w:hint="default" w:ascii="Times New Roman" w:hAnsi="Times New Roman" w:eastAsia="Times New Roman" w:cs="Times New Roman"/>
                <w:color w:val="auto"/>
                <w:spacing w:val="0"/>
                <w:w w:val="100"/>
                <w:sz w:val="24"/>
                <w:szCs w:val="24"/>
              </w:rPr>
              <w:t>300</w:t>
            </w:r>
            <w:r>
              <w:rPr>
                <w:rFonts w:hint="default" w:ascii="Times New Roman" w:hAnsi="Times New Roman" w:cs="Times New Roman"/>
                <w:color w:val="auto"/>
                <w:spacing w:val="0"/>
                <w:w w:val="100"/>
                <w:sz w:val="24"/>
                <w:szCs w:val="24"/>
              </w:rPr>
              <w:t>天，实行</w:t>
            </w:r>
            <w:r>
              <w:rPr>
                <w:rFonts w:hint="default" w:ascii="Times New Roman" w:hAnsi="Times New Roman" w:eastAsia="Times New Roman" w:cs="Times New Roman"/>
                <w:color w:val="auto"/>
                <w:spacing w:val="0"/>
                <w:w w:val="100"/>
                <w:sz w:val="24"/>
                <w:szCs w:val="24"/>
              </w:rPr>
              <w:t>8</w:t>
            </w:r>
            <w:r>
              <w:rPr>
                <w:rFonts w:hint="default" w:ascii="Times New Roman" w:hAnsi="Times New Roman" w:cs="Times New Roman"/>
                <w:color w:val="auto"/>
                <w:spacing w:val="0"/>
                <w:w w:val="100"/>
                <w:sz w:val="24"/>
                <w:szCs w:val="24"/>
              </w:rPr>
              <w:t>小时工作制。砂石料颗粒物排放速率为</w:t>
            </w:r>
            <w:r>
              <w:rPr>
                <w:rFonts w:hint="default" w:ascii="Times New Roman" w:hAnsi="Times New Roman" w:eastAsia="Times New Roman" w:cs="Times New Roman"/>
                <w:color w:val="auto"/>
                <w:spacing w:val="0"/>
                <w:w w:val="100"/>
                <w:sz w:val="24"/>
                <w:szCs w:val="24"/>
              </w:rPr>
              <w:t>0.000</w:t>
            </w:r>
            <w:r>
              <w:rPr>
                <w:rFonts w:hint="eastAsia" w:ascii="Times New Roman" w:hAnsi="Times New Roman" w:eastAsia="宋体" w:cs="Times New Roman"/>
                <w:color w:val="auto"/>
                <w:spacing w:val="0"/>
                <w:w w:val="100"/>
                <w:sz w:val="24"/>
                <w:szCs w:val="24"/>
                <w:lang w:val="en-US" w:eastAsia="zh-CN"/>
              </w:rPr>
              <w:t>00164</w:t>
            </w:r>
            <w:r>
              <w:rPr>
                <w:rFonts w:hint="default" w:ascii="Times New Roman" w:hAnsi="Times New Roman" w:eastAsia="Times New Roman" w:cs="Times New Roman"/>
                <w:color w:val="auto"/>
                <w:spacing w:val="0"/>
                <w:w w:val="100"/>
                <w:sz w:val="24"/>
                <w:szCs w:val="24"/>
              </w:rPr>
              <w:t>kg/h</w:t>
            </w:r>
            <w:r>
              <w:rPr>
                <w:rFonts w:hint="default" w:ascii="Times New Roman" w:hAnsi="Times New Roman" w:cs="Times New Roman"/>
                <w:color w:val="auto"/>
                <w:spacing w:val="0"/>
                <w:w w:val="100"/>
                <w:sz w:val="24"/>
                <w:szCs w:val="24"/>
              </w:rPr>
              <w:t>，排放量为</w:t>
            </w:r>
            <w:r>
              <w:rPr>
                <w:rFonts w:hint="eastAsia" w:ascii="Times New Roman" w:hAnsi="Times New Roman" w:eastAsia="宋体" w:cs="Times New Roman"/>
                <w:color w:val="auto"/>
                <w:spacing w:val="0"/>
                <w:w w:val="100"/>
                <w:sz w:val="24"/>
                <w:szCs w:val="24"/>
                <w:lang w:val="en-US" w:eastAsia="zh-CN"/>
              </w:rPr>
              <w:t>0.00000393</w:t>
            </w:r>
            <w:r>
              <w:rPr>
                <w:rFonts w:hint="default" w:ascii="Times New Roman" w:hAnsi="Times New Roman" w:eastAsia="Times New Roman" w:cs="Times New Roman"/>
                <w:color w:val="auto"/>
                <w:spacing w:val="0"/>
                <w:w w:val="100"/>
                <w:sz w:val="24"/>
                <w:szCs w:val="24"/>
              </w:rPr>
              <w:t>t/a</w:t>
            </w:r>
            <w:r>
              <w:rPr>
                <w:rFonts w:hint="default" w:ascii="Times New Roman" w:hAnsi="Times New Roman" w:cs="Times New Roman"/>
                <w:color w:val="auto"/>
                <w:spacing w:val="0"/>
                <w:w w:val="100"/>
                <w:sz w:val="24"/>
                <w:szCs w:val="24"/>
              </w:rPr>
              <w:t>；</w:t>
            </w:r>
          </w:p>
          <w:p w14:paraId="6F9A389C">
            <w:pPr>
              <w:pStyle w:val="122"/>
              <w:keepNext w:val="0"/>
              <w:keepLines w:val="0"/>
              <w:pageBreakBefore w:val="0"/>
              <w:widowControl w:val="0"/>
              <w:kinsoku/>
              <w:wordWrap w:val="0"/>
              <w:overflowPunct/>
              <w:topLinePunct/>
              <w:autoSpaceDE/>
              <w:autoSpaceDN/>
              <w:bidi w:val="0"/>
              <w:adjustRightInd/>
              <w:snapToGrid/>
              <w:spacing w:line="360" w:lineRule="auto"/>
              <w:ind w:left="0" w:right="0"/>
              <w:jc w:val="left"/>
              <w:textAlignment w:val="auto"/>
              <w:rPr>
                <w:color w:val="auto"/>
                <w:sz w:val="24"/>
                <w:szCs w:val="24"/>
              </w:rPr>
            </w:pPr>
            <w:r>
              <w:rPr>
                <w:rFonts w:ascii="Times New Roman" w:hAnsi="Times New Roman" w:eastAsia="Times New Roman" w:cs="Times New Roman"/>
                <w:color w:val="auto"/>
                <w:spacing w:val="-1"/>
                <w:sz w:val="24"/>
                <w:szCs w:val="24"/>
              </w:rPr>
              <w:t>2</w:t>
            </w:r>
            <w:r>
              <w:rPr>
                <w:color w:val="auto"/>
                <w:spacing w:val="-1"/>
                <w:sz w:val="24"/>
                <w:szCs w:val="24"/>
              </w:rPr>
              <w:t>）砂石料上料颗粒物</w:t>
            </w:r>
          </w:p>
          <w:p w14:paraId="69D19BEA">
            <w:pPr>
              <w:pStyle w:val="122"/>
              <w:keepNext w:val="0"/>
              <w:keepLines w:val="0"/>
              <w:pageBreakBefore w:val="0"/>
              <w:widowControl w:val="0"/>
              <w:kinsoku/>
              <w:overflowPunct/>
              <w:autoSpaceDE/>
              <w:autoSpaceDN/>
              <w:bidi w:val="0"/>
              <w:adjustRightInd/>
              <w:snapToGrid/>
              <w:spacing w:line="360" w:lineRule="auto"/>
              <w:ind w:left="0" w:right="0" w:firstLine="475"/>
              <w:textAlignment w:val="auto"/>
              <w:rPr>
                <w:color w:val="auto"/>
                <w:sz w:val="24"/>
                <w:szCs w:val="24"/>
              </w:rPr>
            </w:pPr>
            <w:r>
              <w:rPr>
                <w:color w:val="auto"/>
                <w:sz w:val="24"/>
                <w:szCs w:val="24"/>
              </w:rPr>
              <w:t>砂石料上料颗粒物核算方法参照《扬尘源颗粒物排放</w:t>
            </w:r>
            <w:r>
              <w:rPr>
                <w:color w:val="auto"/>
                <w:spacing w:val="-1"/>
                <w:sz w:val="24"/>
                <w:szCs w:val="24"/>
              </w:rPr>
              <w:t>清单编制技术指南（试</w:t>
            </w:r>
            <w:r>
              <w:rPr>
                <w:color w:val="auto"/>
                <w:sz w:val="24"/>
                <w:szCs w:val="24"/>
              </w:rPr>
              <w:t xml:space="preserve"> </w:t>
            </w:r>
            <w:r>
              <w:rPr>
                <w:color w:val="auto"/>
                <w:spacing w:val="-1"/>
                <w:sz w:val="24"/>
                <w:szCs w:val="24"/>
              </w:rPr>
              <w:t>行）》中装卸过程颗粒物排放系数的估算公式：</w:t>
            </w:r>
          </w:p>
          <w:p w14:paraId="17F98070">
            <w:pPr>
              <w:spacing w:before="31" w:line="746" w:lineRule="exact"/>
              <w:ind w:left="2128"/>
              <w:rPr>
                <w:color w:val="auto"/>
              </w:rPr>
            </w:pPr>
            <w:r>
              <w:rPr>
                <w:color w:val="auto"/>
                <w:position w:val="-15"/>
              </w:rPr>
              <w:drawing>
                <wp:inline distT="0" distB="0" distL="0" distR="0">
                  <wp:extent cx="2825115" cy="473710"/>
                  <wp:effectExtent l="0" t="0" r="13335" b="254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8"/>
                          <a:stretch>
                            <a:fillRect/>
                          </a:stretch>
                        </pic:blipFill>
                        <pic:spPr>
                          <a:xfrm>
                            <a:off x="0" y="0"/>
                            <a:ext cx="2825604" cy="473904"/>
                          </a:xfrm>
                          <a:prstGeom prst="rect">
                            <a:avLst/>
                          </a:prstGeom>
                        </pic:spPr>
                      </pic:pic>
                    </a:graphicData>
                  </a:graphic>
                </wp:inline>
              </w:drawing>
            </w:r>
          </w:p>
          <w:p w14:paraId="37B7193A">
            <w:pPr>
              <w:pStyle w:val="122"/>
              <w:spacing w:before="177" w:line="221" w:lineRule="auto"/>
              <w:ind w:left="121"/>
              <w:rPr>
                <w:color w:val="auto"/>
                <w:sz w:val="24"/>
                <w:szCs w:val="24"/>
              </w:rPr>
            </w:pPr>
            <w:r>
              <w:rPr>
                <w:color w:val="auto"/>
                <w:spacing w:val="-5"/>
                <w:sz w:val="24"/>
                <w:szCs w:val="24"/>
              </w:rPr>
              <w:t>式中：</w:t>
            </w:r>
          </w:p>
          <w:p w14:paraId="09184F1D">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1"/>
              <w:jc w:val="both"/>
              <w:textAlignment w:val="auto"/>
              <w:rPr>
                <w:color w:val="auto"/>
                <w:spacing w:val="-2"/>
                <w:sz w:val="24"/>
                <w:szCs w:val="24"/>
              </w:rPr>
            </w:pPr>
            <w:r>
              <w:rPr>
                <w:rFonts w:ascii="Times New Roman" w:hAnsi="Times New Roman" w:eastAsia="Times New Roman" w:cs="Times New Roman"/>
                <w:color w:val="auto"/>
                <w:spacing w:val="-2"/>
                <w:sz w:val="24"/>
                <w:szCs w:val="24"/>
              </w:rPr>
              <w:t>W</w:t>
            </w:r>
            <w:r>
              <w:rPr>
                <w:rFonts w:ascii="Times New Roman" w:hAnsi="Times New Roman" w:eastAsia="Times New Roman" w:cs="Times New Roman"/>
                <w:color w:val="auto"/>
                <w:spacing w:val="-2"/>
                <w:position w:val="-1"/>
                <w:sz w:val="15"/>
                <w:szCs w:val="15"/>
              </w:rPr>
              <w:t>Y</w:t>
            </w:r>
            <w:r>
              <w:rPr>
                <w:rFonts w:ascii="Times New Roman" w:hAnsi="Times New Roman" w:eastAsia="Times New Roman" w:cs="Times New Roman"/>
                <w:color w:val="auto"/>
                <w:spacing w:val="-2"/>
                <w:sz w:val="24"/>
                <w:szCs w:val="24"/>
              </w:rPr>
              <w:t>——</w:t>
            </w:r>
            <w:r>
              <w:rPr>
                <w:color w:val="auto"/>
                <w:spacing w:val="-2"/>
                <w:sz w:val="24"/>
                <w:szCs w:val="24"/>
              </w:rPr>
              <w:t>砂石料上料过程中颗粒物总排放量，</w:t>
            </w:r>
            <w:r>
              <w:rPr>
                <w:rFonts w:ascii="Times New Roman" w:hAnsi="Times New Roman" w:eastAsia="Times New Roman" w:cs="Times New Roman"/>
                <w:color w:val="auto"/>
                <w:spacing w:val="-2"/>
                <w:sz w:val="24"/>
                <w:szCs w:val="24"/>
              </w:rPr>
              <w:t>t/a</w:t>
            </w:r>
            <w:r>
              <w:rPr>
                <w:color w:val="auto"/>
                <w:spacing w:val="-2"/>
                <w:sz w:val="24"/>
                <w:szCs w:val="24"/>
              </w:rPr>
              <w:t>；</w:t>
            </w:r>
          </w:p>
          <w:p w14:paraId="7CBC5601">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1"/>
              <w:jc w:val="both"/>
              <w:textAlignment w:val="auto"/>
              <w:rPr>
                <w:color w:val="auto"/>
                <w:spacing w:val="14"/>
                <w:sz w:val="24"/>
                <w:szCs w:val="24"/>
              </w:rPr>
            </w:pPr>
            <w:r>
              <w:rPr>
                <w:rFonts w:ascii="Times New Roman" w:hAnsi="Times New Roman" w:eastAsia="Times New Roman" w:cs="Times New Roman"/>
                <w:color w:val="auto"/>
                <w:spacing w:val="-3"/>
                <w:sz w:val="24"/>
                <w:szCs w:val="24"/>
              </w:rPr>
              <w:t>E</w:t>
            </w:r>
            <w:r>
              <w:rPr>
                <w:rFonts w:ascii="Times New Roman" w:hAnsi="Times New Roman" w:eastAsia="Times New Roman" w:cs="Times New Roman"/>
                <w:color w:val="auto"/>
                <w:spacing w:val="-3"/>
                <w:sz w:val="15"/>
                <w:szCs w:val="15"/>
              </w:rPr>
              <w:t>h</w:t>
            </w:r>
            <w:r>
              <w:rPr>
                <w:rFonts w:ascii="Times New Roman" w:hAnsi="Times New Roman" w:eastAsia="Times New Roman" w:cs="Times New Roman"/>
                <w:color w:val="auto"/>
                <w:spacing w:val="-3"/>
                <w:sz w:val="24"/>
                <w:szCs w:val="24"/>
              </w:rPr>
              <w:t>——</w:t>
            </w:r>
            <w:r>
              <w:rPr>
                <w:color w:val="auto"/>
                <w:spacing w:val="-3"/>
                <w:sz w:val="24"/>
                <w:szCs w:val="24"/>
              </w:rPr>
              <w:t>砂石料上料过程的颗粒物排放系数，</w:t>
            </w:r>
            <w:r>
              <w:rPr>
                <w:rFonts w:ascii="Times New Roman" w:hAnsi="Times New Roman" w:eastAsia="Times New Roman" w:cs="Times New Roman"/>
                <w:color w:val="auto"/>
                <w:spacing w:val="-3"/>
                <w:sz w:val="24"/>
                <w:szCs w:val="24"/>
              </w:rPr>
              <w:t>kg/t</w:t>
            </w:r>
            <w:r>
              <w:rPr>
                <w:color w:val="auto"/>
                <w:spacing w:val="-3"/>
                <w:sz w:val="24"/>
                <w:szCs w:val="24"/>
              </w:rPr>
              <w:t>；</w:t>
            </w:r>
            <w:r>
              <w:rPr>
                <w:color w:val="auto"/>
                <w:spacing w:val="14"/>
                <w:sz w:val="24"/>
                <w:szCs w:val="24"/>
              </w:rPr>
              <w:t xml:space="preserve"> </w:t>
            </w:r>
          </w:p>
          <w:p w14:paraId="0146E7DD">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1"/>
              <w:jc w:val="both"/>
              <w:textAlignment w:val="auto"/>
              <w:rPr>
                <w:color w:val="auto"/>
                <w:sz w:val="24"/>
                <w:szCs w:val="24"/>
              </w:rPr>
            </w:pPr>
            <w:r>
              <w:rPr>
                <w:rFonts w:ascii="Times New Roman" w:hAnsi="Times New Roman" w:eastAsia="Times New Roman" w:cs="Times New Roman"/>
                <w:color w:val="auto"/>
                <w:spacing w:val="-1"/>
                <w:sz w:val="24"/>
                <w:szCs w:val="24"/>
              </w:rPr>
              <w:t>m——</w:t>
            </w:r>
            <w:r>
              <w:rPr>
                <w:color w:val="auto"/>
                <w:spacing w:val="-1"/>
                <w:sz w:val="24"/>
                <w:szCs w:val="24"/>
              </w:rPr>
              <w:t>每年砂石料上料总次数；</w:t>
            </w:r>
          </w:p>
          <w:p w14:paraId="51C6D765">
            <w:pPr>
              <w:pStyle w:val="122"/>
              <w:keepNext w:val="0"/>
              <w:keepLines w:val="0"/>
              <w:pageBreakBefore w:val="0"/>
              <w:widowControl w:val="0"/>
              <w:kinsoku/>
              <w:wordWrap/>
              <w:overflowPunct/>
              <w:topLinePunct w:val="0"/>
              <w:autoSpaceDE/>
              <w:autoSpaceDN/>
              <w:bidi w:val="0"/>
              <w:adjustRightInd/>
              <w:snapToGrid/>
              <w:spacing w:line="360" w:lineRule="auto"/>
              <w:ind w:left="0" w:right="0"/>
              <w:textAlignment w:val="auto"/>
              <w:rPr>
                <w:color w:val="auto"/>
                <w:sz w:val="24"/>
                <w:szCs w:val="24"/>
              </w:rPr>
            </w:pPr>
            <w:r>
              <w:rPr>
                <w:rFonts w:ascii="Times New Roman" w:hAnsi="Times New Roman" w:eastAsia="Times New Roman" w:cs="Times New Roman"/>
                <w:color w:val="auto"/>
                <w:spacing w:val="-2"/>
                <w:position w:val="2"/>
                <w:sz w:val="24"/>
                <w:szCs w:val="24"/>
              </w:rPr>
              <w:t>G</w:t>
            </w:r>
            <w:r>
              <w:rPr>
                <w:rFonts w:ascii="Times New Roman" w:hAnsi="Times New Roman" w:eastAsia="Times New Roman" w:cs="Times New Roman"/>
                <w:color w:val="auto"/>
                <w:spacing w:val="-2"/>
                <w:position w:val="1"/>
                <w:sz w:val="15"/>
                <w:szCs w:val="15"/>
              </w:rPr>
              <w:t>Y</w:t>
            </w:r>
            <w:r>
              <w:rPr>
                <w:rFonts w:ascii="Times New Roman" w:hAnsi="Times New Roman" w:eastAsia="Times New Roman" w:cs="Times New Roman"/>
                <w:color w:val="auto"/>
                <w:spacing w:val="-2"/>
                <w:position w:val="2"/>
                <w:sz w:val="15"/>
                <w:szCs w:val="15"/>
              </w:rPr>
              <w:t>i</w:t>
            </w:r>
            <w:r>
              <w:rPr>
                <w:rFonts w:ascii="Times New Roman" w:hAnsi="Times New Roman" w:eastAsia="Times New Roman" w:cs="Times New Roman"/>
                <w:color w:val="auto"/>
                <w:spacing w:val="-2"/>
                <w:position w:val="2"/>
                <w:sz w:val="24"/>
                <w:szCs w:val="24"/>
              </w:rPr>
              <w:t>——</w:t>
            </w:r>
            <w:r>
              <w:rPr>
                <w:color w:val="auto"/>
                <w:spacing w:val="-2"/>
                <w:position w:val="2"/>
                <w:sz w:val="24"/>
                <w:szCs w:val="24"/>
              </w:rPr>
              <w:t>第</w:t>
            </w:r>
            <w:r>
              <w:rPr>
                <w:color w:val="auto"/>
                <w:spacing w:val="-53"/>
                <w:position w:val="2"/>
                <w:sz w:val="24"/>
                <w:szCs w:val="24"/>
              </w:rPr>
              <w:t xml:space="preserve"> </w:t>
            </w:r>
            <w:r>
              <w:rPr>
                <w:rFonts w:ascii="Times New Roman" w:hAnsi="Times New Roman" w:eastAsia="Times New Roman" w:cs="Times New Roman"/>
                <w:color w:val="auto"/>
                <w:spacing w:val="-2"/>
                <w:position w:val="2"/>
                <w:sz w:val="24"/>
                <w:szCs w:val="24"/>
              </w:rPr>
              <w:t>i</w:t>
            </w:r>
            <w:r>
              <w:rPr>
                <w:rFonts w:ascii="Times New Roman" w:hAnsi="Times New Roman" w:eastAsia="Times New Roman" w:cs="Times New Roman"/>
                <w:color w:val="auto"/>
                <w:spacing w:val="17"/>
                <w:position w:val="2"/>
                <w:sz w:val="24"/>
                <w:szCs w:val="24"/>
              </w:rPr>
              <w:t xml:space="preserve"> </w:t>
            </w:r>
            <w:r>
              <w:rPr>
                <w:color w:val="auto"/>
                <w:spacing w:val="-2"/>
                <w:position w:val="2"/>
                <w:sz w:val="24"/>
                <w:szCs w:val="24"/>
              </w:rPr>
              <w:t>次上料过程的物料装卸量，</w:t>
            </w:r>
            <w:r>
              <w:rPr>
                <w:rFonts w:ascii="Times New Roman" w:hAnsi="Times New Roman" w:eastAsia="Times New Roman" w:cs="Times New Roman"/>
                <w:color w:val="auto"/>
                <w:spacing w:val="-2"/>
                <w:position w:val="2"/>
                <w:sz w:val="24"/>
                <w:szCs w:val="24"/>
              </w:rPr>
              <w:t>t</w:t>
            </w:r>
            <w:r>
              <w:rPr>
                <w:color w:val="auto"/>
                <w:spacing w:val="-2"/>
                <w:position w:val="2"/>
                <w:sz w:val="24"/>
                <w:szCs w:val="24"/>
              </w:rPr>
              <w:t>。</w:t>
            </w:r>
          </w:p>
          <w:p w14:paraId="68E31BB9">
            <w:pPr>
              <w:pStyle w:val="122"/>
              <w:keepNext w:val="0"/>
              <w:keepLines w:val="0"/>
              <w:pageBreakBefore w:val="0"/>
              <w:widowControl w:val="0"/>
              <w:kinsoku/>
              <w:wordWrap/>
              <w:overflowPunct/>
              <w:topLinePunct w:val="0"/>
              <w:autoSpaceDE/>
              <w:autoSpaceDN/>
              <w:bidi w:val="0"/>
              <w:adjustRightInd/>
              <w:snapToGrid/>
              <w:spacing w:line="360" w:lineRule="auto"/>
              <w:ind w:left="0"/>
              <w:textAlignment w:val="auto"/>
              <w:rPr>
                <w:color w:val="auto"/>
                <w:sz w:val="24"/>
                <w:szCs w:val="24"/>
              </w:rPr>
            </w:pPr>
            <w:r>
              <w:rPr>
                <w:color w:val="auto"/>
                <w:spacing w:val="-1"/>
                <w:sz w:val="24"/>
                <w:szCs w:val="24"/>
              </w:rPr>
              <w:t>砂石料上料过程的颗粒物排放系数的估算采用下列公式进行计算</w:t>
            </w:r>
          </w:p>
          <w:p w14:paraId="722CBB30">
            <w:pPr>
              <w:keepNext w:val="0"/>
              <w:keepLines w:val="0"/>
              <w:pageBreakBefore w:val="0"/>
              <w:widowControl w:val="0"/>
              <w:kinsoku/>
              <w:wordWrap/>
              <w:overflowPunct/>
              <w:topLinePunct w:val="0"/>
              <w:autoSpaceDE/>
              <w:autoSpaceDN/>
              <w:bidi w:val="0"/>
              <w:adjustRightInd/>
              <w:snapToGrid/>
              <w:spacing w:before="178" w:line="1162" w:lineRule="exact"/>
              <w:ind w:left="0" w:firstLine="0" w:firstLineChars="0"/>
              <w:jc w:val="center"/>
              <w:textAlignment w:val="auto"/>
              <w:rPr>
                <w:color w:val="auto"/>
              </w:rPr>
            </w:pPr>
            <w:r>
              <w:rPr>
                <w:color w:val="auto"/>
                <w:position w:val="-23"/>
              </w:rPr>
              <w:drawing>
                <wp:inline distT="0" distB="0" distL="0" distR="0">
                  <wp:extent cx="2484755" cy="737870"/>
                  <wp:effectExtent l="0" t="0" r="10795" b="508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9"/>
                          <a:stretch>
                            <a:fillRect/>
                          </a:stretch>
                        </pic:blipFill>
                        <pic:spPr>
                          <a:xfrm>
                            <a:off x="0" y="0"/>
                            <a:ext cx="2485034" cy="738051"/>
                          </a:xfrm>
                          <a:prstGeom prst="rect">
                            <a:avLst/>
                          </a:prstGeom>
                        </pic:spPr>
                      </pic:pic>
                    </a:graphicData>
                  </a:graphic>
                </wp:inline>
              </w:drawing>
            </w:r>
          </w:p>
          <w:p w14:paraId="7E602250">
            <w:pPr>
              <w:pStyle w:val="122"/>
              <w:keepNext w:val="0"/>
              <w:keepLines w:val="0"/>
              <w:pageBreakBefore w:val="0"/>
              <w:kinsoku/>
              <w:wordWrap/>
              <w:overflowPunct/>
              <w:topLinePunct w:val="0"/>
              <w:autoSpaceDE/>
              <w:autoSpaceDN/>
              <w:bidi w:val="0"/>
              <w:adjustRightInd/>
              <w:snapToGrid/>
              <w:spacing w:line="360" w:lineRule="auto"/>
              <w:ind w:left="0" w:right="0"/>
              <w:textAlignment w:val="auto"/>
              <w:rPr>
                <w:color w:val="auto"/>
                <w:sz w:val="24"/>
                <w:szCs w:val="24"/>
              </w:rPr>
            </w:pPr>
            <w:r>
              <w:rPr>
                <w:color w:val="auto"/>
                <w:spacing w:val="-5"/>
                <w:sz w:val="24"/>
                <w:szCs w:val="24"/>
              </w:rPr>
              <w:t>式中：</w:t>
            </w:r>
          </w:p>
          <w:p w14:paraId="05E610E6">
            <w:pPr>
              <w:keepNext w:val="0"/>
              <w:keepLines w:val="0"/>
              <w:pageBreakBefore w:val="0"/>
              <w:widowControl/>
              <w:kinsoku/>
              <w:wordWrap/>
              <w:overflowPunct/>
              <w:topLinePunct w:val="0"/>
              <w:autoSpaceDE/>
              <w:autoSpaceDN/>
              <w:bidi w:val="0"/>
              <w:adjustRightInd/>
              <w:snapToGrid/>
              <w:spacing w:line="360" w:lineRule="auto"/>
              <w:ind w:left="0" w:right="0" w:firstLine="480"/>
              <w:jc w:val="left"/>
              <w:textAlignment w:val="auto"/>
              <w:rPr>
                <w:color w:val="auto"/>
                <w:spacing w:val="0"/>
                <w:sz w:val="24"/>
                <w:szCs w:val="24"/>
              </w:rPr>
            </w:pPr>
            <w:r>
              <w:rPr>
                <w:rFonts w:ascii="Times New Roman" w:hAnsi="Times New Roman" w:eastAsia="Times New Roman" w:cs="Times New Roman"/>
                <w:color w:val="auto"/>
                <w:spacing w:val="0"/>
                <w:position w:val="3"/>
                <w:sz w:val="24"/>
                <w:szCs w:val="24"/>
              </w:rPr>
              <w:t>E</w:t>
            </w:r>
            <w:r>
              <w:rPr>
                <w:rFonts w:ascii="Times New Roman" w:hAnsi="Times New Roman" w:eastAsia="Times New Roman" w:cs="Times New Roman"/>
                <w:color w:val="auto"/>
                <w:spacing w:val="0"/>
                <w:position w:val="3"/>
                <w:sz w:val="15"/>
                <w:szCs w:val="15"/>
              </w:rPr>
              <w:t>h</w:t>
            </w:r>
            <w:r>
              <w:rPr>
                <w:rFonts w:ascii="Times New Roman" w:hAnsi="Times New Roman" w:eastAsia="Times New Roman" w:cs="Times New Roman"/>
                <w:color w:val="auto"/>
                <w:spacing w:val="0"/>
                <w:position w:val="3"/>
                <w:sz w:val="24"/>
                <w:szCs w:val="24"/>
              </w:rPr>
              <w:t>——</w:t>
            </w:r>
            <w:r>
              <w:rPr>
                <w:color w:val="auto"/>
                <w:spacing w:val="0"/>
                <w:position w:val="3"/>
                <w:sz w:val="24"/>
                <w:szCs w:val="24"/>
              </w:rPr>
              <w:t>砂石料上料过程的颗粒物排放系数，</w:t>
            </w:r>
            <w:r>
              <w:rPr>
                <w:rFonts w:ascii="Times New Roman" w:hAnsi="Times New Roman" w:eastAsia="Times New Roman" w:cs="Times New Roman"/>
                <w:color w:val="auto"/>
                <w:spacing w:val="0"/>
                <w:position w:val="3"/>
                <w:sz w:val="24"/>
                <w:szCs w:val="24"/>
              </w:rPr>
              <w:t>kg/t</w:t>
            </w:r>
            <w:r>
              <w:rPr>
                <w:color w:val="auto"/>
                <w:spacing w:val="0"/>
                <w:position w:val="3"/>
                <w:sz w:val="24"/>
                <w:szCs w:val="24"/>
              </w:rPr>
              <w:t>；</w:t>
            </w:r>
          </w:p>
          <w:p w14:paraId="7D890097">
            <w:pPr>
              <w:pStyle w:val="122"/>
              <w:keepNext w:val="0"/>
              <w:keepLines w:val="0"/>
              <w:pageBreakBefore w:val="0"/>
              <w:kinsoku/>
              <w:wordWrap/>
              <w:overflowPunct/>
              <w:topLinePunct w:val="0"/>
              <w:autoSpaceDE/>
              <w:autoSpaceDN/>
              <w:bidi w:val="0"/>
              <w:adjustRightInd/>
              <w:snapToGrid/>
              <w:spacing w:line="360" w:lineRule="auto"/>
              <w:ind w:left="0" w:right="0" w:firstLine="466"/>
              <w:textAlignment w:val="auto"/>
              <w:rPr>
                <w:color w:val="auto"/>
                <w:spacing w:val="0"/>
                <w:sz w:val="24"/>
                <w:szCs w:val="24"/>
              </w:rPr>
            </w:pPr>
            <w:r>
              <w:rPr>
                <w:rFonts w:ascii="Times New Roman" w:hAnsi="Times New Roman" w:eastAsia="Times New Roman" w:cs="Times New Roman"/>
                <w:color w:val="auto"/>
                <w:spacing w:val="0"/>
                <w:sz w:val="24"/>
                <w:szCs w:val="24"/>
              </w:rPr>
              <w:t>k</w:t>
            </w:r>
            <w:r>
              <w:rPr>
                <w:rFonts w:ascii="Times New Roman" w:hAnsi="Times New Roman" w:eastAsia="Times New Roman" w:cs="Times New Roman"/>
                <w:color w:val="auto"/>
                <w:spacing w:val="0"/>
                <w:sz w:val="15"/>
                <w:szCs w:val="15"/>
              </w:rPr>
              <w:t>i</w:t>
            </w:r>
            <w:r>
              <w:rPr>
                <w:rFonts w:ascii="Times New Roman" w:hAnsi="Times New Roman" w:eastAsia="Times New Roman" w:cs="Times New Roman"/>
                <w:color w:val="auto"/>
                <w:spacing w:val="0"/>
                <w:sz w:val="24"/>
                <w:szCs w:val="24"/>
              </w:rPr>
              <w:t>——</w:t>
            </w:r>
            <w:r>
              <w:rPr>
                <w:color w:val="auto"/>
                <w:spacing w:val="0"/>
                <w:sz w:val="24"/>
                <w:szCs w:val="24"/>
              </w:rPr>
              <w:t xml:space="preserve">物料的粒度乘数，参考《扬尘源颗粒物排放清单编制技术指南（试行）》 表 </w:t>
            </w:r>
            <w:r>
              <w:rPr>
                <w:rFonts w:ascii="Times New Roman" w:hAnsi="Times New Roman" w:eastAsia="Times New Roman" w:cs="Times New Roman"/>
                <w:color w:val="auto"/>
                <w:spacing w:val="0"/>
                <w:sz w:val="24"/>
                <w:szCs w:val="24"/>
              </w:rPr>
              <w:t>10</w:t>
            </w:r>
            <w:r>
              <w:rPr>
                <w:color w:val="auto"/>
                <w:spacing w:val="0"/>
                <w:sz w:val="24"/>
                <w:szCs w:val="24"/>
              </w:rPr>
              <w:t>中</w:t>
            </w:r>
            <w:r>
              <w:rPr>
                <w:rFonts w:ascii="Times New Roman" w:hAnsi="Times New Roman" w:eastAsia="Times New Roman" w:cs="Times New Roman"/>
                <w:color w:val="auto"/>
                <w:spacing w:val="0"/>
                <w:sz w:val="24"/>
                <w:szCs w:val="24"/>
              </w:rPr>
              <w:t>TSP</w:t>
            </w:r>
            <w:r>
              <w:rPr>
                <w:color w:val="auto"/>
                <w:spacing w:val="0"/>
                <w:sz w:val="24"/>
                <w:szCs w:val="24"/>
              </w:rPr>
              <w:t>的粒度乘数为</w:t>
            </w:r>
            <w:r>
              <w:rPr>
                <w:rFonts w:ascii="Times New Roman" w:hAnsi="Times New Roman" w:eastAsia="Times New Roman" w:cs="Times New Roman"/>
                <w:color w:val="auto"/>
                <w:spacing w:val="0"/>
                <w:sz w:val="24"/>
                <w:szCs w:val="24"/>
              </w:rPr>
              <w:t>0.74</w:t>
            </w:r>
            <w:r>
              <w:rPr>
                <w:color w:val="auto"/>
                <w:spacing w:val="0"/>
                <w:sz w:val="24"/>
                <w:szCs w:val="24"/>
              </w:rPr>
              <w:t>；</w:t>
            </w:r>
          </w:p>
          <w:p w14:paraId="56B4B683">
            <w:pPr>
              <w:pStyle w:val="122"/>
              <w:keepNext w:val="0"/>
              <w:keepLines w:val="0"/>
              <w:pageBreakBefore w:val="0"/>
              <w:kinsoku/>
              <w:wordWrap/>
              <w:overflowPunct/>
              <w:topLinePunct w:val="0"/>
              <w:autoSpaceDE/>
              <w:autoSpaceDN/>
              <w:bidi w:val="0"/>
              <w:adjustRightInd/>
              <w:snapToGrid/>
              <w:spacing w:line="360" w:lineRule="auto"/>
              <w:ind w:left="0" w:right="0" w:firstLine="470"/>
              <w:textAlignment w:val="auto"/>
              <w:rPr>
                <w:color w:val="auto"/>
                <w:sz w:val="24"/>
                <w:szCs w:val="24"/>
              </w:rPr>
            </w:pPr>
            <w:r>
              <w:rPr>
                <w:rFonts w:ascii="Times New Roman" w:hAnsi="Times New Roman" w:eastAsia="Times New Roman" w:cs="Times New Roman"/>
                <w:color w:val="auto"/>
                <w:spacing w:val="-1"/>
                <w:sz w:val="24"/>
                <w:szCs w:val="24"/>
              </w:rPr>
              <w:t>u——</w:t>
            </w:r>
            <w:r>
              <w:rPr>
                <w:color w:val="auto"/>
                <w:spacing w:val="-1"/>
                <w:sz w:val="24"/>
                <w:szCs w:val="24"/>
              </w:rPr>
              <w:t>地面平均风速，</w:t>
            </w:r>
            <w:r>
              <w:rPr>
                <w:rFonts w:ascii="Times New Roman" w:hAnsi="Times New Roman" w:eastAsia="Times New Roman" w:cs="Times New Roman"/>
                <w:color w:val="auto"/>
                <w:spacing w:val="-1"/>
                <w:sz w:val="24"/>
                <w:szCs w:val="24"/>
              </w:rPr>
              <w:t>m/s</w:t>
            </w:r>
            <w:r>
              <w:rPr>
                <w:rFonts w:ascii="Times New Roman" w:hAnsi="Times New Roman" w:eastAsia="Times New Roman" w:cs="Times New Roman"/>
                <w:color w:val="auto"/>
                <w:spacing w:val="-28"/>
                <w:sz w:val="24"/>
                <w:szCs w:val="24"/>
              </w:rPr>
              <w:t xml:space="preserve"> </w:t>
            </w:r>
            <w:r>
              <w:rPr>
                <w:color w:val="auto"/>
                <w:spacing w:val="-1"/>
                <w:sz w:val="24"/>
                <w:szCs w:val="24"/>
              </w:rPr>
              <w:t>，砂石料上料工作在半密闭厂房内开展，厂房没有特定通风设备，</w:t>
            </w:r>
            <w:r>
              <w:rPr>
                <w:rFonts w:ascii="Times New Roman" w:hAnsi="Times New Roman" w:eastAsia="Times New Roman" w:cs="Times New Roman"/>
                <w:color w:val="auto"/>
                <w:spacing w:val="-1"/>
                <w:sz w:val="24"/>
                <w:szCs w:val="24"/>
              </w:rPr>
              <w:t>u=0.2m/s</w:t>
            </w:r>
            <w:r>
              <w:rPr>
                <w:color w:val="auto"/>
                <w:spacing w:val="-1"/>
                <w:sz w:val="24"/>
                <w:szCs w:val="24"/>
              </w:rPr>
              <w:t>；</w:t>
            </w:r>
          </w:p>
          <w:p w14:paraId="6AA9927E">
            <w:pPr>
              <w:pStyle w:val="122"/>
              <w:keepNext w:val="0"/>
              <w:keepLines w:val="0"/>
              <w:pageBreakBefore w:val="0"/>
              <w:kinsoku/>
              <w:wordWrap/>
              <w:overflowPunct/>
              <w:topLinePunct w:val="0"/>
              <w:autoSpaceDE/>
              <w:autoSpaceDN/>
              <w:bidi w:val="0"/>
              <w:adjustRightInd/>
              <w:snapToGrid/>
              <w:spacing w:line="360" w:lineRule="auto"/>
              <w:ind w:left="0" w:right="0"/>
              <w:jc w:val="both"/>
              <w:textAlignment w:val="auto"/>
              <w:rPr>
                <w:color w:val="auto"/>
                <w:sz w:val="24"/>
                <w:szCs w:val="24"/>
              </w:rPr>
            </w:pPr>
            <w:r>
              <w:rPr>
                <w:rFonts w:ascii="Times New Roman" w:hAnsi="Times New Roman" w:eastAsia="Times New Roman" w:cs="Times New Roman"/>
                <w:color w:val="auto"/>
                <w:spacing w:val="-3"/>
                <w:position w:val="2"/>
                <w:sz w:val="24"/>
                <w:szCs w:val="24"/>
              </w:rPr>
              <w:t>M——</w:t>
            </w:r>
            <w:r>
              <w:rPr>
                <w:color w:val="auto"/>
                <w:spacing w:val="-3"/>
                <w:position w:val="2"/>
                <w:sz w:val="24"/>
                <w:szCs w:val="24"/>
              </w:rPr>
              <w:t>物料含水率，</w:t>
            </w:r>
            <w:r>
              <w:rPr>
                <w:rFonts w:ascii="Times New Roman" w:hAnsi="Times New Roman" w:eastAsia="Times New Roman" w:cs="Times New Roman"/>
                <w:color w:val="auto"/>
                <w:spacing w:val="-3"/>
                <w:position w:val="2"/>
                <w:sz w:val="24"/>
                <w:szCs w:val="24"/>
              </w:rPr>
              <w:t>%</w:t>
            </w:r>
            <w:r>
              <w:rPr>
                <w:rFonts w:ascii="Times New Roman" w:hAnsi="Times New Roman" w:eastAsia="Times New Roman" w:cs="Times New Roman"/>
                <w:color w:val="auto"/>
                <w:spacing w:val="-34"/>
                <w:position w:val="2"/>
                <w:sz w:val="24"/>
                <w:szCs w:val="24"/>
              </w:rPr>
              <w:t xml:space="preserve"> </w:t>
            </w:r>
            <w:r>
              <w:rPr>
                <w:color w:val="auto"/>
                <w:spacing w:val="-3"/>
                <w:position w:val="2"/>
                <w:sz w:val="24"/>
                <w:szCs w:val="24"/>
              </w:rPr>
              <w:t>，根据建设单位提供</w:t>
            </w:r>
            <w:r>
              <w:rPr>
                <w:color w:val="auto"/>
                <w:spacing w:val="-4"/>
                <w:position w:val="2"/>
                <w:sz w:val="24"/>
                <w:szCs w:val="24"/>
              </w:rPr>
              <w:t>的资料，砂石料含水率约为</w:t>
            </w:r>
            <w:r>
              <w:rPr>
                <w:rFonts w:ascii="Times New Roman" w:hAnsi="Times New Roman" w:eastAsia="Times New Roman" w:cs="Times New Roman"/>
                <w:color w:val="auto"/>
                <w:spacing w:val="-4"/>
                <w:position w:val="2"/>
                <w:sz w:val="24"/>
                <w:szCs w:val="24"/>
              </w:rPr>
              <w:t>15%</w:t>
            </w:r>
            <w:r>
              <w:rPr>
                <w:color w:val="auto"/>
                <w:spacing w:val="-4"/>
                <w:position w:val="2"/>
                <w:sz w:val="24"/>
                <w:szCs w:val="24"/>
              </w:rPr>
              <w:t>；</w:t>
            </w:r>
          </w:p>
          <w:p w14:paraId="1B8A60D6">
            <w:pPr>
              <w:pStyle w:val="122"/>
              <w:keepNext w:val="0"/>
              <w:keepLines w:val="0"/>
              <w:pageBreakBefore w:val="0"/>
              <w:kinsoku/>
              <w:wordWrap/>
              <w:overflowPunct/>
              <w:topLinePunct w:val="0"/>
              <w:autoSpaceDE/>
              <w:autoSpaceDN/>
              <w:bidi w:val="0"/>
              <w:adjustRightInd/>
              <w:snapToGrid/>
              <w:spacing w:line="360" w:lineRule="auto"/>
              <w:ind w:left="0" w:right="0" w:firstLine="471"/>
              <w:textAlignment w:val="auto"/>
              <w:rPr>
                <w:rFonts w:hint="eastAsia" w:ascii="Times New Roman" w:hAnsi="Times New Roman" w:eastAsia="宋体" w:cs="Times New Roman"/>
                <w:color w:val="auto"/>
                <w:spacing w:val="-30"/>
                <w:sz w:val="24"/>
                <w:szCs w:val="24"/>
                <w:lang w:eastAsia="zh-CN"/>
              </w:rPr>
            </w:pPr>
            <w:r>
              <w:rPr>
                <w:rFonts w:ascii="Times New Roman" w:hAnsi="Times New Roman" w:eastAsia="Times New Roman" w:cs="Times New Roman"/>
                <w:color w:val="auto"/>
                <w:spacing w:val="-1"/>
                <w:sz w:val="24"/>
                <w:szCs w:val="24"/>
              </w:rPr>
              <w:t>η——</w:t>
            </w:r>
            <w:r>
              <w:rPr>
                <w:color w:val="auto"/>
                <w:spacing w:val="-1"/>
                <w:sz w:val="24"/>
                <w:szCs w:val="24"/>
              </w:rPr>
              <w:t>污染控制技术对扬尘的去除效率，</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pacing w:val="-30"/>
                <w:sz w:val="24"/>
                <w:szCs w:val="24"/>
              </w:rPr>
              <w:t xml:space="preserve"> </w:t>
            </w:r>
            <w:r>
              <w:rPr>
                <w:rFonts w:hint="eastAsia" w:ascii="Times New Roman" w:hAnsi="Times New Roman" w:eastAsia="宋体" w:cs="Times New Roman"/>
                <w:color w:val="auto"/>
                <w:spacing w:val="-30"/>
                <w:sz w:val="24"/>
                <w:szCs w:val="24"/>
                <w:lang w:eastAsia="zh-CN"/>
              </w:rPr>
              <w:t>；</w:t>
            </w:r>
          </w:p>
          <w:p w14:paraId="6D8E91BD">
            <w:pPr>
              <w:pStyle w:val="122"/>
              <w:keepNext w:val="0"/>
              <w:keepLines w:val="0"/>
              <w:pageBreakBefore w:val="0"/>
              <w:kinsoku/>
              <w:wordWrap/>
              <w:overflowPunct/>
              <w:topLinePunct w:val="0"/>
              <w:autoSpaceDE/>
              <w:autoSpaceDN/>
              <w:bidi w:val="0"/>
              <w:adjustRightInd/>
              <w:snapToGrid/>
              <w:spacing w:line="360" w:lineRule="auto"/>
              <w:ind w:left="0" w:right="0" w:firstLine="471"/>
              <w:textAlignment w:val="auto"/>
              <w:rPr>
                <w:color w:val="auto"/>
                <w:sz w:val="24"/>
                <w:szCs w:val="24"/>
              </w:rPr>
            </w:pPr>
            <w:r>
              <w:rPr>
                <w:color w:val="auto"/>
                <w:spacing w:val="-1"/>
                <w:sz w:val="24"/>
                <w:szCs w:val="24"/>
              </w:rPr>
              <w:t>本项目砂石料堆棚半封闭（仅留</w:t>
            </w:r>
            <w:r>
              <w:rPr>
                <w:rFonts w:ascii="Times New Roman" w:hAnsi="Times New Roman" w:eastAsia="Times New Roman" w:cs="Times New Roman"/>
                <w:color w:val="auto"/>
                <w:spacing w:val="-2"/>
                <w:sz w:val="24"/>
                <w:szCs w:val="24"/>
              </w:rPr>
              <w:t>1</w:t>
            </w:r>
            <w:r>
              <w:rPr>
                <w:color w:val="auto"/>
                <w:spacing w:val="-2"/>
                <w:sz w:val="24"/>
                <w:szCs w:val="24"/>
              </w:rPr>
              <w:t>个出入口</w:t>
            </w:r>
            <w:r>
              <w:rPr>
                <w:color w:val="auto"/>
                <w:spacing w:val="12"/>
                <w:sz w:val="24"/>
                <w:szCs w:val="24"/>
              </w:rPr>
              <w:t>），</w:t>
            </w:r>
            <w:r>
              <w:rPr>
                <w:color w:val="auto"/>
                <w:spacing w:val="-2"/>
                <w:sz w:val="24"/>
                <w:szCs w:val="24"/>
              </w:rPr>
              <w:t>采取喷淋降尘措施，根据《工业行业产排污系数手册</w:t>
            </w:r>
            <w:r>
              <w:rPr>
                <w:rFonts w:ascii="Times New Roman" w:hAnsi="Times New Roman" w:eastAsia="Times New Roman" w:cs="Times New Roman"/>
                <w:color w:val="auto"/>
                <w:spacing w:val="-2"/>
                <w:sz w:val="24"/>
                <w:szCs w:val="24"/>
              </w:rPr>
              <w:t>--</w:t>
            </w:r>
            <w:r>
              <w:rPr>
                <w:color w:val="auto"/>
                <w:spacing w:val="-2"/>
                <w:sz w:val="24"/>
                <w:szCs w:val="24"/>
              </w:rPr>
              <w:t>附表</w:t>
            </w:r>
            <w:r>
              <w:rPr>
                <w:color w:val="auto"/>
                <w:spacing w:val="-54"/>
                <w:sz w:val="24"/>
                <w:szCs w:val="24"/>
              </w:rPr>
              <w:t xml:space="preserve"> </w:t>
            </w:r>
            <w:r>
              <w:rPr>
                <w:rFonts w:ascii="Times New Roman" w:hAnsi="Times New Roman" w:eastAsia="Times New Roman" w:cs="Times New Roman"/>
                <w:color w:val="auto"/>
                <w:spacing w:val="-2"/>
                <w:sz w:val="24"/>
                <w:szCs w:val="24"/>
              </w:rPr>
              <w:t>2</w:t>
            </w:r>
            <w:r>
              <w:rPr>
                <w:color w:val="auto"/>
                <w:spacing w:val="-2"/>
                <w:sz w:val="24"/>
                <w:szCs w:val="24"/>
              </w:rPr>
              <w:t>固体</w:t>
            </w:r>
            <w:r>
              <w:rPr>
                <w:color w:val="auto"/>
                <w:spacing w:val="-1"/>
                <w:sz w:val="24"/>
                <w:szCs w:val="24"/>
              </w:rPr>
              <w:t>物料堆存颗粒物产排污核算系数手册》，半封闭式堆场粉</w:t>
            </w:r>
            <w:r>
              <w:rPr>
                <w:color w:val="auto"/>
                <w:spacing w:val="-2"/>
                <w:sz w:val="24"/>
                <w:szCs w:val="24"/>
              </w:rPr>
              <w:t>尘控制效率为</w:t>
            </w:r>
            <w:r>
              <w:rPr>
                <w:color w:val="auto"/>
                <w:spacing w:val="-50"/>
                <w:sz w:val="24"/>
                <w:szCs w:val="24"/>
              </w:rPr>
              <w:t xml:space="preserve"> </w:t>
            </w:r>
            <w:r>
              <w:rPr>
                <w:rFonts w:ascii="Times New Roman" w:hAnsi="Times New Roman" w:eastAsia="Times New Roman" w:cs="Times New Roman"/>
                <w:color w:val="auto"/>
                <w:spacing w:val="-2"/>
                <w:sz w:val="24"/>
                <w:szCs w:val="24"/>
              </w:rPr>
              <w:t>60%</w:t>
            </w:r>
            <w:r>
              <w:rPr>
                <w:rFonts w:ascii="Times New Roman" w:hAnsi="Times New Roman" w:eastAsia="Times New Roman" w:cs="Times New Roman"/>
                <w:color w:val="auto"/>
                <w:spacing w:val="-35"/>
                <w:sz w:val="24"/>
                <w:szCs w:val="24"/>
              </w:rPr>
              <w:t xml:space="preserve"> </w:t>
            </w:r>
            <w:r>
              <w:rPr>
                <w:color w:val="auto"/>
                <w:spacing w:val="-2"/>
                <w:sz w:val="24"/>
                <w:szCs w:val="24"/>
              </w:rPr>
              <w:t>，洒</w:t>
            </w:r>
            <w:r>
              <w:rPr>
                <w:color w:val="auto"/>
                <w:spacing w:val="-1"/>
                <w:sz w:val="24"/>
                <w:szCs w:val="24"/>
              </w:rPr>
              <w:t>水措施粉尘控制效率为</w:t>
            </w:r>
            <w:r>
              <w:rPr>
                <w:color w:val="auto"/>
                <w:spacing w:val="-51"/>
                <w:sz w:val="24"/>
                <w:szCs w:val="24"/>
              </w:rPr>
              <w:t xml:space="preserve"> </w:t>
            </w:r>
            <w:r>
              <w:rPr>
                <w:rFonts w:ascii="Times New Roman" w:hAnsi="Times New Roman" w:eastAsia="Times New Roman" w:cs="Times New Roman"/>
                <w:color w:val="auto"/>
                <w:spacing w:val="-1"/>
                <w:sz w:val="24"/>
                <w:szCs w:val="24"/>
              </w:rPr>
              <w:t>7</w:t>
            </w:r>
            <w:r>
              <w:rPr>
                <w:rFonts w:hint="eastAsia" w:ascii="Times New Roman" w:hAnsi="Times New Roman" w:eastAsia="宋体" w:cs="Times New Roman"/>
                <w:color w:val="auto"/>
                <w:spacing w:val="-1"/>
                <w:sz w:val="24"/>
                <w:szCs w:val="24"/>
                <w:lang w:val="en-US" w:eastAsia="zh-CN"/>
              </w:rPr>
              <w:t>4</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pacing w:val="-34"/>
                <w:sz w:val="24"/>
                <w:szCs w:val="24"/>
              </w:rPr>
              <w:t xml:space="preserve"> </w:t>
            </w:r>
            <w:r>
              <w:rPr>
                <w:color w:val="auto"/>
                <w:spacing w:val="-1"/>
                <w:sz w:val="24"/>
                <w:szCs w:val="24"/>
              </w:rPr>
              <w:t>，故本项目堆棚</w:t>
            </w:r>
            <w:r>
              <w:rPr>
                <w:color w:val="auto"/>
                <w:spacing w:val="-2"/>
                <w:sz w:val="24"/>
                <w:szCs w:val="24"/>
              </w:rPr>
              <w:t>对颗粒物的综合控制效率为</w:t>
            </w:r>
            <w:r>
              <w:rPr>
                <w:color w:val="auto"/>
                <w:spacing w:val="-51"/>
                <w:sz w:val="24"/>
                <w:szCs w:val="24"/>
              </w:rPr>
              <w:t xml:space="preserve"> </w:t>
            </w:r>
            <w:r>
              <w:rPr>
                <w:rFonts w:hint="eastAsia" w:ascii="Times New Roman" w:hAnsi="Times New Roman" w:eastAsia="宋体" w:cs="Times New Roman"/>
                <w:color w:val="auto"/>
                <w:spacing w:val="-2"/>
                <w:sz w:val="24"/>
                <w:szCs w:val="24"/>
                <w:lang w:val="en-US" w:eastAsia="zh-CN"/>
              </w:rPr>
              <w:t>89.6</w:t>
            </w:r>
            <w:r>
              <w:rPr>
                <w:rFonts w:ascii="Times New Roman" w:hAnsi="Times New Roman" w:eastAsia="Times New Roman" w:cs="Times New Roman"/>
                <w:color w:val="auto"/>
                <w:spacing w:val="-2"/>
                <w:sz w:val="24"/>
                <w:szCs w:val="24"/>
              </w:rPr>
              <w:t>%</w:t>
            </w:r>
            <w:r>
              <w:rPr>
                <w:color w:val="auto"/>
                <w:spacing w:val="-2"/>
                <w:sz w:val="24"/>
                <w:szCs w:val="24"/>
              </w:rPr>
              <w:t>。</w:t>
            </w:r>
          </w:p>
          <w:p w14:paraId="43B22005">
            <w:pPr>
              <w:keepNext w:val="0"/>
              <w:keepLines w:val="0"/>
              <w:pageBreakBefore w:val="0"/>
              <w:widowControl/>
              <w:kinsoku/>
              <w:wordWrap/>
              <w:overflowPunct/>
              <w:topLinePunct w:val="0"/>
              <w:autoSpaceDE/>
              <w:autoSpaceDN/>
              <w:bidi w:val="0"/>
              <w:adjustRightInd/>
              <w:snapToGrid/>
              <w:spacing w:line="360" w:lineRule="auto"/>
              <w:ind w:left="0" w:right="0" w:firstLine="480"/>
              <w:jc w:val="center"/>
              <w:textAlignment w:val="auto"/>
              <w:rPr>
                <w:b/>
                <w:bCs/>
                <w:color w:val="auto"/>
                <w:spacing w:val="7"/>
              </w:rPr>
            </w:pPr>
            <w:r>
              <w:rPr>
                <w:b/>
                <w:bCs/>
                <w:color w:val="auto"/>
                <w:spacing w:val="7"/>
              </w:rPr>
              <w:t>表</w:t>
            </w:r>
            <w:r>
              <w:rPr>
                <w:color w:val="auto"/>
                <w:spacing w:val="-40"/>
              </w:rPr>
              <w:t xml:space="preserve"> </w:t>
            </w:r>
            <w:r>
              <w:rPr>
                <w:rFonts w:ascii="Times New Roman" w:hAnsi="Times New Roman" w:eastAsia="Times New Roman" w:cs="Times New Roman"/>
                <w:b/>
                <w:bCs/>
                <w:color w:val="auto"/>
                <w:spacing w:val="7"/>
              </w:rPr>
              <w:t xml:space="preserve">4-6    </w:t>
            </w:r>
            <w:r>
              <w:rPr>
                <w:b/>
                <w:bCs/>
                <w:color w:val="auto"/>
                <w:spacing w:val="7"/>
              </w:rPr>
              <w:t>砂石料上料过程颗粒物排放系数</w:t>
            </w:r>
            <w:r>
              <w:rPr>
                <w:color w:val="auto"/>
                <w:spacing w:val="-43"/>
              </w:rPr>
              <w:t xml:space="preserve"> </w:t>
            </w:r>
            <w:r>
              <w:rPr>
                <w:rFonts w:ascii="Times New Roman" w:hAnsi="Times New Roman" w:eastAsia="Times New Roman" w:cs="Times New Roman"/>
                <w:b/>
                <w:bCs/>
                <w:color w:val="auto"/>
              </w:rPr>
              <w:t>Eh</w:t>
            </w:r>
            <w:r>
              <w:rPr>
                <w:rFonts w:ascii="Times New Roman" w:hAnsi="Times New Roman" w:eastAsia="Times New Roman" w:cs="Times New Roman"/>
                <w:b/>
                <w:bCs/>
                <w:color w:val="auto"/>
                <w:spacing w:val="7"/>
              </w:rPr>
              <w:t xml:space="preserve"> </w:t>
            </w:r>
            <w:r>
              <w:rPr>
                <w:b/>
                <w:bCs/>
                <w:color w:val="auto"/>
                <w:spacing w:val="7"/>
              </w:rPr>
              <w:t>计算参数及结</w:t>
            </w:r>
            <w:r>
              <w:rPr>
                <w:b/>
                <w:bCs/>
                <w:color w:val="auto"/>
                <w:spacing w:val="6"/>
              </w:rPr>
              <w:t>果表</w:t>
            </w:r>
          </w:p>
          <w:tbl>
            <w:tblPr>
              <w:tblStyle w:val="1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32"/>
              <w:gridCol w:w="403"/>
              <w:gridCol w:w="504"/>
              <w:gridCol w:w="901"/>
              <w:gridCol w:w="651"/>
              <w:gridCol w:w="813"/>
              <w:gridCol w:w="403"/>
              <w:gridCol w:w="1016"/>
              <w:gridCol w:w="244"/>
              <w:gridCol w:w="1425"/>
            </w:tblGrid>
            <w:tr w14:paraId="77651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2466" w:type="dxa"/>
                  <w:tcBorders>
                    <w:left w:val="single" w:color="000000" w:sz="2" w:space="0"/>
                  </w:tcBorders>
                  <w:vAlign w:val="center"/>
                </w:tcPr>
                <w:p w14:paraId="16CBD378">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b/>
                      <w:bCs/>
                      <w:color w:val="auto"/>
                      <w:spacing w:val="5"/>
                    </w:rPr>
                    <w:t>排放源</w:t>
                  </w:r>
                </w:p>
              </w:tc>
              <w:tc>
                <w:tcPr>
                  <w:tcW w:w="883" w:type="dxa"/>
                  <w:gridSpan w:val="2"/>
                  <w:vAlign w:val="center"/>
                </w:tcPr>
                <w:p w14:paraId="5027B9E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b/>
                      <w:bCs/>
                      <w:color w:val="auto"/>
                      <w:spacing w:val="2"/>
                      <w:sz w:val="20"/>
                      <w:szCs w:val="20"/>
                    </w:rPr>
                    <w:t>Ki</w:t>
                  </w:r>
                </w:p>
              </w:tc>
              <w:tc>
                <w:tcPr>
                  <w:tcW w:w="1511" w:type="dxa"/>
                  <w:gridSpan w:val="2"/>
                  <w:vAlign w:val="center"/>
                </w:tcPr>
                <w:p w14:paraId="51F80BB6">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rFonts w:ascii="Times New Roman" w:hAnsi="Times New Roman" w:eastAsia="Times New Roman" w:cs="Times New Roman"/>
                      <w:b/>
                      <w:bCs/>
                      <w:color w:val="auto"/>
                      <w:spacing w:val="4"/>
                    </w:rPr>
                    <w:t>M</w:t>
                  </w:r>
                  <w:r>
                    <w:rPr>
                      <w:b/>
                      <w:bCs/>
                      <w:color w:val="auto"/>
                      <w:spacing w:val="4"/>
                    </w:rPr>
                    <w:t>（</w:t>
                  </w:r>
                  <w:r>
                    <w:rPr>
                      <w:rFonts w:ascii="Times New Roman" w:hAnsi="Times New Roman" w:eastAsia="Times New Roman" w:cs="Times New Roman"/>
                      <w:b/>
                      <w:bCs/>
                      <w:color w:val="auto"/>
                      <w:spacing w:val="4"/>
                    </w:rPr>
                    <w:t>%</w:t>
                  </w:r>
                  <w:r>
                    <w:rPr>
                      <w:b/>
                      <w:bCs/>
                      <w:color w:val="auto"/>
                      <w:spacing w:val="4"/>
                    </w:rPr>
                    <w:t>）</w:t>
                  </w:r>
                </w:p>
              </w:tc>
              <w:tc>
                <w:tcPr>
                  <w:tcW w:w="1184" w:type="dxa"/>
                  <w:gridSpan w:val="2"/>
                  <w:vAlign w:val="center"/>
                </w:tcPr>
                <w:p w14:paraId="7728015D">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b/>
                      <w:bCs/>
                      <w:color w:val="auto"/>
                      <w:spacing w:val="-9"/>
                    </w:rPr>
                    <w:t>η（</w:t>
                  </w:r>
                  <w:r>
                    <w:rPr>
                      <w:rFonts w:ascii="Times New Roman" w:hAnsi="Times New Roman" w:eastAsia="Times New Roman" w:cs="Times New Roman"/>
                      <w:b/>
                      <w:bCs/>
                      <w:color w:val="auto"/>
                      <w:spacing w:val="-9"/>
                    </w:rPr>
                    <w:t>%</w:t>
                  </w:r>
                  <w:r>
                    <w:rPr>
                      <w:b/>
                      <w:bCs/>
                      <w:color w:val="auto"/>
                      <w:spacing w:val="-9"/>
                    </w:rPr>
                    <w:t>）</w:t>
                  </w:r>
                </w:p>
              </w:tc>
              <w:tc>
                <w:tcPr>
                  <w:tcW w:w="1227" w:type="dxa"/>
                  <w:gridSpan w:val="2"/>
                  <w:vAlign w:val="center"/>
                </w:tcPr>
                <w:p w14:paraId="3E78F740">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rFonts w:ascii="Times New Roman" w:hAnsi="Times New Roman" w:eastAsia="Times New Roman" w:cs="Times New Roman"/>
                      <w:b/>
                      <w:bCs/>
                      <w:color w:val="auto"/>
                      <w:spacing w:val="-4"/>
                    </w:rPr>
                    <w:t>u</w:t>
                  </w:r>
                  <w:r>
                    <w:rPr>
                      <w:b/>
                      <w:bCs/>
                      <w:color w:val="auto"/>
                      <w:spacing w:val="-4"/>
                    </w:rPr>
                    <w:t>（</w:t>
                  </w:r>
                  <w:r>
                    <w:rPr>
                      <w:color w:val="auto"/>
                      <w:spacing w:val="-59"/>
                    </w:rPr>
                    <w:t xml:space="preserve"> </w:t>
                  </w:r>
                  <w:r>
                    <w:rPr>
                      <w:rFonts w:ascii="Times New Roman" w:hAnsi="Times New Roman" w:eastAsia="Times New Roman" w:cs="Times New Roman"/>
                      <w:b/>
                      <w:bCs/>
                      <w:color w:val="auto"/>
                      <w:spacing w:val="-4"/>
                    </w:rPr>
                    <w:t>m/s</w:t>
                  </w:r>
                  <w:r>
                    <w:rPr>
                      <w:b/>
                      <w:bCs/>
                      <w:color w:val="auto"/>
                      <w:spacing w:val="-4"/>
                    </w:rPr>
                    <w:t>）</w:t>
                  </w:r>
                </w:p>
              </w:tc>
              <w:tc>
                <w:tcPr>
                  <w:tcW w:w="1388" w:type="dxa"/>
                  <w:vAlign w:val="center"/>
                </w:tcPr>
                <w:p w14:paraId="6C3945D1">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rFonts w:ascii="Times New Roman" w:hAnsi="Times New Roman" w:eastAsia="Times New Roman" w:cs="Times New Roman"/>
                      <w:b/>
                      <w:bCs/>
                      <w:color w:val="auto"/>
                    </w:rPr>
                    <w:t>Eh</w:t>
                  </w:r>
                  <w:r>
                    <w:rPr>
                      <w:b/>
                      <w:bCs/>
                      <w:color w:val="auto"/>
                      <w:spacing w:val="7"/>
                    </w:rPr>
                    <w:t>（</w:t>
                  </w:r>
                  <w:r>
                    <w:rPr>
                      <w:rFonts w:ascii="Times New Roman" w:hAnsi="Times New Roman" w:eastAsia="Times New Roman" w:cs="Times New Roman"/>
                      <w:b/>
                      <w:bCs/>
                      <w:color w:val="auto"/>
                    </w:rPr>
                    <w:t>kg</w:t>
                  </w:r>
                  <w:r>
                    <w:rPr>
                      <w:rFonts w:ascii="Times New Roman" w:hAnsi="Times New Roman" w:eastAsia="Times New Roman" w:cs="Times New Roman"/>
                      <w:b/>
                      <w:bCs/>
                      <w:color w:val="auto"/>
                      <w:spacing w:val="7"/>
                    </w:rPr>
                    <w:t>/t</w:t>
                  </w:r>
                  <w:r>
                    <w:rPr>
                      <w:b/>
                      <w:bCs/>
                      <w:color w:val="auto"/>
                      <w:spacing w:val="7"/>
                    </w:rPr>
                    <w:t>）</w:t>
                  </w:r>
                </w:p>
              </w:tc>
            </w:tr>
            <w:tr w14:paraId="594E4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2466" w:type="dxa"/>
                  <w:tcBorders>
                    <w:left w:val="single" w:color="000000" w:sz="2" w:space="0"/>
                  </w:tcBorders>
                  <w:vAlign w:val="center"/>
                </w:tcPr>
                <w:p w14:paraId="711ECE34">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color w:val="auto"/>
                      <w:spacing w:val="7"/>
                    </w:rPr>
                    <w:t>砂石料堆</w:t>
                  </w:r>
                </w:p>
              </w:tc>
              <w:tc>
                <w:tcPr>
                  <w:tcW w:w="883" w:type="dxa"/>
                  <w:gridSpan w:val="2"/>
                  <w:vAlign w:val="center"/>
                </w:tcPr>
                <w:p w14:paraId="2A5147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sz w:val="20"/>
                      <w:szCs w:val="20"/>
                    </w:rPr>
                    <w:t>0.74</w:t>
                  </w:r>
                </w:p>
              </w:tc>
              <w:tc>
                <w:tcPr>
                  <w:tcW w:w="1511" w:type="dxa"/>
                  <w:gridSpan w:val="2"/>
                  <w:vAlign w:val="center"/>
                </w:tcPr>
                <w:p w14:paraId="5CD8FD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8"/>
                      <w:sz w:val="20"/>
                      <w:szCs w:val="20"/>
                    </w:rPr>
                    <w:t>15</w:t>
                  </w:r>
                </w:p>
              </w:tc>
              <w:tc>
                <w:tcPr>
                  <w:tcW w:w="1184" w:type="dxa"/>
                  <w:gridSpan w:val="2"/>
                  <w:vAlign w:val="center"/>
                </w:tcPr>
                <w:p w14:paraId="204211E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0"/>
                      <w:szCs w:val="20"/>
                      <w:lang w:val="en-US" w:eastAsia="zh-CN"/>
                    </w:rPr>
                  </w:pPr>
                  <w:r>
                    <w:rPr>
                      <w:rFonts w:hint="eastAsia" w:eastAsia="宋体" w:cs="Times New Roman"/>
                      <w:color w:val="auto"/>
                      <w:spacing w:val="2"/>
                      <w:sz w:val="20"/>
                      <w:szCs w:val="20"/>
                      <w:lang w:val="en-US" w:eastAsia="zh-CN"/>
                    </w:rPr>
                    <w:t>89.6</w:t>
                  </w:r>
                </w:p>
              </w:tc>
              <w:tc>
                <w:tcPr>
                  <w:tcW w:w="1227" w:type="dxa"/>
                  <w:gridSpan w:val="2"/>
                  <w:vAlign w:val="center"/>
                </w:tcPr>
                <w:p w14:paraId="18174D2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0.2</w:t>
                  </w:r>
                </w:p>
              </w:tc>
              <w:tc>
                <w:tcPr>
                  <w:tcW w:w="1388" w:type="dxa"/>
                  <w:vAlign w:val="center"/>
                </w:tcPr>
                <w:p w14:paraId="01103E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4"/>
                      <w:sz w:val="20"/>
                      <w:szCs w:val="20"/>
                    </w:rPr>
                    <w:t>0.0000003</w:t>
                  </w:r>
                </w:p>
              </w:tc>
            </w:tr>
            <w:tr w14:paraId="4F1D5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659" w:type="dxa"/>
                  <w:gridSpan w:val="10"/>
                  <w:tcBorders>
                    <w:left w:val="single" w:color="000000" w:sz="2" w:space="0"/>
                    <w:right w:val="nil"/>
                  </w:tcBorders>
                  <w:vAlign w:val="center"/>
                </w:tcPr>
                <w:p w14:paraId="06B04EC4">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b/>
                      <w:bCs/>
                      <w:color w:val="auto"/>
                      <w:spacing w:val="7"/>
                    </w:rPr>
                    <w:t>表</w:t>
                  </w:r>
                  <w:r>
                    <w:rPr>
                      <w:color w:val="auto"/>
                      <w:spacing w:val="-43"/>
                    </w:rPr>
                    <w:t xml:space="preserve"> </w:t>
                  </w:r>
                  <w:r>
                    <w:rPr>
                      <w:rFonts w:ascii="Times New Roman" w:hAnsi="Times New Roman" w:eastAsia="Times New Roman" w:cs="Times New Roman"/>
                      <w:b/>
                      <w:bCs/>
                      <w:color w:val="auto"/>
                      <w:spacing w:val="7"/>
                    </w:rPr>
                    <w:t xml:space="preserve">4-7    </w:t>
                  </w:r>
                  <w:r>
                    <w:rPr>
                      <w:b/>
                      <w:bCs/>
                      <w:color w:val="auto"/>
                      <w:spacing w:val="7"/>
                    </w:rPr>
                    <w:t>砂石料上料过程中的颗粒物排放量计算参数及结果表</w:t>
                  </w:r>
                </w:p>
              </w:tc>
            </w:tr>
            <w:tr w14:paraId="4DC33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2858" w:type="dxa"/>
                  <w:gridSpan w:val="2"/>
                  <w:tcBorders>
                    <w:left w:val="single" w:color="000000" w:sz="2" w:space="0"/>
                  </w:tcBorders>
                  <w:vAlign w:val="center"/>
                </w:tcPr>
                <w:p w14:paraId="05A391C1">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b/>
                      <w:bCs/>
                      <w:color w:val="auto"/>
                      <w:spacing w:val="5"/>
                    </w:rPr>
                    <w:t>排放源</w:t>
                  </w:r>
                </w:p>
              </w:tc>
              <w:tc>
                <w:tcPr>
                  <w:tcW w:w="1368" w:type="dxa"/>
                  <w:gridSpan w:val="2"/>
                  <w:vAlign w:val="center"/>
                </w:tcPr>
                <w:p w14:paraId="251B8891">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rFonts w:ascii="Times New Roman" w:hAnsi="Times New Roman" w:eastAsia="Times New Roman" w:cs="Times New Roman"/>
                      <w:b/>
                      <w:bCs/>
                      <w:color w:val="auto"/>
                    </w:rPr>
                    <w:t>E</w:t>
                  </w:r>
                  <w:r>
                    <w:rPr>
                      <w:rFonts w:ascii="Times New Roman" w:hAnsi="Times New Roman" w:eastAsia="Times New Roman" w:cs="Times New Roman"/>
                      <w:b/>
                      <w:bCs/>
                      <w:color w:val="auto"/>
                      <w:position w:val="-1"/>
                      <w:sz w:val="13"/>
                      <w:szCs w:val="13"/>
                    </w:rPr>
                    <w:t>h</w:t>
                  </w:r>
                  <w:r>
                    <w:rPr>
                      <w:b/>
                      <w:bCs/>
                      <w:color w:val="auto"/>
                      <w:spacing w:val="6"/>
                    </w:rPr>
                    <w:t>（</w:t>
                  </w:r>
                  <w:r>
                    <w:rPr>
                      <w:rFonts w:ascii="Times New Roman" w:hAnsi="Times New Roman" w:eastAsia="Times New Roman" w:cs="Times New Roman"/>
                      <w:b/>
                      <w:bCs/>
                      <w:color w:val="auto"/>
                    </w:rPr>
                    <w:t>kg</w:t>
                  </w:r>
                  <w:r>
                    <w:rPr>
                      <w:rFonts w:ascii="Times New Roman" w:hAnsi="Times New Roman" w:eastAsia="Times New Roman" w:cs="Times New Roman"/>
                      <w:b/>
                      <w:bCs/>
                      <w:color w:val="auto"/>
                      <w:spacing w:val="6"/>
                    </w:rPr>
                    <w:t>/t</w:t>
                  </w:r>
                  <w:r>
                    <w:rPr>
                      <w:b/>
                      <w:bCs/>
                      <w:color w:val="auto"/>
                      <w:spacing w:val="6"/>
                    </w:rPr>
                    <w:t>）</w:t>
                  </w:r>
                </w:p>
              </w:tc>
              <w:tc>
                <w:tcPr>
                  <w:tcW w:w="1426" w:type="dxa"/>
                  <w:gridSpan w:val="2"/>
                  <w:vAlign w:val="center"/>
                </w:tcPr>
                <w:p w14:paraId="7BB2328F">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rFonts w:ascii="Times New Roman" w:hAnsi="Times New Roman" w:eastAsia="Times New Roman" w:cs="Times New Roman"/>
                      <w:b/>
                      <w:bCs/>
                      <w:color w:val="auto"/>
                      <w:spacing w:val="3"/>
                    </w:rPr>
                    <w:t>m</w:t>
                  </w:r>
                  <w:r>
                    <w:rPr>
                      <w:b/>
                      <w:bCs/>
                      <w:color w:val="auto"/>
                      <w:spacing w:val="3"/>
                    </w:rPr>
                    <w:t>（次）</w:t>
                  </w:r>
                </w:p>
              </w:tc>
              <w:tc>
                <w:tcPr>
                  <w:tcW w:w="1381" w:type="dxa"/>
                  <w:gridSpan w:val="2"/>
                  <w:vAlign w:val="center"/>
                </w:tcPr>
                <w:p w14:paraId="3BC924B9">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rFonts w:ascii="Times New Roman" w:hAnsi="Times New Roman" w:eastAsia="Times New Roman" w:cs="Times New Roman"/>
                      <w:b/>
                      <w:bCs/>
                      <w:color w:val="auto"/>
                    </w:rPr>
                    <w:t>G</w:t>
                  </w:r>
                  <w:r>
                    <w:rPr>
                      <w:rFonts w:ascii="Times New Roman" w:hAnsi="Times New Roman" w:eastAsia="Times New Roman" w:cs="Times New Roman"/>
                      <w:b/>
                      <w:bCs/>
                      <w:color w:val="auto"/>
                      <w:position w:val="-1"/>
                      <w:sz w:val="13"/>
                      <w:szCs w:val="13"/>
                    </w:rPr>
                    <w:t>Yi</w:t>
                  </w:r>
                  <w:r>
                    <w:rPr>
                      <w:b/>
                      <w:bCs/>
                      <w:color w:val="auto"/>
                      <w:spacing w:val="1"/>
                    </w:rPr>
                    <w:t>（</w:t>
                  </w:r>
                  <w:r>
                    <w:rPr>
                      <w:rFonts w:ascii="Times New Roman" w:hAnsi="Times New Roman" w:eastAsia="Times New Roman" w:cs="Times New Roman"/>
                      <w:b/>
                      <w:bCs/>
                      <w:color w:val="auto"/>
                      <w:spacing w:val="1"/>
                    </w:rPr>
                    <w:t>t</w:t>
                  </w:r>
                  <w:r>
                    <w:rPr>
                      <w:b/>
                      <w:bCs/>
                      <w:color w:val="auto"/>
                      <w:spacing w:val="1"/>
                    </w:rPr>
                    <w:t>）</w:t>
                  </w:r>
                </w:p>
              </w:tc>
              <w:tc>
                <w:tcPr>
                  <w:tcW w:w="1626" w:type="dxa"/>
                  <w:gridSpan w:val="2"/>
                  <w:vAlign w:val="center"/>
                </w:tcPr>
                <w:p w14:paraId="1E6484A3">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rFonts w:ascii="Times New Roman" w:hAnsi="Times New Roman" w:eastAsia="Times New Roman" w:cs="Times New Roman"/>
                      <w:b/>
                      <w:bCs/>
                      <w:color w:val="auto"/>
                    </w:rPr>
                    <w:t>W</w:t>
                  </w:r>
                  <w:r>
                    <w:rPr>
                      <w:rFonts w:ascii="Times New Roman" w:hAnsi="Times New Roman" w:eastAsia="Times New Roman" w:cs="Times New Roman"/>
                      <w:b/>
                      <w:bCs/>
                      <w:color w:val="auto"/>
                      <w:position w:val="-1"/>
                      <w:sz w:val="13"/>
                      <w:szCs w:val="13"/>
                    </w:rPr>
                    <w:t>Y</w:t>
                  </w:r>
                  <w:r>
                    <w:rPr>
                      <w:b/>
                      <w:bCs/>
                      <w:color w:val="auto"/>
                      <w:spacing w:val="5"/>
                    </w:rPr>
                    <w:t>（</w:t>
                  </w:r>
                  <w:r>
                    <w:rPr>
                      <w:rFonts w:ascii="Times New Roman" w:hAnsi="Times New Roman" w:eastAsia="Times New Roman" w:cs="Times New Roman"/>
                      <w:b/>
                      <w:bCs/>
                      <w:color w:val="auto"/>
                      <w:spacing w:val="5"/>
                    </w:rPr>
                    <w:t>t/a</w:t>
                  </w:r>
                  <w:r>
                    <w:rPr>
                      <w:b/>
                      <w:bCs/>
                      <w:color w:val="auto"/>
                      <w:spacing w:val="5"/>
                    </w:rPr>
                    <w:t>）</w:t>
                  </w:r>
                </w:p>
              </w:tc>
            </w:tr>
            <w:tr w14:paraId="28B8E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2858" w:type="dxa"/>
                  <w:gridSpan w:val="2"/>
                  <w:tcBorders>
                    <w:left w:val="single" w:color="000000" w:sz="2" w:space="0"/>
                  </w:tcBorders>
                  <w:vAlign w:val="center"/>
                </w:tcPr>
                <w:p w14:paraId="671BB8EC">
                  <w:pPr>
                    <w:pStyle w:val="1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rPr>
                  </w:pPr>
                  <w:r>
                    <w:rPr>
                      <w:color w:val="auto"/>
                      <w:spacing w:val="7"/>
                    </w:rPr>
                    <w:t>砂石料堆</w:t>
                  </w:r>
                </w:p>
              </w:tc>
              <w:tc>
                <w:tcPr>
                  <w:tcW w:w="1368" w:type="dxa"/>
                  <w:gridSpan w:val="2"/>
                  <w:vAlign w:val="center"/>
                </w:tcPr>
                <w:p w14:paraId="61349D8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3"/>
                      <w:sz w:val="20"/>
                      <w:szCs w:val="20"/>
                    </w:rPr>
                    <w:t>0.0000003</w:t>
                  </w:r>
                </w:p>
              </w:tc>
              <w:tc>
                <w:tcPr>
                  <w:tcW w:w="1426" w:type="dxa"/>
                  <w:gridSpan w:val="2"/>
                  <w:vAlign w:val="center"/>
                </w:tcPr>
                <w:p w14:paraId="13B1CB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0"/>
                      <w:szCs w:val="20"/>
                      <w:lang w:val="en-US" w:eastAsia="zh-CN"/>
                    </w:rPr>
                  </w:pPr>
                  <w:r>
                    <w:rPr>
                      <w:rFonts w:hint="eastAsia" w:eastAsia="宋体" w:cs="Times New Roman"/>
                      <w:color w:val="auto"/>
                      <w:sz w:val="20"/>
                      <w:szCs w:val="20"/>
                      <w:lang w:val="en-US" w:eastAsia="zh-CN"/>
                    </w:rPr>
                    <w:t>5823</w:t>
                  </w:r>
                </w:p>
              </w:tc>
              <w:tc>
                <w:tcPr>
                  <w:tcW w:w="1381" w:type="dxa"/>
                  <w:gridSpan w:val="2"/>
                  <w:vAlign w:val="center"/>
                </w:tcPr>
                <w:p w14:paraId="4AE808B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sz w:val="20"/>
                      <w:szCs w:val="20"/>
                    </w:rPr>
                    <w:t>20</w:t>
                  </w:r>
                </w:p>
              </w:tc>
              <w:tc>
                <w:tcPr>
                  <w:tcW w:w="1626" w:type="dxa"/>
                  <w:gridSpan w:val="2"/>
                  <w:vAlign w:val="center"/>
                </w:tcPr>
                <w:p w14:paraId="13BFA6F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lang w:val="en-US"/>
                    </w:rPr>
                  </w:pPr>
                  <w:r>
                    <w:rPr>
                      <w:rFonts w:ascii="Times New Roman" w:hAnsi="Times New Roman" w:eastAsia="Times New Roman" w:cs="Times New Roman"/>
                      <w:color w:val="auto"/>
                      <w:spacing w:val="3"/>
                      <w:sz w:val="20"/>
                      <w:szCs w:val="20"/>
                    </w:rPr>
                    <w:t>0.000</w:t>
                  </w:r>
                  <w:r>
                    <w:rPr>
                      <w:rFonts w:hint="eastAsia" w:eastAsia="宋体" w:cs="Times New Roman"/>
                      <w:color w:val="auto"/>
                      <w:spacing w:val="3"/>
                      <w:sz w:val="20"/>
                      <w:szCs w:val="20"/>
                      <w:lang w:val="en-US" w:eastAsia="zh-CN"/>
                    </w:rPr>
                    <w:t>0</w:t>
                  </w:r>
                  <w:r>
                    <w:rPr>
                      <w:rFonts w:hint="eastAsia" w:cs="Times New Roman"/>
                      <w:color w:val="auto"/>
                      <w:spacing w:val="3"/>
                      <w:sz w:val="20"/>
                      <w:szCs w:val="20"/>
                      <w:lang w:val="en-US" w:eastAsia="zh-CN"/>
                    </w:rPr>
                    <w:t>378</w:t>
                  </w:r>
                </w:p>
              </w:tc>
            </w:tr>
          </w:tbl>
          <w:p w14:paraId="343D6858">
            <w:pPr>
              <w:pStyle w:val="122"/>
              <w:keepNext w:val="0"/>
              <w:keepLines w:val="0"/>
              <w:pageBreakBefore w:val="0"/>
              <w:widowControl w:val="0"/>
              <w:kinsoku/>
              <w:wordWrap/>
              <w:overflowPunct/>
              <w:topLinePunct w:val="0"/>
              <w:autoSpaceDE/>
              <w:autoSpaceDN/>
              <w:bidi w:val="0"/>
              <w:adjustRightInd/>
              <w:snapToGrid/>
              <w:spacing w:line="348" w:lineRule="auto"/>
              <w:ind w:left="0" w:right="0" w:firstLine="480"/>
              <w:jc w:val="left"/>
              <w:textAlignment w:val="auto"/>
              <w:rPr>
                <w:color w:val="auto"/>
                <w:sz w:val="24"/>
                <w:szCs w:val="24"/>
              </w:rPr>
            </w:pPr>
            <w:r>
              <w:rPr>
                <w:color w:val="auto"/>
                <w:sz w:val="24"/>
                <w:szCs w:val="24"/>
              </w:rPr>
              <w:t>根据上述公式计算，在砂石料上料时采取所在厂房</w:t>
            </w:r>
            <w:r>
              <w:rPr>
                <w:color w:val="auto"/>
                <w:spacing w:val="-1"/>
                <w:sz w:val="24"/>
                <w:szCs w:val="24"/>
              </w:rPr>
              <w:t>半封闭、设置三面围挡和喷淋降尘的扬尘防治措施下，颗粒物排放量为</w:t>
            </w:r>
            <w:r>
              <w:rPr>
                <w:rFonts w:ascii="Times New Roman" w:hAnsi="Times New Roman" w:eastAsia="Times New Roman" w:cs="Times New Roman"/>
                <w:color w:val="auto"/>
                <w:spacing w:val="-1"/>
                <w:sz w:val="24"/>
                <w:szCs w:val="24"/>
              </w:rPr>
              <w:t>0.0004t/a</w:t>
            </w:r>
            <w:r>
              <w:rPr>
                <w:rFonts w:ascii="Times New Roman" w:hAnsi="Times New Roman" w:eastAsia="Times New Roman" w:cs="Times New Roman"/>
                <w:color w:val="auto"/>
                <w:spacing w:val="-35"/>
                <w:sz w:val="24"/>
                <w:szCs w:val="24"/>
              </w:rPr>
              <w:t xml:space="preserve"> </w:t>
            </w:r>
            <w:r>
              <w:rPr>
                <w:color w:val="auto"/>
                <w:spacing w:val="-1"/>
                <w:sz w:val="24"/>
                <w:szCs w:val="24"/>
              </w:rPr>
              <w:t>，根据《工业行</w:t>
            </w:r>
            <w:r>
              <w:rPr>
                <w:color w:val="auto"/>
                <w:spacing w:val="-2"/>
                <w:sz w:val="24"/>
                <w:szCs w:val="24"/>
              </w:rPr>
              <w:t>业产排污</w:t>
            </w:r>
            <w:r>
              <w:rPr>
                <w:color w:val="auto"/>
                <w:spacing w:val="-3"/>
                <w:sz w:val="24"/>
                <w:szCs w:val="24"/>
              </w:rPr>
              <w:t>系数手册</w:t>
            </w:r>
            <w:r>
              <w:rPr>
                <w:rFonts w:ascii="Times New Roman" w:hAnsi="Times New Roman" w:eastAsia="Times New Roman" w:cs="Times New Roman"/>
                <w:color w:val="auto"/>
                <w:spacing w:val="-3"/>
                <w:sz w:val="24"/>
                <w:szCs w:val="24"/>
              </w:rPr>
              <w:t>--</w:t>
            </w:r>
            <w:r>
              <w:rPr>
                <w:color w:val="auto"/>
                <w:spacing w:val="-3"/>
                <w:sz w:val="24"/>
                <w:szCs w:val="24"/>
              </w:rPr>
              <w:t>附表</w:t>
            </w:r>
            <w:r>
              <w:rPr>
                <w:color w:val="auto"/>
                <w:spacing w:val="-48"/>
                <w:sz w:val="24"/>
                <w:szCs w:val="24"/>
              </w:rPr>
              <w:t xml:space="preserve"> </w:t>
            </w:r>
            <w:r>
              <w:rPr>
                <w:rFonts w:ascii="Times New Roman" w:hAnsi="Times New Roman" w:eastAsia="Times New Roman" w:cs="Times New Roman"/>
                <w:color w:val="auto"/>
                <w:spacing w:val="-3"/>
                <w:sz w:val="24"/>
                <w:szCs w:val="24"/>
              </w:rPr>
              <w:t>2</w:t>
            </w:r>
            <w:r>
              <w:rPr>
                <w:color w:val="auto"/>
                <w:spacing w:val="-3"/>
                <w:sz w:val="24"/>
                <w:szCs w:val="24"/>
              </w:rPr>
              <w:t>固体物料堆存颗粒物产排污核算系数手册》，半封闭式堆场粉尘</w:t>
            </w:r>
            <w:r>
              <w:rPr>
                <w:color w:val="auto"/>
                <w:spacing w:val="-2"/>
                <w:sz w:val="24"/>
                <w:szCs w:val="24"/>
              </w:rPr>
              <w:t>控制效率为</w:t>
            </w:r>
            <w:r>
              <w:rPr>
                <w:rFonts w:ascii="Times New Roman" w:hAnsi="Times New Roman" w:eastAsia="Times New Roman" w:cs="Times New Roman"/>
                <w:color w:val="auto"/>
                <w:spacing w:val="-2"/>
                <w:sz w:val="24"/>
                <w:szCs w:val="24"/>
              </w:rPr>
              <w:t>60%</w:t>
            </w:r>
            <w:r>
              <w:rPr>
                <w:rFonts w:ascii="Times New Roman" w:hAnsi="Times New Roman" w:eastAsia="Times New Roman" w:cs="Times New Roman"/>
                <w:color w:val="auto"/>
                <w:spacing w:val="-35"/>
                <w:sz w:val="24"/>
                <w:szCs w:val="24"/>
              </w:rPr>
              <w:t xml:space="preserve"> </w:t>
            </w:r>
            <w:r>
              <w:rPr>
                <w:color w:val="auto"/>
                <w:spacing w:val="-2"/>
                <w:sz w:val="24"/>
                <w:szCs w:val="24"/>
              </w:rPr>
              <w:t>，</w:t>
            </w:r>
            <w:r>
              <w:rPr>
                <w:rFonts w:hint="default" w:ascii="Times New Roman" w:hAnsi="Times New Roman" w:cs="Times New Roman"/>
                <w:color w:val="auto"/>
                <w:spacing w:val="0"/>
                <w:w w:val="100"/>
                <w:sz w:val="24"/>
                <w:szCs w:val="24"/>
              </w:rPr>
              <w:t>洒水措施粉尘控制效率为</w:t>
            </w:r>
            <w:r>
              <w:rPr>
                <w:rFonts w:hint="default" w:ascii="Times New Roman" w:hAnsi="Times New Roman" w:eastAsia="Times New Roman" w:cs="Times New Roman"/>
                <w:color w:val="auto"/>
                <w:spacing w:val="0"/>
                <w:w w:val="100"/>
                <w:sz w:val="24"/>
                <w:szCs w:val="24"/>
              </w:rPr>
              <w:t>7</w:t>
            </w:r>
            <w:r>
              <w:rPr>
                <w:rFonts w:hint="default" w:ascii="Times New Roman" w:hAnsi="Times New Roman" w:eastAsia="宋体" w:cs="Times New Roman"/>
                <w:color w:val="auto"/>
                <w:spacing w:val="0"/>
                <w:w w:val="100"/>
                <w:sz w:val="24"/>
                <w:szCs w:val="24"/>
                <w:lang w:val="en-US" w:eastAsia="zh-CN"/>
              </w:rPr>
              <w:t>4</w:t>
            </w:r>
            <w:r>
              <w:rPr>
                <w:rFonts w:hint="default" w:ascii="Times New Roman" w:hAnsi="Times New Roman" w:eastAsia="Times New Roman" w:cs="Times New Roman"/>
                <w:color w:val="auto"/>
                <w:spacing w:val="0"/>
                <w:w w:val="100"/>
                <w:sz w:val="24"/>
                <w:szCs w:val="24"/>
              </w:rPr>
              <w:t>%</w:t>
            </w:r>
            <w:r>
              <w:rPr>
                <w:rFonts w:hint="default" w:ascii="Times New Roman" w:hAnsi="Times New Roman" w:cs="Times New Roman"/>
                <w:color w:val="auto"/>
                <w:spacing w:val="0"/>
                <w:w w:val="100"/>
                <w:sz w:val="24"/>
                <w:szCs w:val="24"/>
              </w:rPr>
              <w:t>，故本项目堆棚对颗粒物的综合控制效率为</w:t>
            </w:r>
            <w:r>
              <w:rPr>
                <w:rFonts w:hint="eastAsia" w:ascii="Times New Roman" w:hAnsi="Times New Roman" w:eastAsia="宋体" w:cs="Times New Roman"/>
                <w:color w:val="auto"/>
                <w:spacing w:val="0"/>
                <w:w w:val="100"/>
                <w:sz w:val="24"/>
                <w:szCs w:val="24"/>
                <w:lang w:val="en-US" w:eastAsia="zh-CN"/>
              </w:rPr>
              <w:t>89.6</w:t>
            </w:r>
            <w:r>
              <w:rPr>
                <w:rFonts w:hint="default" w:ascii="Times New Roman" w:hAnsi="Times New Roman" w:eastAsia="Times New Roman" w:cs="Times New Roman"/>
                <w:color w:val="auto"/>
                <w:spacing w:val="0"/>
                <w:w w:val="100"/>
                <w:sz w:val="24"/>
                <w:szCs w:val="24"/>
              </w:rPr>
              <w:t>%</w:t>
            </w:r>
            <w:r>
              <w:rPr>
                <w:rFonts w:hint="default" w:ascii="Times New Roman" w:hAnsi="Times New Roman" w:cs="Times New Roman"/>
                <w:color w:val="auto"/>
                <w:spacing w:val="0"/>
                <w:w w:val="100"/>
                <w:sz w:val="24"/>
                <w:szCs w:val="24"/>
              </w:rPr>
              <w:t>，经计算，颗粒物产生量为</w:t>
            </w:r>
            <w:r>
              <w:rPr>
                <w:rFonts w:hint="default" w:ascii="Times New Roman" w:hAnsi="Times New Roman" w:eastAsia="Times New Roman" w:cs="Times New Roman"/>
                <w:color w:val="auto"/>
                <w:spacing w:val="0"/>
                <w:w w:val="100"/>
                <w:sz w:val="24"/>
                <w:szCs w:val="24"/>
              </w:rPr>
              <w:t>0.00</w:t>
            </w:r>
            <w:r>
              <w:rPr>
                <w:rFonts w:hint="eastAsia" w:ascii="Times New Roman" w:hAnsi="Times New Roman" w:eastAsia="宋体" w:cs="Times New Roman"/>
                <w:color w:val="auto"/>
                <w:spacing w:val="0"/>
                <w:w w:val="100"/>
                <w:sz w:val="24"/>
                <w:szCs w:val="24"/>
                <w:lang w:val="en-US" w:eastAsia="zh-CN"/>
              </w:rPr>
              <w:t>00378</w:t>
            </w:r>
            <w:r>
              <w:rPr>
                <w:rFonts w:hint="default" w:ascii="Times New Roman" w:hAnsi="Times New Roman" w:eastAsia="Times New Roman" w:cs="Times New Roman"/>
                <w:color w:val="auto"/>
                <w:spacing w:val="0"/>
                <w:w w:val="100"/>
                <w:sz w:val="24"/>
                <w:szCs w:val="24"/>
              </w:rPr>
              <w:t>t/a</w:t>
            </w:r>
            <w:r>
              <w:rPr>
                <w:rFonts w:hint="default" w:ascii="Times New Roman" w:hAnsi="Times New Roman" w:cs="Times New Roman"/>
                <w:color w:val="auto"/>
                <w:spacing w:val="0"/>
                <w:w w:val="100"/>
                <w:sz w:val="24"/>
                <w:szCs w:val="24"/>
              </w:rPr>
              <w:t>。本项目年工作</w:t>
            </w:r>
            <w:r>
              <w:rPr>
                <w:rFonts w:hint="default" w:ascii="Times New Roman" w:hAnsi="Times New Roman" w:eastAsia="Times New Roman" w:cs="Times New Roman"/>
                <w:color w:val="auto"/>
                <w:spacing w:val="0"/>
                <w:w w:val="100"/>
                <w:sz w:val="24"/>
                <w:szCs w:val="24"/>
              </w:rPr>
              <w:t>300</w:t>
            </w:r>
            <w:r>
              <w:rPr>
                <w:rFonts w:hint="default" w:ascii="Times New Roman" w:hAnsi="Times New Roman" w:cs="Times New Roman"/>
                <w:color w:val="auto"/>
                <w:spacing w:val="0"/>
                <w:w w:val="100"/>
                <w:sz w:val="24"/>
                <w:szCs w:val="24"/>
              </w:rPr>
              <w:t>天，实行</w:t>
            </w:r>
            <w:r>
              <w:rPr>
                <w:rFonts w:hint="default" w:ascii="Times New Roman" w:hAnsi="Times New Roman" w:eastAsia="Times New Roman" w:cs="Times New Roman"/>
                <w:color w:val="auto"/>
                <w:spacing w:val="0"/>
                <w:w w:val="100"/>
                <w:sz w:val="24"/>
                <w:szCs w:val="24"/>
              </w:rPr>
              <w:t>8</w:t>
            </w:r>
            <w:r>
              <w:rPr>
                <w:rFonts w:hint="default" w:ascii="Times New Roman" w:hAnsi="Times New Roman" w:cs="Times New Roman"/>
                <w:color w:val="auto"/>
                <w:spacing w:val="0"/>
                <w:w w:val="100"/>
                <w:sz w:val="24"/>
                <w:szCs w:val="24"/>
              </w:rPr>
              <w:t>小时工作制。砂石料颗粒物排放速率为</w:t>
            </w:r>
            <w:r>
              <w:rPr>
                <w:rFonts w:hint="default" w:ascii="Times New Roman" w:hAnsi="Times New Roman" w:eastAsia="Times New Roman" w:cs="Times New Roman"/>
                <w:color w:val="auto"/>
                <w:spacing w:val="0"/>
                <w:w w:val="100"/>
                <w:sz w:val="24"/>
                <w:szCs w:val="24"/>
              </w:rPr>
              <w:t>0.000</w:t>
            </w:r>
            <w:r>
              <w:rPr>
                <w:rFonts w:hint="eastAsia" w:ascii="Times New Roman" w:hAnsi="Times New Roman" w:eastAsia="宋体" w:cs="Times New Roman"/>
                <w:color w:val="auto"/>
                <w:spacing w:val="0"/>
                <w:w w:val="100"/>
                <w:sz w:val="24"/>
                <w:szCs w:val="24"/>
                <w:lang w:val="en-US" w:eastAsia="zh-CN"/>
              </w:rPr>
              <w:t>00164</w:t>
            </w:r>
            <w:r>
              <w:rPr>
                <w:rFonts w:hint="default" w:ascii="Times New Roman" w:hAnsi="Times New Roman" w:eastAsia="Times New Roman" w:cs="Times New Roman"/>
                <w:color w:val="auto"/>
                <w:spacing w:val="0"/>
                <w:w w:val="100"/>
                <w:sz w:val="24"/>
                <w:szCs w:val="24"/>
              </w:rPr>
              <w:t>kg/h</w:t>
            </w:r>
            <w:r>
              <w:rPr>
                <w:rFonts w:hint="default" w:ascii="Times New Roman" w:hAnsi="Times New Roman" w:cs="Times New Roman"/>
                <w:color w:val="auto"/>
                <w:spacing w:val="0"/>
                <w:w w:val="100"/>
                <w:sz w:val="24"/>
                <w:szCs w:val="24"/>
              </w:rPr>
              <w:t>，排放量为</w:t>
            </w:r>
            <w:r>
              <w:rPr>
                <w:rFonts w:hint="eastAsia" w:ascii="Times New Roman" w:hAnsi="Times New Roman" w:eastAsia="宋体" w:cs="Times New Roman"/>
                <w:color w:val="auto"/>
                <w:spacing w:val="0"/>
                <w:w w:val="100"/>
                <w:sz w:val="24"/>
                <w:szCs w:val="24"/>
                <w:lang w:val="en-US" w:eastAsia="zh-CN"/>
              </w:rPr>
              <w:t>0.00000393</w:t>
            </w:r>
            <w:r>
              <w:rPr>
                <w:rFonts w:hint="default" w:ascii="Times New Roman" w:hAnsi="Times New Roman" w:eastAsia="Times New Roman" w:cs="Times New Roman"/>
                <w:color w:val="auto"/>
                <w:spacing w:val="0"/>
                <w:w w:val="100"/>
                <w:sz w:val="24"/>
                <w:szCs w:val="24"/>
              </w:rPr>
              <w:t>t/a</w:t>
            </w:r>
            <w:r>
              <w:rPr>
                <w:rFonts w:hint="default" w:ascii="Times New Roman" w:hAnsi="Times New Roman" w:cs="Times New Roman"/>
                <w:color w:val="auto"/>
                <w:spacing w:val="0"/>
                <w:w w:val="100"/>
                <w:sz w:val="24"/>
                <w:szCs w:val="24"/>
              </w:rPr>
              <w:t>；</w:t>
            </w:r>
          </w:p>
          <w:p w14:paraId="1218A758">
            <w:pPr>
              <w:pStyle w:val="122"/>
              <w:keepNext w:val="0"/>
              <w:keepLines w:val="0"/>
              <w:pageBreakBefore w:val="0"/>
              <w:widowControl w:val="0"/>
              <w:kinsoku/>
              <w:wordWrap/>
              <w:overflowPunct/>
              <w:topLinePunct w:val="0"/>
              <w:autoSpaceDE/>
              <w:autoSpaceDN/>
              <w:bidi w:val="0"/>
              <w:adjustRightInd/>
              <w:snapToGrid/>
              <w:spacing w:line="360" w:lineRule="auto"/>
              <w:ind w:left="0"/>
              <w:textAlignment w:val="auto"/>
              <w:rPr>
                <w:color w:val="auto"/>
                <w:sz w:val="24"/>
                <w:szCs w:val="24"/>
              </w:rPr>
            </w:pPr>
            <w:r>
              <w:rPr>
                <w:rFonts w:ascii="Times New Roman" w:hAnsi="Times New Roman" w:eastAsia="Times New Roman" w:cs="Times New Roman"/>
                <w:color w:val="auto"/>
                <w:spacing w:val="-2"/>
                <w:sz w:val="24"/>
                <w:szCs w:val="24"/>
              </w:rPr>
              <w:t>3</w:t>
            </w:r>
            <w:r>
              <w:rPr>
                <w:color w:val="auto"/>
                <w:spacing w:val="-2"/>
                <w:sz w:val="24"/>
                <w:szCs w:val="24"/>
              </w:rPr>
              <w:t>）车辆运输颗粒物</w:t>
            </w:r>
          </w:p>
          <w:p w14:paraId="2880835D">
            <w:pPr>
              <w:pStyle w:val="122"/>
              <w:spacing w:before="179" w:line="220" w:lineRule="auto"/>
              <w:ind w:left="599"/>
              <w:rPr>
                <w:color w:val="auto"/>
                <w:sz w:val="24"/>
                <w:szCs w:val="24"/>
              </w:rPr>
            </w:pPr>
            <w:r>
              <w:rPr>
                <w:color w:val="auto"/>
                <w:spacing w:val="-1"/>
                <w:sz w:val="24"/>
                <w:szCs w:val="24"/>
              </w:rPr>
              <w:t>车辆运输颗粒物排放量计算公式如下：</w:t>
            </w:r>
          </w:p>
          <w:p w14:paraId="330DF0B6">
            <w:pPr>
              <w:spacing w:before="176" w:line="458" w:lineRule="exact"/>
              <w:ind w:left="2270"/>
              <w:rPr>
                <w:color w:val="auto"/>
              </w:rPr>
            </w:pPr>
            <w:r>
              <w:rPr>
                <w:color w:val="auto"/>
                <w:position w:val="-9"/>
              </w:rPr>
              <w:drawing>
                <wp:inline distT="0" distB="0" distL="0" distR="0">
                  <wp:extent cx="2645410" cy="290195"/>
                  <wp:effectExtent l="0" t="0" r="2540" b="14605"/>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0"/>
                          <a:stretch>
                            <a:fillRect/>
                          </a:stretch>
                        </pic:blipFill>
                        <pic:spPr>
                          <a:xfrm>
                            <a:off x="0" y="0"/>
                            <a:ext cx="2645759" cy="290749"/>
                          </a:xfrm>
                          <a:prstGeom prst="rect">
                            <a:avLst/>
                          </a:prstGeom>
                        </pic:spPr>
                      </pic:pic>
                    </a:graphicData>
                  </a:graphic>
                </wp:inline>
              </w:drawing>
            </w:r>
          </w:p>
          <w:p w14:paraId="0121FDFB">
            <w:pPr>
              <w:pStyle w:val="122"/>
              <w:spacing w:before="175" w:line="221" w:lineRule="auto"/>
              <w:ind w:left="121"/>
              <w:rPr>
                <w:color w:val="auto"/>
                <w:sz w:val="24"/>
                <w:szCs w:val="24"/>
              </w:rPr>
            </w:pPr>
            <w:r>
              <w:rPr>
                <w:color w:val="auto"/>
                <w:spacing w:val="-5"/>
                <w:sz w:val="24"/>
                <w:szCs w:val="24"/>
              </w:rPr>
              <w:t>式中：</w:t>
            </w:r>
          </w:p>
          <w:p w14:paraId="28AC355E">
            <w:pPr>
              <w:pStyle w:val="122"/>
              <w:keepNext w:val="0"/>
              <w:keepLines w:val="0"/>
              <w:pageBreakBefore w:val="0"/>
              <w:kinsoku/>
              <w:wordWrap/>
              <w:overflowPunct/>
              <w:topLinePunct w:val="0"/>
              <w:autoSpaceDE/>
              <w:autoSpaceDN/>
              <w:bidi w:val="0"/>
              <w:adjustRightInd/>
              <w:snapToGrid/>
              <w:spacing w:line="360" w:lineRule="auto"/>
              <w:ind w:left="0"/>
              <w:jc w:val="left"/>
              <w:textAlignment w:val="auto"/>
              <w:rPr>
                <w:color w:val="auto"/>
                <w:sz w:val="24"/>
                <w:szCs w:val="24"/>
              </w:rPr>
            </w:pPr>
            <w:r>
              <w:rPr>
                <w:rFonts w:ascii="Times New Roman" w:hAnsi="Times New Roman" w:eastAsia="Times New Roman" w:cs="Times New Roman"/>
                <w:color w:val="auto"/>
                <w:spacing w:val="-2"/>
                <w:position w:val="2"/>
                <w:sz w:val="24"/>
                <w:szCs w:val="24"/>
              </w:rPr>
              <w:t>W</w:t>
            </w:r>
            <w:r>
              <w:rPr>
                <w:rFonts w:ascii="Times New Roman" w:hAnsi="Times New Roman" w:eastAsia="Times New Roman" w:cs="Times New Roman"/>
                <w:color w:val="auto"/>
                <w:spacing w:val="-2"/>
                <w:position w:val="1"/>
                <w:sz w:val="15"/>
                <w:szCs w:val="15"/>
              </w:rPr>
              <w:t>Ri</w:t>
            </w:r>
            <w:r>
              <w:rPr>
                <w:color w:val="auto"/>
                <w:spacing w:val="-2"/>
                <w:position w:val="2"/>
                <w:sz w:val="24"/>
                <w:szCs w:val="24"/>
              </w:rPr>
              <w:t>——道路扬尘源中</w:t>
            </w:r>
            <w:r>
              <w:rPr>
                <w:color w:val="auto"/>
                <w:spacing w:val="-40"/>
                <w:position w:val="2"/>
                <w:sz w:val="24"/>
                <w:szCs w:val="24"/>
              </w:rPr>
              <w:t xml:space="preserve"> </w:t>
            </w:r>
            <w:r>
              <w:rPr>
                <w:rFonts w:ascii="Times New Roman" w:hAnsi="Times New Roman" w:eastAsia="Times New Roman" w:cs="Times New Roman"/>
                <w:color w:val="auto"/>
                <w:spacing w:val="-2"/>
                <w:position w:val="2"/>
                <w:sz w:val="24"/>
                <w:szCs w:val="24"/>
              </w:rPr>
              <w:t>TSP</w:t>
            </w:r>
            <w:r>
              <w:rPr>
                <w:color w:val="auto"/>
                <w:spacing w:val="-2"/>
                <w:position w:val="2"/>
                <w:sz w:val="24"/>
                <w:szCs w:val="24"/>
              </w:rPr>
              <w:t>的总排放量，</w:t>
            </w:r>
            <w:r>
              <w:rPr>
                <w:rFonts w:ascii="Times New Roman" w:hAnsi="Times New Roman" w:eastAsia="Times New Roman" w:cs="Times New Roman"/>
                <w:color w:val="auto"/>
                <w:spacing w:val="-2"/>
                <w:position w:val="2"/>
                <w:sz w:val="24"/>
                <w:szCs w:val="24"/>
              </w:rPr>
              <w:t>t/a</w:t>
            </w:r>
            <w:r>
              <w:rPr>
                <w:color w:val="auto"/>
                <w:spacing w:val="-2"/>
                <w:position w:val="2"/>
                <w:sz w:val="24"/>
                <w:szCs w:val="24"/>
              </w:rPr>
              <w:t>。</w:t>
            </w:r>
          </w:p>
          <w:p w14:paraId="12DC1FE2">
            <w:pPr>
              <w:pStyle w:val="122"/>
              <w:keepNext w:val="0"/>
              <w:keepLines w:val="0"/>
              <w:pageBreakBefore w:val="0"/>
              <w:kinsoku/>
              <w:wordWrap/>
              <w:overflowPunct/>
              <w:topLinePunct w:val="0"/>
              <w:autoSpaceDE/>
              <w:autoSpaceDN/>
              <w:bidi w:val="0"/>
              <w:adjustRightInd/>
              <w:snapToGrid/>
              <w:spacing w:line="360" w:lineRule="auto"/>
              <w:ind w:left="0"/>
              <w:jc w:val="left"/>
              <w:textAlignment w:val="auto"/>
              <w:rPr>
                <w:color w:val="auto"/>
                <w:sz w:val="24"/>
                <w:szCs w:val="24"/>
              </w:rPr>
            </w:pPr>
            <w:r>
              <w:rPr>
                <w:rFonts w:ascii="Times New Roman" w:hAnsi="Times New Roman" w:eastAsia="Times New Roman" w:cs="Times New Roman"/>
                <w:color w:val="auto"/>
                <w:position w:val="3"/>
                <w:sz w:val="24"/>
                <w:szCs w:val="24"/>
              </w:rPr>
              <w:t>E</w:t>
            </w:r>
            <w:r>
              <w:rPr>
                <w:rFonts w:ascii="Times New Roman" w:hAnsi="Times New Roman" w:eastAsia="Times New Roman" w:cs="Times New Roman"/>
                <w:color w:val="auto"/>
                <w:position w:val="2"/>
                <w:sz w:val="15"/>
                <w:szCs w:val="15"/>
              </w:rPr>
              <w:t>Ri</w:t>
            </w:r>
            <w:r>
              <w:rPr>
                <w:color w:val="auto"/>
                <w:position w:val="3"/>
                <w:sz w:val="24"/>
                <w:szCs w:val="24"/>
              </w:rPr>
              <w:t>——道路扬尘源中</w:t>
            </w:r>
            <w:r>
              <w:rPr>
                <w:color w:val="auto"/>
                <w:spacing w:val="-56"/>
                <w:position w:val="3"/>
                <w:sz w:val="24"/>
                <w:szCs w:val="24"/>
              </w:rPr>
              <w:t xml:space="preserve"> </w:t>
            </w:r>
            <w:r>
              <w:rPr>
                <w:rFonts w:ascii="Times New Roman" w:hAnsi="Times New Roman" w:eastAsia="Times New Roman" w:cs="Times New Roman"/>
                <w:color w:val="auto"/>
                <w:position w:val="3"/>
                <w:sz w:val="24"/>
                <w:szCs w:val="24"/>
              </w:rPr>
              <w:t>PMi</w:t>
            </w:r>
            <w:r>
              <w:rPr>
                <w:color w:val="auto"/>
                <w:position w:val="3"/>
                <w:sz w:val="24"/>
                <w:szCs w:val="24"/>
              </w:rPr>
              <w:t>平均排放系数，</w:t>
            </w:r>
            <w:r>
              <w:rPr>
                <w:rFonts w:ascii="Times New Roman" w:hAnsi="Times New Roman" w:eastAsia="Times New Roman" w:cs="Times New Roman"/>
                <w:color w:val="auto"/>
                <w:position w:val="3"/>
                <w:sz w:val="24"/>
                <w:szCs w:val="24"/>
              </w:rPr>
              <w:t>g/</w:t>
            </w:r>
            <w:r>
              <w:rPr>
                <w:rFonts w:ascii="Times New Roman" w:hAnsi="Times New Roman" w:eastAsia="Times New Roman" w:cs="Times New Roman"/>
                <w:color w:val="auto"/>
                <w:spacing w:val="-1"/>
                <w:position w:val="3"/>
                <w:sz w:val="24"/>
                <w:szCs w:val="24"/>
              </w:rPr>
              <w:t>(km</w:t>
            </w:r>
            <w:r>
              <w:rPr>
                <w:color w:val="auto"/>
                <w:spacing w:val="-1"/>
                <w:position w:val="3"/>
                <w:sz w:val="24"/>
                <w:szCs w:val="24"/>
              </w:rPr>
              <w:t>•辆</w:t>
            </w:r>
            <w:r>
              <w:rPr>
                <w:rFonts w:ascii="Times New Roman" w:hAnsi="Times New Roman" w:eastAsia="Times New Roman" w:cs="Times New Roman"/>
                <w:color w:val="auto"/>
                <w:spacing w:val="-1"/>
                <w:position w:val="3"/>
                <w:sz w:val="24"/>
                <w:szCs w:val="24"/>
              </w:rPr>
              <w:t>)</w:t>
            </w:r>
            <w:r>
              <w:rPr>
                <w:color w:val="auto"/>
                <w:spacing w:val="-1"/>
                <w:position w:val="3"/>
                <w:sz w:val="24"/>
                <w:szCs w:val="24"/>
              </w:rPr>
              <w:t>。</w:t>
            </w:r>
          </w:p>
          <w:p w14:paraId="5C5D7FF1">
            <w:pPr>
              <w:keepNext w:val="0"/>
              <w:keepLines w:val="0"/>
              <w:pageBreakBefore w:val="0"/>
              <w:widowControl/>
              <w:kinsoku/>
              <w:wordWrap/>
              <w:overflowPunct/>
              <w:topLinePunct w:val="0"/>
              <w:autoSpaceDE/>
              <w:autoSpaceDN/>
              <w:bidi w:val="0"/>
              <w:adjustRightInd/>
              <w:snapToGrid/>
              <w:spacing w:line="360" w:lineRule="auto"/>
              <w:ind w:left="0" w:right="0" w:firstLine="480"/>
              <w:jc w:val="left"/>
              <w:textAlignment w:val="auto"/>
              <w:rPr>
                <w:color w:val="auto"/>
                <w:spacing w:val="-2"/>
                <w:sz w:val="24"/>
                <w:szCs w:val="24"/>
              </w:rPr>
            </w:pPr>
            <w:r>
              <w:rPr>
                <w:rFonts w:ascii="Times New Roman" w:hAnsi="Times New Roman" w:eastAsia="Times New Roman" w:cs="Times New Roman"/>
                <w:color w:val="auto"/>
                <w:spacing w:val="-1"/>
                <w:position w:val="2"/>
                <w:sz w:val="24"/>
                <w:szCs w:val="24"/>
              </w:rPr>
              <w:t>L</w:t>
            </w:r>
            <w:r>
              <w:rPr>
                <w:rFonts w:ascii="Times New Roman" w:hAnsi="Times New Roman" w:eastAsia="Times New Roman" w:cs="Times New Roman"/>
                <w:color w:val="auto"/>
                <w:spacing w:val="-1"/>
                <w:position w:val="1"/>
                <w:sz w:val="15"/>
                <w:szCs w:val="15"/>
              </w:rPr>
              <w:t>R</w:t>
            </w:r>
            <w:r>
              <w:rPr>
                <w:color w:val="auto"/>
                <w:spacing w:val="-1"/>
                <w:position w:val="2"/>
                <w:sz w:val="24"/>
                <w:szCs w:val="24"/>
              </w:rPr>
              <w:t>——道路长</w:t>
            </w:r>
            <w:r>
              <w:rPr>
                <w:color w:val="auto"/>
                <w:spacing w:val="0"/>
                <w:position w:val="0"/>
                <w:sz w:val="24"/>
                <w:szCs w:val="24"/>
              </w:rPr>
              <w:t>度，</w:t>
            </w:r>
            <w:r>
              <w:rPr>
                <w:rFonts w:ascii="Times New Roman" w:hAnsi="Times New Roman" w:eastAsia="Times New Roman" w:cs="Times New Roman"/>
                <w:color w:val="auto"/>
                <w:spacing w:val="0"/>
                <w:position w:val="0"/>
                <w:sz w:val="24"/>
                <w:szCs w:val="24"/>
              </w:rPr>
              <w:t>km</w:t>
            </w:r>
            <w:r>
              <w:rPr>
                <w:color w:val="auto"/>
                <w:spacing w:val="0"/>
                <w:position w:val="0"/>
                <w:sz w:val="24"/>
                <w:szCs w:val="24"/>
              </w:rPr>
              <w:t>，根据现场量测，场内运输道路长约为</w:t>
            </w:r>
            <w:r>
              <w:rPr>
                <w:rFonts w:hint="eastAsia"/>
                <w:color w:val="auto"/>
                <w:spacing w:val="0"/>
                <w:position w:val="0"/>
                <w:sz w:val="24"/>
                <w:szCs w:val="24"/>
                <w:lang w:val="en-US" w:eastAsia="zh-CN"/>
              </w:rPr>
              <w:t>10</w:t>
            </w:r>
            <w:r>
              <w:rPr>
                <w:rFonts w:ascii="Times New Roman" w:hAnsi="Times New Roman" w:eastAsia="Times New Roman" w:cs="Times New Roman"/>
                <w:color w:val="auto"/>
                <w:spacing w:val="0"/>
                <w:position w:val="0"/>
                <w:sz w:val="24"/>
                <w:szCs w:val="24"/>
              </w:rPr>
              <w:t>0m</w:t>
            </w:r>
            <w:r>
              <w:rPr>
                <w:color w:val="auto"/>
                <w:spacing w:val="0"/>
                <w:position w:val="0"/>
                <w:sz w:val="24"/>
                <w:szCs w:val="24"/>
              </w:rPr>
              <w:t>。</w:t>
            </w:r>
          </w:p>
          <w:p w14:paraId="2CCC1616">
            <w:pPr>
              <w:pStyle w:val="122"/>
              <w:spacing w:before="4" w:line="361" w:lineRule="auto"/>
              <w:ind w:left="107" w:right="38" w:firstLine="468"/>
              <w:jc w:val="both"/>
              <w:rPr>
                <w:color w:val="auto"/>
                <w:sz w:val="24"/>
                <w:szCs w:val="24"/>
              </w:rPr>
            </w:pPr>
            <w:r>
              <w:rPr>
                <w:rFonts w:ascii="Times New Roman" w:hAnsi="Times New Roman" w:eastAsia="Times New Roman" w:cs="Times New Roman"/>
                <w:color w:val="auto"/>
                <w:spacing w:val="-3"/>
                <w:sz w:val="24"/>
                <w:szCs w:val="24"/>
              </w:rPr>
              <w:t>N</w:t>
            </w:r>
            <w:r>
              <w:rPr>
                <w:rFonts w:ascii="Times New Roman" w:hAnsi="Times New Roman" w:eastAsia="Times New Roman" w:cs="Times New Roman"/>
                <w:color w:val="auto"/>
                <w:spacing w:val="-3"/>
                <w:position w:val="-1"/>
                <w:sz w:val="15"/>
                <w:szCs w:val="15"/>
              </w:rPr>
              <w:t>R</w:t>
            </w:r>
            <w:r>
              <w:rPr>
                <w:color w:val="auto"/>
                <w:spacing w:val="-3"/>
                <w:sz w:val="24"/>
                <w:szCs w:val="24"/>
              </w:rPr>
              <w:t>——一定时期内车辆在该段道路上的平均车流量，辆</w:t>
            </w:r>
            <w:r>
              <w:rPr>
                <w:rFonts w:ascii="Times New Roman" w:hAnsi="Times New Roman" w:eastAsia="Times New Roman" w:cs="Times New Roman"/>
                <w:color w:val="auto"/>
                <w:spacing w:val="-3"/>
                <w:sz w:val="24"/>
                <w:szCs w:val="24"/>
              </w:rPr>
              <w:t>/a</w:t>
            </w:r>
            <w:r>
              <w:rPr>
                <w:color w:val="auto"/>
                <w:spacing w:val="-3"/>
                <w:sz w:val="24"/>
                <w:szCs w:val="24"/>
              </w:rPr>
              <w:t>，</w:t>
            </w:r>
            <w:r>
              <w:rPr>
                <w:rFonts w:hint="eastAsia" w:eastAsia="宋体"/>
                <w:color w:val="auto"/>
                <w:spacing w:val="-3"/>
                <w:sz w:val="24"/>
                <w:szCs w:val="24"/>
                <w:lang w:val="en-US" w:eastAsia="zh-CN"/>
              </w:rPr>
              <w:t>扩建</w:t>
            </w:r>
            <w:r>
              <w:rPr>
                <w:color w:val="auto"/>
                <w:spacing w:val="-3"/>
                <w:sz w:val="24"/>
                <w:szCs w:val="24"/>
              </w:rPr>
              <w:t>后项目年运输</w:t>
            </w:r>
            <w:r>
              <w:rPr>
                <w:color w:val="auto"/>
                <w:spacing w:val="-4"/>
                <w:sz w:val="24"/>
                <w:szCs w:val="24"/>
              </w:rPr>
              <w:t>砂石料、水泥和粉煤灰共</w:t>
            </w:r>
            <w:r>
              <w:rPr>
                <w:rFonts w:hint="default" w:ascii="Times New Roman" w:hAnsi="Times New Roman" w:cs="Times New Roman"/>
                <w:color w:val="auto"/>
                <w:spacing w:val="0"/>
                <w:sz w:val="24"/>
                <w:szCs w:val="24"/>
              </w:rPr>
              <w:t>计</w:t>
            </w:r>
            <w:r>
              <w:rPr>
                <w:rFonts w:hint="default" w:ascii="Times New Roman" w:hAnsi="Times New Roman" w:eastAsia="宋体" w:cs="Times New Roman"/>
                <w:color w:val="auto"/>
                <w:spacing w:val="0"/>
                <w:sz w:val="24"/>
                <w:szCs w:val="24"/>
                <w:lang w:val="en-US" w:eastAsia="zh-CN"/>
              </w:rPr>
              <w:t>116462.748</w:t>
            </w:r>
            <w:r>
              <w:rPr>
                <w:color w:val="auto"/>
                <w:spacing w:val="-4"/>
                <w:sz w:val="24"/>
                <w:szCs w:val="24"/>
              </w:rPr>
              <w:t>吨，每车运输能力按</w:t>
            </w:r>
            <w:r>
              <w:rPr>
                <w:color w:val="auto"/>
                <w:spacing w:val="-55"/>
                <w:sz w:val="24"/>
                <w:szCs w:val="24"/>
              </w:rPr>
              <w:t xml:space="preserve"> </w:t>
            </w:r>
            <w:r>
              <w:rPr>
                <w:rFonts w:ascii="Times New Roman" w:hAnsi="Times New Roman" w:eastAsia="Times New Roman" w:cs="Times New Roman"/>
                <w:color w:val="auto"/>
                <w:spacing w:val="-4"/>
                <w:sz w:val="24"/>
                <w:szCs w:val="24"/>
              </w:rPr>
              <w:t>20t/</w:t>
            </w:r>
            <w:r>
              <w:rPr>
                <w:color w:val="auto"/>
                <w:spacing w:val="-4"/>
                <w:sz w:val="24"/>
                <w:szCs w:val="24"/>
              </w:rPr>
              <w:t>车计，则平均每天运</w:t>
            </w:r>
            <w:r>
              <w:rPr>
                <w:color w:val="auto"/>
                <w:spacing w:val="-2"/>
                <w:sz w:val="24"/>
                <w:szCs w:val="24"/>
              </w:rPr>
              <w:t>输原料</w:t>
            </w:r>
            <w:r>
              <w:rPr>
                <w:color w:val="auto"/>
                <w:spacing w:val="-55"/>
                <w:sz w:val="24"/>
                <w:szCs w:val="24"/>
              </w:rPr>
              <w:t xml:space="preserve"> </w:t>
            </w:r>
            <w:r>
              <w:rPr>
                <w:rFonts w:hint="eastAsia" w:ascii="Times New Roman" w:hAnsi="Times New Roman" w:eastAsia="宋体" w:cs="Times New Roman"/>
                <w:color w:val="auto"/>
                <w:spacing w:val="-2"/>
                <w:sz w:val="24"/>
                <w:szCs w:val="24"/>
                <w:lang w:val="en-US" w:eastAsia="zh-CN"/>
              </w:rPr>
              <w:t>20</w:t>
            </w:r>
            <w:r>
              <w:rPr>
                <w:color w:val="auto"/>
                <w:spacing w:val="-2"/>
                <w:sz w:val="24"/>
                <w:szCs w:val="24"/>
              </w:rPr>
              <w:t>趟，</w:t>
            </w:r>
            <w:r>
              <w:rPr>
                <w:rFonts w:hint="eastAsia" w:eastAsia="宋体"/>
                <w:color w:val="auto"/>
                <w:spacing w:val="-2"/>
                <w:sz w:val="24"/>
                <w:szCs w:val="24"/>
                <w:lang w:val="en-US" w:eastAsia="zh-CN"/>
              </w:rPr>
              <w:t>本</w:t>
            </w:r>
            <w:r>
              <w:rPr>
                <w:color w:val="auto"/>
                <w:spacing w:val="-2"/>
                <w:sz w:val="24"/>
                <w:szCs w:val="24"/>
              </w:rPr>
              <w:t>项目年产混凝土和水泥稳定级配碎石共计</w:t>
            </w:r>
            <w:r>
              <w:rPr>
                <w:rFonts w:hint="eastAsia" w:ascii="Times New Roman" w:hAnsi="Times New Roman" w:eastAsia="宋体" w:cs="Times New Roman"/>
                <w:color w:val="auto"/>
                <w:spacing w:val="-2"/>
                <w:sz w:val="24"/>
                <w:szCs w:val="24"/>
                <w:lang w:val="en-US" w:eastAsia="zh-CN"/>
              </w:rPr>
              <w:t>10</w:t>
            </w:r>
            <w:r>
              <w:rPr>
                <w:color w:val="auto"/>
                <w:spacing w:val="-3"/>
                <w:sz w:val="24"/>
                <w:szCs w:val="24"/>
              </w:rPr>
              <w:t>万</w:t>
            </w:r>
            <w:r>
              <w:rPr>
                <w:color w:val="auto"/>
                <w:spacing w:val="-59"/>
                <w:sz w:val="24"/>
                <w:szCs w:val="24"/>
              </w:rPr>
              <w:t xml:space="preserve"> </w:t>
            </w:r>
            <w:r>
              <w:rPr>
                <w:rFonts w:ascii="Times New Roman" w:hAnsi="Times New Roman" w:eastAsia="Times New Roman" w:cs="Times New Roman"/>
                <w:color w:val="auto"/>
                <w:spacing w:val="-3"/>
                <w:sz w:val="24"/>
                <w:szCs w:val="24"/>
              </w:rPr>
              <w:t>m</w:t>
            </w:r>
            <w:r>
              <w:rPr>
                <w:rFonts w:ascii="Times New Roman" w:hAnsi="Times New Roman" w:eastAsia="Times New Roman" w:cs="Times New Roman"/>
                <w:color w:val="auto"/>
                <w:spacing w:val="-3"/>
                <w:position w:val="8"/>
                <w:sz w:val="15"/>
                <w:szCs w:val="15"/>
              </w:rPr>
              <w:t>3</w:t>
            </w:r>
            <w:r>
              <w:rPr>
                <w:rFonts w:ascii="Times New Roman" w:hAnsi="Times New Roman" w:eastAsia="Times New Roman" w:cs="Times New Roman"/>
                <w:color w:val="auto"/>
                <w:spacing w:val="-10"/>
                <w:position w:val="8"/>
                <w:sz w:val="15"/>
                <w:szCs w:val="15"/>
              </w:rPr>
              <w:t xml:space="preserve"> </w:t>
            </w:r>
            <w:r>
              <w:rPr>
                <w:color w:val="auto"/>
                <w:spacing w:val="-3"/>
                <w:sz w:val="24"/>
                <w:szCs w:val="24"/>
              </w:rPr>
              <w:t>，根据</w:t>
            </w:r>
            <w:r>
              <w:rPr>
                <w:color w:val="auto"/>
                <w:spacing w:val="-1"/>
                <w:sz w:val="24"/>
                <w:szCs w:val="24"/>
              </w:rPr>
              <w:t>《排放源统计调查产排污核算方法和系数手册》（公告</w:t>
            </w:r>
            <w:r>
              <w:rPr>
                <w:color w:val="auto"/>
                <w:spacing w:val="-55"/>
                <w:sz w:val="24"/>
                <w:szCs w:val="24"/>
              </w:rPr>
              <w:t xml:space="preserve"> </w:t>
            </w:r>
            <w:r>
              <w:rPr>
                <w:rFonts w:ascii="Times New Roman" w:hAnsi="Times New Roman" w:eastAsia="Times New Roman" w:cs="Times New Roman"/>
                <w:color w:val="auto"/>
                <w:spacing w:val="-1"/>
                <w:sz w:val="24"/>
                <w:szCs w:val="24"/>
              </w:rPr>
              <w:t>20</w:t>
            </w:r>
            <w:r>
              <w:rPr>
                <w:rFonts w:ascii="Times New Roman" w:hAnsi="Times New Roman" w:eastAsia="Times New Roman" w:cs="Times New Roman"/>
                <w:color w:val="auto"/>
                <w:spacing w:val="-2"/>
                <w:sz w:val="24"/>
                <w:szCs w:val="24"/>
              </w:rPr>
              <w:t xml:space="preserve">21 </w:t>
            </w:r>
            <w:r>
              <w:rPr>
                <w:color w:val="auto"/>
                <w:spacing w:val="-2"/>
                <w:sz w:val="24"/>
                <w:szCs w:val="24"/>
              </w:rPr>
              <w:t>年第</w:t>
            </w:r>
            <w:r>
              <w:rPr>
                <w:color w:val="auto"/>
                <w:spacing w:val="-55"/>
                <w:sz w:val="24"/>
                <w:szCs w:val="24"/>
              </w:rPr>
              <w:t xml:space="preserve"> </w:t>
            </w:r>
            <w:r>
              <w:rPr>
                <w:rFonts w:ascii="Times New Roman" w:hAnsi="Times New Roman" w:eastAsia="Times New Roman" w:cs="Times New Roman"/>
                <w:color w:val="auto"/>
                <w:spacing w:val="-2"/>
                <w:sz w:val="24"/>
                <w:szCs w:val="24"/>
              </w:rPr>
              <w:t>24</w:t>
            </w:r>
            <w:r>
              <w:rPr>
                <w:color w:val="auto"/>
                <w:spacing w:val="-2"/>
                <w:sz w:val="24"/>
                <w:szCs w:val="24"/>
              </w:rPr>
              <w:t>号）中《</w:t>
            </w:r>
            <w:r>
              <w:rPr>
                <w:rFonts w:ascii="Times New Roman" w:hAnsi="Times New Roman" w:eastAsia="Times New Roman" w:cs="Times New Roman"/>
                <w:color w:val="auto"/>
                <w:spacing w:val="-2"/>
                <w:sz w:val="24"/>
                <w:szCs w:val="24"/>
              </w:rPr>
              <w:t>302</w:t>
            </w:r>
            <w:r>
              <w:rPr>
                <w:rFonts w:ascii="Times New Roman" w:hAnsi="Times New Roman" w:eastAsia="Times New Roman" w:cs="Times New Roman"/>
                <w:color w:val="auto"/>
                <w:spacing w:val="-1"/>
                <w:sz w:val="24"/>
                <w:szCs w:val="24"/>
              </w:rPr>
              <w:t>1</w:t>
            </w:r>
            <w:r>
              <w:rPr>
                <w:color w:val="auto"/>
                <w:spacing w:val="-1"/>
                <w:sz w:val="24"/>
                <w:szCs w:val="24"/>
              </w:rPr>
              <w:t>水泥制品制造（含</w:t>
            </w:r>
            <w:r>
              <w:rPr>
                <w:color w:val="auto"/>
                <w:spacing w:val="-50"/>
                <w:sz w:val="24"/>
                <w:szCs w:val="24"/>
              </w:rPr>
              <w:t xml:space="preserve"> </w:t>
            </w:r>
            <w:r>
              <w:rPr>
                <w:rFonts w:ascii="Times New Roman" w:hAnsi="Times New Roman" w:eastAsia="Times New Roman" w:cs="Times New Roman"/>
                <w:color w:val="auto"/>
                <w:spacing w:val="-1"/>
                <w:sz w:val="24"/>
                <w:szCs w:val="24"/>
              </w:rPr>
              <w:t xml:space="preserve">3022 </w:t>
            </w:r>
            <w:r>
              <w:rPr>
                <w:color w:val="auto"/>
                <w:spacing w:val="-1"/>
                <w:sz w:val="24"/>
                <w:szCs w:val="24"/>
              </w:rPr>
              <w:t>砼结构构件制造、</w:t>
            </w:r>
            <w:r>
              <w:rPr>
                <w:rFonts w:ascii="Times New Roman" w:hAnsi="Times New Roman" w:eastAsia="Times New Roman" w:cs="Times New Roman"/>
                <w:color w:val="auto"/>
                <w:spacing w:val="-1"/>
                <w:sz w:val="24"/>
                <w:szCs w:val="24"/>
              </w:rPr>
              <w:t>3029</w:t>
            </w:r>
            <w:r>
              <w:rPr>
                <w:color w:val="auto"/>
                <w:spacing w:val="-1"/>
                <w:sz w:val="24"/>
                <w:szCs w:val="24"/>
              </w:rPr>
              <w:t>其他水泥类似制品制造）行业系</w:t>
            </w:r>
            <w:r>
              <w:rPr>
                <w:color w:val="auto"/>
                <w:spacing w:val="-3"/>
                <w:sz w:val="24"/>
                <w:szCs w:val="24"/>
              </w:rPr>
              <w:t>数手册》，水泥制品单位换算系数为</w:t>
            </w:r>
            <w:r>
              <w:rPr>
                <w:color w:val="auto"/>
                <w:spacing w:val="-40"/>
                <w:sz w:val="24"/>
                <w:szCs w:val="24"/>
              </w:rPr>
              <w:t xml:space="preserve"> </w:t>
            </w:r>
            <w:r>
              <w:rPr>
                <w:rFonts w:ascii="Times New Roman" w:hAnsi="Times New Roman" w:eastAsia="Times New Roman" w:cs="Times New Roman"/>
                <w:color w:val="auto"/>
                <w:spacing w:val="-3"/>
                <w:sz w:val="24"/>
                <w:szCs w:val="24"/>
              </w:rPr>
              <w:t>2.3t/m</w:t>
            </w:r>
            <w:r>
              <w:rPr>
                <w:rFonts w:ascii="Times New Roman" w:hAnsi="Times New Roman" w:eastAsia="Times New Roman" w:cs="Times New Roman"/>
                <w:color w:val="auto"/>
                <w:spacing w:val="-3"/>
                <w:position w:val="8"/>
                <w:sz w:val="15"/>
                <w:szCs w:val="15"/>
              </w:rPr>
              <w:t>3</w:t>
            </w:r>
            <w:r>
              <w:rPr>
                <w:rFonts w:ascii="Times New Roman" w:hAnsi="Times New Roman" w:eastAsia="Times New Roman" w:cs="Times New Roman"/>
                <w:color w:val="auto"/>
                <w:spacing w:val="-10"/>
                <w:position w:val="8"/>
                <w:sz w:val="15"/>
                <w:szCs w:val="15"/>
              </w:rPr>
              <w:t xml:space="preserve"> </w:t>
            </w:r>
            <w:r>
              <w:rPr>
                <w:color w:val="auto"/>
                <w:spacing w:val="-3"/>
                <w:sz w:val="24"/>
                <w:szCs w:val="24"/>
              </w:rPr>
              <w:t>，则技改后项目年运输产品</w:t>
            </w:r>
            <w:r>
              <w:rPr>
                <w:rFonts w:ascii="Times New Roman" w:hAnsi="Times New Roman" w:eastAsia="Times New Roman" w:cs="Times New Roman"/>
                <w:color w:val="auto"/>
                <w:spacing w:val="-3"/>
                <w:sz w:val="24"/>
                <w:szCs w:val="24"/>
              </w:rPr>
              <w:t>2</w:t>
            </w:r>
            <w:r>
              <w:rPr>
                <w:rFonts w:hint="default" w:ascii="Times New Roman" w:hAnsi="Times New Roman" w:eastAsia="Times New Roman" w:cs="Times New Roman"/>
                <w:color w:val="auto"/>
                <w:spacing w:val="0"/>
                <w:sz w:val="24"/>
                <w:szCs w:val="24"/>
              </w:rPr>
              <w:t>3</w:t>
            </w:r>
            <w:r>
              <w:rPr>
                <w:rFonts w:hint="default" w:ascii="Times New Roman" w:hAnsi="Times New Roman" w:cs="Times New Roman"/>
                <w:color w:val="auto"/>
                <w:spacing w:val="0"/>
                <w:sz w:val="24"/>
                <w:szCs w:val="24"/>
              </w:rPr>
              <w:t>万吨，平均每天运输产品</w:t>
            </w:r>
            <w:r>
              <w:rPr>
                <w:rFonts w:hint="default" w:ascii="Times New Roman" w:hAnsi="Times New Roman" w:eastAsia="Times New Roman" w:cs="Times New Roman"/>
                <w:color w:val="auto"/>
                <w:spacing w:val="0"/>
                <w:sz w:val="24"/>
                <w:szCs w:val="24"/>
              </w:rPr>
              <w:t>38</w:t>
            </w:r>
            <w:r>
              <w:rPr>
                <w:rFonts w:hint="default" w:ascii="Times New Roman" w:hAnsi="Times New Roman" w:cs="Times New Roman"/>
                <w:color w:val="auto"/>
                <w:spacing w:val="0"/>
                <w:sz w:val="24"/>
                <w:szCs w:val="24"/>
              </w:rPr>
              <w:t>趟，经计算项目原料内运和产品外运的年运输车次共计为</w:t>
            </w:r>
            <w:r>
              <w:rPr>
                <w:rFonts w:hint="default" w:ascii="Times New Roman" w:hAnsi="Times New Roman" w:eastAsia="宋体" w:cs="Times New Roman"/>
                <w:color w:val="auto"/>
                <w:spacing w:val="0"/>
                <w:sz w:val="24"/>
                <w:szCs w:val="24"/>
                <w:lang w:val="en-US" w:eastAsia="zh-CN"/>
              </w:rPr>
              <w:t>76</w:t>
            </w:r>
            <w:r>
              <w:rPr>
                <w:rFonts w:hint="default" w:ascii="Times New Roman" w:hAnsi="Times New Roman" w:cs="Times New Roman"/>
                <w:color w:val="auto"/>
                <w:spacing w:val="0"/>
                <w:sz w:val="24"/>
                <w:szCs w:val="24"/>
              </w:rPr>
              <w:t>辆</w:t>
            </w:r>
            <w:r>
              <w:rPr>
                <w:rFonts w:hint="default" w:ascii="Times New Roman" w:hAnsi="Times New Roman" w:eastAsia="Times New Roman" w:cs="Times New Roman"/>
                <w:color w:val="auto"/>
                <w:spacing w:val="0"/>
                <w:sz w:val="24"/>
                <w:szCs w:val="24"/>
              </w:rPr>
              <w:t>/d</w:t>
            </w:r>
            <w:r>
              <w:rPr>
                <w:rFonts w:hint="default" w:ascii="Times New Roman" w:hAnsi="Times New Roman" w:cs="Times New Roman"/>
                <w:color w:val="auto"/>
                <w:spacing w:val="0"/>
                <w:sz w:val="24"/>
                <w:szCs w:val="24"/>
              </w:rPr>
              <w:t>。</w:t>
            </w:r>
          </w:p>
          <w:p w14:paraId="5032B2A6">
            <w:pPr>
              <w:pStyle w:val="122"/>
              <w:spacing w:before="18" w:line="220" w:lineRule="auto"/>
              <w:ind w:left="580"/>
              <w:rPr>
                <w:color w:val="auto"/>
                <w:sz w:val="24"/>
                <w:szCs w:val="24"/>
              </w:rPr>
            </w:pPr>
            <w:r>
              <w:rPr>
                <w:rFonts w:ascii="Times New Roman" w:hAnsi="Times New Roman" w:eastAsia="Times New Roman" w:cs="Times New Roman"/>
                <w:color w:val="auto"/>
                <w:spacing w:val="-2"/>
                <w:sz w:val="24"/>
                <w:szCs w:val="24"/>
              </w:rPr>
              <w:t>n</w:t>
            </w:r>
            <w:r>
              <w:rPr>
                <w:rFonts w:ascii="Times New Roman" w:hAnsi="Times New Roman" w:eastAsia="Times New Roman" w:cs="Times New Roman"/>
                <w:color w:val="auto"/>
                <w:spacing w:val="-2"/>
                <w:position w:val="-1"/>
                <w:sz w:val="15"/>
                <w:szCs w:val="15"/>
              </w:rPr>
              <w:t>r</w:t>
            </w:r>
            <w:r>
              <w:rPr>
                <w:color w:val="auto"/>
                <w:spacing w:val="-2"/>
                <w:sz w:val="24"/>
                <w:szCs w:val="24"/>
              </w:rPr>
              <w:t>——不起尘天数，年降雨天按</w:t>
            </w:r>
            <w:r>
              <w:rPr>
                <w:color w:val="auto"/>
                <w:spacing w:val="-16"/>
                <w:sz w:val="24"/>
                <w:szCs w:val="24"/>
              </w:rPr>
              <w:t xml:space="preserve"> </w:t>
            </w:r>
            <w:r>
              <w:rPr>
                <w:rFonts w:ascii="Times New Roman" w:hAnsi="Times New Roman" w:eastAsia="Times New Roman" w:cs="Times New Roman"/>
                <w:color w:val="auto"/>
                <w:spacing w:val="-2"/>
                <w:sz w:val="24"/>
                <w:szCs w:val="24"/>
              </w:rPr>
              <w:t xml:space="preserve">165 </w:t>
            </w:r>
            <w:r>
              <w:rPr>
                <w:color w:val="auto"/>
                <w:spacing w:val="-2"/>
                <w:sz w:val="24"/>
                <w:szCs w:val="24"/>
              </w:rPr>
              <w:t>天计算。</w:t>
            </w:r>
          </w:p>
          <w:p w14:paraId="0A6AB5B5">
            <w:pPr>
              <w:pStyle w:val="122"/>
              <w:spacing w:before="179" w:line="220" w:lineRule="auto"/>
              <w:ind w:left="587"/>
              <w:rPr>
                <w:color w:val="auto"/>
                <w:sz w:val="24"/>
                <w:szCs w:val="24"/>
              </w:rPr>
            </w:pPr>
            <w:r>
              <w:rPr>
                <w:color w:val="auto"/>
                <w:spacing w:val="-1"/>
                <w:sz w:val="24"/>
                <w:szCs w:val="24"/>
              </w:rPr>
              <w:t>对于铺装道路，道路扬尘源排放系数计算公式：</w:t>
            </w:r>
          </w:p>
          <w:p w14:paraId="7EC125BA">
            <w:pPr>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rFonts w:ascii="Cambria Math" w:hAnsi="Cambria Math" w:eastAsia="Cambria Math" w:cs="Cambria Math"/>
                <w:color w:val="auto"/>
                <w:sz w:val="24"/>
                <w:szCs w:val="24"/>
              </w:rPr>
            </w:pPr>
            <w:r>
              <w:rPr>
                <w:rFonts w:ascii="Cambria Math" w:hAnsi="Cambria Math" w:eastAsia="Cambria Math" w:cs="Cambria Math"/>
                <w:color w:val="auto"/>
                <w:spacing w:val="-3"/>
                <w:sz w:val="24"/>
                <w:szCs w:val="24"/>
              </w:rPr>
              <w:t>E</w:t>
            </w:r>
            <w:r>
              <w:rPr>
                <w:rFonts w:hint="eastAsia" w:ascii="Cambria Math" w:hAnsi="Cambria Math" w:eastAsia="宋体" w:cs="Cambria Math"/>
                <w:color w:val="auto"/>
                <w:spacing w:val="-3"/>
                <w:position w:val="-5"/>
                <w:sz w:val="16"/>
                <w:szCs w:val="16"/>
                <w:lang w:val="en-US" w:eastAsia="zh-CN"/>
              </w:rPr>
              <w:t>R</w:t>
            </w:r>
            <w:r>
              <w:rPr>
                <w:rFonts w:ascii="Cambria Math" w:hAnsi="Cambria Math" w:eastAsia="Cambria Math" w:cs="Cambria Math"/>
                <w:color w:val="auto"/>
                <w:spacing w:val="-3"/>
                <w:position w:val="-5"/>
                <w:sz w:val="16"/>
                <w:szCs w:val="16"/>
              </w:rPr>
              <w:t>i</w:t>
            </w:r>
            <w:r>
              <w:rPr>
                <w:rFonts w:ascii="Cambria Math" w:hAnsi="Cambria Math" w:eastAsia="Cambria Math" w:cs="Cambria Math"/>
                <w:color w:val="auto"/>
                <w:spacing w:val="11"/>
                <w:position w:val="-5"/>
                <w:sz w:val="16"/>
                <w:szCs w:val="16"/>
              </w:rPr>
              <w:t xml:space="preserve"> </w:t>
            </w:r>
            <w:r>
              <w:rPr>
                <w:rFonts w:ascii="Cambria Math" w:hAnsi="Cambria Math" w:eastAsia="Cambria Math" w:cs="Cambria Math"/>
                <w:color w:val="auto"/>
                <w:spacing w:val="-3"/>
                <w:sz w:val="24"/>
                <w:szCs w:val="24"/>
              </w:rPr>
              <w:t>=</w:t>
            </w:r>
            <w:r>
              <w:rPr>
                <w:rFonts w:ascii="Cambria Math" w:hAnsi="Cambria Math" w:eastAsia="Cambria Math" w:cs="Cambria Math"/>
                <w:color w:val="auto"/>
                <w:spacing w:val="22"/>
                <w:w w:val="101"/>
                <w:sz w:val="24"/>
                <w:szCs w:val="24"/>
              </w:rPr>
              <w:t xml:space="preserve"> </w:t>
            </w:r>
            <w:r>
              <w:rPr>
                <w:rFonts w:ascii="Cambria Math" w:hAnsi="Cambria Math" w:eastAsia="Cambria Math" w:cs="Cambria Math"/>
                <w:color w:val="auto"/>
                <w:spacing w:val="-3"/>
                <w:sz w:val="24"/>
                <w:szCs w:val="24"/>
              </w:rPr>
              <w:t>k</w:t>
            </w:r>
            <w:r>
              <w:rPr>
                <w:rFonts w:ascii="Cambria Math" w:hAnsi="Cambria Math" w:eastAsia="Cambria Math" w:cs="Cambria Math"/>
                <w:color w:val="auto"/>
                <w:spacing w:val="-3"/>
                <w:position w:val="-5"/>
                <w:sz w:val="16"/>
                <w:szCs w:val="16"/>
              </w:rPr>
              <w:t xml:space="preserve">i </w:t>
            </w:r>
            <w:r>
              <w:rPr>
                <w:rFonts w:ascii="Cambria Math" w:hAnsi="Cambria Math" w:eastAsia="Cambria Math" w:cs="Cambria Math"/>
                <w:color w:val="auto"/>
                <w:spacing w:val="-3"/>
                <w:sz w:val="24"/>
                <w:szCs w:val="24"/>
              </w:rPr>
              <w:t>×</w:t>
            </w:r>
            <w:r>
              <w:rPr>
                <w:rFonts w:ascii="Cambria Math" w:hAnsi="Cambria Math" w:eastAsia="Cambria Math" w:cs="Cambria Math"/>
                <w:color w:val="auto"/>
                <w:spacing w:val="22"/>
                <w:w w:val="101"/>
                <w:sz w:val="24"/>
                <w:szCs w:val="24"/>
              </w:rPr>
              <w:t xml:space="preserve"> </w:t>
            </w:r>
            <w:r>
              <w:rPr>
                <w:rFonts w:ascii="Cambria Math" w:hAnsi="Cambria Math" w:eastAsia="Cambria Math" w:cs="Cambria Math"/>
                <w:color w:val="auto"/>
                <w:spacing w:val="-3"/>
                <w:sz w:val="24"/>
                <w:szCs w:val="24"/>
              </w:rPr>
              <w:t>(sL)</w:t>
            </w:r>
            <w:r>
              <w:rPr>
                <w:rFonts w:ascii="Cambria Math" w:hAnsi="Cambria Math" w:eastAsia="Cambria Math" w:cs="Cambria Math"/>
                <w:color w:val="auto"/>
                <w:spacing w:val="-3"/>
                <w:position w:val="8"/>
                <w:sz w:val="16"/>
                <w:szCs w:val="16"/>
              </w:rPr>
              <w:t>0.91</w:t>
            </w:r>
            <w:r>
              <w:rPr>
                <w:rFonts w:ascii="Cambria Math" w:hAnsi="Cambria Math" w:eastAsia="Cambria Math" w:cs="Cambria Math"/>
                <w:color w:val="auto"/>
                <w:spacing w:val="-4"/>
                <w:sz w:val="24"/>
                <w:szCs w:val="24"/>
              </w:rPr>
              <w:t>×</w:t>
            </w:r>
            <w:r>
              <w:rPr>
                <w:rFonts w:ascii="Cambria Math" w:hAnsi="Cambria Math" w:eastAsia="Cambria Math" w:cs="Cambria Math"/>
                <w:color w:val="auto"/>
                <w:spacing w:val="20"/>
                <w:w w:val="101"/>
                <w:sz w:val="24"/>
                <w:szCs w:val="24"/>
              </w:rPr>
              <w:t xml:space="preserve"> </w:t>
            </w:r>
            <w:r>
              <w:rPr>
                <w:rFonts w:ascii="Cambria Math" w:hAnsi="Cambria Math" w:eastAsia="Cambria Math" w:cs="Cambria Math"/>
                <w:color w:val="auto"/>
                <w:spacing w:val="-4"/>
                <w:sz w:val="24"/>
                <w:szCs w:val="24"/>
              </w:rPr>
              <w:t>(w)</w:t>
            </w:r>
            <w:r>
              <w:rPr>
                <w:rFonts w:ascii="Cambria Math" w:hAnsi="Cambria Math" w:eastAsia="Cambria Math" w:cs="Cambria Math"/>
                <w:color w:val="auto"/>
                <w:spacing w:val="-4"/>
                <w:position w:val="8"/>
                <w:sz w:val="16"/>
                <w:szCs w:val="16"/>
              </w:rPr>
              <w:t xml:space="preserve">1.02 </w:t>
            </w:r>
            <w:r>
              <w:rPr>
                <w:rFonts w:ascii="Cambria Math" w:hAnsi="Cambria Math" w:eastAsia="Cambria Math" w:cs="Cambria Math"/>
                <w:color w:val="auto"/>
                <w:spacing w:val="-4"/>
                <w:sz w:val="24"/>
                <w:szCs w:val="24"/>
              </w:rPr>
              <w:t>×</w:t>
            </w:r>
            <w:r>
              <w:rPr>
                <w:rFonts w:ascii="Cambria Math" w:hAnsi="Cambria Math" w:eastAsia="Cambria Math" w:cs="Cambria Math"/>
                <w:color w:val="auto"/>
                <w:spacing w:val="22"/>
                <w:sz w:val="24"/>
                <w:szCs w:val="24"/>
              </w:rPr>
              <w:t xml:space="preserve"> </w:t>
            </w:r>
            <w:r>
              <w:rPr>
                <w:rFonts w:ascii="Cambria Math" w:hAnsi="Cambria Math" w:eastAsia="Cambria Math" w:cs="Cambria Math"/>
                <w:color w:val="auto"/>
                <w:spacing w:val="-4"/>
                <w:sz w:val="24"/>
                <w:szCs w:val="24"/>
              </w:rPr>
              <w:t>(1</w:t>
            </w:r>
            <w:r>
              <w:rPr>
                <w:rFonts w:ascii="Cambria Math" w:hAnsi="Cambria Math" w:eastAsia="Cambria Math" w:cs="Cambria Math"/>
                <w:color w:val="auto"/>
                <w:spacing w:val="17"/>
                <w:sz w:val="24"/>
                <w:szCs w:val="24"/>
              </w:rPr>
              <w:t xml:space="preserve"> </w:t>
            </w:r>
            <w:r>
              <w:rPr>
                <w:rFonts w:ascii="Cambria Math" w:hAnsi="Cambria Math" w:eastAsia="Cambria Math" w:cs="Cambria Math"/>
                <w:color w:val="auto"/>
                <w:spacing w:val="-4"/>
                <w:sz w:val="24"/>
                <w:szCs w:val="24"/>
              </w:rPr>
              <w:t>− η)</w:t>
            </w:r>
          </w:p>
          <w:p w14:paraId="0C0F0632">
            <w:pPr>
              <w:pStyle w:val="122"/>
              <w:keepNext w:val="0"/>
              <w:keepLines w:val="0"/>
              <w:pageBreakBefore w:val="0"/>
              <w:kinsoku/>
              <w:wordWrap/>
              <w:overflowPunct/>
              <w:topLinePunct w:val="0"/>
              <w:autoSpaceDE/>
              <w:autoSpaceDN/>
              <w:bidi w:val="0"/>
              <w:adjustRightInd/>
              <w:snapToGrid/>
              <w:spacing w:line="360" w:lineRule="auto"/>
              <w:ind w:left="0" w:right="0"/>
              <w:jc w:val="left"/>
              <w:textAlignment w:val="auto"/>
              <w:rPr>
                <w:color w:val="auto"/>
                <w:sz w:val="24"/>
                <w:szCs w:val="24"/>
              </w:rPr>
            </w:pPr>
            <w:r>
              <w:rPr>
                <w:color w:val="auto"/>
                <w:spacing w:val="-5"/>
                <w:sz w:val="24"/>
                <w:szCs w:val="24"/>
              </w:rPr>
              <w:t>式中：</w:t>
            </w:r>
          </w:p>
          <w:p w14:paraId="31F4C062">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73"/>
              <w:jc w:val="left"/>
              <w:textAlignment w:val="auto"/>
              <w:rPr>
                <w:color w:val="auto"/>
                <w:sz w:val="24"/>
                <w:szCs w:val="24"/>
              </w:rPr>
            </w:pPr>
            <w:r>
              <w:rPr>
                <w:rFonts w:ascii="Times New Roman" w:hAnsi="Times New Roman" w:eastAsia="Times New Roman" w:cs="Times New Roman"/>
                <w:color w:val="auto"/>
                <w:sz w:val="24"/>
                <w:szCs w:val="24"/>
              </w:rPr>
              <w:t>E</w:t>
            </w:r>
            <w:r>
              <w:rPr>
                <w:rFonts w:hint="eastAsia" w:ascii="Times New Roman" w:hAnsi="Times New Roman" w:eastAsia="宋体" w:cs="Times New Roman"/>
                <w:color w:val="auto"/>
                <w:sz w:val="24"/>
                <w:szCs w:val="24"/>
                <w:vertAlign w:val="subscript"/>
                <w:lang w:val="en-US" w:eastAsia="zh-CN"/>
              </w:rPr>
              <w:t>R</w:t>
            </w:r>
            <w:r>
              <w:rPr>
                <w:rFonts w:ascii="Times New Roman" w:hAnsi="Times New Roman" w:eastAsia="Times New Roman" w:cs="Times New Roman"/>
                <w:color w:val="auto"/>
                <w:position w:val="-1"/>
                <w:sz w:val="15"/>
                <w:szCs w:val="15"/>
              </w:rPr>
              <w:t>i</w:t>
            </w:r>
            <w:r>
              <w:rPr>
                <w:color w:val="auto"/>
                <w:spacing w:val="1"/>
                <w:sz w:val="24"/>
                <w:szCs w:val="24"/>
              </w:rPr>
              <w:t>——铺装道路的</w:t>
            </w:r>
            <w:r>
              <w:rPr>
                <w:rFonts w:hint="default" w:ascii="Times New Roman" w:hAnsi="Times New Roman" w:cs="Times New Roman"/>
                <w:color w:val="auto"/>
                <w:spacing w:val="1"/>
                <w:sz w:val="24"/>
                <w:szCs w:val="24"/>
              </w:rPr>
              <w:t>扬尘中</w:t>
            </w:r>
            <w:r>
              <w:rPr>
                <w:rFonts w:hint="default" w:ascii="Times New Roman" w:hAnsi="Times New Roman" w:eastAsia="Times New Roman" w:cs="Times New Roman"/>
                <w:color w:val="auto"/>
                <w:sz w:val="24"/>
                <w:szCs w:val="24"/>
              </w:rPr>
              <w:t>TSP</w:t>
            </w:r>
            <w:r>
              <w:rPr>
                <w:rFonts w:hint="default" w:ascii="Times New Roman" w:hAnsi="Times New Roman" w:eastAsia="Times New Roman" w:cs="Times New Roman"/>
                <w:color w:val="auto"/>
                <w:spacing w:val="1"/>
                <w:sz w:val="24"/>
                <w:szCs w:val="24"/>
              </w:rPr>
              <w:t xml:space="preserve"> </w:t>
            </w:r>
            <w:r>
              <w:rPr>
                <w:rFonts w:hint="default" w:ascii="Times New Roman" w:hAnsi="Times New Roman" w:cs="Times New Roman"/>
                <w:color w:val="auto"/>
                <w:spacing w:val="1"/>
                <w:sz w:val="24"/>
                <w:szCs w:val="24"/>
              </w:rPr>
              <w:t>排放系数，</w:t>
            </w:r>
            <w:r>
              <w:rPr>
                <w:rFonts w:hint="default" w:ascii="Times New Roman" w:hAnsi="Times New Roman" w:eastAsia="Times New Roman" w:cs="Times New Roman"/>
                <w:color w:val="auto"/>
                <w:spacing w:val="1"/>
                <w:sz w:val="24"/>
                <w:szCs w:val="24"/>
              </w:rPr>
              <w:t>g/</w:t>
            </w:r>
            <w:r>
              <w:rPr>
                <w:rFonts w:hint="default" w:ascii="Times New Roman" w:hAnsi="Times New Roman" w:eastAsia="Times New Roman" w:cs="Times New Roman"/>
                <w:color w:val="auto"/>
                <w:sz w:val="24"/>
                <w:szCs w:val="24"/>
              </w:rPr>
              <w:t>km</w:t>
            </w:r>
            <w:r>
              <w:rPr>
                <w:rFonts w:hint="default" w:ascii="Times New Roman" w:hAnsi="Times New Roman" w:cs="Times New Roman"/>
                <w:color w:val="auto"/>
                <w:spacing w:val="1"/>
                <w:sz w:val="24"/>
                <w:szCs w:val="24"/>
              </w:rPr>
              <w:t>（机动车行驶</w:t>
            </w:r>
            <w:r>
              <w:rPr>
                <w:rFonts w:hint="default" w:ascii="Times New Roman" w:hAnsi="Times New Roman" w:cs="Times New Roman"/>
                <w:color w:val="auto"/>
                <w:spacing w:val="-32"/>
                <w:sz w:val="24"/>
                <w:szCs w:val="24"/>
              </w:rPr>
              <w:t xml:space="preserve"> </w:t>
            </w:r>
            <w:r>
              <w:rPr>
                <w:rFonts w:hint="default" w:ascii="Times New Roman" w:hAnsi="Times New Roman" w:eastAsia="Times New Roman" w:cs="Times New Roman"/>
                <w:color w:val="auto"/>
                <w:spacing w:val="1"/>
                <w:sz w:val="24"/>
                <w:szCs w:val="24"/>
              </w:rPr>
              <w:t>1</w:t>
            </w:r>
            <w:r>
              <w:rPr>
                <w:rFonts w:hint="default" w:ascii="Times New Roman" w:hAnsi="Times New Roman" w:cs="Times New Roman"/>
                <w:color w:val="auto"/>
                <w:spacing w:val="1"/>
                <w:sz w:val="24"/>
                <w:szCs w:val="24"/>
              </w:rPr>
              <w:t>千米</w:t>
            </w:r>
            <w:r>
              <w:rPr>
                <w:rFonts w:hint="default" w:ascii="Times New Roman" w:hAnsi="Times New Roman" w:cs="Times New Roman"/>
                <w:color w:val="auto"/>
                <w:sz w:val="24"/>
                <w:szCs w:val="24"/>
              </w:rPr>
              <w:t>产生的道</w:t>
            </w:r>
            <w:r>
              <w:rPr>
                <w:rFonts w:hint="default" w:ascii="Times New Roman" w:hAnsi="Times New Roman" w:cs="Times New Roman"/>
                <w:color w:val="auto"/>
                <w:spacing w:val="-2"/>
                <w:sz w:val="24"/>
                <w:szCs w:val="24"/>
              </w:rPr>
              <w:t>路扬尘质量）</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经计算：152.55</w:t>
            </w:r>
            <w:r>
              <w:rPr>
                <w:rFonts w:hint="default" w:ascii="Times New Roman" w:hAnsi="Times New Roman" w:eastAsia="Times New Roman" w:cs="Times New Roman"/>
                <w:color w:val="auto"/>
                <w:spacing w:val="1"/>
                <w:sz w:val="24"/>
                <w:szCs w:val="24"/>
              </w:rPr>
              <w:t>g/</w:t>
            </w:r>
            <w:r>
              <w:rPr>
                <w:rFonts w:hint="default" w:ascii="Times New Roman" w:hAnsi="Times New Roman" w:eastAsia="Times New Roman" w:cs="Times New Roman"/>
                <w:color w:val="auto"/>
                <w:sz w:val="24"/>
                <w:szCs w:val="24"/>
              </w:rPr>
              <w:t>km</w:t>
            </w:r>
            <w:r>
              <w:rPr>
                <w:rFonts w:hint="default" w:ascii="Times New Roman" w:hAnsi="Times New Roman" w:eastAsia="宋体" w:cs="Times New Roman"/>
                <w:color w:val="auto"/>
                <w:spacing w:val="-2"/>
                <w:sz w:val="24"/>
                <w:szCs w:val="24"/>
                <w:lang w:eastAsia="zh-CN"/>
              </w:rPr>
              <w:t>）</w:t>
            </w:r>
            <w:r>
              <w:rPr>
                <w:rFonts w:hint="default" w:ascii="Times New Roman" w:hAnsi="Times New Roman" w:cs="Times New Roman"/>
                <w:color w:val="auto"/>
                <w:spacing w:val="-2"/>
                <w:sz w:val="24"/>
                <w:szCs w:val="24"/>
              </w:rPr>
              <w:t>。</w:t>
            </w:r>
          </w:p>
          <w:p w14:paraId="2696C9D9">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69"/>
              <w:jc w:val="left"/>
              <w:textAlignment w:val="auto"/>
              <w:rPr>
                <w:color w:val="auto"/>
                <w:spacing w:val="0"/>
                <w:position w:val="0"/>
                <w:sz w:val="24"/>
                <w:szCs w:val="24"/>
              </w:rPr>
            </w:pPr>
            <w:r>
              <w:rPr>
                <w:rFonts w:ascii="Times New Roman" w:hAnsi="Times New Roman" w:eastAsia="Times New Roman" w:cs="Times New Roman"/>
                <w:color w:val="auto"/>
                <w:spacing w:val="0"/>
                <w:position w:val="0"/>
                <w:sz w:val="24"/>
                <w:szCs w:val="24"/>
              </w:rPr>
              <w:t>k</w:t>
            </w:r>
            <w:r>
              <w:rPr>
                <w:rFonts w:ascii="Times New Roman" w:hAnsi="Times New Roman" w:eastAsia="Times New Roman" w:cs="Times New Roman"/>
                <w:color w:val="auto"/>
                <w:spacing w:val="0"/>
                <w:position w:val="0"/>
                <w:sz w:val="15"/>
                <w:szCs w:val="15"/>
              </w:rPr>
              <w:t>i</w:t>
            </w:r>
            <w:r>
              <w:rPr>
                <w:color w:val="auto"/>
                <w:spacing w:val="0"/>
                <w:position w:val="0"/>
                <w:sz w:val="24"/>
                <w:szCs w:val="24"/>
              </w:rPr>
              <w:t>——产生的扬尘中</w:t>
            </w:r>
            <w:r>
              <w:rPr>
                <w:rFonts w:ascii="Times New Roman" w:hAnsi="Times New Roman" w:eastAsia="Times New Roman" w:cs="Times New Roman"/>
                <w:color w:val="auto"/>
                <w:spacing w:val="0"/>
                <w:position w:val="0"/>
                <w:sz w:val="24"/>
                <w:szCs w:val="24"/>
              </w:rPr>
              <w:t>TSP</w:t>
            </w:r>
            <w:r>
              <w:rPr>
                <w:color w:val="auto"/>
                <w:spacing w:val="0"/>
                <w:position w:val="0"/>
                <w:sz w:val="24"/>
                <w:szCs w:val="24"/>
              </w:rPr>
              <w:t>的粒度乘数，根据《扬尘源颗粒物排放清单编制技术指南（试行）》</w:t>
            </w:r>
            <w:r>
              <w:rPr>
                <w:rFonts w:ascii="Times New Roman" w:hAnsi="Times New Roman" w:eastAsia="Times New Roman" w:cs="Times New Roman"/>
                <w:color w:val="auto"/>
                <w:spacing w:val="0"/>
                <w:position w:val="0"/>
                <w:sz w:val="24"/>
                <w:szCs w:val="24"/>
              </w:rPr>
              <w:t>TSP</w:t>
            </w:r>
            <w:r>
              <w:rPr>
                <w:color w:val="auto"/>
                <w:spacing w:val="0"/>
                <w:position w:val="0"/>
                <w:sz w:val="24"/>
                <w:szCs w:val="24"/>
              </w:rPr>
              <w:t>的粒度乘数为</w:t>
            </w:r>
            <w:r>
              <w:rPr>
                <w:rFonts w:ascii="Times New Roman" w:hAnsi="Times New Roman" w:eastAsia="Times New Roman" w:cs="Times New Roman"/>
                <w:color w:val="auto"/>
                <w:spacing w:val="0"/>
                <w:position w:val="0"/>
                <w:sz w:val="24"/>
                <w:szCs w:val="24"/>
              </w:rPr>
              <w:t>3.23</w:t>
            </w:r>
            <w:r>
              <w:rPr>
                <w:color w:val="auto"/>
                <w:spacing w:val="0"/>
                <w:position w:val="0"/>
                <w:sz w:val="24"/>
                <w:szCs w:val="24"/>
              </w:rPr>
              <w:t>。</w:t>
            </w:r>
          </w:p>
          <w:p w14:paraId="4B5A834F">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81"/>
              <w:jc w:val="left"/>
              <w:textAlignment w:val="auto"/>
              <w:rPr>
                <w:color w:val="auto"/>
                <w:spacing w:val="0"/>
                <w:position w:val="0"/>
                <w:sz w:val="24"/>
                <w:szCs w:val="24"/>
              </w:rPr>
            </w:pPr>
            <w:r>
              <w:rPr>
                <w:rFonts w:ascii="Times New Roman" w:hAnsi="Times New Roman" w:eastAsia="Times New Roman" w:cs="Times New Roman"/>
                <w:color w:val="auto"/>
                <w:spacing w:val="0"/>
                <w:position w:val="0"/>
                <w:sz w:val="24"/>
                <w:szCs w:val="24"/>
              </w:rPr>
              <w:t>sL</w:t>
            </w:r>
            <w:r>
              <w:rPr>
                <w:color w:val="auto"/>
                <w:spacing w:val="0"/>
                <w:position w:val="0"/>
                <w:sz w:val="24"/>
                <w:szCs w:val="24"/>
              </w:rPr>
              <w:t>——道路积尘负荷，</w:t>
            </w:r>
            <w:r>
              <w:rPr>
                <w:rFonts w:ascii="Times New Roman" w:hAnsi="Times New Roman" w:eastAsia="Times New Roman" w:cs="Times New Roman"/>
                <w:color w:val="auto"/>
                <w:spacing w:val="0"/>
                <w:position w:val="0"/>
                <w:sz w:val="24"/>
                <w:szCs w:val="24"/>
              </w:rPr>
              <w:t>g/m</w:t>
            </w:r>
            <w:r>
              <w:rPr>
                <w:rFonts w:hint="eastAsia" w:ascii="Times New Roman" w:hAnsi="Times New Roman" w:eastAsia="宋体" w:cs="Times New Roman"/>
                <w:color w:val="auto"/>
                <w:spacing w:val="0"/>
                <w:position w:val="0"/>
                <w:sz w:val="21"/>
                <w:szCs w:val="21"/>
                <w:vertAlign w:val="superscript"/>
                <w:lang w:val="en-US" w:eastAsia="zh-CN"/>
              </w:rPr>
              <w:t>2</w:t>
            </w:r>
            <w:r>
              <w:rPr>
                <w:color w:val="auto"/>
                <w:spacing w:val="0"/>
                <w:position w:val="0"/>
                <w:sz w:val="24"/>
                <w:szCs w:val="24"/>
              </w:rPr>
              <w:t>，参考《防治城市扬尘污染技术规范》（</w:t>
            </w:r>
            <w:r>
              <w:rPr>
                <w:rFonts w:ascii="Times New Roman" w:hAnsi="Times New Roman" w:eastAsia="Times New Roman" w:cs="Times New Roman"/>
                <w:color w:val="auto"/>
                <w:spacing w:val="0"/>
                <w:position w:val="0"/>
                <w:sz w:val="24"/>
                <w:szCs w:val="24"/>
              </w:rPr>
              <w:t>HJ/T393-2007</w:t>
            </w:r>
            <w:r>
              <w:rPr>
                <w:color w:val="auto"/>
                <w:spacing w:val="0"/>
                <w:position w:val="0"/>
                <w:sz w:val="24"/>
                <w:szCs w:val="24"/>
              </w:rPr>
              <w:t>）中的附录</w:t>
            </w:r>
            <w:r>
              <w:rPr>
                <w:rFonts w:ascii="Times New Roman" w:hAnsi="Times New Roman" w:eastAsia="Times New Roman" w:cs="Times New Roman"/>
                <w:color w:val="auto"/>
                <w:spacing w:val="0"/>
                <w:position w:val="0"/>
                <w:sz w:val="24"/>
                <w:szCs w:val="24"/>
              </w:rPr>
              <w:t>A</w:t>
            </w:r>
            <w:r>
              <w:rPr>
                <w:color w:val="auto"/>
                <w:spacing w:val="0"/>
                <w:position w:val="0"/>
                <w:sz w:val="24"/>
                <w:szCs w:val="24"/>
              </w:rPr>
              <w:t>取值为</w:t>
            </w:r>
            <w:r>
              <w:rPr>
                <w:rFonts w:ascii="Times New Roman" w:hAnsi="Times New Roman" w:eastAsia="Times New Roman" w:cs="Times New Roman"/>
                <w:color w:val="auto"/>
                <w:spacing w:val="0"/>
                <w:position w:val="0"/>
                <w:sz w:val="24"/>
                <w:szCs w:val="24"/>
              </w:rPr>
              <w:t>5</w:t>
            </w:r>
            <w:r>
              <w:rPr>
                <w:color w:val="auto"/>
                <w:spacing w:val="0"/>
                <w:position w:val="0"/>
                <w:sz w:val="24"/>
                <w:szCs w:val="24"/>
              </w:rPr>
              <w:t>。</w:t>
            </w:r>
          </w:p>
          <w:p w14:paraId="24D07700">
            <w:pPr>
              <w:pStyle w:val="12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color w:val="auto"/>
                <w:sz w:val="24"/>
                <w:szCs w:val="24"/>
              </w:rPr>
            </w:pPr>
            <w:r>
              <w:rPr>
                <w:rFonts w:ascii="Times New Roman" w:hAnsi="Times New Roman" w:eastAsia="Times New Roman" w:cs="Times New Roman"/>
                <w:color w:val="auto"/>
                <w:spacing w:val="-3"/>
                <w:sz w:val="24"/>
                <w:szCs w:val="24"/>
              </w:rPr>
              <w:t>W</w:t>
            </w:r>
            <w:r>
              <w:rPr>
                <w:color w:val="auto"/>
                <w:spacing w:val="-3"/>
                <w:sz w:val="24"/>
                <w:szCs w:val="24"/>
              </w:rPr>
              <w:t>——平均车重，</w:t>
            </w:r>
            <w:r>
              <w:rPr>
                <w:rFonts w:ascii="Times New Roman" w:hAnsi="Times New Roman" w:eastAsia="Times New Roman" w:cs="Times New Roman"/>
                <w:color w:val="auto"/>
                <w:spacing w:val="-3"/>
                <w:sz w:val="24"/>
                <w:szCs w:val="24"/>
              </w:rPr>
              <w:t>t</w:t>
            </w:r>
            <w:r>
              <w:rPr>
                <w:rFonts w:ascii="Times New Roman" w:hAnsi="Times New Roman" w:eastAsia="Times New Roman" w:cs="Times New Roman"/>
                <w:color w:val="auto"/>
                <w:spacing w:val="-27"/>
                <w:sz w:val="24"/>
                <w:szCs w:val="24"/>
              </w:rPr>
              <w:t xml:space="preserve"> </w:t>
            </w:r>
            <w:r>
              <w:rPr>
                <w:color w:val="auto"/>
                <w:spacing w:val="-3"/>
                <w:sz w:val="24"/>
                <w:szCs w:val="24"/>
              </w:rPr>
              <w:t>，取值</w:t>
            </w:r>
            <w:r>
              <w:rPr>
                <w:color w:val="auto"/>
                <w:spacing w:val="-50"/>
                <w:sz w:val="24"/>
                <w:szCs w:val="24"/>
              </w:rPr>
              <w:t xml:space="preserve"> </w:t>
            </w:r>
            <w:r>
              <w:rPr>
                <w:rFonts w:ascii="Times New Roman" w:hAnsi="Times New Roman" w:eastAsia="Times New Roman" w:cs="Times New Roman"/>
                <w:color w:val="auto"/>
                <w:spacing w:val="-3"/>
                <w:sz w:val="24"/>
                <w:szCs w:val="24"/>
              </w:rPr>
              <w:t>30t</w:t>
            </w:r>
            <w:r>
              <w:rPr>
                <w:color w:val="auto"/>
                <w:spacing w:val="-3"/>
                <w:sz w:val="24"/>
                <w:szCs w:val="24"/>
              </w:rPr>
              <w:t>。</w:t>
            </w:r>
          </w:p>
          <w:p w14:paraId="7A32FE7F">
            <w:pPr>
              <w:pStyle w:val="122"/>
              <w:keepNext w:val="0"/>
              <w:keepLines w:val="0"/>
              <w:pageBreakBefore w:val="0"/>
              <w:kinsoku/>
              <w:wordWrap/>
              <w:overflowPunct/>
              <w:topLinePunct w:val="0"/>
              <w:autoSpaceDE/>
              <w:autoSpaceDN/>
              <w:bidi w:val="0"/>
              <w:adjustRightInd/>
              <w:snapToGrid/>
              <w:spacing w:line="360" w:lineRule="auto"/>
              <w:ind w:left="0" w:right="0" w:firstLine="470"/>
              <w:jc w:val="left"/>
              <w:textAlignment w:val="auto"/>
              <w:rPr>
                <w:color w:val="auto"/>
                <w:sz w:val="24"/>
                <w:szCs w:val="24"/>
              </w:rPr>
            </w:pPr>
            <w:r>
              <w:rPr>
                <w:rFonts w:ascii="Times New Roman" w:hAnsi="Times New Roman" w:eastAsia="Times New Roman" w:cs="Times New Roman"/>
                <w:color w:val="auto"/>
                <w:spacing w:val="-1"/>
                <w:sz w:val="24"/>
                <w:szCs w:val="24"/>
              </w:rPr>
              <w:t>η</w:t>
            </w:r>
            <w:r>
              <w:rPr>
                <w:color w:val="auto"/>
                <w:spacing w:val="-1"/>
                <w:sz w:val="24"/>
                <w:szCs w:val="24"/>
              </w:rPr>
              <w:t>——污染控制技术对扬尘的去除效率，</w:t>
            </w:r>
            <w:r>
              <w:rPr>
                <w:rFonts w:ascii="Times New Roman" w:hAnsi="Times New Roman" w:eastAsia="Times New Roman" w:cs="Times New Roman"/>
                <w:color w:val="auto"/>
                <w:spacing w:val="-1"/>
                <w:sz w:val="24"/>
                <w:szCs w:val="24"/>
              </w:rPr>
              <w:t>%</w:t>
            </w:r>
            <w:r>
              <w:rPr>
                <w:rFonts w:ascii="Times New Roman" w:hAnsi="Times New Roman" w:eastAsia="Times New Roman" w:cs="Times New Roman"/>
                <w:color w:val="auto"/>
                <w:spacing w:val="-28"/>
                <w:sz w:val="24"/>
                <w:szCs w:val="24"/>
              </w:rPr>
              <w:t xml:space="preserve"> </w:t>
            </w:r>
            <w:r>
              <w:rPr>
                <w:color w:val="auto"/>
                <w:spacing w:val="-1"/>
                <w:sz w:val="24"/>
                <w:szCs w:val="24"/>
              </w:rPr>
              <w:t>。根据《扬尘源颗粒物排放清</w:t>
            </w:r>
            <w:r>
              <w:rPr>
                <w:color w:val="auto"/>
                <w:spacing w:val="-2"/>
                <w:sz w:val="24"/>
                <w:szCs w:val="24"/>
              </w:rPr>
              <w:t>单编</w:t>
            </w:r>
            <w:r>
              <w:rPr>
                <w:color w:val="auto"/>
                <w:spacing w:val="-5"/>
                <w:sz w:val="24"/>
                <w:szCs w:val="24"/>
              </w:rPr>
              <w:t>制技术指南（试行）》采取洒水</w:t>
            </w:r>
            <w:r>
              <w:rPr>
                <w:color w:val="auto"/>
                <w:spacing w:val="-53"/>
                <w:sz w:val="24"/>
                <w:szCs w:val="24"/>
              </w:rPr>
              <w:t xml:space="preserve"> </w:t>
            </w:r>
            <w:r>
              <w:rPr>
                <w:rFonts w:ascii="Times New Roman" w:hAnsi="Times New Roman" w:eastAsia="Times New Roman" w:cs="Times New Roman"/>
                <w:color w:val="auto"/>
                <w:spacing w:val="-5"/>
                <w:sz w:val="24"/>
                <w:szCs w:val="24"/>
              </w:rPr>
              <w:t>2</w:t>
            </w:r>
            <w:r>
              <w:rPr>
                <w:color w:val="auto"/>
                <w:spacing w:val="-5"/>
                <w:sz w:val="24"/>
                <w:szCs w:val="24"/>
              </w:rPr>
              <w:t>次</w:t>
            </w:r>
            <w:r>
              <w:rPr>
                <w:rFonts w:ascii="Times New Roman" w:hAnsi="Times New Roman" w:eastAsia="Times New Roman" w:cs="Times New Roman"/>
                <w:color w:val="auto"/>
                <w:spacing w:val="-5"/>
                <w:sz w:val="24"/>
                <w:szCs w:val="24"/>
              </w:rPr>
              <w:t>/</w:t>
            </w:r>
            <w:r>
              <w:rPr>
                <w:color w:val="auto"/>
                <w:spacing w:val="-5"/>
                <w:sz w:val="24"/>
                <w:szCs w:val="24"/>
              </w:rPr>
              <w:t>天措施对铺装道路扬尘源的控制效率为</w:t>
            </w:r>
            <w:r>
              <w:rPr>
                <w:color w:val="auto"/>
                <w:spacing w:val="-50"/>
                <w:sz w:val="24"/>
                <w:szCs w:val="24"/>
              </w:rPr>
              <w:t xml:space="preserve"> </w:t>
            </w:r>
            <w:r>
              <w:rPr>
                <w:rFonts w:ascii="Times New Roman" w:hAnsi="Times New Roman" w:eastAsia="Times New Roman" w:cs="Times New Roman"/>
                <w:color w:val="auto"/>
                <w:spacing w:val="-5"/>
                <w:sz w:val="24"/>
                <w:szCs w:val="24"/>
              </w:rPr>
              <w:t>66%</w:t>
            </w:r>
            <w:r>
              <w:rPr>
                <w:color w:val="auto"/>
                <w:spacing w:val="-5"/>
                <w:sz w:val="24"/>
                <w:szCs w:val="24"/>
              </w:rPr>
              <w:t>。</w:t>
            </w:r>
          </w:p>
          <w:p w14:paraId="03284DBD">
            <w:pPr>
              <w:pStyle w:val="122"/>
              <w:keepNext w:val="0"/>
              <w:keepLines w:val="0"/>
              <w:pageBreakBefore w:val="0"/>
              <w:kinsoku/>
              <w:wordWrap/>
              <w:overflowPunct/>
              <w:topLinePunct w:val="0"/>
              <w:autoSpaceDE/>
              <w:autoSpaceDN/>
              <w:bidi w:val="0"/>
              <w:adjustRightInd/>
              <w:snapToGrid/>
              <w:spacing w:line="360" w:lineRule="auto"/>
              <w:ind w:left="0" w:right="0" w:firstLine="480"/>
              <w:jc w:val="left"/>
              <w:textAlignment w:val="auto"/>
              <w:rPr>
                <w:rFonts w:hint="eastAsia" w:eastAsia="宋体"/>
                <w:color w:val="auto"/>
                <w:spacing w:val="-2"/>
                <w:sz w:val="24"/>
                <w:szCs w:val="24"/>
                <w:lang w:val="en-US" w:eastAsia="zh-CN"/>
              </w:rPr>
            </w:pPr>
            <w:r>
              <w:rPr>
                <w:rFonts w:hint="eastAsia" w:eastAsia="宋体"/>
                <w:color w:val="auto"/>
                <w:spacing w:val="-1"/>
                <w:sz w:val="24"/>
                <w:szCs w:val="24"/>
                <w:lang w:val="en-US" w:eastAsia="zh-CN"/>
              </w:rPr>
              <w:t>经计算，项目</w:t>
            </w:r>
            <w:r>
              <w:rPr>
                <w:color w:val="auto"/>
                <w:spacing w:val="-1"/>
                <w:sz w:val="24"/>
                <w:szCs w:val="24"/>
              </w:rPr>
              <w:t>定期对场内道路进行洒水抑</w:t>
            </w:r>
            <w:r>
              <w:rPr>
                <w:color w:val="auto"/>
                <w:sz w:val="24"/>
                <w:szCs w:val="24"/>
              </w:rPr>
              <w:t>尘，并对路面进行定期清扫和维护等废气防治措施</w:t>
            </w:r>
            <w:r>
              <w:rPr>
                <w:color w:val="auto"/>
                <w:spacing w:val="-1"/>
                <w:sz w:val="24"/>
                <w:szCs w:val="24"/>
              </w:rPr>
              <w:t>后，原料内运和产品外运时，</w:t>
            </w:r>
            <w:r>
              <w:rPr>
                <w:color w:val="auto"/>
                <w:spacing w:val="-3"/>
                <w:sz w:val="24"/>
                <w:szCs w:val="24"/>
              </w:rPr>
              <w:t>根</w:t>
            </w:r>
            <w:r>
              <w:rPr>
                <w:color w:val="auto"/>
                <w:spacing w:val="0"/>
                <w:sz w:val="24"/>
                <w:szCs w:val="24"/>
              </w:rPr>
              <w:t>据《</w:t>
            </w:r>
            <w:r>
              <w:rPr>
                <w:rFonts w:hint="default" w:ascii="Times New Roman" w:hAnsi="Times New Roman" w:cs="Times New Roman"/>
                <w:color w:val="auto"/>
                <w:spacing w:val="0"/>
                <w:sz w:val="24"/>
                <w:szCs w:val="24"/>
              </w:rPr>
              <w:t>扬尘源颗粒物 排放清单编制技术指南（试行）》采取洒水</w:t>
            </w:r>
            <w:r>
              <w:rPr>
                <w:rFonts w:hint="default" w:ascii="Times New Roman" w:hAnsi="Times New Roman" w:eastAsia="Times New Roman" w:cs="Times New Roman"/>
                <w:color w:val="auto"/>
                <w:spacing w:val="0"/>
                <w:sz w:val="24"/>
                <w:szCs w:val="24"/>
              </w:rPr>
              <w:t>2</w:t>
            </w:r>
            <w:r>
              <w:rPr>
                <w:rFonts w:hint="default" w:ascii="Times New Roman" w:hAnsi="Times New Roman" w:cs="Times New Roman"/>
                <w:color w:val="auto"/>
                <w:spacing w:val="0"/>
                <w:sz w:val="24"/>
                <w:szCs w:val="24"/>
              </w:rPr>
              <w:t>次</w:t>
            </w:r>
            <w:r>
              <w:rPr>
                <w:rFonts w:hint="default" w:ascii="Times New Roman" w:hAnsi="Times New Roman" w:eastAsia="Times New Roman" w:cs="Times New Roman"/>
                <w:color w:val="auto"/>
                <w:spacing w:val="0"/>
                <w:sz w:val="24"/>
                <w:szCs w:val="24"/>
              </w:rPr>
              <w:t>/</w:t>
            </w:r>
            <w:r>
              <w:rPr>
                <w:rFonts w:hint="default" w:ascii="Times New Roman" w:hAnsi="Times New Roman" w:cs="Times New Roman"/>
                <w:color w:val="auto"/>
                <w:spacing w:val="0"/>
                <w:sz w:val="24"/>
                <w:szCs w:val="24"/>
              </w:rPr>
              <w:t>天措施对铺装道路扬尘源的控制效率为</w:t>
            </w:r>
            <w:r>
              <w:rPr>
                <w:rFonts w:hint="default" w:ascii="Times New Roman" w:hAnsi="Times New Roman" w:eastAsia="Times New Roman" w:cs="Times New Roman"/>
                <w:color w:val="auto"/>
                <w:spacing w:val="0"/>
                <w:sz w:val="24"/>
                <w:szCs w:val="24"/>
              </w:rPr>
              <w:t xml:space="preserve">66% </w:t>
            </w:r>
            <w:r>
              <w:rPr>
                <w:rFonts w:hint="default" w:ascii="Times New Roman" w:hAnsi="Times New Roman" w:cs="Times New Roman"/>
                <w:color w:val="auto"/>
                <w:spacing w:val="0"/>
                <w:sz w:val="24"/>
                <w:szCs w:val="24"/>
              </w:rPr>
              <w:t>，经计算，车辆运输颗粒物</w:t>
            </w:r>
            <w:r>
              <w:rPr>
                <w:rFonts w:hint="eastAsia" w:ascii="Times New Roman" w:hAnsi="Times New Roman" w:eastAsia="宋体" w:cs="Times New Roman"/>
                <w:color w:val="auto"/>
                <w:spacing w:val="0"/>
                <w:sz w:val="24"/>
                <w:szCs w:val="24"/>
                <w:lang w:val="en-US" w:eastAsia="zh-CN"/>
              </w:rPr>
              <w:t>排放</w:t>
            </w:r>
            <w:r>
              <w:rPr>
                <w:rFonts w:hint="default" w:ascii="Times New Roman" w:hAnsi="Times New Roman" w:cs="Times New Roman"/>
                <w:color w:val="auto"/>
                <w:spacing w:val="0"/>
                <w:sz w:val="24"/>
                <w:szCs w:val="24"/>
              </w:rPr>
              <w:t>速率为</w:t>
            </w:r>
            <w:r>
              <w:rPr>
                <w:rFonts w:hint="eastAsia" w:ascii="Times New Roman" w:hAnsi="Times New Roman" w:eastAsia="宋体" w:cs="Times New Roman"/>
                <w:color w:val="auto"/>
                <w:spacing w:val="0"/>
                <w:sz w:val="24"/>
                <w:szCs w:val="24"/>
                <w:lang w:val="en-US" w:eastAsia="zh-CN"/>
              </w:rPr>
              <w:t>0.2647</w:t>
            </w:r>
            <w:r>
              <w:rPr>
                <w:rFonts w:hint="default" w:ascii="Times New Roman" w:hAnsi="Times New Roman" w:eastAsia="Times New Roman" w:cs="Times New Roman"/>
                <w:color w:val="auto"/>
                <w:spacing w:val="0"/>
                <w:sz w:val="24"/>
                <w:szCs w:val="24"/>
              </w:rPr>
              <w:t xml:space="preserve">kg/h </w:t>
            </w:r>
            <w:r>
              <w:rPr>
                <w:rFonts w:hint="default" w:ascii="Times New Roman" w:hAnsi="Times New Roman" w:cs="Times New Roman"/>
                <w:color w:val="auto"/>
                <w:spacing w:val="0"/>
                <w:sz w:val="24"/>
                <w:szCs w:val="24"/>
              </w:rPr>
              <w:t>，</w:t>
            </w:r>
            <w:r>
              <w:rPr>
                <w:rFonts w:hint="eastAsia" w:ascii="Times New Roman" w:hAnsi="Times New Roman" w:eastAsia="宋体" w:cs="Times New Roman"/>
                <w:color w:val="auto"/>
                <w:spacing w:val="0"/>
                <w:sz w:val="24"/>
                <w:szCs w:val="24"/>
                <w:lang w:val="en-US" w:eastAsia="zh-CN"/>
              </w:rPr>
              <w:t>排放</w:t>
            </w:r>
            <w:r>
              <w:rPr>
                <w:rFonts w:hint="default" w:ascii="Times New Roman" w:hAnsi="Times New Roman" w:cs="Times New Roman"/>
                <w:color w:val="auto"/>
                <w:spacing w:val="0"/>
                <w:sz w:val="24"/>
                <w:szCs w:val="24"/>
              </w:rPr>
              <w:t>量为</w:t>
            </w:r>
            <w:r>
              <w:rPr>
                <w:rFonts w:hint="eastAsia" w:ascii="Times New Roman" w:hAnsi="Times New Roman" w:eastAsia="宋体" w:cs="Times New Roman"/>
                <w:color w:val="auto"/>
                <w:spacing w:val="0"/>
                <w:sz w:val="24"/>
                <w:szCs w:val="24"/>
                <w:lang w:val="en-US" w:eastAsia="zh-CN"/>
              </w:rPr>
              <w:t>0.</w:t>
            </w:r>
            <w:r>
              <w:rPr>
                <w:rFonts w:hint="default" w:ascii="Times New Roman" w:hAnsi="Times New Roman" w:eastAsia="宋体" w:cs="Times New Roman"/>
                <w:color w:val="auto"/>
                <w:spacing w:val="0"/>
                <w:sz w:val="24"/>
                <w:szCs w:val="24"/>
                <w:lang w:val="en-US" w:eastAsia="zh-CN"/>
              </w:rPr>
              <w:t>6353</w:t>
            </w:r>
            <w:r>
              <w:rPr>
                <w:rFonts w:hint="default" w:ascii="Times New Roman" w:hAnsi="Times New Roman" w:eastAsia="Times New Roman" w:cs="Times New Roman"/>
                <w:color w:val="auto"/>
                <w:spacing w:val="0"/>
                <w:sz w:val="24"/>
                <w:szCs w:val="24"/>
              </w:rPr>
              <w:t>t/a</w:t>
            </w:r>
            <w:r>
              <w:rPr>
                <w:rFonts w:hint="eastAsia" w:ascii="Times New Roman" w:hAnsi="Times New Roman" w:eastAsia="宋体" w:cs="Times New Roman"/>
                <w:color w:val="auto"/>
                <w:spacing w:val="0"/>
                <w:sz w:val="24"/>
                <w:szCs w:val="24"/>
                <w:lang w:eastAsia="zh-CN"/>
              </w:rPr>
              <w:t>。</w:t>
            </w:r>
          </w:p>
          <w:p w14:paraId="2D6789C1">
            <w:pPr>
              <w:widowControl/>
              <w:spacing w:line="360" w:lineRule="auto"/>
              <w:ind w:firstLine="480"/>
              <w:rPr>
                <w:color w:val="auto"/>
                <w:sz w:val="24"/>
              </w:rPr>
            </w:pPr>
            <w:r>
              <w:rPr>
                <w:rFonts w:hint="eastAsia"/>
                <w:color w:val="auto"/>
                <w:sz w:val="24"/>
                <w:lang w:val="en-US" w:eastAsia="zh-CN"/>
              </w:rPr>
              <w:t>4</w:t>
            </w:r>
            <w:r>
              <w:rPr>
                <w:color w:val="auto"/>
                <w:sz w:val="24"/>
              </w:rPr>
              <w:t>）</w:t>
            </w:r>
            <w:r>
              <w:rPr>
                <w:rFonts w:hint="eastAsia"/>
                <w:color w:val="auto"/>
                <w:sz w:val="24"/>
                <w:lang w:val="en-US" w:eastAsia="zh-CN"/>
              </w:rPr>
              <w:t>搅拌</w:t>
            </w:r>
            <w:r>
              <w:rPr>
                <w:color w:val="auto"/>
                <w:sz w:val="24"/>
              </w:rPr>
              <w:t>投料粉尘</w:t>
            </w:r>
          </w:p>
          <w:p w14:paraId="19F527C2">
            <w:pPr>
              <w:widowControl/>
              <w:spacing w:line="360" w:lineRule="auto"/>
              <w:ind w:firstLine="480"/>
              <w:rPr>
                <w:color w:val="auto"/>
                <w:sz w:val="24"/>
              </w:rPr>
            </w:pPr>
            <w:r>
              <w:rPr>
                <w:color w:val="auto"/>
                <w:sz w:val="24"/>
              </w:rPr>
              <w:t>生产设1台搅拌机，各物料投料过程会产生粉尘，</w:t>
            </w:r>
            <w:r>
              <w:rPr>
                <w:rFonts w:hint="eastAsia"/>
                <w:color w:val="auto"/>
                <w:sz w:val="24"/>
                <w:lang w:val="en-US" w:eastAsia="zh-CN"/>
              </w:rPr>
              <w:t>投完料搅拌时密闭搅拌</w:t>
            </w:r>
            <w:r>
              <w:rPr>
                <w:color w:val="auto"/>
                <w:sz w:val="24"/>
              </w:rPr>
              <w:t>，投料粉尘系数参照《排放源统计调查产排污核算方法和系数手册3021水泥制品制造（含3022砼结构构件制造、3029其他水泥类似制品制造）行业系数手册》。</w:t>
            </w:r>
          </w:p>
          <w:p w14:paraId="1B383622">
            <w:pPr>
              <w:tabs>
                <w:tab w:val="left" w:pos="900"/>
              </w:tabs>
              <w:ind w:firstLine="422"/>
              <w:jc w:val="center"/>
              <w:rPr>
                <w:b/>
                <w:color w:val="auto"/>
                <w:szCs w:val="21"/>
                <w:lang w:bidi="ar"/>
              </w:rPr>
            </w:pPr>
            <w:r>
              <w:rPr>
                <w:b/>
                <w:color w:val="auto"/>
                <w:szCs w:val="21"/>
                <w:lang w:bidi="ar"/>
              </w:rPr>
              <w:t>表4-</w:t>
            </w:r>
            <w:r>
              <w:rPr>
                <w:rFonts w:hint="eastAsia"/>
                <w:b/>
                <w:color w:val="auto"/>
                <w:szCs w:val="21"/>
                <w:lang w:val="en-US" w:eastAsia="zh-CN" w:bidi="ar"/>
              </w:rPr>
              <w:t>8</w:t>
            </w:r>
            <w:r>
              <w:rPr>
                <w:b/>
                <w:color w:val="auto"/>
                <w:szCs w:val="21"/>
                <w:lang w:bidi="ar"/>
              </w:rPr>
              <w:t xml:space="preserve"> 3021水泥制品制造（含3022砼结构构件、3029其他水泥类似制品制造）行业</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922"/>
              <w:gridCol w:w="1169"/>
              <w:gridCol w:w="1127"/>
              <w:gridCol w:w="1328"/>
              <w:gridCol w:w="904"/>
              <w:gridCol w:w="1089"/>
              <w:gridCol w:w="1314"/>
            </w:tblGrid>
            <w:tr w14:paraId="1D87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584" w:type="pct"/>
                  <w:vAlign w:val="center"/>
                </w:tcPr>
                <w:p w14:paraId="1B302990">
                  <w:pPr>
                    <w:autoSpaceDN w:val="0"/>
                    <w:ind w:firstLine="0" w:firstLineChars="0"/>
                    <w:jc w:val="center"/>
                    <w:rPr>
                      <w:b/>
                      <w:bCs/>
                      <w:color w:val="auto"/>
                      <w:szCs w:val="21"/>
                      <w:shd w:val="clear" w:color="auto" w:fill="FFFFFF"/>
                    </w:rPr>
                  </w:pPr>
                  <w:r>
                    <w:rPr>
                      <w:b/>
                      <w:bCs/>
                      <w:color w:val="auto"/>
                      <w:szCs w:val="21"/>
                      <w:shd w:val="clear" w:color="auto" w:fill="FFFFFF"/>
                    </w:rPr>
                    <w:t>工段</w:t>
                  </w:r>
                </w:p>
                <w:p w14:paraId="38BBC18C">
                  <w:pPr>
                    <w:autoSpaceDN w:val="0"/>
                    <w:ind w:firstLine="0" w:firstLineChars="0"/>
                    <w:jc w:val="center"/>
                    <w:rPr>
                      <w:b/>
                      <w:bCs/>
                      <w:color w:val="auto"/>
                      <w:szCs w:val="21"/>
                      <w:shd w:val="clear" w:color="auto" w:fill="FFFFFF"/>
                    </w:rPr>
                  </w:pPr>
                  <w:r>
                    <w:rPr>
                      <w:b/>
                      <w:bCs/>
                      <w:color w:val="auto"/>
                      <w:szCs w:val="21"/>
                      <w:shd w:val="clear" w:color="auto" w:fill="FFFFFF"/>
                    </w:rPr>
                    <w:t>名称</w:t>
                  </w:r>
                </w:p>
              </w:tc>
              <w:tc>
                <w:tcPr>
                  <w:tcW w:w="518" w:type="pct"/>
                  <w:vAlign w:val="center"/>
                </w:tcPr>
                <w:p w14:paraId="2F4C9D17">
                  <w:pPr>
                    <w:autoSpaceDN w:val="0"/>
                    <w:ind w:firstLine="0" w:firstLineChars="0"/>
                    <w:jc w:val="center"/>
                    <w:rPr>
                      <w:b/>
                      <w:bCs/>
                      <w:color w:val="auto"/>
                      <w:szCs w:val="21"/>
                      <w:shd w:val="clear" w:color="auto" w:fill="FFFFFF"/>
                    </w:rPr>
                  </w:pPr>
                  <w:r>
                    <w:rPr>
                      <w:b/>
                      <w:bCs/>
                      <w:color w:val="auto"/>
                      <w:szCs w:val="21"/>
                      <w:shd w:val="clear" w:color="auto" w:fill="FFFFFF"/>
                    </w:rPr>
                    <w:t>原料名称</w:t>
                  </w:r>
                </w:p>
              </w:tc>
              <w:tc>
                <w:tcPr>
                  <w:tcW w:w="657" w:type="pct"/>
                  <w:vAlign w:val="center"/>
                </w:tcPr>
                <w:p w14:paraId="45709114">
                  <w:pPr>
                    <w:autoSpaceDN w:val="0"/>
                    <w:ind w:firstLine="0" w:firstLineChars="0"/>
                    <w:jc w:val="center"/>
                    <w:rPr>
                      <w:b/>
                      <w:bCs/>
                      <w:color w:val="auto"/>
                      <w:szCs w:val="21"/>
                      <w:shd w:val="clear" w:color="auto" w:fill="FFFFFF"/>
                    </w:rPr>
                  </w:pPr>
                  <w:r>
                    <w:rPr>
                      <w:b/>
                      <w:bCs/>
                      <w:color w:val="auto"/>
                      <w:szCs w:val="21"/>
                      <w:shd w:val="clear" w:color="auto" w:fill="FFFFFF"/>
                    </w:rPr>
                    <w:t>工艺名称</w:t>
                  </w:r>
                </w:p>
              </w:tc>
              <w:tc>
                <w:tcPr>
                  <w:tcW w:w="633" w:type="pct"/>
                  <w:vAlign w:val="center"/>
                </w:tcPr>
                <w:p w14:paraId="7731806E">
                  <w:pPr>
                    <w:autoSpaceDN w:val="0"/>
                    <w:ind w:firstLine="0" w:firstLineChars="0"/>
                    <w:jc w:val="center"/>
                    <w:rPr>
                      <w:b/>
                      <w:bCs/>
                      <w:color w:val="auto"/>
                      <w:szCs w:val="21"/>
                      <w:shd w:val="clear" w:color="auto" w:fill="FFFFFF"/>
                    </w:rPr>
                  </w:pPr>
                  <w:r>
                    <w:rPr>
                      <w:b/>
                      <w:bCs/>
                      <w:color w:val="auto"/>
                      <w:szCs w:val="21"/>
                      <w:shd w:val="clear" w:color="auto" w:fill="FFFFFF"/>
                    </w:rPr>
                    <w:t>污染物</w:t>
                  </w:r>
                </w:p>
                <w:p w14:paraId="782ED17D">
                  <w:pPr>
                    <w:autoSpaceDN w:val="0"/>
                    <w:ind w:firstLine="0" w:firstLineChars="0"/>
                    <w:jc w:val="center"/>
                    <w:rPr>
                      <w:b/>
                      <w:bCs/>
                      <w:color w:val="auto"/>
                      <w:szCs w:val="21"/>
                      <w:shd w:val="clear" w:color="auto" w:fill="FFFFFF"/>
                    </w:rPr>
                  </w:pPr>
                  <w:r>
                    <w:rPr>
                      <w:b/>
                      <w:bCs/>
                      <w:color w:val="auto"/>
                      <w:szCs w:val="21"/>
                      <w:shd w:val="clear" w:color="auto" w:fill="FFFFFF"/>
                    </w:rPr>
                    <w:t>指标</w:t>
                  </w:r>
                </w:p>
              </w:tc>
              <w:tc>
                <w:tcPr>
                  <w:tcW w:w="746" w:type="pct"/>
                  <w:vAlign w:val="center"/>
                </w:tcPr>
                <w:p w14:paraId="5F911278">
                  <w:pPr>
                    <w:autoSpaceDN w:val="0"/>
                    <w:ind w:firstLine="0" w:firstLineChars="0"/>
                    <w:jc w:val="center"/>
                    <w:rPr>
                      <w:b/>
                      <w:bCs/>
                      <w:color w:val="auto"/>
                      <w:szCs w:val="21"/>
                      <w:shd w:val="clear" w:color="auto" w:fill="FFFFFF"/>
                    </w:rPr>
                  </w:pPr>
                  <w:r>
                    <w:rPr>
                      <w:b/>
                      <w:bCs/>
                      <w:color w:val="auto"/>
                      <w:szCs w:val="21"/>
                      <w:shd w:val="clear" w:color="auto" w:fill="FFFFFF"/>
                    </w:rPr>
                    <w:t>系数单位</w:t>
                  </w:r>
                </w:p>
              </w:tc>
              <w:tc>
                <w:tcPr>
                  <w:tcW w:w="508" w:type="pct"/>
                  <w:vAlign w:val="center"/>
                </w:tcPr>
                <w:p w14:paraId="39B2D7EA">
                  <w:pPr>
                    <w:autoSpaceDN w:val="0"/>
                    <w:ind w:firstLine="0" w:firstLineChars="0"/>
                    <w:jc w:val="center"/>
                    <w:rPr>
                      <w:b/>
                      <w:bCs/>
                      <w:color w:val="auto"/>
                      <w:szCs w:val="21"/>
                      <w:shd w:val="clear" w:color="auto" w:fill="FFFFFF"/>
                    </w:rPr>
                  </w:pPr>
                  <w:r>
                    <w:rPr>
                      <w:b/>
                      <w:bCs/>
                      <w:color w:val="auto"/>
                      <w:szCs w:val="21"/>
                      <w:shd w:val="clear" w:color="auto" w:fill="FFFFFF"/>
                    </w:rPr>
                    <w:t>产污</w:t>
                  </w:r>
                </w:p>
                <w:p w14:paraId="5512CFBE">
                  <w:pPr>
                    <w:autoSpaceDN w:val="0"/>
                    <w:ind w:firstLine="0" w:firstLineChars="0"/>
                    <w:jc w:val="center"/>
                    <w:rPr>
                      <w:b/>
                      <w:bCs/>
                      <w:color w:val="auto"/>
                      <w:szCs w:val="21"/>
                      <w:shd w:val="clear" w:color="auto" w:fill="FFFFFF"/>
                    </w:rPr>
                  </w:pPr>
                  <w:r>
                    <w:rPr>
                      <w:b/>
                      <w:bCs/>
                      <w:color w:val="auto"/>
                      <w:szCs w:val="21"/>
                      <w:shd w:val="clear" w:color="auto" w:fill="FFFFFF"/>
                    </w:rPr>
                    <w:t>系数</w:t>
                  </w:r>
                </w:p>
              </w:tc>
              <w:tc>
                <w:tcPr>
                  <w:tcW w:w="612" w:type="pct"/>
                  <w:vAlign w:val="center"/>
                </w:tcPr>
                <w:p w14:paraId="41B00E7A">
                  <w:pPr>
                    <w:ind w:firstLine="0" w:firstLineChars="0"/>
                    <w:jc w:val="center"/>
                    <w:rPr>
                      <w:b/>
                      <w:bCs/>
                      <w:color w:val="auto"/>
                      <w:szCs w:val="21"/>
                    </w:rPr>
                  </w:pPr>
                  <w:r>
                    <w:rPr>
                      <w:b/>
                      <w:bCs/>
                      <w:color w:val="auto"/>
                      <w:szCs w:val="21"/>
                    </w:rPr>
                    <w:t>末端治理技术名称</w:t>
                  </w:r>
                </w:p>
              </w:tc>
              <w:tc>
                <w:tcPr>
                  <w:tcW w:w="738" w:type="pct"/>
                  <w:vAlign w:val="center"/>
                </w:tcPr>
                <w:p w14:paraId="12E98552">
                  <w:pPr>
                    <w:ind w:firstLine="0" w:firstLineChars="0"/>
                    <w:jc w:val="center"/>
                    <w:rPr>
                      <w:b/>
                      <w:bCs/>
                      <w:color w:val="auto"/>
                      <w:szCs w:val="21"/>
                    </w:rPr>
                  </w:pPr>
                  <w:r>
                    <w:rPr>
                      <w:b/>
                      <w:bCs/>
                      <w:color w:val="auto"/>
                      <w:szCs w:val="21"/>
                    </w:rPr>
                    <w:t>末端治理技术效率（%）</w:t>
                  </w:r>
                </w:p>
              </w:tc>
            </w:tr>
            <w:tr w14:paraId="2704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restart"/>
                  <w:vAlign w:val="center"/>
                </w:tcPr>
                <w:p w14:paraId="4CD5937E">
                  <w:pPr>
                    <w:autoSpaceDN w:val="0"/>
                    <w:ind w:firstLine="0" w:firstLineChars="0"/>
                    <w:jc w:val="center"/>
                    <w:rPr>
                      <w:color w:val="auto"/>
                      <w:szCs w:val="21"/>
                      <w:shd w:val="clear" w:color="auto" w:fill="FFFFFF"/>
                    </w:rPr>
                  </w:pPr>
                  <w:r>
                    <w:rPr>
                      <w:color w:val="auto"/>
                      <w:szCs w:val="21"/>
                      <w:shd w:val="clear" w:color="auto" w:fill="FFFFFF"/>
                    </w:rPr>
                    <w:t>物料</w:t>
                  </w:r>
                </w:p>
                <w:p w14:paraId="17C66C90">
                  <w:pPr>
                    <w:autoSpaceDN w:val="0"/>
                    <w:ind w:firstLine="0" w:firstLineChars="0"/>
                    <w:jc w:val="center"/>
                    <w:rPr>
                      <w:color w:val="auto"/>
                      <w:szCs w:val="21"/>
                      <w:shd w:val="clear" w:color="auto" w:fill="FFFFFF"/>
                    </w:rPr>
                  </w:pPr>
                  <w:r>
                    <w:rPr>
                      <w:color w:val="auto"/>
                      <w:szCs w:val="21"/>
                      <w:shd w:val="clear" w:color="auto" w:fill="FFFFFF"/>
                    </w:rPr>
                    <w:t>搅拌</w:t>
                  </w:r>
                </w:p>
              </w:tc>
              <w:tc>
                <w:tcPr>
                  <w:tcW w:w="518" w:type="pct"/>
                  <w:vMerge w:val="restart"/>
                  <w:vAlign w:val="center"/>
                </w:tcPr>
                <w:p w14:paraId="5FD2E122">
                  <w:pPr>
                    <w:autoSpaceDN w:val="0"/>
                    <w:ind w:firstLine="0" w:firstLineChars="0"/>
                    <w:jc w:val="center"/>
                    <w:rPr>
                      <w:color w:val="auto"/>
                      <w:szCs w:val="21"/>
                      <w:shd w:val="clear" w:color="auto" w:fill="FFFFFF"/>
                    </w:rPr>
                  </w:pPr>
                  <w:r>
                    <w:rPr>
                      <w:color w:val="auto"/>
                      <w:szCs w:val="21"/>
                      <w:shd w:val="clear" w:color="auto" w:fill="FFFFFF"/>
                    </w:rPr>
                    <w:t>水泥、砂子、石子等</w:t>
                  </w:r>
                </w:p>
              </w:tc>
              <w:tc>
                <w:tcPr>
                  <w:tcW w:w="657" w:type="pct"/>
                  <w:vMerge w:val="restart"/>
                  <w:vAlign w:val="center"/>
                </w:tcPr>
                <w:p w14:paraId="1BF0B992">
                  <w:pPr>
                    <w:autoSpaceDN w:val="0"/>
                    <w:ind w:firstLine="0" w:firstLineChars="0"/>
                    <w:jc w:val="center"/>
                    <w:rPr>
                      <w:color w:val="auto"/>
                      <w:szCs w:val="21"/>
                      <w:shd w:val="clear" w:color="auto" w:fill="FFFFFF"/>
                    </w:rPr>
                  </w:pPr>
                  <w:r>
                    <w:rPr>
                      <w:rFonts w:hint="eastAsia"/>
                      <w:color w:val="auto"/>
                      <w:szCs w:val="21"/>
                      <w:shd w:val="clear" w:color="auto" w:fill="FFFFFF"/>
                      <w:lang w:val="en-US" w:eastAsia="zh-CN"/>
                    </w:rPr>
                    <w:t>物料输送、储存</w:t>
                  </w:r>
                </w:p>
              </w:tc>
              <w:tc>
                <w:tcPr>
                  <w:tcW w:w="633" w:type="pct"/>
                  <w:vAlign w:val="center"/>
                </w:tcPr>
                <w:p w14:paraId="663A3BF4">
                  <w:pPr>
                    <w:autoSpaceDN w:val="0"/>
                    <w:ind w:firstLine="0" w:firstLineChars="0"/>
                    <w:jc w:val="center"/>
                    <w:rPr>
                      <w:color w:val="auto"/>
                      <w:szCs w:val="21"/>
                      <w:shd w:val="clear" w:color="auto" w:fill="FFFFFF"/>
                    </w:rPr>
                  </w:pPr>
                  <w:r>
                    <w:rPr>
                      <w:color w:val="auto"/>
                      <w:szCs w:val="21"/>
                      <w:shd w:val="clear" w:color="auto" w:fill="FFFFFF"/>
                    </w:rPr>
                    <w:t>废气量</w:t>
                  </w:r>
                </w:p>
              </w:tc>
              <w:tc>
                <w:tcPr>
                  <w:tcW w:w="746" w:type="pct"/>
                  <w:vAlign w:val="center"/>
                </w:tcPr>
                <w:p w14:paraId="614EBE97">
                  <w:pPr>
                    <w:autoSpaceDN w:val="0"/>
                    <w:ind w:firstLine="0" w:firstLineChars="0"/>
                    <w:jc w:val="center"/>
                    <w:rPr>
                      <w:color w:val="auto"/>
                      <w:szCs w:val="21"/>
                      <w:shd w:val="clear" w:color="auto" w:fill="FFFFFF"/>
                    </w:rPr>
                  </w:pPr>
                  <w:r>
                    <w:rPr>
                      <w:color w:val="auto"/>
                      <w:szCs w:val="21"/>
                    </w:rPr>
                    <w:t>m</w:t>
                  </w:r>
                  <w:r>
                    <w:rPr>
                      <w:color w:val="auto"/>
                      <w:szCs w:val="21"/>
                      <w:vertAlign w:val="superscript"/>
                    </w:rPr>
                    <w:t>3</w:t>
                  </w:r>
                  <w:r>
                    <w:rPr>
                      <w:color w:val="auto"/>
                      <w:szCs w:val="21"/>
                    </w:rPr>
                    <w:t>/t-产品</w:t>
                  </w:r>
                </w:p>
              </w:tc>
              <w:tc>
                <w:tcPr>
                  <w:tcW w:w="508" w:type="pct"/>
                  <w:vAlign w:val="center"/>
                </w:tcPr>
                <w:p w14:paraId="1BD1C797">
                  <w:pPr>
                    <w:autoSpaceDN w:val="0"/>
                    <w:ind w:firstLine="0" w:firstLineChars="0"/>
                    <w:jc w:val="center"/>
                    <w:rPr>
                      <w:color w:val="auto"/>
                      <w:szCs w:val="21"/>
                      <w:shd w:val="clear" w:color="auto" w:fill="FFFFFF"/>
                    </w:rPr>
                  </w:pPr>
                  <w:r>
                    <w:rPr>
                      <w:rFonts w:hint="eastAsia"/>
                      <w:color w:val="auto"/>
                      <w:szCs w:val="21"/>
                      <w:shd w:val="clear" w:color="auto" w:fill="FFFFFF"/>
                      <w:lang w:val="en-US" w:eastAsia="zh-CN"/>
                    </w:rPr>
                    <w:t>22.0</w:t>
                  </w:r>
                </w:p>
              </w:tc>
              <w:tc>
                <w:tcPr>
                  <w:tcW w:w="612" w:type="pct"/>
                  <w:vMerge w:val="restart"/>
                  <w:vAlign w:val="center"/>
                </w:tcPr>
                <w:p w14:paraId="52538A53">
                  <w:pPr>
                    <w:ind w:firstLine="0" w:firstLineChars="0"/>
                    <w:jc w:val="center"/>
                    <w:rPr>
                      <w:color w:val="auto"/>
                      <w:szCs w:val="21"/>
                    </w:rPr>
                  </w:pPr>
                  <w:r>
                    <w:rPr>
                      <w:color w:val="auto"/>
                      <w:szCs w:val="21"/>
                    </w:rPr>
                    <w:t>袋式</w:t>
                  </w:r>
                </w:p>
                <w:p w14:paraId="4B3D19E7">
                  <w:pPr>
                    <w:ind w:firstLine="0" w:firstLineChars="0"/>
                    <w:jc w:val="center"/>
                    <w:rPr>
                      <w:color w:val="auto"/>
                      <w:szCs w:val="21"/>
                    </w:rPr>
                  </w:pPr>
                  <w:r>
                    <w:rPr>
                      <w:color w:val="auto"/>
                      <w:szCs w:val="21"/>
                    </w:rPr>
                    <w:t>除尘</w:t>
                  </w:r>
                </w:p>
              </w:tc>
              <w:tc>
                <w:tcPr>
                  <w:tcW w:w="738" w:type="pct"/>
                  <w:vMerge w:val="restart"/>
                  <w:vAlign w:val="center"/>
                </w:tcPr>
                <w:p w14:paraId="44C27B50">
                  <w:pPr>
                    <w:ind w:firstLine="0" w:firstLineChars="0"/>
                    <w:jc w:val="center"/>
                    <w:rPr>
                      <w:color w:val="auto"/>
                      <w:szCs w:val="21"/>
                    </w:rPr>
                  </w:pPr>
                  <w:r>
                    <w:rPr>
                      <w:color w:val="auto"/>
                      <w:szCs w:val="21"/>
                    </w:rPr>
                    <w:t>99.7</w:t>
                  </w:r>
                </w:p>
              </w:tc>
            </w:tr>
            <w:tr w14:paraId="3603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14:paraId="47AAB51C">
                  <w:pPr>
                    <w:autoSpaceDN w:val="0"/>
                    <w:ind w:firstLine="0" w:firstLineChars="0"/>
                    <w:jc w:val="center"/>
                    <w:rPr>
                      <w:color w:val="auto"/>
                      <w:szCs w:val="21"/>
                      <w:shd w:val="clear" w:color="auto" w:fill="FFFFFF"/>
                    </w:rPr>
                  </w:pPr>
                </w:p>
              </w:tc>
              <w:tc>
                <w:tcPr>
                  <w:tcW w:w="518" w:type="pct"/>
                  <w:vMerge w:val="continue"/>
                </w:tcPr>
                <w:p w14:paraId="42D16BE9">
                  <w:pPr>
                    <w:autoSpaceDN w:val="0"/>
                    <w:ind w:firstLine="0" w:firstLineChars="0"/>
                    <w:jc w:val="center"/>
                    <w:rPr>
                      <w:color w:val="auto"/>
                      <w:szCs w:val="21"/>
                      <w:shd w:val="clear" w:color="auto" w:fill="FFFFFF"/>
                    </w:rPr>
                  </w:pPr>
                </w:p>
              </w:tc>
              <w:tc>
                <w:tcPr>
                  <w:tcW w:w="657" w:type="pct"/>
                  <w:vMerge w:val="continue"/>
                  <w:vAlign w:val="center"/>
                </w:tcPr>
                <w:p w14:paraId="554722C0">
                  <w:pPr>
                    <w:autoSpaceDN w:val="0"/>
                    <w:ind w:firstLine="0" w:firstLineChars="0"/>
                    <w:jc w:val="center"/>
                    <w:rPr>
                      <w:color w:val="auto"/>
                      <w:szCs w:val="21"/>
                      <w:shd w:val="clear" w:color="auto" w:fill="FFFFFF"/>
                    </w:rPr>
                  </w:pPr>
                </w:p>
              </w:tc>
              <w:tc>
                <w:tcPr>
                  <w:tcW w:w="633" w:type="pct"/>
                  <w:vAlign w:val="center"/>
                </w:tcPr>
                <w:p w14:paraId="68BFC0A5">
                  <w:pPr>
                    <w:autoSpaceDN w:val="0"/>
                    <w:ind w:firstLine="0" w:firstLineChars="0"/>
                    <w:jc w:val="center"/>
                    <w:rPr>
                      <w:color w:val="auto"/>
                      <w:szCs w:val="21"/>
                      <w:shd w:val="clear" w:color="auto" w:fill="FFFFFF"/>
                    </w:rPr>
                  </w:pPr>
                  <w:r>
                    <w:rPr>
                      <w:color w:val="auto"/>
                      <w:szCs w:val="21"/>
                      <w:shd w:val="clear" w:color="auto" w:fill="FFFFFF"/>
                    </w:rPr>
                    <w:t>颗粒物</w:t>
                  </w:r>
                </w:p>
              </w:tc>
              <w:tc>
                <w:tcPr>
                  <w:tcW w:w="746" w:type="pct"/>
                  <w:vAlign w:val="center"/>
                </w:tcPr>
                <w:p w14:paraId="05873595">
                  <w:pPr>
                    <w:autoSpaceDN w:val="0"/>
                    <w:ind w:firstLine="0" w:firstLineChars="0"/>
                    <w:jc w:val="center"/>
                    <w:rPr>
                      <w:color w:val="auto"/>
                      <w:szCs w:val="21"/>
                      <w:shd w:val="clear" w:color="auto" w:fill="FFFFFF"/>
                    </w:rPr>
                  </w:pPr>
                  <w:r>
                    <w:rPr>
                      <w:color w:val="auto"/>
                      <w:szCs w:val="21"/>
                    </w:rPr>
                    <w:t>kg/t-产品</w:t>
                  </w:r>
                </w:p>
              </w:tc>
              <w:tc>
                <w:tcPr>
                  <w:tcW w:w="508" w:type="pct"/>
                  <w:vAlign w:val="center"/>
                </w:tcPr>
                <w:p w14:paraId="08C3A457">
                  <w:pPr>
                    <w:autoSpaceDN w:val="0"/>
                    <w:ind w:firstLine="0" w:firstLineChars="0"/>
                    <w:jc w:val="center"/>
                    <w:rPr>
                      <w:color w:val="auto"/>
                      <w:szCs w:val="21"/>
                      <w:shd w:val="clear" w:color="auto" w:fill="FFFFFF"/>
                    </w:rPr>
                  </w:pPr>
                  <w:r>
                    <w:rPr>
                      <w:rFonts w:hint="eastAsia"/>
                      <w:color w:val="auto"/>
                      <w:szCs w:val="21"/>
                      <w:shd w:val="clear" w:color="auto" w:fill="FFFFFF"/>
                      <w:lang w:val="en-US" w:eastAsia="zh-CN"/>
                    </w:rPr>
                    <w:t>0.12</w:t>
                  </w:r>
                </w:p>
              </w:tc>
              <w:tc>
                <w:tcPr>
                  <w:tcW w:w="612" w:type="pct"/>
                  <w:vMerge w:val="continue"/>
                  <w:vAlign w:val="center"/>
                </w:tcPr>
                <w:p w14:paraId="62CAC3F1">
                  <w:pPr>
                    <w:autoSpaceDN w:val="0"/>
                    <w:ind w:firstLine="0" w:firstLineChars="0"/>
                    <w:jc w:val="center"/>
                    <w:rPr>
                      <w:color w:val="auto"/>
                      <w:szCs w:val="21"/>
                      <w:shd w:val="clear" w:color="auto" w:fill="FFFFFF"/>
                    </w:rPr>
                  </w:pPr>
                </w:p>
              </w:tc>
              <w:tc>
                <w:tcPr>
                  <w:tcW w:w="738" w:type="pct"/>
                  <w:vMerge w:val="continue"/>
                  <w:vAlign w:val="center"/>
                </w:tcPr>
                <w:p w14:paraId="234AA9D5">
                  <w:pPr>
                    <w:autoSpaceDN w:val="0"/>
                    <w:ind w:firstLine="0" w:firstLineChars="0"/>
                    <w:jc w:val="center"/>
                    <w:rPr>
                      <w:color w:val="auto"/>
                      <w:szCs w:val="21"/>
                      <w:shd w:val="clear" w:color="auto" w:fill="FFFFFF"/>
                    </w:rPr>
                  </w:pPr>
                </w:p>
              </w:tc>
            </w:tr>
          </w:tbl>
          <w:p w14:paraId="7831C98F">
            <w:pPr>
              <w:widowControl/>
              <w:spacing w:line="360" w:lineRule="auto"/>
              <w:ind w:firstLine="480"/>
              <w:rPr>
                <w:bCs/>
                <w:color w:val="auto"/>
                <w:sz w:val="24"/>
              </w:rPr>
            </w:pPr>
            <w:r>
              <w:rPr>
                <w:bCs/>
                <w:color w:val="auto"/>
                <w:sz w:val="24"/>
              </w:rPr>
              <w:t>据上表算得，搅拌机投料过程中粉尘产生量为</w:t>
            </w:r>
            <w:r>
              <w:rPr>
                <w:rFonts w:hint="eastAsia"/>
                <w:bCs/>
                <w:color w:val="auto"/>
                <w:sz w:val="24"/>
                <w:lang w:val="en-US" w:eastAsia="zh-CN"/>
              </w:rPr>
              <w:t>12</w:t>
            </w:r>
            <w:r>
              <w:rPr>
                <w:bCs/>
                <w:color w:val="auto"/>
                <w:sz w:val="24"/>
              </w:rPr>
              <w:t>t/a，搅拌机投料口上方设置集气罩，收集效率按照90%计</w:t>
            </w:r>
            <w:r>
              <w:rPr>
                <w:rFonts w:hint="eastAsia"/>
                <w:bCs/>
                <w:color w:val="auto"/>
                <w:sz w:val="24"/>
              </w:rPr>
              <w:t>，</w:t>
            </w:r>
            <w:r>
              <w:rPr>
                <w:bCs/>
                <w:color w:val="auto"/>
                <w:sz w:val="24"/>
              </w:rPr>
              <w:t>经布袋除尘器处理，风量为</w:t>
            </w:r>
            <w:r>
              <w:rPr>
                <w:rFonts w:hint="eastAsia"/>
                <w:bCs/>
                <w:color w:val="auto"/>
                <w:sz w:val="24"/>
              </w:rPr>
              <w:t>15</w:t>
            </w:r>
            <w:r>
              <w:rPr>
                <w:bCs/>
                <w:color w:val="auto"/>
                <w:sz w:val="24"/>
              </w:rPr>
              <w:t>000m</w:t>
            </w:r>
            <w:r>
              <w:rPr>
                <w:bCs/>
                <w:color w:val="auto"/>
                <w:sz w:val="24"/>
                <w:vertAlign w:val="superscript"/>
              </w:rPr>
              <w:t>3</w:t>
            </w:r>
            <w:r>
              <w:rPr>
                <w:bCs/>
                <w:color w:val="auto"/>
                <w:sz w:val="24"/>
              </w:rPr>
              <w:t>/h，除尘效率以99.7%计，算得粉尘排放量为</w:t>
            </w:r>
            <w:r>
              <w:rPr>
                <w:rFonts w:hint="eastAsia"/>
                <w:bCs/>
                <w:color w:val="auto"/>
                <w:sz w:val="24"/>
                <w:lang w:val="en-US" w:eastAsia="zh-CN"/>
              </w:rPr>
              <w:t>0.0324</w:t>
            </w:r>
            <w:r>
              <w:rPr>
                <w:bCs/>
                <w:color w:val="auto"/>
                <w:sz w:val="24"/>
              </w:rPr>
              <w:t>t/a，处理后的粉尘车间无组织排放。</w:t>
            </w:r>
          </w:p>
          <w:p w14:paraId="1860D529">
            <w:pPr>
              <w:widowControl/>
              <w:wordWrap w:val="0"/>
              <w:topLinePunct/>
              <w:spacing w:line="360" w:lineRule="auto"/>
              <w:ind w:firstLine="480"/>
              <w:jc w:val="left"/>
              <w:rPr>
                <w:color w:val="auto"/>
                <w:sz w:val="24"/>
              </w:rPr>
            </w:pPr>
            <w:r>
              <w:rPr>
                <w:bCs/>
                <w:color w:val="auto"/>
                <w:sz w:val="24"/>
              </w:rPr>
              <w:t>搅拌机设于封闭</w:t>
            </w:r>
            <w:r>
              <w:rPr>
                <w:rFonts w:hint="eastAsia"/>
                <w:bCs/>
                <w:color w:val="auto"/>
                <w:sz w:val="24"/>
              </w:rPr>
              <w:t>拌合站</w:t>
            </w:r>
            <w:r>
              <w:rPr>
                <w:bCs/>
                <w:color w:val="auto"/>
                <w:sz w:val="24"/>
              </w:rPr>
              <w:t>内，经处理后的粉尘及未经收集的粉尘产生量共为</w:t>
            </w:r>
            <w:r>
              <w:rPr>
                <w:rFonts w:hint="eastAsia"/>
                <w:bCs/>
                <w:color w:val="auto"/>
                <w:sz w:val="24"/>
                <w:lang w:val="en-US" w:eastAsia="zh-CN"/>
              </w:rPr>
              <w:t>1.2324</w:t>
            </w:r>
            <w:r>
              <w:rPr>
                <w:bCs/>
                <w:color w:val="auto"/>
                <w:sz w:val="24"/>
              </w:rPr>
              <w:t>t/a，经封闭建筑阻隔和自然沉降作用后，60%沉降于</w:t>
            </w:r>
            <w:r>
              <w:rPr>
                <w:rFonts w:hint="eastAsia"/>
                <w:bCs/>
                <w:color w:val="auto"/>
                <w:sz w:val="24"/>
              </w:rPr>
              <w:t>拌合站</w:t>
            </w:r>
            <w:r>
              <w:rPr>
                <w:bCs/>
                <w:color w:val="auto"/>
                <w:sz w:val="24"/>
              </w:rPr>
              <w:t>内，其余40%（约</w:t>
            </w:r>
            <w:r>
              <w:rPr>
                <w:rFonts w:hint="eastAsia"/>
                <w:bCs/>
                <w:color w:val="auto"/>
                <w:sz w:val="24"/>
                <w:lang w:val="en-US" w:eastAsia="zh-CN"/>
              </w:rPr>
              <w:t>0.493</w:t>
            </w:r>
            <w:r>
              <w:rPr>
                <w:bCs/>
                <w:color w:val="auto"/>
                <w:sz w:val="24"/>
              </w:rPr>
              <w:t>t/a</w:t>
            </w:r>
            <w:r>
              <w:rPr>
                <w:rFonts w:hint="eastAsia"/>
                <w:bCs/>
                <w:color w:val="auto"/>
                <w:sz w:val="24"/>
                <w:lang w:eastAsia="zh-CN"/>
              </w:rPr>
              <w:t>，</w:t>
            </w:r>
            <w:r>
              <w:rPr>
                <w:rFonts w:hint="eastAsia"/>
                <w:bCs/>
                <w:color w:val="auto"/>
                <w:sz w:val="24"/>
                <w:lang w:val="en-US" w:eastAsia="zh-CN"/>
              </w:rPr>
              <w:t>0.2054kg/h</w:t>
            </w:r>
            <w:r>
              <w:rPr>
                <w:bCs/>
                <w:color w:val="auto"/>
                <w:sz w:val="24"/>
              </w:rPr>
              <w:t>）以无组织形式扩散进入大气环境。</w:t>
            </w:r>
          </w:p>
          <w:p w14:paraId="4E2B8012">
            <w:pPr>
              <w:widowControl/>
              <w:spacing w:line="360" w:lineRule="auto"/>
              <w:ind w:firstLine="480"/>
              <w:rPr>
                <w:bCs/>
                <w:color w:val="auto"/>
                <w:sz w:val="24"/>
              </w:rPr>
            </w:pPr>
            <w:r>
              <w:rPr>
                <w:rFonts w:hint="eastAsia"/>
                <w:bCs/>
                <w:color w:val="auto"/>
                <w:sz w:val="24"/>
              </w:rPr>
              <w:t>（3）食堂油烟</w:t>
            </w:r>
          </w:p>
          <w:p w14:paraId="323D152D">
            <w:pPr>
              <w:widowControl/>
              <w:spacing w:line="360" w:lineRule="auto"/>
              <w:ind w:firstLine="480"/>
              <w:rPr>
                <w:bCs/>
                <w:color w:val="auto"/>
                <w:sz w:val="24"/>
              </w:rPr>
            </w:pPr>
            <w:r>
              <w:rPr>
                <w:rFonts w:hint="eastAsia"/>
                <w:bCs/>
                <w:color w:val="auto"/>
                <w:sz w:val="24"/>
              </w:rPr>
              <w:t>本扩建项目不新增工作人员，食堂油烟依托原有已建油烟净化器处理后达标排放，本项目不对食堂油烟进行核算。</w:t>
            </w:r>
          </w:p>
          <w:p w14:paraId="78E67CB3">
            <w:pPr>
              <w:widowControl/>
              <w:spacing w:line="360" w:lineRule="auto"/>
              <w:ind w:firstLine="482"/>
              <w:jc w:val="left"/>
              <w:rPr>
                <w:rStyle w:val="124"/>
                <w:rFonts w:hint="default" w:ascii="Times New Roman" w:hAnsi="Times New Roman"/>
                <w:b/>
                <w:color w:val="auto"/>
              </w:rPr>
            </w:pPr>
            <w:r>
              <w:rPr>
                <w:rStyle w:val="124"/>
                <w:rFonts w:hint="default" w:ascii="Times New Roman" w:hAnsi="Times New Roman"/>
                <w:b/>
                <w:color w:val="auto"/>
              </w:rPr>
              <w:t>（</w:t>
            </w:r>
            <w:r>
              <w:rPr>
                <w:rStyle w:val="124"/>
                <w:b/>
                <w:color w:val="auto"/>
              </w:rPr>
              <w:t>二</w:t>
            </w:r>
            <w:r>
              <w:rPr>
                <w:rStyle w:val="124"/>
                <w:rFonts w:hint="default" w:ascii="Times New Roman" w:hAnsi="Times New Roman"/>
                <w:b/>
                <w:color w:val="auto"/>
              </w:rPr>
              <w:t>）废气达标排放及影响分析</w:t>
            </w:r>
          </w:p>
          <w:p w14:paraId="58B0921B">
            <w:pPr>
              <w:widowControl/>
              <w:spacing w:line="360" w:lineRule="auto"/>
              <w:ind w:firstLine="480"/>
              <w:rPr>
                <w:rFonts w:hint="default" w:eastAsia="宋体"/>
                <w:color w:val="auto"/>
                <w:sz w:val="24"/>
                <w:lang w:val="en-US" w:eastAsia="zh-CN"/>
              </w:rPr>
            </w:pPr>
            <w:r>
              <w:rPr>
                <w:rFonts w:hint="eastAsia"/>
                <w:color w:val="auto"/>
                <w:sz w:val="24"/>
                <w:lang w:val="en-US" w:eastAsia="zh-CN"/>
              </w:rPr>
              <w:t>1、有组织废气达标性分析</w:t>
            </w:r>
          </w:p>
          <w:p w14:paraId="70F3FC33">
            <w:pPr>
              <w:keepNext w:val="0"/>
              <w:keepLines w:val="0"/>
              <w:pageBreakBefore w:val="0"/>
              <w:widowControl w:val="0"/>
              <w:kinsoku/>
              <w:wordWrap w:val="0"/>
              <w:overflowPunct/>
              <w:topLinePunct/>
              <w:autoSpaceDE/>
              <w:autoSpaceDN/>
              <w:bidi w:val="0"/>
              <w:adjustRightInd/>
              <w:snapToGrid/>
              <w:spacing w:line="360" w:lineRule="auto"/>
              <w:ind w:firstLine="480"/>
              <w:jc w:val="left"/>
              <w:textAlignment w:val="auto"/>
              <w:rPr>
                <w:color w:val="auto"/>
                <w:sz w:val="24"/>
              </w:rPr>
            </w:pPr>
            <w:r>
              <w:rPr>
                <w:rFonts w:hint="eastAsia"/>
                <w:color w:val="auto"/>
                <w:sz w:val="24"/>
              </w:rPr>
              <w:t>根据云南鼎祺检测有限公司2025年4月17日-18日对</w:t>
            </w:r>
            <w:r>
              <w:rPr>
                <w:rFonts w:hint="eastAsia"/>
                <w:color w:val="auto"/>
                <w:sz w:val="24"/>
                <w:lang w:val="en-US" w:eastAsia="zh-CN"/>
              </w:rPr>
              <w:t>项目原有设备（</w:t>
            </w:r>
            <w:r>
              <w:rPr>
                <w:color w:val="auto"/>
                <w:sz w:val="24"/>
              </w:rPr>
              <w:t>年产25万吨商品混凝土生产线</w:t>
            </w:r>
            <w:r>
              <w:rPr>
                <w:rFonts w:hint="eastAsia"/>
                <w:color w:val="auto"/>
                <w:sz w:val="24"/>
                <w:lang w:val="en-US" w:eastAsia="zh-CN"/>
              </w:rPr>
              <w:t>）</w:t>
            </w:r>
            <w:r>
              <w:rPr>
                <w:rFonts w:hint="eastAsia"/>
                <w:color w:val="auto"/>
                <w:sz w:val="24"/>
              </w:rPr>
              <w:t>水泥筒仓、粉煤灰筒仓、矿粉筒仓的排气筒监测结果（见附件13），项目有组织颗粒物排放浓度均</w:t>
            </w:r>
            <w:r>
              <w:rPr>
                <w:rFonts w:hint="eastAsia"/>
                <w:bCs/>
                <w:color w:val="auto"/>
                <w:sz w:val="24"/>
              </w:rPr>
              <w:t>满足达到</w:t>
            </w:r>
            <w:r>
              <w:rPr>
                <w:color w:val="auto"/>
                <w:sz w:val="24"/>
              </w:rPr>
              <w:t>《水泥工业大气污染物排放标准》（GB4915-2013）表1现有与新建企业大气污染物排放限值</w:t>
            </w:r>
            <w:r>
              <w:rPr>
                <w:color w:val="auto"/>
                <w:spacing w:val="-1"/>
                <w:sz w:val="24"/>
                <w:szCs w:val="24"/>
              </w:rPr>
              <w:t>。</w:t>
            </w:r>
          </w:p>
          <w:p w14:paraId="3FB5818D">
            <w:pPr>
              <w:widowControl/>
              <w:spacing w:line="360" w:lineRule="auto"/>
              <w:ind w:firstLine="480"/>
              <w:rPr>
                <w:rFonts w:hint="default" w:eastAsia="宋体"/>
                <w:color w:val="auto"/>
                <w:sz w:val="24"/>
                <w:lang w:val="en-US" w:eastAsia="zh-CN"/>
              </w:rPr>
            </w:pPr>
            <w:r>
              <w:rPr>
                <w:rFonts w:hint="eastAsia"/>
                <w:color w:val="auto"/>
                <w:sz w:val="24"/>
                <w:lang w:val="en-US" w:eastAsia="zh-CN"/>
              </w:rPr>
              <w:t>2、无组织废气达标性分析</w:t>
            </w:r>
          </w:p>
          <w:p w14:paraId="665F52B5">
            <w:pPr>
              <w:widowControl/>
              <w:spacing w:line="360" w:lineRule="auto"/>
              <w:ind w:firstLine="480"/>
              <w:jc w:val="center"/>
              <w:rPr>
                <w:color w:val="auto"/>
                <w:sz w:val="24"/>
              </w:rPr>
            </w:pPr>
            <w:r>
              <w:rPr>
                <w:b/>
                <w:color w:val="auto"/>
                <w:szCs w:val="21"/>
                <w:lang w:bidi="ar"/>
              </w:rPr>
              <w:t>表</w:t>
            </w:r>
            <w:r>
              <w:rPr>
                <w:rFonts w:hint="eastAsia"/>
                <w:b/>
                <w:color w:val="auto"/>
                <w:szCs w:val="21"/>
                <w:lang w:bidi="ar"/>
              </w:rPr>
              <w:t>4-</w:t>
            </w:r>
            <w:r>
              <w:rPr>
                <w:rFonts w:hint="eastAsia"/>
                <w:b/>
                <w:color w:val="auto"/>
                <w:szCs w:val="21"/>
                <w:lang w:val="en-US" w:eastAsia="zh-CN" w:bidi="ar"/>
              </w:rPr>
              <w:t>9</w:t>
            </w:r>
            <w:r>
              <w:rPr>
                <w:b/>
                <w:color w:val="auto"/>
                <w:szCs w:val="21"/>
                <w:lang w:bidi="ar"/>
              </w:rPr>
              <w:t xml:space="preserve"> </w:t>
            </w:r>
            <w:r>
              <w:rPr>
                <w:rFonts w:hint="eastAsia"/>
                <w:b/>
                <w:color w:val="auto"/>
                <w:szCs w:val="21"/>
                <w:lang w:bidi="ar"/>
              </w:rPr>
              <w:t xml:space="preserve">   </w:t>
            </w:r>
            <w:r>
              <w:rPr>
                <w:b/>
                <w:color w:val="auto"/>
                <w:szCs w:val="21"/>
                <w:lang w:bidi="ar"/>
              </w:rPr>
              <w:t>无组织</w:t>
            </w:r>
            <w:r>
              <w:rPr>
                <w:rFonts w:hint="eastAsia"/>
                <w:b/>
                <w:color w:val="auto"/>
                <w:szCs w:val="21"/>
                <w:lang w:val="en-US" w:eastAsia="zh-CN" w:bidi="ar"/>
              </w:rPr>
              <w:t>颗粒物排放</w:t>
            </w:r>
            <w:r>
              <w:rPr>
                <w:b/>
                <w:color w:val="auto"/>
                <w:szCs w:val="21"/>
                <w:lang w:bidi="ar"/>
              </w:rPr>
              <w:t>一览表</w:t>
            </w:r>
          </w:p>
          <w:tbl>
            <w:tblPr>
              <w:tblStyle w:val="1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3"/>
              <w:gridCol w:w="1772"/>
              <w:gridCol w:w="1754"/>
              <w:gridCol w:w="1228"/>
              <w:gridCol w:w="1207"/>
              <w:gridCol w:w="1206"/>
              <w:gridCol w:w="1207"/>
            </w:tblGrid>
            <w:tr w14:paraId="23E1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85" w:type="dxa"/>
                  <w:gridSpan w:val="2"/>
                  <w:vAlign w:val="center"/>
                </w:tcPr>
                <w:p w14:paraId="1E04A499">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b/>
                      <w:bCs/>
                      <w:color w:val="auto"/>
                      <w:spacing w:val="6"/>
                    </w:rPr>
                    <w:t>排污环节</w:t>
                  </w:r>
                </w:p>
              </w:tc>
              <w:tc>
                <w:tcPr>
                  <w:tcW w:w="1754" w:type="dxa"/>
                  <w:vAlign w:val="center"/>
                </w:tcPr>
                <w:p w14:paraId="4692CB83">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b/>
                      <w:bCs/>
                      <w:color w:val="auto"/>
                      <w:spacing w:val="7"/>
                    </w:rPr>
                    <w:t>砂石料装卸及堆放</w:t>
                  </w:r>
                </w:p>
              </w:tc>
              <w:tc>
                <w:tcPr>
                  <w:tcW w:w="1228" w:type="dxa"/>
                  <w:vAlign w:val="center"/>
                </w:tcPr>
                <w:p w14:paraId="72353672">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b/>
                      <w:bCs/>
                      <w:color w:val="auto"/>
                      <w:spacing w:val="6"/>
                    </w:rPr>
                    <w:t>砂石料上料</w:t>
                  </w:r>
                </w:p>
              </w:tc>
              <w:tc>
                <w:tcPr>
                  <w:tcW w:w="1207" w:type="dxa"/>
                  <w:vAlign w:val="center"/>
                </w:tcPr>
                <w:p w14:paraId="5A896BC3">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b/>
                      <w:bCs/>
                      <w:color w:val="auto"/>
                      <w:spacing w:val="6"/>
                    </w:rPr>
                    <w:t>车辆运输</w:t>
                  </w:r>
                </w:p>
              </w:tc>
              <w:tc>
                <w:tcPr>
                  <w:tcW w:w="1206" w:type="dxa"/>
                  <w:vAlign w:val="center"/>
                </w:tcPr>
                <w:p w14:paraId="6B7DB352">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b/>
                      <w:bCs/>
                      <w:color w:val="auto"/>
                      <w:spacing w:val="6"/>
                      <w:lang w:val="en-US" w:eastAsia="zh-CN"/>
                    </w:rPr>
                  </w:pPr>
                  <w:r>
                    <w:rPr>
                      <w:rFonts w:hint="eastAsia" w:eastAsia="宋体"/>
                      <w:b/>
                      <w:bCs/>
                      <w:color w:val="auto"/>
                      <w:spacing w:val="6"/>
                      <w:lang w:val="en-US" w:eastAsia="zh-CN"/>
                    </w:rPr>
                    <w:t>制砂车间</w:t>
                  </w:r>
                </w:p>
              </w:tc>
              <w:tc>
                <w:tcPr>
                  <w:tcW w:w="1207" w:type="dxa"/>
                  <w:vAlign w:val="center"/>
                </w:tcPr>
                <w:p w14:paraId="5B4731F7">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b/>
                      <w:bCs/>
                      <w:color w:val="auto"/>
                      <w:spacing w:val="6"/>
                      <w:lang w:val="en-US" w:eastAsia="zh-CN"/>
                    </w:rPr>
                  </w:pPr>
                  <w:r>
                    <w:rPr>
                      <w:rFonts w:hint="eastAsia" w:eastAsia="宋体"/>
                      <w:b/>
                      <w:bCs/>
                      <w:color w:val="auto"/>
                      <w:spacing w:val="6"/>
                      <w:lang w:val="en-US" w:eastAsia="zh-CN"/>
                    </w:rPr>
                    <w:t>搅拌投料</w:t>
                  </w:r>
                </w:p>
              </w:tc>
            </w:tr>
            <w:tr w14:paraId="7B01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85" w:type="dxa"/>
                  <w:gridSpan w:val="2"/>
                  <w:vAlign w:val="center"/>
                </w:tcPr>
                <w:p w14:paraId="773925A6">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污染物种类</w:t>
                  </w:r>
                </w:p>
              </w:tc>
              <w:tc>
                <w:tcPr>
                  <w:tcW w:w="1754" w:type="dxa"/>
                  <w:vAlign w:val="center"/>
                </w:tcPr>
                <w:p w14:paraId="396A6AB6">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颗粒物</w:t>
                  </w:r>
                </w:p>
              </w:tc>
              <w:tc>
                <w:tcPr>
                  <w:tcW w:w="1228" w:type="dxa"/>
                  <w:vAlign w:val="center"/>
                </w:tcPr>
                <w:p w14:paraId="6F162F6B">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颗粒物</w:t>
                  </w:r>
                </w:p>
              </w:tc>
              <w:tc>
                <w:tcPr>
                  <w:tcW w:w="1207" w:type="dxa"/>
                  <w:vAlign w:val="center"/>
                </w:tcPr>
                <w:p w14:paraId="095ECA66">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颗粒物</w:t>
                  </w:r>
                </w:p>
              </w:tc>
              <w:tc>
                <w:tcPr>
                  <w:tcW w:w="1206" w:type="dxa"/>
                  <w:vAlign w:val="center"/>
                </w:tcPr>
                <w:p w14:paraId="22FFE634">
                  <w:pPr>
                    <w:pStyle w:val="12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7"/>
                    </w:rPr>
                  </w:pPr>
                  <w:r>
                    <w:rPr>
                      <w:color w:val="auto"/>
                      <w:spacing w:val="7"/>
                    </w:rPr>
                    <w:t>颗粒物</w:t>
                  </w:r>
                </w:p>
              </w:tc>
              <w:tc>
                <w:tcPr>
                  <w:tcW w:w="1207" w:type="dxa"/>
                  <w:vAlign w:val="center"/>
                </w:tcPr>
                <w:p w14:paraId="00B6A07C">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7"/>
                    </w:rPr>
                  </w:pPr>
                  <w:r>
                    <w:rPr>
                      <w:color w:val="auto"/>
                      <w:spacing w:val="7"/>
                    </w:rPr>
                    <w:t>颗粒物</w:t>
                  </w:r>
                </w:p>
              </w:tc>
            </w:tr>
            <w:tr w14:paraId="7BC1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85" w:type="dxa"/>
                  <w:gridSpan w:val="2"/>
                  <w:vAlign w:val="center"/>
                </w:tcPr>
                <w:p w14:paraId="238D8784">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排放形式</w:t>
                  </w:r>
                </w:p>
              </w:tc>
              <w:tc>
                <w:tcPr>
                  <w:tcW w:w="1754" w:type="dxa"/>
                  <w:vAlign w:val="center"/>
                </w:tcPr>
                <w:p w14:paraId="62E7C9EC">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6"/>
                    </w:rPr>
                    <w:t>无组织</w:t>
                  </w:r>
                </w:p>
              </w:tc>
              <w:tc>
                <w:tcPr>
                  <w:tcW w:w="1228" w:type="dxa"/>
                  <w:vAlign w:val="center"/>
                </w:tcPr>
                <w:p w14:paraId="13B6CD3A">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6"/>
                    </w:rPr>
                    <w:t>无组织</w:t>
                  </w:r>
                </w:p>
              </w:tc>
              <w:tc>
                <w:tcPr>
                  <w:tcW w:w="1207" w:type="dxa"/>
                  <w:vAlign w:val="center"/>
                </w:tcPr>
                <w:p w14:paraId="2B03C76B">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6"/>
                    </w:rPr>
                    <w:t>无组织</w:t>
                  </w:r>
                </w:p>
              </w:tc>
              <w:tc>
                <w:tcPr>
                  <w:tcW w:w="1206" w:type="dxa"/>
                  <w:vAlign w:val="center"/>
                </w:tcPr>
                <w:p w14:paraId="6F802DFC">
                  <w:pPr>
                    <w:pStyle w:val="12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6"/>
                    </w:rPr>
                  </w:pPr>
                  <w:r>
                    <w:rPr>
                      <w:color w:val="auto"/>
                      <w:spacing w:val="6"/>
                    </w:rPr>
                    <w:t>无组织</w:t>
                  </w:r>
                </w:p>
              </w:tc>
              <w:tc>
                <w:tcPr>
                  <w:tcW w:w="1207" w:type="dxa"/>
                  <w:vAlign w:val="center"/>
                </w:tcPr>
                <w:p w14:paraId="34A40647">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6"/>
                    </w:rPr>
                  </w:pPr>
                  <w:r>
                    <w:rPr>
                      <w:color w:val="auto"/>
                      <w:spacing w:val="6"/>
                    </w:rPr>
                    <w:t>无组织</w:t>
                  </w:r>
                </w:p>
              </w:tc>
            </w:tr>
            <w:tr w14:paraId="370D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3" w:type="dxa"/>
                  <w:vMerge w:val="restart"/>
                  <w:textDirection w:val="tbRlV"/>
                  <w:vAlign w:val="center"/>
                </w:tcPr>
                <w:p w14:paraId="41F41650">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9"/>
                    </w:rPr>
                    <w:t>治</w:t>
                  </w:r>
                  <w:r>
                    <w:rPr>
                      <w:color w:val="auto"/>
                      <w:spacing w:val="-38"/>
                    </w:rPr>
                    <w:t xml:space="preserve"> </w:t>
                  </w:r>
                  <w:r>
                    <w:rPr>
                      <w:color w:val="auto"/>
                      <w:spacing w:val="9"/>
                    </w:rPr>
                    <w:t>理</w:t>
                  </w:r>
                  <w:r>
                    <w:rPr>
                      <w:color w:val="auto"/>
                      <w:spacing w:val="-38"/>
                    </w:rPr>
                    <w:t xml:space="preserve"> </w:t>
                  </w:r>
                  <w:r>
                    <w:rPr>
                      <w:color w:val="auto"/>
                      <w:spacing w:val="9"/>
                    </w:rPr>
                    <w:t>设</w:t>
                  </w:r>
                  <w:r>
                    <w:rPr>
                      <w:color w:val="auto"/>
                      <w:spacing w:val="-36"/>
                    </w:rPr>
                    <w:t xml:space="preserve"> </w:t>
                  </w:r>
                  <w:r>
                    <w:rPr>
                      <w:color w:val="auto"/>
                      <w:spacing w:val="9"/>
                    </w:rPr>
                    <w:t>施</w:t>
                  </w:r>
                </w:p>
              </w:tc>
              <w:tc>
                <w:tcPr>
                  <w:tcW w:w="1772" w:type="dxa"/>
                  <w:vAlign w:val="center"/>
                </w:tcPr>
                <w:p w14:paraId="2C92B7B5">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6"/>
                    </w:rPr>
                    <w:t>处理能力</w:t>
                  </w:r>
                </w:p>
              </w:tc>
              <w:tc>
                <w:tcPr>
                  <w:tcW w:w="1754" w:type="dxa"/>
                  <w:vAlign w:val="center"/>
                </w:tcPr>
                <w:p w14:paraId="6B4BE0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28" w:type="dxa"/>
                  <w:vAlign w:val="center"/>
                </w:tcPr>
                <w:p w14:paraId="768CDE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7" w:type="dxa"/>
                  <w:vAlign w:val="center"/>
                </w:tcPr>
                <w:p w14:paraId="4742C8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6" w:type="dxa"/>
                  <w:vAlign w:val="center"/>
                </w:tcPr>
                <w:p w14:paraId="43DB1D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2"/>
                      <w:position w:val="1"/>
                      <w:sz w:val="20"/>
                      <w:szCs w:val="20"/>
                      <w:lang w:val="en-US" w:eastAsia="zh-CN"/>
                    </w:rPr>
                  </w:pPr>
                  <w:r>
                    <w:rPr>
                      <w:rFonts w:hint="eastAsia" w:eastAsia="宋体" w:cs="Times New Roman"/>
                      <w:color w:val="auto"/>
                      <w:spacing w:val="2"/>
                      <w:position w:val="1"/>
                      <w:sz w:val="20"/>
                      <w:szCs w:val="20"/>
                      <w:lang w:val="en-US" w:eastAsia="zh-CN"/>
                    </w:rPr>
                    <w:t>/</w:t>
                  </w:r>
                </w:p>
              </w:tc>
              <w:tc>
                <w:tcPr>
                  <w:tcW w:w="1207" w:type="dxa"/>
                  <w:vAlign w:val="center"/>
                </w:tcPr>
                <w:p w14:paraId="407376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color w:val="auto"/>
                      <w:spacing w:val="2"/>
                      <w:position w:val="1"/>
                      <w:sz w:val="20"/>
                      <w:szCs w:val="20"/>
                    </w:rPr>
                  </w:pPr>
                  <w:r>
                    <w:rPr>
                      <w:rFonts w:ascii="Times New Roman" w:hAnsi="Times New Roman" w:eastAsia="Times New Roman" w:cs="Times New Roman"/>
                      <w:color w:val="auto"/>
                      <w:spacing w:val="2"/>
                      <w:position w:val="1"/>
                      <w:sz w:val="20"/>
                      <w:szCs w:val="20"/>
                    </w:rPr>
                    <w:t>/</w:t>
                  </w:r>
                </w:p>
              </w:tc>
            </w:tr>
            <w:tr w14:paraId="319C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3" w:type="dxa"/>
                  <w:vMerge w:val="continue"/>
                  <w:textDirection w:val="tbRlV"/>
                  <w:vAlign w:val="center"/>
                </w:tcPr>
                <w:p w14:paraId="1891DC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72" w:type="dxa"/>
                  <w:vAlign w:val="center"/>
                </w:tcPr>
                <w:p w14:paraId="7F93974D">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5"/>
                    </w:rPr>
                    <w:t>收集效率</w:t>
                  </w:r>
                </w:p>
              </w:tc>
              <w:tc>
                <w:tcPr>
                  <w:tcW w:w="1754" w:type="dxa"/>
                  <w:vAlign w:val="center"/>
                </w:tcPr>
                <w:p w14:paraId="27DF49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28" w:type="dxa"/>
                  <w:vAlign w:val="center"/>
                </w:tcPr>
                <w:p w14:paraId="6737B7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7" w:type="dxa"/>
                  <w:vAlign w:val="center"/>
                </w:tcPr>
                <w:p w14:paraId="17C8D6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6" w:type="dxa"/>
                  <w:vAlign w:val="center"/>
                </w:tcPr>
                <w:p w14:paraId="108D7A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color w:val="auto"/>
                      <w:spacing w:val="2"/>
                      <w:position w:val="1"/>
                      <w:sz w:val="20"/>
                      <w:szCs w:val="20"/>
                      <w:lang w:val="en-US" w:eastAsia="zh-CN"/>
                    </w:rPr>
                  </w:pPr>
                  <w:r>
                    <w:rPr>
                      <w:rFonts w:hint="eastAsia" w:cs="Times New Roman"/>
                      <w:color w:val="auto"/>
                      <w:spacing w:val="2"/>
                      <w:position w:val="1"/>
                      <w:sz w:val="20"/>
                      <w:szCs w:val="20"/>
                      <w:lang w:val="en-US" w:eastAsia="zh-CN"/>
                    </w:rPr>
                    <w:t>/</w:t>
                  </w:r>
                </w:p>
              </w:tc>
              <w:tc>
                <w:tcPr>
                  <w:tcW w:w="1207" w:type="dxa"/>
                  <w:vAlign w:val="center"/>
                </w:tcPr>
                <w:p w14:paraId="7845CD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position w:val="1"/>
                      <w:sz w:val="20"/>
                      <w:szCs w:val="20"/>
                      <w:lang w:val="en-US" w:eastAsia="zh-CN"/>
                    </w:rPr>
                  </w:pPr>
                  <w:r>
                    <w:rPr>
                      <w:rFonts w:hint="eastAsia" w:eastAsia="宋体" w:cs="Times New Roman"/>
                      <w:color w:val="auto"/>
                      <w:spacing w:val="2"/>
                      <w:position w:val="1"/>
                      <w:sz w:val="20"/>
                      <w:szCs w:val="20"/>
                      <w:lang w:val="en-US" w:eastAsia="zh-CN"/>
                    </w:rPr>
                    <w:t>90%</w:t>
                  </w:r>
                </w:p>
              </w:tc>
            </w:tr>
            <w:tr w14:paraId="6951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3" w:type="dxa"/>
                  <w:vMerge w:val="continue"/>
                  <w:textDirection w:val="tbRlV"/>
                  <w:vAlign w:val="center"/>
                </w:tcPr>
                <w:p w14:paraId="448A13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72" w:type="dxa"/>
                  <w:vAlign w:val="center"/>
                </w:tcPr>
                <w:p w14:paraId="5C32C56C">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6"/>
                    </w:rPr>
                    <w:t>治理工艺</w:t>
                  </w:r>
                </w:p>
              </w:tc>
              <w:tc>
                <w:tcPr>
                  <w:tcW w:w="2982" w:type="dxa"/>
                  <w:gridSpan w:val="2"/>
                  <w:vAlign w:val="center"/>
                </w:tcPr>
                <w:p w14:paraId="088C885A">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8"/>
                    </w:rPr>
                    <w:t>堆棚半封闭，料堆三面</w:t>
                  </w:r>
                  <w:r>
                    <w:rPr>
                      <w:color w:val="auto"/>
                      <w:spacing w:val="6"/>
                    </w:rPr>
                    <w:t>围挡</w:t>
                  </w:r>
                  <w:r>
                    <w:rPr>
                      <w:rFonts w:hint="eastAsia" w:eastAsia="宋体"/>
                      <w:color w:val="auto"/>
                      <w:spacing w:val="6"/>
                      <w:lang w:val="en-US" w:eastAsia="zh-CN"/>
                    </w:rPr>
                    <w:t>+顶棚</w:t>
                  </w:r>
                  <w:r>
                    <w:rPr>
                      <w:color w:val="auto"/>
                      <w:spacing w:val="6"/>
                    </w:rPr>
                    <w:t>，设置喷淋措施</w:t>
                  </w:r>
                </w:p>
              </w:tc>
              <w:tc>
                <w:tcPr>
                  <w:tcW w:w="1207" w:type="dxa"/>
                  <w:vAlign w:val="center"/>
                </w:tcPr>
                <w:p w14:paraId="2879B0BB">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5"/>
                    </w:rPr>
                    <w:t>雾炮机，洒水降</w:t>
                  </w:r>
                  <w:r>
                    <w:rPr>
                      <w:color w:val="auto"/>
                      <w:spacing w:val="1"/>
                    </w:rPr>
                    <w:t xml:space="preserve"> </w:t>
                  </w:r>
                  <w:r>
                    <w:rPr>
                      <w:color w:val="auto"/>
                      <w:spacing w:val="-5"/>
                    </w:rPr>
                    <w:t>尘，路面进行定</w:t>
                  </w:r>
                  <w:r>
                    <w:rPr>
                      <w:color w:val="auto"/>
                      <w:spacing w:val="1"/>
                    </w:rPr>
                    <w:t xml:space="preserve"> </w:t>
                  </w:r>
                  <w:r>
                    <w:rPr>
                      <w:color w:val="auto"/>
                      <w:spacing w:val="17"/>
                    </w:rPr>
                    <w:t>期清扫和维护</w:t>
                  </w:r>
                </w:p>
              </w:tc>
              <w:tc>
                <w:tcPr>
                  <w:tcW w:w="1206" w:type="dxa"/>
                  <w:vAlign w:val="center"/>
                </w:tcPr>
                <w:p w14:paraId="54857692">
                  <w:pPr>
                    <w:tabs>
                      <w:tab w:val="left" w:pos="0"/>
                    </w:tabs>
                    <w:adjustRightInd w:val="0"/>
                    <w:snapToGrid w:val="0"/>
                    <w:ind w:firstLine="0" w:firstLineChars="0"/>
                    <w:jc w:val="center"/>
                    <w:rPr>
                      <w:bCs/>
                      <w:color w:val="auto"/>
                      <w:kern w:val="21"/>
                      <w:szCs w:val="21"/>
                    </w:rPr>
                  </w:pPr>
                  <w:r>
                    <w:rPr>
                      <w:rFonts w:hint="eastAsia"/>
                      <w:bCs/>
                      <w:color w:val="auto"/>
                      <w:kern w:val="21"/>
                      <w:szCs w:val="21"/>
                      <w:lang w:val="en-US" w:eastAsia="zh-CN"/>
                    </w:rPr>
                    <w:t>车间三面围挡+顶棚</w:t>
                  </w:r>
                  <w:r>
                    <w:rPr>
                      <w:bCs/>
                      <w:color w:val="auto"/>
                      <w:kern w:val="21"/>
                      <w:szCs w:val="21"/>
                    </w:rPr>
                    <w:t>阻隔</w:t>
                  </w:r>
                </w:p>
                <w:p w14:paraId="35D31267">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olor w:val="auto"/>
                      <w:spacing w:val="-5"/>
                      <w:lang w:val="en-US" w:eastAsia="zh-CN"/>
                    </w:rPr>
                  </w:pPr>
                  <w:r>
                    <w:rPr>
                      <w:bCs/>
                      <w:color w:val="auto"/>
                      <w:kern w:val="21"/>
                      <w:szCs w:val="21"/>
                    </w:rPr>
                    <w:t>；</w:t>
                  </w:r>
                  <w:r>
                    <w:rPr>
                      <w:rFonts w:hint="eastAsia" w:eastAsia="宋体"/>
                      <w:bCs/>
                      <w:color w:val="auto"/>
                      <w:kern w:val="21"/>
                      <w:szCs w:val="21"/>
                      <w:lang w:val="en-US" w:eastAsia="zh-CN"/>
                    </w:rPr>
                    <w:t>同时设置</w:t>
                  </w:r>
                  <w:r>
                    <w:rPr>
                      <w:bCs/>
                      <w:color w:val="auto"/>
                      <w:kern w:val="21"/>
                      <w:szCs w:val="21"/>
                    </w:rPr>
                    <w:t>喷雾除尘</w:t>
                  </w:r>
                  <w:r>
                    <w:rPr>
                      <w:rFonts w:hint="eastAsia" w:eastAsia="宋体"/>
                      <w:bCs/>
                      <w:color w:val="auto"/>
                      <w:kern w:val="21"/>
                      <w:szCs w:val="21"/>
                      <w:lang w:eastAsia="zh-CN"/>
                    </w:rPr>
                    <w:t>；</w:t>
                  </w:r>
                </w:p>
              </w:tc>
              <w:tc>
                <w:tcPr>
                  <w:tcW w:w="1207" w:type="dxa"/>
                  <w:vAlign w:val="center"/>
                </w:tcPr>
                <w:p w14:paraId="7A1A54A9">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color w:val="auto"/>
                      <w:spacing w:val="-5"/>
                      <w:lang w:val="en-US" w:eastAsia="zh-CN"/>
                    </w:rPr>
                  </w:pPr>
                  <w:r>
                    <w:rPr>
                      <w:rFonts w:hint="eastAsia" w:eastAsia="宋体"/>
                      <w:color w:val="auto"/>
                      <w:spacing w:val="-5"/>
                      <w:lang w:val="en-US" w:eastAsia="zh-CN"/>
                    </w:rPr>
                    <w:t>密闭设置，集气罩+布袋除尘器</w:t>
                  </w:r>
                </w:p>
              </w:tc>
            </w:tr>
            <w:tr w14:paraId="0CFA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3" w:type="dxa"/>
                  <w:vMerge w:val="continue"/>
                  <w:textDirection w:val="tbRlV"/>
                  <w:vAlign w:val="center"/>
                </w:tcPr>
                <w:p w14:paraId="1D80F6E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72" w:type="dxa"/>
                  <w:vAlign w:val="center"/>
                </w:tcPr>
                <w:p w14:paraId="594696B3">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治理工艺去除率</w:t>
                  </w:r>
                </w:p>
              </w:tc>
              <w:tc>
                <w:tcPr>
                  <w:tcW w:w="1754" w:type="dxa"/>
                  <w:vAlign w:val="center"/>
                </w:tcPr>
                <w:p w14:paraId="4B0E2A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宋体" w:cs="Times New Roman"/>
                      <w:color w:val="auto"/>
                      <w:spacing w:val="3"/>
                      <w:position w:val="2"/>
                      <w:sz w:val="20"/>
                      <w:szCs w:val="20"/>
                      <w:lang w:val="en-US" w:eastAsia="zh-CN"/>
                    </w:rPr>
                    <w:t>89.6</w:t>
                  </w:r>
                  <w:r>
                    <w:rPr>
                      <w:rFonts w:hint="default" w:ascii="Times New Roman" w:hAnsi="Times New Roman" w:eastAsia="Times New Roman" w:cs="Times New Roman"/>
                      <w:color w:val="auto"/>
                      <w:spacing w:val="3"/>
                      <w:position w:val="2"/>
                      <w:sz w:val="20"/>
                      <w:szCs w:val="20"/>
                    </w:rPr>
                    <w:t>%</w:t>
                  </w:r>
                </w:p>
              </w:tc>
              <w:tc>
                <w:tcPr>
                  <w:tcW w:w="1228" w:type="dxa"/>
                  <w:vAlign w:val="center"/>
                </w:tcPr>
                <w:p w14:paraId="32C1F7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宋体" w:cs="Times New Roman"/>
                      <w:color w:val="auto"/>
                      <w:spacing w:val="3"/>
                      <w:position w:val="2"/>
                      <w:sz w:val="20"/>
                      <w:szCs w:val="20"/>
                      <w:lang w:val="en-US" w:eastAsia="zh-CN"/>
                    </w:rPr>
                    <w:t>89.6</w:t>
                  </w:r>
                  <w:r>
                    <w:rPr>
                      <w:rFonts w:hint="default" w:ascii="Times New Roman" w:hAnsi="Times New Roman" w:eastAsia="Times New Roman" w:cs="Times New Roman"/>
                      <w:color w:val="auto"/>
                      <w:spacing w:val="3"/>
                      <w:position w:val="2"/>
                      <w:sz w:val="20"/>
                      <w:szCs w:val="20"/>
                    </w:rPr>
                    <w:t>%</w:t>
                  </w:r>
                </w:p>
              </w:tc>
              <w:tc>
                <w:tcPr>
                  <w:tcW w:w="1207" w:type="dxa"/>
                  <w:vAlign w:val="center"/>
                </w:tcPr>
                <w:p w14:paraId="2AFED5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3"/>
                      <w:position w:val="2"/>
                      <w:sz w:val="20"/>
                      <w:szCs w:val="20"/>
                    </w:rPr>
                    <w:t>66%</w:t>
                  </w:r>
                </w:p>
              </w:tc>
              <w:tc>
                <w:tcPr>
                  <w:tcW w:w="1206" w:type="dxa"/>
                  <w:vAlign w:val="center"/>
                </w:tcPr>
                <w:p w14:paraId="6450E9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position w:val="2"/>
                      <w:sz w:val="20"/>
                      <w:szCs w:val="20"/>
                      <w:lang w:val="en-US" w:eastAsia="zh-CN"/>
                    </w:rPr>
                  </w:pPr>
                  <w:r>
                    <w:rPr>
                      <w:rFonts w:hint="default" w:ascii="Times New Roman" w:hAnsi="Times New Roman" w:eastAsia="宋体" w:cs="Times New Roman"/>
                      <w:color w:val="auto"/>
                      <w:spacing w:val="3"/>
                      <w:position w:val="2"/>
                      <w:sz w:val="20"/>
                      <w:szCs w:val="20"/>
                      <w:lang w:val="en-US" w:eastAsia="zh-CN"/>
                    </w:rPr>
                    <w:t>89.6</w:t>
                  </w:r>
                  <w:r>
                    <w:rPr>
                      <w:rFonts w:hint="default" w:ascii="Times New Roman" w:hAnsi="Times New Roman" w:eastAsia="Times New Roman" w:cs="Times New Roman"/>
                      <w:color w:val="auto"/>
                      <w:spacing w:val="3"/>
                      <w:position w:val="2"/>
                      <w:sz w:val="20"/>
                      <w:szCs w:val="20"/>
                    </w:rPr>
                    <w:t>%</w:t>
                  </w:r>
                </w:p>
              </w:tc>
              <w:tc>
                <w:tcPr>
                  <w:tcW w:w="1207" w:type="dxa"/>
                  <w:vAlign w:val="center"/>
                </w:tcPr>
                <w:p w14:paraId="33DE7C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position w:val="2"/>
                      <w:sz w:val="20"/>
                      <w:szCs w:val="20"/>
                      <w:lang w:val="en-US" w:eastAsia="zh-CN"/>
                    </w:rPr>
                  </w:pPr>
                  <w:r>
                    <w:rPr>
                      <w:rFonts w:hint="default" w:ascii="Times New Roman" w:hAnsi="Times New Roman" w:eastAsia="宋体" w:cs="Times New Roman"/>
                      <w:color w:val="auto"/>
                      <w:spacing w:val="3"/>
                      <w:position w:val="2"/>
                      <w:sz w:val="20"/>
                      <w:szCs w:val="20"/>
                      <w:lang w:val="en-US" w:eastAsia="zh-CN"/>
                    </w:rPr>
                    <w:t>99.7%</w:t>
                  </w:r>
                </w:p>
              </w:tc>
            </w:tr>
            <w:tr w14:paraId="4D98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3" w:type="dxa"/>
                  <w:vMerge w:val="continue"/>
                  <w:textDirection w:val="tbRlV"/>
                  <w:vAlign w:val="center"/>
                </w:tcPr>
                <w:p w14:paraId="3515ED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72" w:type="dxa"/>
                  <w:vAlign w:val="center"/>
                </w:tcPr>
                <w:p w14:paraId="6CA22AFC">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8"/>
                    </w:rPr>
                    <w:t>是否为可行技术</w:t>
                  </w:r>
                </w:p>
              </w:tc>
              <w:tc>
                <w:tcPr>
                  <w:tcW w:w="1754" w:type="dxa"/>
                  <w:vAlign w:val="center"/>
                </w:tcPr>
                <w:p w14:paraId="4940DC8C">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是</w:t>
                  </w:r>
                </w:p>
              </w:tc>
              <w:tc>
                <w:tcPr>
                  <w:tcW w:w="1228" w:type="dxa"/>
                  <w:vAlign w:val="center"/>
                </w:tcPr>
                <w:p w14:paraId="59B93E21">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是</w:t>
                  </w:r>
                </w:p>
              </w:tc>
              <w:tc>
                <w:tcPr>
                  <w:tcW w:w="1207" w:type="dxa"/>
                  <w:vAlign w:val="center"/>
                </w:tcPr>
                <w:p w14:paraId="54F384D2">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是</w:t>
                  </w:r>
                </w:p>
              </w:tc>
              <w:tc>
                <w:tcPr>
                  <w:tcW w:w="1206" w:type="dxa"/>
                  <w:vAlign w:val="center"/>
                </w:tcPr>
                <w:p w14:paraId="32EBB1C8">
                  <w:pPr>
                    <w:pStyle w:val="12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是</w:t>
                  </w:r>
                </w:p>
              </w:tc>
              <w:tc>
                <w:tcPr>
                  <w:tcW w:w="1207" w:type="dxa"/>
                  <w:vAlign w:val="center"/>
                </w:tcPr>
                <w:p w14:paraId="06A7B000">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是</w:t>
                  </w:r>
                </w:p>
              </w:tc>
            </w:tr>
            <w:tr w14:paraId="1304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85" w:type="dxa"/>
                  <w:gridSpan w:val="2"/>
                  <w:vAlign w:val="center"/>
                </w:tcPr>
                <w:p w14:paraId="235BFF52">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8"/>
                      <w:position w:val="2"/>
                    </w:rPr>
                    <w:t>污染物排放浓度（</w:t>
                  </w:r>
                  <w:r>
                    <w:rPr>
                      <w:rFonts w:ascii="Times New Roman" w:hAnsi="Times New Roman" w:eastAsia="Times New Roman" w:cs="Times New Roman"/>
                      <w:color w:val="auto"/>
                      <w:position w:val="2"/>
                    </w:rPr>
                    <w:t>mg</w:t>
                  </w:r>
                  <w:r>
                    <w:rPr>
                      <w:rFonts w:ascii="Times New Roman" w:hAnsi="Times New Roman" w:eastAsia="Times New Roman" w:cs="Times New Roman"/>
                      <w:color w:val="auto"/>
                      <w:spacing w:val="8"/>
                      <w:position w:val="2"/>
                    </w:rPr>
                    <w:t>/m</w:t>
                  </w:r>
                  <w:r>
                    <w:rPr>
                      <w:rFonts w:ascii="Times New Roman" w:hAnsi="Times New Roman" w:eastAsia="Times New Roman" w:cs="Times New Roman"/>
                      <w:color w:val="auto"/>
                      <w:spacing w:val="8"/>
                      <w:position w:val="8"/>
                      <w:sz w:val="13"/>
                      <w:szCs w:val="13"/>
                    </w:rPr>
                    <w:t>3</w:t>
                  </w:r>
                  <w:r>
                    <w:rPr>
                      <w:color w:val="auto"/>
                      <w:spacing w:val="8"/>
                      <w:position w:val="2"/>
                    </w:rPr>
                    <w:t>）</w:t>
                  </w:r>
                </w:p>
              </w:tc>
              <w:tc>
                <w:tcPr>
                  <w:tcW w:w="1754" w:type="dxa"/>
                  <w:vAlign w:val="center"/>
                </w:tcPr>
                <w:p w14:paraId="2E4079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2"/>
                      <w:position w:val="1"/>
                      <w:sz w:val="20"/>
                      <w:szCs w:val="20"/>
                    </w:rPr>
                    <w:t>/</w:t>
                  </w:r>
                </w:p>
              </w:tc>
              <w:tc>
                <w:tcPr>
                  <w:tcW w:w="1228" w:type="dxa"/>
                  <w:vAlign w:val="center"/>
                </w:tcPr>
                <w:p w14:paraId="2C21D7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2"/>
                      <w:position w:val="1"/>
                      <w:sz w:val="20"/>
                      <w:szCs w:val="20"/>
                    </w:rPr>
                    <w:t>/</w:t>
                  </w:r>
                </w:p>
              </w:tc>
              <w:tc>
                <w:tcPr>
                  <w:tcW w:w="1207" w:type="dxa"/>
                  <w:vAlign w:val="center"/>
                </w:tcPr>
                <w:p w14:paraId="4159D4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2"/>
                      <w:position w:val="1"/>
                      <w:sz w:val="20"/>
                      <w:szCs w:val="20"/>
                    </w:rPr>
                    <w:t>/</w:t>
                  </w:r>
                </w:p>
              </w:tc>
              <w:tc>
                <w:tcPr>
                  <w:tcW w:w="1206" w:type="dxa"/>
                  <w:vAlign w:val="center"/>
                </w:tcPr>
                <w:p w14:paraId="5427C1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position w:val="1"/>
                      <w:sz w:val="20"/>
                      <w:szCs w:val="20"/>
                      <w:lang w:val="en-US" w:eastAsia="zh-CN"/>
                    </w:rPr>
                  </w:pPr>
                  <w:r>
                    <w:rPr>
                      <w:rFonts w:hint="default" w:ascii="Times New Roman" w:hAnsi="Times New Roman" w:eastAsia="Times New Roman" w:cs="Times New Roman"/>
                      <w:color w:val="auto"/>
                      <w:spacing w:val="2"/>
                      <w:position w:val="1"/>
                      <w:sz w:val="20"/>
                      <w:szCs w:val="20"/>
                    </w:rPr>
                    <w:t>/</w:t>
                  </w:r>
                </w:p>
              </w:tc>
              <w:tc>
                <w:tcPr>
                  <w:tcW w:w="1207" w:type="dxa"/>
                  <w:vAlign w:val="center"/>
                </w:tcPr>
                <w:p w14:paraId="551BE7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2"/>
                      <w:position w:val="1"/>
                      <w:sz w:val="20"/>
                      <w:szCs w:val="20"/>
                      <w:lang w:val="en-US" w:eastAsia="zh-CN"/>
                    </w:rPr>
                  </w:pPr>
                  <w:r>
                    <w:rPr>
                      <w:rFonts w:hint="default" w:ascii="Times New Roman" w:hAnsi="Times New Roman" w:eastAsia="宋体" w:cs="Times New Roman"/>
                      <w:color w:val="auto"/>
                      <w:spacing w:val="2"/>
                      <w:position w:val="1"/>
                      <w:sz w:val="20"/>
                      <w:szCs w:val="20"/>
                      <w:lang w:val="en-US" w:eastAsia="zh-CN"/>
                    </w:rPr>
                    <w:t>/</w:t>
                  </w:r>
                </w:p>
              </w:tc>
            </w:tr>
            <w:tr w14:paraId="021A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85" w:type="dxa"/>
                  <w:gridSpan w:val="2"/>
                  <w:vAlign w:val="center"/>
                </w:tcPr>
                <w:p w14:paraId="149C614C">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position w:val="2"/>
                    </w:rPr>
                    <w:t>污染物排放速率（</w:t>
                  </w:r>
                  <w:r>
                    <w:rPr>
                      <w:rFonts w:ascii="Times New Roman" w:hAnsi="Times New Roman" w:eastAsia="Times New Roman" w:cs="Times New Roman"/>
                      <w:color w:val="auto"/>
                      <w:position w:val="2"/>
                    </w:rPr>
                    <w:t>kg</w:t>
                  </w:r>
                  <w:r>
                    <w:rPr>
                      <w:rFonts w:ascii="Times New Roman" w:hAnsi="Times New Roman" w:eastAsia="Times New Roman" w:cs="Times New Roman"/>
                      <w:color w:val="auto"/>
                      <w:spacing w:val="7"/>
                      <w:position w:val="2"/>
                    </w:rPr>
                    <w:t>/h</w:t>
                  </w:r>
                  <w:r>
                    <w:rPr>
                      <w:color w:val="auto"/>
                      <w:spacing w:val="7"/>
                      <w:position w:val="2"/>
                    </w:rPr>
                    <w:t>）</w:t>
                  </w:r>
                </w:p>
              </w:tc>
              <w:tc>
                <w:tcPr>
                  <w:tcW w:w="1754" w:type="dxa"/>
                  <w:vAlign w:val="center"/>
                </w:tcPr>
                <w:p w14:paraId="0A828C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3"/>
                      <w:sz w:val="20"/>
                      <w:szCs w:val="20"/>
                    </w:rPr>
                    <w:t>0.000</w:t>
                  </w:r>
                  <w:r>
                    <w:rPr>
                      <w:rFonts w:hint="default" w:ascii="Times New Roman" w:hAnsi="Times New Roman" w:eastAsia="宋体" w:cs="Times New Roman"/>
                      <w:color w:val="auto"/>
                      <w:spacing w:val="3"/>
                      <w:sz w:val="20"/>
                      <w:szCs w:val="20"/>
                      <w:lang w:val="en-US" w:eastAsia="zh-CN"/>
                    </w:rPr>
                    <w:t>00164</w:t>
                  </w:r>
                </w:p>
              </w:tc>
              <w:tc>
                <w:tcPr>
                  <w:tcW w:w="1228" w:type="dxa"/>
                  <w:vAlign w:val="center"/>
                </w:tcPr>
                <w:p w14:paraId="325745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Times New Roman" w:cs="Times New Roman"/>
                      <w:color w:val="auto"/>
                      <w:spacing w:val="3"/>
                      <w:sz w:val="20"/>
                      <w:szCs w:val="20"/>
                    </w:rPr>
                    <w:t>0.000</w:t>
                  </w:r>
                  <w:r>
                    <w:rPr>
                      <w:rFonts w:hint="default" w:ascii="Times New Roman" w:hAnsi="Times New Roman" w:eastAsia="宋体" w:cs="Times New Roman"/>
                      <w:color w:val="auto"/>
                      <w:spacing w:val="3"/>
                      <w:sz w:val="20"/>
                      <w:szCs w:val="20"/>
                      <w:lang w:val="en-US" w:eastAsia="zh-CN"/>
                    </w:rPr>
                    <w:t>00164</w:t>
                  </w:r>
                </w:p>
              </w:tc>
              <w:tc>
                <w:tcPr>
                  <w:tcW w:w="1207" w:type="dxa"/>
                  <w:vAlign w:val="center"/>
                </w:tcPr>
                <w:p w14:paraId="201677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宋体" w:cs="Times New Roman"/>
                      <w:color w:val="auto"/>
                      <w:spacing w:val="3"/>
                      <w:sz w:val="20"/>
                      <w:szCs w:val="20"/>
                      <w:lang w:val="en-US" w:eastAsia="zh-CN"/>
                    </w:rPr>
                    <w:t>0.2647</w:t>
                  </w:r>
                </w:p>
              </w:tc>
              <w:tc>
                <w:tcPr>
                  <w:tcW w:w="1206" w:type="dxa"/>
                  <w:vAlign w:val="center"/>
                </w:tcPr>
                <w:p w14:paraId="271A12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sz w:val="20"/>
                      <w:szCs w:val="20"/>
                      <w:lang w:val="en-US" w:eastAsia="zh-CN"/>
                    </w:rPr>
                  </w:pPr>
                  <w:r>
                    <w:rPr>
                      <w:rFonts w:hint="eastAsia" w:cs="Times New Roman"/>
                      <w:color w:val="auto"/>
                      <w:spacing w:val="3"/>
                      <w:sz w:val="20"/>
                      <w:szCs w:val="20"/>
                      <w:lang w:val="en-US" w:eastAsia="zh-CN"/>
                    </w:rPr>
                    <w:t>0.5755</w:t>
                  </w:r>
                </w:p>
              </w:tc>
              <w:tc>
                <w:tcPr>
                  <w:tcW w:w="1207" w:type="dxa"/>
                  <w:vAlign w:val="center"/>
                </w:tcPr>
                <w:p w14:paraId="3ADD02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宋体" w:cs="Times New Roman"/>
                      <w:color w:val="auto"/>
                      <w:spacing w:val="3"/>
                      <w:sz w:val="20"/>
                      <w:szCs w:val="20"/>
                      <w:lang w:val="en-US" w:eastAsia="zh-CN"/>
                    </w:rPr>
                    <w:t>0.2054</w:t>
                  </w:r>
                </w:p>
              </w:tc>
            </w:tr>
            <w:tr w14:paraId="69FF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85" w:type="dxa"/>
                  <w:gridSpan w:val="2"/>
                  <w:vAlign w:val="center"/>
                </w:tcPr>
                <w:p w14:paraId="7D2FE714">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6"/>
                      <w:position w:val="1"/>
                    </w:rPr>
                    <w:t>污染物排放量（</w:t>
                  </w:r>
                  <w:r>
                    <w:rPr>
                      <w:rFonts w:ascii="Times New Roman" w:hAnsi="Times New Roman" w:eastAsia="Times New Roman" w:cs="Times New Roman"/>
                      <w:color w:val="auto"/>
                      <w:spacing w:val="6"/>
                      <w:position w:val="1"/>
                    </w:rPr>
                    <w:t>t/a</w:t>
                  </w:r>
                  <w:r>
                    <w:rPr>
                      <w:color w:val="auto"/>
                      <w:spacing w:val="6"/>
                      <w:position w:val="1"/>
                    </w:rPr>
                    <w:t>）</w:t>
                  </w:r>
                </w:p>
              </w:tc>
              <w:tc>
                <w:tcPr>
                  <w:tcW w:w="1754" w:type="dxa"/>
                  <w:vAlign w:val="center"/>
                </w:tcPr>
                <w:p w14:paraId="15D72D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宋体" w:cs="Times New Roman"/>
                      <w:color w:val="auto"/>
                      <w:spacing w:val="3"/>
                      <w:sz w:val="20"/>
                      <w:szCs w:val="20"/>
                      <w:lang w:val="en-US" w:eastAsia="zh-CN"/>
                    </w:rPr>
                    <w:t>0.00000393</w:t>
                  </w:r>
                </w:p>
              </w:tc>
              <w:tc>
                <w:tcPr>
                  <w:tcW w:w="1228" w:type="dxa"/>
                  <w:vAlign w:val="center"/>
                </w:tcPr>
                <w:p w14:paraId="554532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pacing w:val="3"/>
                      <w:sz w:val="20"/>
                      <w:szCs w:val="20"/>
                      <w:lang w:val="en-US" w:eastAsia="zh-CN"/>
                    </w:rPr>
                    <w:t>0.00000393</w:t>
                  </w:r>
                </w:p>
              </w:tc>
              <w:tc>
                <w:tcPr>
                  <w:tcW w:w="1207" w:type="dxa"/>
                  <w:vAlign w:val="center"/>
                </w:tcPr>
                <w:p w14:paraId="5F1BD0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宋体" w:cs="Times New Roman"/>
                      <w:color w:val="auto"/>
                      <w:spacing w:val="2"/>
                      <w:sz w:val="20"/>
                      <w:szCs w:val="20"/>
                      <w:lang w:val="en-US" w:eastAsia="zh-CN"/>
                    </w:rPr>
                    <w:t>0.6353</w:t>
                  </w:r>
                </w:p>
              </w:tc>
              <w:tc>
                <w:tcPr>
                  <w:tcW w:w="1206" w:type="dxa"/>
                  <w:vAlign w:val="center"/>
                </w:tcPr>
                <w:p w14:paraId="6D6664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0"/>
                      <w:szCs w:val="20"/>
                      <w:lang w:val="en-US" w:eastAsia="zh-CN"/>
                    </w:rPr>
                  </w:pPr>
                  <w:r>
                    <w:rPr>
                      <w:rFonts w:hint="eastAsia" w:cs="Times New Roman"/>
                      <w:color w:val="auto"/>
                      <w:spacing w:val="2"/>
                      <w:sz w:val="20"/>
                      <w:szCs w:val="20"/>
                      <w:lang w:val="en-US" w:eastAsia="zh-CN"/>
                    </w:rPr>
                    <w:t>1.38112</w:t>
                  </w:r>
                </w:p>
              </w:tc>
              <w:tc>
                <w:tcPr>
                  <w:tcW w:w="1207" w:type="dxa"/>
                  <w:vAlign w:val="center"/>
                </w:tcPr>
                <w:p w14:paraId="3489EF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pacing w:val="3"/>
                      <w:sz w:val="20"/>
                      <w:szCs w:val="20"/>
                    </w:rPr>
                  </w:pPr>
                  <w:r>
                    <w:rPr>
                      <w:rFonts w:hint="default" w:ascii="Times New Roman" w:hAnsi="Times New Roman" w:eastAsia="宋体" w:cs="Times New Roman"/>
                      <w:color w:val="auto"/>
                      <w:spacing w:val="2"/>
                      <w:sz w:val="20"/>
                      <w:szCs w:val="20"/>
                      <w:lang w:val="en-US" w:eastAsia="zh-CN"/>
                    </w:rPr>
                    <w:t>0.493</w:t>
                  </w:r>
                </w:p>
              </w:tc>
            </w:tr>
            <w:tr w14:paraId="0C71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85" w:type="dxa"/>
                  <w:gridSpan w:val="2"/>
                  <w:vAlign w:val="center"/>
                </w:tcPr>
                <w:p w14:paraId="7E78B979">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color w:val="auto"/>
                      <w:spacing w:val="6"/>
                      <w:position w:val="1"/>
                      <w:lang w:val="en-US" w:eastAsia="zh-CN"/>
                    </w:rPr>
                  </w:pPr>
                  <w:r>
                    <w:rPr>
                      <w:rFonts w:hint="eastAsia" w:eastAsia="宋体"/>
                      <w:color w:val="auto"/>
                      <w:spacing w:val="6"/>
                      <w:position w:val="1"/>
                      <w:lang w:val="en-US" w:eastAsia="zh-CN"/>
                    </w:rPr>
                    <w:t>排放量汇总</w:t>
                  </w:r>
                </w:p>
              </w:tc>
              <w:tc>
                <w:tcPr>
                  <w:tcW w:w="6602" w:type="dxa"/>
                  <w:gridSpan w:val="5"/>
                  <w:vAlign w:val="center"/>
                </w:tcPr>
                <w:p w14:paraId="3DB3CB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2"/>
                      <w:sz w:val="20"/>
                      <w:szCs w:val="20"/>
                      <w:lang w:val="en-US" w:eastAsia="zh-CN"/>
                    </w:rPr>
                  </w:pPr>
                  <w:r>
                    <w:rPr>
                      <w:rFonts w:hint="eastAsia" w:cs="Times New Roman"/>
                      <w:color w:val="auto"/>
                      <w:spacing w:val="2"/>
                      <w:sz w:val="20"/>
                      <w:szCs w:val="20"/>
                      <w:lang w:val="en-US" w:eastAsia="zh-CN"/>
                    </w:rPr>
                    <w:t>2.5094</w:t>
                  </w:r>
                  <w:r>
                    <w:rPr>
                      <w:rFonts w:ascii="Times New Roman" w:hAnsi="Times New Roman" w:eastAsia="Times New Roman" w:cs="Times New Roman"/>
                      <w:color w:val="auto"/>
                      <w:spacing w:val="6"/>
                      <w:position w:val="1"/>
                    </w:rPr>
                    <w:t>t/a</w:t>
                  </w:r>
                  <w:r>
                    <w:rPr>
                      <w:rFonts w:hint="eastAsia" w:eastAsia="宋体" w:cs="Times New Roman"/>
                      <w:color w:val="auto"/>
                      <w:spacing w:val="6"/>
                      <w:position w:val="1"/>
                      <w:lang w:eastAsia="zh-CN"/>
                    </w:rPr>
                    <w:t>（</w:t>
                  </w:r>
                  <w:r>
                    <w:rPr>
                      <w:rFonts w:hint="eastAsia" w:eastAsia="宋体" w:cs="Times New Roman"/>
                      <w:color w:val="auto"/>
                      <w:spacing w:val="6"/>
                      <w:position w:val="1"/>
                      <w:lang w:val="en-US" w:eastAsia="zh-CN"/>
                    </w:rPr>
                    <w:t>1.0456</w:t>
                  </w:r>
                  <w:r>
                    <w:rPr>
                      <w:rFonts w:ascii="Times New Roman" w:hAnsi="Times New Roman" w:eastAsia="Times New Roman" w:cs="Times New Roman"/>
                      <w:color w:val="auto"/>
                      <w:position w:val="2"/>
                    </w:rPr>
                    <w:t>kg</w:t>
                  </w:r>
                  <w:r>
                    <w:rPr>
                      <w:rFonts w:ascii="Times New Roman" w:hAnsi="Times New Roman" w:eastAsia="Times New Roman" w:cs="Times New Roman"/>
                      <w:color w:val="auto"/>
                      <w:spacing w:val="7"/>
                      <w:position w:val="2"/>
                    </w:rPr>
                    <w:t>/h</w:t>
                  </w:r>
                  <w:r>
                    <w:rPr>
                      <w:rFonts w:hint="eastAsia" w:eastAsia="宋体" w:cs="Times New Roman"/>
                      <w:color w:val="auto"/>
                      <w:spacing w:val="6"/>
                      <w:position w:val="1"/>
                      <w:lang w:eastAsia="zh-CN"/>
                    </w:rPr>
                    <w:t>）</w:t>
                  </w:r>
                </w:p>
              </w:tc>
            </w:tr>
            <w:tr w14:paraId="2571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3" w:type="dxa"/>
                  <w:vMerge w:val="restart"/>
                  <w:vAlign w:val="center"/>
                </w:tcPr>
                <w:p w14:paraId="6FF7EF0B">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9"/>
                    </w:rPr>
                    <w:t>排</w:t>
                  </w:r>
                  <w:r>
                    <w:rPr>
                      <w:color w:val="auto"/>
                      <w:spacing w:val="-35"/>
                    </w:rPr>
                    <w:t xml:space="preserve"> </w:t>
                  </w:r>
                  <w:r>
                    <w:rPr>
                      <w:color w:val="auto"/>
                      <w:spacing w:val="9"/>
                    </w:rPr>
                    <w:t>放</w:t>
                  </w:r>
                  <w:r>
                    <w:rPr>
                      <w:color w:val="auto"/>
                      <w:spacing w:val="-38"/>
                    </w:rPr>
                    <w:t xml:space="preserve"> </w:t>
                  </w:r>
                  <w:r>
                    <w:rPr>
                      <w:color w:val="auto"/>
                      <w:spacing w:val="9"/>
                      <w:position w:val="1"/>
                    </w:rPr>
                    <w:t>口</w:t>
                  </w:r>
                  <w:r>
                    <w:rPr>
                      <w:color w:val="auto"/>
                      <w:spacing w:val="-36"/>
                      <w:position w:val="1"/>
                    </w:rPr>
                    <w:t xml:space="preserve"> </w:t>
                  </w:r>
                  <w:r>
                    <w:rPr>
                      <w:color w:val="auto"/>
                      <w:spacing w:val="9"/>
                    </w:rPr>
                    <w:t>基</w:t>
                  </w:r>
                  <w:r>
                    <w:rPr>
                      <w:color w:val="auto"/>
                      <w:spacing w:val="-39"/>
                    </w:rPr>
                    <w:t xml:space="preserve"> </w:t>
                  </w:r>
                  <w:r>
                    <w:rPr>
                      <w:color w:val="auto"/>
                      <w:spacing w:val="9"/>
                    </w:rPr>
                    <w:t>本情</w:t>
                  </w:r>
                  <w:r>
                    <w:rPr>
                      <w:color w:val="auto"/>
                      <w:spacing w:val="-39"/>
                    </w:rPr>
                    <w:t xml:space="preserve"> </w:t>
                  </w:r>
                  <w:r>
                    <w:rPr>
                      <w:color w:val="auto"/>
                      <w:spacing w:val="9"/>
                    </w:rPr>
                    <w:t>况</w:t>
                  </w:r>
                </w:p>
              </w:tc>
              <w:tc>
                <w:tcPr>
                  <w:tcW w:w="1772" w:type="dxa"/>
                  <w:vAlign w:val="center"/>
                </w:tcPr>
                <w:p w14:paraId="74E27EF3">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8"/>
                    </w:rPr>
                    <w:t>排气筒高度</w:t>
                  </w:r>
                </w:p>
              </w:tc>
              <w:tc>
                <w:tcPr>
                  <w:tcW w:w="1754" w:type="dxa"/>
                  <w:vAlign w:val="center"/>
                </w:tcPr>
                <w:p w14:paraId="1C655C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28" w:type="dxa"/>
                  <w:vAlign w:val="center"/>
                </w:tcPr>
                <w:p w14:paraId="10898A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7" w:type="dxa"/>
                  <w:vAlign w:val="center"/>
                </w:tcPr>
                <w:p w14:paraId="5DA2FBB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6" w:type="dxa"/>
                  <w:vAlign w:val="center"/>
                </w:tcPr>
                <w:p w14:paraId="5CF6A3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color w:val="auto"/>
                      <w:spacing w:val="2"/>
                      <w:position w:val="1"/>
                      <w:sz w:val="20"/>
                      <w:szCs w:val="20"/>
                    </w:rPr>
                  </w:pPr>
                  <w:r>
                    <w:rPr>
                      <w:rFonts w:ascii="Times New Roman" w:hAnsi="Times New Roman" w:eastAsia="Times New Roman" w:cs="Times New Roman"/>
                      <w:color w:val="auto"/>
                      <w:spacing w:val="2"/>
                      <w:position w:val="1"/>
                      <w:sz w:val="20"/>
                      <w:szCs w:val="20"/>
                    </w:rPr>
                    <w:t>/</w:t>
                  </w:r>
                </w:p>
              </w:tc>
              <w:tc>
                <w:tcPr>
                  <w:tcW w:w="1207" w:type="dxa"/>
                  <w:vAlign w:val="center"/>
                </w:tcPr>
                <w:p w14:paraId="6553E1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color w:val="auto"/>
                      <w:spacing w:val="2"/>
                      <w:position w:val="1"/>
                      <w:sz w:val="20"/>
                      <w:szCs w:val="20"/>
                    </w:rPr>
                  </w:pPr>
                  <w:r>
                    <w:rPr>
                      <w:rFonts w:ascii="Times New Roman" w:hAnsi="Times New Roman" w:eastAsia="Times New Roman" w:cs="Times New Roman"/>
                      <w:color w:val="auto"/>
                      <w:spacing w:val="2"/>
                      <w:position w:val="1"/>
                      <w:sz w:val="20"/>
                      <w:szCs w:val="20"/>
                    </w:rPr>
                    <w:t>/</w:t>
                  </w:r>
                </w:p>
              </w:tc>
            </w:tr>
            <w:tr w14:paraId="163C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3" w:type="dxa"/>
                  <w:vMerge w:val="continue"/>
                  <w:textDirection w:val="tbRlV"/>
                  <w:vAlign w:val="center"/>
                </w:tcPr>
                <w:p w14:paraId="102C69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72" w:type="dxa"/>
                  <w:vAlign w:val="center"/>
                </w:tcPr>
                <w:p w14:paraId="2B78943A">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8"/>
                    </w:rPr>
                    <w:t>排气筒内径</w:t>
                  </w:r>
                </w:p>
              </w:tc>
              <w:tc>
                <w:tcPr>
                  <w:tcW w:w="1754" w:type="dxa"/>
                  <w:vAlign w:val="center"/>
                </w:tcPr>
                <w:p w14:paraId="6F2301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28" w:type="dxa"/>
                  <w:vAlign w:val="center"/>
                </w:tcPr>
                <w:p w14:paraId="40C62FE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7" w:type="dxa"/>
                  <w:vAlign w:val="center"/>
                </w:tcPr>
                <w:p w14:paraId="41125F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6" w:type="dxa"/>
                  <w:vAlign w:val="center"/>
                </w:tcPr>
                <w:p w14:paraId="111E6F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color w:val="auto"/>
                      <w:spacing w:val="2"/>
                      <w:position w:val="1"/>
                      <w:sz w:val="20"/>
                      <w:szCs w:val="20"/>
                    </w:rPr>
                  </w:pPr>
                  <w:r>
                    <w:rPr>
                      <w:rFonts w:ascii="Times New Roman" w:hAnsi="Times New Roman" w:eastAsia="Times New Roman" w:cs="Times New Roman"/>
                      <w:color w:val="auto"/>
                      <w:spacing w:val="2"/>
                      <w:position w:val="1"/>
                      <w:sz w:val="20"/>
                      <w:szCs w:val="20"/>
                    </w:rPr>
                    <w:t>/</w:t>
                  </w:r>
                </w:p>
              </w:tc>
              <w:tc>
                <w:tcPr>
                  <w:tcW w:w="1207" w:type="dxa"/>
                  <w:vAlign w:val="center"/>
                </w:tcPr>
                <w:p w14:paraId="68CD8E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color w:val="auto"/>
                      <w:spacing w:val="2"/>
                      <w:position w:val="1"/>
                      <w:sz w:val="20"/>
                      <w:szCs w:val="20"/>
                    </w:rPr>
                  </w:pPr>
                  <w:r>
                    <w:rPr>
                      <w:rFonts w:ascii="Times New Roman" w:hAnsi="Times New Roman" w:eastAsia="Times New Roman" w:cs="Times New Roman"/>
                      <w:color w:val="auto"/>
                      <w:spacing w:val="2"/>
                      <w:position w:val="1"/>
                      <w:sz w:val="20"/>
                      <w:szCs w:val="20"/>
                    </w:rPr>
                    <w:t>/</w:t>
                  </w:r>
                </w:p>
              </w:tc>
            </w:tr>
            <w:tr w14:paraId="3390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3" w:type="dxa"/>
                  <w:vMerge w:val="continue"/>
                  <w:textDirection w:val="tbRlV"/>
                  <w:vAlign w:val="center"/>
                </w:tcPr>
                <w:p w14:paraId="1C4395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72" w:type="dxa"/>
                  <w:vAlign w:val="center"/>
                </w:tcPr>
                <w:p w14:paraId="7903C5BB">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3"/>
                    </w:rPr>
                    <w:t>温度</w:t>
                  </w:r>
                </w:p>
              </w:tc>
              <w:tc>
                <w:tcPr>
                  <w:tcW w:w="1754" w:type="dxa"/>
                  <w:vAlign w:val="center"/>
                </w:tcPr>
                <w:p w14:paraId="7F603E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28" w:type="dxa"/>
                  <w:vAlign w:val="center"/>
                </w:tcPr>
                <w:p w14:paraId="6BAE14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7" w:type="dxa"/>
                  <w:vAlign w:val="center"/>
                </w:tcPr>
                <w:p w14:paraId="4A6F5D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6" w:type="dxa"/>
                  <w:vAlign w:val="center"/>
                </w:tcPr>
                <w:p w14:paraId="61AA9C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color w:val="auto"/>
                      <w:spacing w:val="2"/>
                      <w:position w:val="1"/>
                      <w:sz w:val="20"/>
                      <w:szCs w:val="20"/>
                    </w:rPr>
                  </w:pPr>
                  <w:r>
                    <w:rPr>
                      <w:rFonts w:ascii="Times New Roman" w:hAnsi="Times New Roman" w:eastAsia="Times New Roman" w:cs="Times New Roman"/>
                      <w:color w:val="auto"/>
                      <w:spacing w:val="2"/>
                      <w:position w:val="1"/>
                      <w:sz w:val="20"/>
                      <w:szCs w:val="20"/>
                    </w:rPr>
                    <w:t>/</w:t>
                  </w:r>
                </w:p>
              </w:tc>
              <w:tc>
                <w:tcPr>
                  <w:tcW w:w="1207" w:type="dxa"/>
                  <w:vAlign w:val="center"/>
                </w:tcPr>
                <w:p w14:paraId="3FF764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color w:val="auto"/>
                      <w:spacing w:val="2"/>
                      <w:position w:val="1"/>
                      <w:sz w:val="20"/>
                      <w:szCs w:val="20"/>
                    </w:rPr>
                  </w:pPr>
                  <w:r>
                    <w:rPr>
                      <w:rFonts w:ascii="Times New Roman" w:hAnsi="Times New Roman" w:eastAsia="Times New Roman" w:cs="Times New Roman"/>
                      <w:color w:val="auto"/>
                      <w:spacing w:val="2"/>
                      <w:position w:val="1"/>
                      <w:sz w:val="20"/>
                      <w:szCs w:val="20"/>
                    </w:rPr>
                    <w:t>/</w:t>
                  </w:r>
                </w:p>
              </w:tc>
            </w:tr>
            <w:tr w14:paraId="24A8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3" w:type="dxa"/>
                  <w:vMerge w:val="continue"/>
                  <w:textDirection w:val="tbRlV"/>
                  <w:vAlign w:val="center"/>
                </w:tcPr>
                <w:p w14:paraId="3DDF5F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72" w:type="dxa"/>
                  <w:vAlign w:val="center"/>
                </w:tcPr>
                <w:p w14:paraId="132B9565">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3"/>
                    </w:rPr>
                    <w:t>编号</w:t>
                  </w:r>
                </w:p>
              </w:tc>
              <w:tc>
                <w:tcPr>
                  <w:tcW w:w="1754" w:type="dxa"/>
                  <w:vAlign w:val="center"/>
                </w:tcPr>
                <w:p w14:paraId="431E8F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28" w:type="dxa"/>
                  <w:vAlign w:val="center"/>
                </w:tcPr>
                <w:p w14:paraId="0EA9B8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7" w:type="dxa"/>
                  <w:vAlign w:val="center"/>
                </w:tcPr>
                <w:p w14:paraId="3AA385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position w:val="1"/>
                      <w:sz w:val="20"/>
                      <w:szCs w:val="20"/>
                    </w:rPr>
                    <w:t>/</w:t>
                  </w:r>
                </w:p>
              </w:tc>
              <w:tc>
                <w:tcPr>
                  <w:tcW w:w="1206" w:type="dxa"/>
                  <w:vAlign w:val="center"/>
                </w:tcPr>
                <w:p w14:paraId="47B40B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color w:val="auto"/>
                      <w:spacing w:val="2"/>
                      <w:position w:val="1"/>
                      <w:sz w:val="20"/>
                      <w:szCs w:val="20"/>
                      <w:lang w:val="en-US" w:eastAsia="zh-CN"/>
                    </w:rPr>
                  </w:pPr>
                  <w:r>
                    <w:rPr>
                      <w:rFonts w:hint="eastAsia" w:eastAsia="宋体" w:cs="Times New Roman"/>
                      <w:color w:val="auto"/>
                      <w:spacing w:val="2"/>
                      <w:position w:val="1"/>
                      <w:sz w:val="20"/>
                      <w:szCs w:val="20"/>
                      <w:lang w:val="en-US" w:eastAsia="zh-CN"/>
                    </w:rPr>
                    <w:t>/</w:t>
                  </w:r>
                </w:p>
              </w:tc>
              <w:tc>
                <w:tcPr>
                  <w:tcW w:w="1207" w:type="dxa"/>
                  <w:vAlign w:val="center"/>
                </w:tcPr>
                <w:p w14:paraId="3819A77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2"/>
                      <w:position w:val="1"/>
                      <w:sz w:val="20"/>
                      <w:szCs w:val="20"/>
                      <w:lang w:val="en-US" w:eastAsia="zh-CN"/>
                    </w:rPr>
                  </w:pPr>
                  <w:r>
                    <w:rPr>
                      <w:rFonts w:hint="eastAsia" w:eastAsia="宋体" w:cs="Times New Roman"/>
                      <w:color w:val="auto"/>
                      <w:spacing w:val="2"/>
                      <w:position w:val="1"/>
                      <w:sz w:val="20"/>
                      <w:szCs w:val="20"/>
                      <w:lang w:val="en-US" w:eastAsia="zh-CN"/>
                    </w:rPr>
                    <w:t>/</w:t>
                  </w:r>
                </w:p>
              </w:tc>
            </w:tr>
            <w:tr w14:paraId="7E64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3" w:type="dxa"/>
                  <w:vMerge w:val="continue"/>
                  <w:textDirection w:val="tbRlV"/>
                  <w:vAlign w:val="center"/>
                </w:tcPr>
                <w:p w14:paraId="36FF40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72" w:type="dxa"/>
                  <w:vAlign w:val="center"/>
                </w:tcPr>
                <w:p w14:paraId="1D2E4C10">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4"/>
                    </w:rPr>
                    <w:t>类型</w:t>
                  </w:r>
                </w:p>
              </w:tc>
              <w:tc>
                <w:tcPr>
                  <w:tcW w:w="6602" w:type="dxa"/>
                  <w:gridSpan w:val="5"/>
                  <w:vAlign w:val="center"/>
                </w:tcPr>
                <w:p w14:paraId="2CEE0CC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pacing w:val="2"/>
                      <w:position w:val="1"/>
                      <w:sz w:val="20"/>
                      <w:szCs w:val="20"/>
                    </w:rPr>
                  </w:pPr>
                  <w:r>
                    <w:rPr>
                      <w:rFonts w:ascii="Times New Roman" w:hAnsi="Times New Roman" w:eastAsia="Times New Roman" w:cs="Times New Roman"/>
                      <w:color w:val="auto"/>
                      <w:spacing w:val="2"/>
                      <w:position w:val="1"/>
                      <w:sz w:val="20"/>
                      <w:szCs w:val="20"/>
                    </w:rPr>
                    <w:t>/</w:t>
                  </w:r>
                </w:p>
              </w:tc>
            </w:tr>
            <w:tr w14:paraId="5939A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3" w:type="dxa"/>
                  <w:vMerge w:val="continue"/>
                  <w:textDirection w:val="tbRlV"/>
                  <w:vAlign w:val="center"/>
                </w:tcPr>
                <w:p w14:paraId="58AD0FD6">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p>
              </w:tc>
              <w:tc>
                <w:tcPr>
                  <w:tcW w:w="1772" w:type="dxa"/>
                  <w:tcBorders>
                    <w:top w:val="nil"/>
                  </w:tcBorders>
                  <w:vAlign w:val="center"/>
                </w:tcPr>
                <w:p w14:paraId="036DCB68">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地理坐标</w:t>
                  </w:r>
                </w:p>
              </w:tc>
              <w:tc>
                <w:tcPr>
                  <w:tcW w:w="6602" w:type="dxa"/>
                  <w:gridSpan w:val="5"/>
                  <w:tcBorders>
                    <w:top w:val="nil"/>
                  </w:tcBorders>
                  <w:vAlign w:val="center"/>
                </w:tcPr>
                <w:p w14:paraId="4ADCEE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pacing w:val="2"/>
                      <w:position w:val="1"/>
                      <w:sz w:val="20"/>
                      <w:szCs w:val="20"/>
                    </w:rPr>
                  </w:pPr>
                  <w:r>
                    <w:rPr>
                      <w:rFonts w:ascii="Times New Roman" w:hAnsi="Times New Roman" w:eastAsia="Times New Roman" w:cs="Times New Roman"/>
                      <w:color w:val="auto"/>
                      <w:spacing w:val="2"/>
                      <w:position w:val="1"/>
                      <w:sz w:val="20"/>
                      <w:szCs w:val="20"/>
                    </w:rPr>
                    <w:t>/</w:t>
                  </w:r>
                </w:p>
              </w:tc>
            </w:tr>
            <w:tr w14:paraId="6524C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85" w:type="dxa"/>
                  <w:gridSpan w:val="2"/>
                  <w:vAlign w:val="center"/>
                </w:tcPr>
                <w:p w14:paraId="1F8B7F19">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排放标准</w:t>
                  </w:r>
                </w:p>
              </w:tc>
              <w:tc>
                <w:tcPr>
                  <w:tcW w:w="6602" w:type="dxa"/>
                  <w:gridSpan w:val="5"/>
                  <w:vAlign w:val="center"/>
                </w:tcPr>
                <w:p w14:paraId="40874F17">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6"/>
                    </w:rPr>
                  </w:pPr>
                  <w:r>
                    <w:rPr>
                      <w:color w:val="auto"/>
                      <w:spacing w:val="6"/>
                    </w:rPr>
                    <w:t>《水泥工业大气污染物排放标准》（</w:t>
                  </w:r>
                  <w:r>
                    <w:rPr>
                      <w:rFonts w:ascii="Times New Roman" w:hAnsi="Times New Roman" w:eastAsia="Times New Roman" w:cs="Times New Roman"/>
                      <w:color w:val="auto"/>
                    </w:rPr>
                    <w:t>GB</w:t>
                  </w:r>
                  <w:r>
                    <w:rPr>
                      <w:rFonts w:ascii="Times New Roman" w:hAnsi="Times New Roman" w:eastAsia="Times New Roman" w:cs="Times New Roman"/>
                      <w:color w:val="auto"/>
                      <w:spacing w:val="6"/>
                    </w:rPr>
                    <w:t>4915-2013</w:t>
                  </w:r>
                  <w:r>
                    <w:rPr>
                      <w:color w:val="auto"/>
                      <w:spacing w:val="6"/>
                    </w:rPr>
                    <w:t>）中无组</w:t>
                  </w:r>
                  <w:r>
                    <w:rPr>
                      <w:color w:val="auto"/>
                      <w:spacing w:val="7"/>
                    </w:rPr>
                    <w:t>织标准排放限值要求，即</w:t>
                  </w:r>
                  <w:r>
                    <w:rPr>
                      <w:color w:val="auto"/>
                      <w:spacing w:val="-37"/>
                    </w:rPr>
                    <w:t xml:space="preserve"> </w:t>
                  </w:r>
                  <w:r>
                    <w:rPr>
                      <w:rFonts w:ascii="Times New Roman" w:hAnsi="Times New Roman" w:eastAsia="Times New Roman" w:cs="Times New Roman"/>
                      <w:color w:val="auto"/>
                      <w:spacing w:val="7"/>
                    </w:rPr>
                    <w:t>0.5</w:t>
                  </w:r>
                  <w:r>
                    <w:rPr>
                      <w:rFonts w:ascii="Times New Roman" w:hAnsi="Times New Roman" w:eastAsia="Times New Roman" w:cs="Times New Roman"/>
                      <w:color w:val="auto"/>
                    </w:rPr>
                    <w:t>mg</w:t>
                  </w:r>
                  <w:r>
                    <w:rPr>
                      <w:rFonts w:ascii="Times New Roman" w:hAnsi="Times New Roman" w:eastAsia="Times New Roman" w:cs="Times New Roman"/>
                      <w:color w:val="auto"/>
                      <w:spacing w:val="7"/>
                    </w:rPr>
                    <w:t>/m</w:t>
                  </w:r>
                  <w:r>
                    <w:rPr>
                      <w:rFonts w:ascii="Times New Roman" w:hAnsi="Times New Roman" w:eastAsia="Times New Roman" w:cs="Times New Roman"/>
                      <w:color w:val="auto"/>
                      <w:spacing w:val="7"/>
                      <w:position w:val="6"/>
                      <w:sz w:val="13"/>
                      <w:szCs w:val="13"/>
                    </w:rPr>
                    <w:t>3</w:t>
                  </w:r>
                  <w:r>
                    <w:rPr>
                      <w:color w:val="auto"/>
                      <w:spacing w:val="7"/>
                    </w:rPr>
                    <w:t>。</w:t>
                  </w:r>
                </w:p>
              </w:tc>
            </w:tr>
            <w:tr w14:paraId="0BD81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85" w:type="dxa"/>
                  <w:gridSpan w:val="2"/>
                  <w:vMerge w:val="restart"/>
                  <w:tcBorders>
                    <w:bottom w:val="nil"/>
                  </w:tcBorders>
                  <w:vAlign w:val="center"/>
                </w:tcPr>
                <w:p w14:paraId="0E4CAA4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p w14:paraId="4E8DBB1F">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监测要求</w:t>
                  </w:r>
                </w:p>
              </w:tc>
              <w:tc>
                <w:tcPr>
                  <w:tcW w:w="1754" w:type="dxa"/>
                  <w:vAlign w:val="center"/>
                </w:tcPr>
                <w:p w14:paraId="45A1641E">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监测点位</w:t>
                  </w:r>
                </w:p>
              </w:tc>
              <w:tc>
                <w:tcPr>
                  <w:tcW w:w="4848" w:type="dxa"/>
                  <w:gridSpan w:val="4"/>
                  <w:vAlign w:val="center"/>
                </w:tcPr>
                <w:p w14:paraId="06EEB8E5">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5"/>
                    </w:rPr>
                  </w:pPr>
                  <w:r>
                    <w:rPr>
                      <w:color w:val="auto"/>
                      <w:spacing w:val="5"/>
                    </w:rPr>
                    <w:t>厂界外</w:t>
                  </w:r>
                  <w:r>
                    <w:rPr>
                      <w:color w:val="auto"/>
                      <w:spacing w:val="-43"/>
                    </w:rPr>
                    <w:t xml:space="preserve"> </w:t>
                  </w:r>
                  <w:r>
                    <w:rPr>
                      <w:rFonts w:ascii="Times New Roman" w:hAnsi="Times New Roman" w:eastAsia="Times New Roman" w:cs="Times New Roman"/>
                      <w:color w:val="auto"/>
                      <w:spacing w:val="5"/>
                    </w:rPr>
                    <w:t>20m</w:t>
                  </w:r>
                  <w:r>
                    <w:rPr>
                      <w:color w:val="auto"/>
                      <w:spacing w:val="5"/>
                    </w:rPr>
                    <w:t>处上风向设</w:t>
                  </w:r>
                  <w:r>
                    <w:rPr>
                      <w:color w:val="auto"/>
                      <w:spacing w:val="-23"/>
                    </w:rPr>
                    <w:t xml:space="preserve"> </w:t>
                  </w:r>
                  <w:r>
                    <w:rPr>
                      <w:rFonts w:ascii="Times New Roman" w:hAnsi="Times New Roman" w:eastAsia="Times New Roman" w:cs="Times New Roman"/>
                      <w:color w:val="auto"/>
                      <w:spacing w:val="5"/>
                    </w:rPr>
                    <w:t>1</w:t>
                  </w:r>
                  <w:r>
                    <w:rPr>
                      <w:color w:val="auto"/>
                      <w:spacing w:val="5"/>
                    </w:rPr>
                    <w:t>个参照点，下风向设</w:t>
                  </w:r>
                  <w:r>
                    <w:rPr>
                      <w:rFonts w:ascii="Times New Roman" w:hAnsi="Times New Roman" w:eastAsia="Times New Roman" w:cs="Times New Roman"/>
                      <w:color w:val="auto"/>
                      <w:spacing w:val="5"/>
                    </w:rPr>
                    <w:t>1</w:t>
                  </w:r>
                  <w:r>
                    <w:rPr>
                      <w:color w:val="auto"/>
                      <w:spacing w:val="5"/>
                    </w:rPr>
                    <w:t>个监控点</w:t>
                  </w:r>
                </w:p>
              </w:tc>
            </w:tr>
            <w:tr w14:paraId="6D54A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85" w:type="dxa"/>
                  <w:gridSpan w:val="2"/>
                  <w:vMerge w:val="continue"/>
                  <w:tcBorders>
                    <w:top w:val="nil"/>
                    <w:bottom w:val="nil"/>
                  </w:tcBorders>
                  <w:vAlign w:val="center"/>
                </w:tcPr>
                <w:p w14:paraId="3C1B59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54" w:type="dxa"/>
                  <w:vAlign w:val="center"/>
                </w:tcPr>
                <w:p w14:paraId="001D26DB">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监测因子</w:t>
                  </w:r>
                </w:p>
              </w:tc>
              <w:tc>
                <w:tcPr>
                  <w:tcW w:w="4848" w:type="dxa"/>
                  <w:gridSpan w:val="4"/>
                  <w:vAlign w:val="center"/>
                </w:tcPr>
                <w:p w14:paraId="54C6B22A">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7"/>
                    </w:rPr>
                  </w:pPr>
                  <w:r>
                    <w:rPr>
                      <w:color w:val="auto"/>
                      <w:spacing w:val="7"/>
                    </w:rPr>
                    <w:t>颗粒物</w:t>
                  </w:r>
                </w:p>
              </w:tc>
            </w:tr>
            <w:tr w14:paraId="79A7B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85" w:type="dxa"/>
                  <w:gridSpan w:val="2"/>
                  <w:vMerge w:val="continue"/>
                  <w:tcBorders>
                    <w:top w:val="nil"/>
                  </w:tcBorders>
                  <w:vAlign w:val="center"/>
                </w:tcPr>
                <w:p w14:paraId="20B9B9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rPr>
                  </w:pPr>
                </w:p>
              </w:tc>
              <w:tc>
                <w:tcPr>
                  <w:tcW w:w="1754" w:type="dxa"/>
                  <w:vAlign w:val="center"/>
                </w:tcPr>
                <w:p w14:paraId="1E8A658E">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rPr>
                  </w:pPr>
                  <w:r>
                    <w:rPr>
                      <w:color w:val="auto"/>
                      <w:spacing w:val="7"/>
                    </w:rPr>
                    <w:t>监测频次</w:t>
                  </w:r>
                </w:p>
              </w:tc>
              <w:tc>
                <w:tcPr>
                  <w:tcW w:w="4848" w:type="dxa"/>
                  <w:gridSpan w:val="4"/>
                  <w:vAlign w:val="center"/>
                </w:tcPr>
                <w:p w14:paraId="7CB07CD4">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8"/>
                    </w:rPr>
                  </w:pPr>
                  <w:r>
                    <w:rPr>
                      <w:color w:val="auto"/>
                      <w:spacing w:val="8"/>
                    </w:rPr>
                    <w:t>每年监测一次</w:t>
                  </w:r>
                </w:p>
              </w:tc>
            </w:tr>
          </w:tbl>
          <w:p w14:paraId="17F6899D">
            <w:pPr>
              <w:pStyle w:val="122"/>
              <w:spacing w:before="177" w:line="347" w:lineRule="auto"/>
              <w:ind w:left="127" w:right="216" w:firstLine="462"/>
              <w:rPr>
                <w:color w:val="auto"/>
                <w:sz w:val="24"/>
                <w:szCs w:val="24"/>
              </w:rPr>
            </w:pPr>
            <w:r>
              <w:rPr>
                <w:color w:val="auto"/>
                <w:spacing w:val="-1"/>
                <w:sz w:val="24"/>
                <w:szCs w:val="24"/>
              </w:rPr>
              <w:t>依据《环境影响评价技术导则 大气环境》（</w:t>
            </w:r>
            <w:r>
              <w:rPr>
                <w:rFonts w:ascii="Times New Roman" w:hAnsi="Times New Roman" w:eastAsia="Times New Roman" w:cs="Times New Roman"/>
                <w:color w:val="auto"/>
                <w:spacing w:val="-1"/>
                <w:sz w:val="24"/>
                <w:szCs w:val="24"/>
              </w:rPr>
              <w:t>HJ2.2-2018</w:t>
            </w:r>
            <w:r>
              <w:rPr>
                <w:color w:val="auto"/>
                <w:spacing w:val="-1"/>
                <w:sz w:val="24"/>
                <w:szCs w:val="24"/>
              </w:rPr>
              <w:t>）中</w:t>
            </w:r>
            <w:r>
              <w:rPr>
                <w:color w:val="auto"/>
                <w:spacing w:val="-33"/>
                <w:sz w:val="24"/>
                <w:szCs w:val="24"/>
              </w:rPr>
              <w:t xml:space="preserve"> </w:t>
            </w:r>
            <w:r>
              <w:rPr>
                <w:rFonts w:ascii="Times New Roman" w:hAnsi="Times New Roman" w:eastAsia="Times New Roman" w:cs="Times New Roman"/>
                <w:color w:val="auto"/>
                <w:spacing w:val="-1"/>
                <w:sz w:val="24"/>
                <w:szCs w:val="24"/>
              </w:rPr>
              <w:t>5.3</w:t>
            </w:r>
            <w:r>
              <w:rPr>
                <w:color w:val="auto"/>
                <w:spacing w:val="-1"/>
                <w:sz w:val="24"/>
                <w:szCs w:val="24"/>
              </w:rPr>
              <w:t>节工作等级</w:t>
            </w:r>
            <w:r>
              <w:rPr>
                <w:color w:val="auto"/>
                <w:spacing w:val="-2"/>
                <w:sz w:val="24"/>
                <w:szCs w:val="24"/>
              </w:rPr>
              <w:t>的确定方法，结合</w:t>
            </w:r>
            <w:r>
              <w:rPr>
                <w:rFonts w:hint="eastAsia" w:eastAsia="宋体"/>
                <w:color w:val="auto"/>
                <w:spacing w:val="-2"/>
                <w:sz w:val="24"/>
                <w:szCs w:val="24"/>
                <w:lang w:val="en-US" w:eastAsia="zh-CN"/>
              </w:rPr>
              <w:t>本次扩建</w:t>
            </w:r>
            <w:r>
              <w:rPr>
                <w:color w:val="auto"/>
                <w:spacing w:val="-2"/>
                <w:sz w:val="24"/>
                <w:szCs w:val="24"/>
              </w:rPr>
              <w:t>项目工程分析结果，选择正常排放</w:t>
            </w:r>
            <w:r>
              <w:rPr>
                <w:color w:val="auto"/>
                <w:spacing w:val="-3"/>
                <w:sz w:val="24"/>
                <w:szCs w:val="24"/>
              </w:rPr>
              <w:t>的主要污染物及排放参数，</w:t>
            </w:r>
            <w:r>
              <w:rPr>
                <w:color w:val="auto"/>
                <w:spacing w:val="-1"/>
                <w:sz w:val="24"/>
                <w:szCs w:val="24"/>
              </w:rPr>
              <w:t>采用附录</w:t>
            </w:r>
            <w:r>
              <w:rPr>
                <w:color w:val="auto"/>
                <w:spacing w:val="-57"/>
                <w:sz w:val="24"/>
                <w:szCs w:val="24"/>
              </w:rPr>
              <w:t xml:space="preserve"> </w:t>
            </w:r>
            <w:r>
              <w:rPr>
                <w:rFonts w:ascii="Times New Roman" w:hAnsi="Times New Roman" w:eastAsia="Times New Roman" w:cs="Times New Roman"/>
                <w:color w:val="auto"/>
                <w:spacing w:val="-1"/>
                <w:sz w:val="24"/>
                <w:szCs w:val="24"/>
              </w:rPr>
              <w:t xml:space="preserve">A </w:t>
            </w:r>
            <w:r>
              <w:rPr>
                <w:color w:val="auto"/>
                <w:spacing w:val="-1"/>
                <w:sz w:val="24"/>
                <w:szCs w:val="24"/>
              </w:rPr>
              <w:t>推荐模型中的</w:t>
            </w:r>
            <w:r>
              <w:rPr>
                <w:color w:val="auto"/>
                <w:spacing w:val="-66"/>
                <w:sz w:val="24"/>
                <w:szCs w:val="24"/>
              </w:rPr>
              <w:t xml:space="preserve"> </w:t>
            </w:r>
            <w:r>
              <w:rPr>
                <w:rFonts w:ascii="Times New Roman" w:hAnsi="Times New Roman" w:eastAsia="Times New Roman" w:cs="Times New Roman"/>
                <w:color w:val="auto"/>
                <w:spacing w:val="-1"/>
                <w:sz w:val="24"/>
                <w:szCs w:val="24"/>
              </w:rPr>
              <w:t xml:space="preserve">AERSCREEN </w:t>
            </w:r>
            <w:r>
              <w:rPr>
                <w:color w:val="auto"/>
                <w:spacing w:val="-1"/>
                <w:sz w:val="24"/>
                <w:szCs w:val="24"/>
              </w:rPr>
              <w:t>模式计算项目污染源的最大环境影响并进</w:t>
            </w:r>
            <w:r>
              <w:rPr>
                <w:color w:val="auto"/>
                <w:spacing w:val="-3"/>
                <w:sz w:val="24"/>
                <w:szCs w:val="24"/>
              </w:rPr>
              <w:t>行达标分析。</w:t>
            </w:r>
          </w:p>
          <w:p w14:paraId="25EC05D2">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left"/>
              <w:textAlignment w:val="auto"/>
              <w:rPr>
                <w:color w:val="auto"/>
                <w:sz w:val="24"/>
                <w:szCs w:val="24"/>
              </w:rPr>
            </w:pPr>
            <w:r>
              <w:rPr>
                <w:color w:val="auto"/>
                <w:spacing w:val="-2"/>
                <w:sz w:val="24"/>
                <w:szCs w:val="24"/>
              </w:rPr>
              <w:t>①预测因子</w:t>
            </w:r>
          </w:p>
          <w:p w14:paraId="522611E0">
            <w:pPr>
              <w:pStyle w:val="122"/>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left"/>
              <w:textAlignment w:val="auto"/>
              <w:rPr>
                <w:rFonts w:hint="eastAsia" w:eastAsia="宋体"/>
                <w:color w:val="auto"/>
                <w:sz w:val="24"/>
                <w:szCs w:val="24"/>
                <w:lang w:eastAsia="zh-CN"/>
              </w:rPr>
            </w:pPr>
            <w:r>
              <w:rPr>
                <w:color w:val="auto"/>
                <w:spacing w:val="-2"/>
                <w:sz w:val="24"/>
                <w:szCs w:val="24"/>
              </w:rPr>
              <w:t>根据《环</w:t>
            </w:r>
            <w:r>
              <w:rPr>
                <w:rFonts w:hint="default" w:ascii="Times New Roman" w:hAnsi="Times New Roman" w:cs="Times New Roman"/>
                <w:color w:val="auto"/>
                <w:spacing w:val="-2"/>
                <w:sz w:val="24"/>
                <w:szCs w:val="24"/>
              </w:rPr>
              <w:t>境影响评价技术导则大气环境》（</w:t>
            </w:r>
            <w:r>
              <w:rPr>
                <w:rFonts w:hint="default" w:ascii="Times New Roman" w:hAnsi="Times New Roman" w:eastAsia="Times New Roman" w:cs="Times New Roman"/>
                <w:color w:val="auto"/>
                <w:spacing w:val="-2"/>
                <w:sz w:val="24"/>
                <w:szCs w:val="24"/>
              </w:rPr>
              <w:t>HJ2.2-2018</w:t>
            </w:r>
            <w:r>
              <w:rPr>
                <w:rFonts w:hint="default" w:ascii="Times New Roman" w:hAnsi="Times New Roman" w:cs="Times New Roman"/>
                <w:color w:val="auto"/>
                <w:spacing w:val="-2"/>
                <w:sz w:val="24"/>
                <w:szCs w:val="24"/>
              </w:rPr>
              <w:t>）及生态环境部环境评</w:t>
            </w:r>
            <w:r>
              <w:rPr>
                <w:rFonts w:hint="default" w:ascii="Times New Roman" w:hAnsi="Times New Roman" w:cs="Times New Roman"/>
                <w:color w:val="auto"/>
                <w:sz w:val="24"/>
                <w:szCs w:val="24"/>
              </w:rPr>
              <w:t>估中心发布的大气估算模型</w:t>
            </w:r>
            <w:r>
              <w:rPr>
                <w:rFonts w:hint="default" w:ascii="Times New Roman" w:hAnsi="Times New Roman" w:cs="Times New Roman"/>
                <w:color w:val="auto"/>
                <w:spacing w:val="-58"/>
                <w:sz w:val="24"/>
                <w:szCs w:val="24"/>
              </w:rPr>
              <w:t xml:space="preserve"> </w:t>
            </w:r>
            <w:r>
              <w:rPr>
                <w:rFonts w:hint="default" w:ascii="Times New Roman" w:hAnsi="Times New Roman" w:eastAsia="Times New Roman" w:cs="Times New Roman"/>
                <w:color w:val="auto"/>
                <w:sz w:val="24"/>
                <w:szCs w:val="24"/>
              </w:rPr>
              <w:t>AERSCREEN</w:t>
            </w:r>
            <w:r>
              <w:rPr>
                <w:rFonts w:hint="default" w:ascii="Times New Roman" w:hAnsi="Times New Roman" w:cs="Times New Roman"/>
                <w:color w:val="auto"/>
                <w:sz w:val="24"/>
                <w:szCs w:val="24"/>
              </w:rPr>
              <w:t>手册</w:t>
            </w:r>
            <w:r>
              <w:rPr>
                <w:rFonts w:hint="default" w:ascii="Times New Roman" w:hAnsi="Times New Roman" w:cs="Times New Roman"/>
                <w:color w:val="auto"/>
                <w:spacing w:val="-1"/>
                <w:sz w:val="24"/>
                <w:szCs w:val="24"/>
              </w:rPr>
              <w:t>，将</w:t>
            </w:r>
            <w:r>
              <w:rPr>
                <w:rFonts w:hint="default" w:ascii="Times New Roman" w:hAnsi="Times New Roman" w:eastAsia="宋体" w:cs="Times New Roman"/>
                <w:color w:val="auto"/>
                <w:spacing w:val="-1"/>
                <w:sz w:val="24"/>
                <w:szCs w:val="24"/>
                <w:lang w:val="en-US" w:eastAsia="zh-CN"/>
              </w:rPr>
              <w:t>圆</w:t>
            </w:r>
            <w:r>
              <w:rPr>
                <w:rFonts w:hint="default" w:ascii="Times New Roman" w:hAnsi="Times New Roman" w:cs="Times New Roman"/>
                <w:color w:val="auto"/>
                <w:spacing w:val="-1"/>
                <w:sz w:val="24"/>
                <w:szCs w:val="24"/>
              </w:rPr>
              <w:t>形面源等效成圆形面源进行估算</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lang w:val="en-US" w:eastAsia="zh-CN"/>
              </w:rPr>
              <w:t>同时根据</w:t>
            </w:r>
            <w:r>
              <w:rPr>
                <w:rFonts w:hint="default" w:ascii="Times New Roman" w:hAnsi="Times New Roman" w:cs="Times New Roman"/>
                <w:bCs/>
                <w:color w:val="auto"/>
                <w:sz w:val="24"/>
                <w:lang w:val="en-US" w:eastAsia="zh-CN"/>
              </w:rPr>
              <w:t>中博源检测（云南）</w:t>
            </w:r>
            <w:r>
              <w:rPr>
                <w:rFonts w:hint="default" w:ascii="Times New Roman" w:hAnsi="Times New Roman" w:cs="Times New Roman"/>
                <w:bCs/>
                <w:color w:val="auto"/>
                <w:sz w:val="24"/>
                <w:szCs w:val="24"/>
                <w:lang w:val="en-US" w:eastAsia="zh-CN"/>
              </w:rPr>
              <w:t>有限公司于2024年12月18日-21日对寻甸科宏建筑材料有限公司厂区四周进行的无组织废气监测结果</w:t>
            </w:r>
            <w:r>
              <w:rPr>
                <w:rFonts w:hint="eastAsia" w:ascii="Times New Roman" w:hAnsi="Times New Roman" w:cs="Times New Roman"/>
                <w:bCs/>
                <w:color w:val="auto"/>
                <w:sz w:val="24"/>
                <w:szCs w:val="24"/>
                <w:lang w:val="en-US" w:eastAsia="zh-CN"/>
              </w:rPr>
              <w:t>，将检测结果的最大值342</w:t>
            </w:r>
            <w:r>
              <w:rPr>
                <w:rFonts w:hint="default" w:ascii="Times New Roman" w:hAnsi="Times New Roman" w:eastAsia="Times New Roman" w:cs="Times New Roman"/>
                <w:color w:val="auto"/>
                <w:spacing w:val="0"/>
                <w:position w:val="0"/>
                <w:sz w:val="24"/>
                <w:szCs w:val="24"/>
              </w:rPr>
              <w:t>ug/m</w:t>
            </w:r>
            <w:r>
              <w:rPr>
                <w:rFonts w:hint="default" w:ascii="Times New Roman" w:hAnsi="Times New Roman" w:eastAsia="Times New Roman" w:cs="Times New Roman"/>
                <w:color w:val="auto"/>
                <w:spacing w:val="0"/>
                <w:position w:val="0"/>
                <w:sz w:val="24"/>
                <w:szCs w:val="24"/>
                <w:vertAlign w:val="superscript"/>
              </w:rPr>
              <w:t>3</w:t>
            </w:r>
            <w:r>
              <w:rPr>
                <w:rFonts w:hint="eastAsia" w:ascii="Times New Roman" w:hAnsi="Times New Roman" w:eastAsia="宋体" w:cs="Times New Roman"/>
                <w:color w:val="auto"/>
                <w:spacing w:val="0"/>
                <w:position w:val="0"/>
                <w:sz w:val="24"/>
                <w:szCs w:val="24"/>
                <w:vertAlign w:val="baseline"/>
                <w:lang w:val="en-US" w:eastAsia="zh-CN"/>
              </w:rPr>
              <w:t>叠加到项目区域背景值中，以此来预测本次扩建项目无组织颗粒物的达标情况</w:t>
            </w:r>
            <w:r>
              <w:rPr>
                <w:rFonts w:hint="default" w:ascii="Times New Roman" w:hAnsi="Times New Roman" w:eastAsia="宋体" w:cs="Times New Roman"/>
                <w:color w:val="auto"/>
                <w:spacing w:val="-1"/>
                <w:sz w:val="24"/>
                <w:szCs w:val="24"/>
                <w:lang w:eastAsia="zh-CN"/>
              </w:rPr>
              <w:t>；</w:t>
            </w:r>
          </w:p>
          <w:p w14:paraId="0ED5125F">
            <w:pPr>
              <w:pStyle w:val="122"/>
              <w:keepNext w:val="0"/>
              <w:keepLines w:val="0"/>
              <w:pageBreakBefore w:val="0"/>
              <w:widowControl w:val="0"/>
              <w:kinsoku/>
              <w:wordWrap/>
              <w:overflowPunct/>
              <w:topLinePunct w:val="0"/>
              <w:autoSpaceDE/>
              <w:autoSpaceDN/>
              <w:bidi w:val="0"/>
              <w:adjustRightInd/>
              <w:snapToGrid/>
              <w:spacing w:line="360" w:lineRule="auto"/>
              <w:ind w:left="0" w:leftChars="0" w:firstLine="476" w:firstLineChars="200"/>
              <w:textAlignment w:val="auto"/>
              <w:rPr>
                <w:color w:val="auto"/>
                <w:sz w:val="24"/>
                <w:szCs w:val="24"/>
              </w:rPr>
            </w:pPr>
            <w:r>
              <w:rPr>
                <w:color w:val="auto"/>
                <w:spacing w:val="-1"/>
                <w:sz w:val="24"/>
                <w:szCs w:val="24"/>
              </w:rPr>
              <w:t>评价因子评价标准和来源见下表</w:t>
            </w:r>
            <w:r>
              <w:rPr>
                <w:color w:val="auto"/>
                <w:spacing w:val="-52"/>
                <w:sz w:val="24"/>
                <w:szCs w:val="24"/>
              </w:rPr>
              <w:t xml:space="preserve"> </w:t>
            </w:r>
            <w:r>
              <w:rPr>
                <w:rFonts w:ascii="Times New Roman" w:hAnsi="Times New Roman" w:eastAsia="Times New Roman" w:cs="Times New Roman"/>
                <w:color w:val="auto"/>
                <w:spacing w:val="-1"/>
                <w:sz w:val="24"/>
                <w:szCs w:val="24"/>
              </w:rPr>
              <w:t>4-10</w:t>
            </w:r>
            <w:r>
              <w:rPr>
                <w:color w:val="auto"/>
                <w:spacing w:val="-1"/>
                <w:sz w:val="24"/>
                <w:szCs w:val="24"/>
              </w:rPr>
              <w:t>。</w:t>
            </w:r>
          </w:p>
          <w:p w14:paraId="6BC61AEE">
            <w:pPr>
              <w:pStyle w:val="122"/>
              <w:spacing w:before="177" w:line="224" w:lineRule="auto"/>
              <w:ind w:left="3081"/>
              <w:rPr>
                <w:color w:val="auto"/>
              </w:rPr>
            </w:pPr>
            <w:r>
              <w:rPr>
                <w:b/>
                <w:bCs/>
                <w:color w:val="auto"/>
                <w:spacing w:val="5"/>
              </w:rPr>
              <w:t>表</w:t>
            </w:r>
            <w:r>
              <w:rPr>
                <w:color w:val="auto"/>
                <w:spacing w:val="-35"/>
              </w:rPr>
              <w:t xml:space="preserve"> </w:t>
            </w:r>
            <w:r>
              <w:rPr>
                <w:rFonts w:ascii="Times New Roman" w:hAnsi="Times New Roman" w:eastAsia="Times New Roman" w:cs="Times New Roman"/>
                <w:b/>
                <w:bCs/>
                <w:color w:val="auto"/>
                <w:spacing w:val="5"/>
              </w:rPr>
              <w:t xml:space="preserve">4-10   </w:t>
            </w:r>
            <w:r>
              <w:rPr>
                <w:b/>
                <w:bCs/>
                <w:color w:val="auto"/>
                <w:spacing w:val="5"/>
              </w:rPr>
              <w:t>评价因子评价标准</w:t>
            </w:r>
          </w:p>
          <w:tbl>
            <w:tblPr>
              <w:tblStyle w:val="12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39"/>
              <w:gridCol w:w="1189"/>
              <w:gridCol w:w="1451"/>
              <w:gridCol w:w="1632"/>
              <w:gridCol w:w="3284"/>
            </w:tblGrid>
            <w:tr w14:paraId="60B1F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340" w:type="dxa"/>
                  <w:vAlign w:val="center"/>
                </w:tcPr>
                <w:p w14:paraId="26B2CB86">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position w:val="0"/>
                    </w:rPr>
                  </w:pPr>
                  <w:r>
                    <w:rPr>
                      <w:b/>
                      <w:bCs/>
                      <w:color w:val="auto"/>
                      <w:spacing w:val="0"/>
                      <w:position w:val="0"/>
                    </w:rPr>
                    <w:t>污染物名称</w:t>
                  </w:r>
                </w:p>
              </w:tc>
              <w:tc>
                <w:tcPr>
                  <w:tcW w:w="1189" w:type="dxa"/>
                  <w:vAlign w:val="center"/>
                </w:tcPr>
                <w:p w14:paraId="5F63110D">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position w:val="0"/>
                    </w:rPr>
                  </w:pPr>
                  <w:r>
                    <w:rPr>
                      <w:b/>
                      <w:bCs/>
                      <w:color w:val="auto"/>
                      <w:spacing w:val="0"/>
                      <w:position w:val="0"/>
                    </w:rPr>
                    <w:t>功能区</w:t>
                  </w:r>
                </w:p>
              </w:tc>
              <w:tc>
                <w:tcPr>
                  <w:tcW w:w="1451" w:type="dxa"/>
                  <w:vAlign w:val="center"/>
                </w:tcPr>
                <w:p w14:paraId="63D86D6C">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position w:val="0"/>
                    </w:rPr>
                  </w:pPr>
                  <w:r>
                    <w:rPr>
                      <w:b/>
                      <w:bCs/>
                      <w:color w:val="auto"/>
                      <w:spacing w:val="0"/>
                      <w:position w:val="0"/>
                    </w:rPr>
                    <w:t>取值时间</w:t>
                  </w:r>
                </w:p>
              </w:tc>
              <w:tc>
                <w:tcPr>
                  <w:tcW w:w="1632" w:type="dxa"/>
                  <w:vAlign w:val="center"/>
                </w:tcPr>
                <w:p w14:paraId="1A28BA93">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position w:val="0"/>
                    </w:rPr>
                  </w:pPr>
                  <w:r>
                    <w:rPr>
                      <w:b/>
                      <w:bCs/>
                      <w:color w:val="auto"/>
                      <w:spacing w:val="0"/>
                      <w:position w:val="0"/>
                    </w:rPr>
                    <w:t>标准值(</w:t>
                  </w:r>
                  <w:r>
                    <w:rPr>
                      <w:rFonts w:ascii="Times New Roman" w:hAnsi="Times New Roman" w:eastAsia="Times New Roman" w:cs="Times New Roman"/>
                      <w:b/>
                      <w:bCs/>
                      <w:color w:val="auto"/>
                      <w:spacing w:val="0"/>
                      <w:position w:val="0"/>
                    </w:rPr>
                    <w:t>μg/m</w:t>
                  </w:r>
                  <w:r>
                    <w:rPr>
                      <w:rFonts w:ascii="Times New Roman" w:hAnsi="Times New Roman" w:eastAsia="Times New Roman" w:cs="Times New Roman"/>
                      <w:b/>
                      <w:bCs/>
                      <w:color w:val="auto"/>
                      <w:spacing w:val="0"/>
                      <w:position w:val="0"/>
                      <w:sz w:val="13"/>
                      <w:szCs w:val="13"/>
                    </w:rPr>
                    <w:t>3</w:t>
                  </w:r>
                  <w:r>
                    <w:rPr>
                      <w:b/>
                      <w:bCs/>
                      <w:color w:val="auto"/>
                      <w:spacing w:val="0"/>
                      <w:position w:val="0"/>
                    </w:rPr>
                    <w:t>）</w:t>
                  </w:r>
                </w:p>
              </w:tc>
              <w:tc>
                <w:tcPr>
                  <w:tcW w:w="3285" w:type="dxa"/>
                  <w:vAlign w:val="center"/>
                </w:tcPr>
                <w:p w14:paraId="7BADE102">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position w:val="0"/>
                    </w:rPr>
                  </w:pPr>
                  <w:r>
                    <w:rPr>
                      <w:b/>
                      <w:bCs/>
                      <w:color w:val="auto"/>
                      <w:spacing w:val="0"/>
                      <w:position w:val="0"/>
                    </w:rPr>
                    <w:t>标准来源</w:t>
                  </w:r>
                </w:p>
              </w:tc>
            </w:tr>
            <w:tr w14:paraId="54805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340" w:type="dxa"/>
                  <w:vAlign w:val="center"/>
                </w:tcPr>
                <w:p w14:paraId="1CFE04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pacing w:val="0"/>
                      <w:position w:val="0"/>
                      <w:sz w:val="20"/>
                      <w:szCs w:val="20"/>
                    </w:rPr>
                  </w:pPr>
                  <w:r>
                    <w:rPr>
                      <w:rFonts w:ascii="Times New Roman" w:hAnsi="Times New Roman" w:eastAsia="Times New Roman" w:cs="Times New Roman"/>
                      <w:color w:val="auto"/>
                      <w:spacing w:val="0"/>
                      <w:position w:val="0"/>
                      <w:sz w:val="20"/>
                      <w:szCs w:val="20"/>
                    </w:rPr>
                    <w:t>TSP</w:t>
                  </w:r>
                </w:p>
              </w:tc>
              <w:tc>
                <w:tcPr>
                  <w:tcW w:w="1189" w:type="dxa"/>
                  <w:vAlign w:val="center"/>
                </w:tcPr>
                <w:p w14:paraId="2D8DA047">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position w:val="0"/>
                    </w:rPr>
                  </w:pPr>
                  <w:r>
                    <w:rPr>
                      <w:color w:val="auto"/>
                      <w:spacing w:val="0"/>
                      <w:position w:val="0"/>
                    </w:rPr>
                    <w:t>二类限区</w:t>
                  </w:r>
                </w:p>
              </w:tc>
              <w:tc>
                <w:tcPr>
                  <w:tcW w:w="1451" w:type="dxa"/>
                  <w:vAlign w:val="center"/>
                </w:tcPr>
                <w:p w14:paraId="6487880E">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pacing w:val="0"/>
                      <w:position w:val="0"/>
                    </w:rPr>
                  </w:pPr>
                  <w:r>
                    <w:rPr>
                      <w:rFonts w:ascii="Times New Roman" w:hAnsi="Times New Roman" w:eastAsia="Times New Roman" w:cs="Times New Roman"/>
                      <w:color w:val="auto"/>
                      <w:spacing w:val="0"/>
                      <w:position w:val="0"/>
                    </w:rPr>
                    <w:t xml:space="preserve">1h </w:t>
                  </w:r>
                  <w:r>
                    <w:rPr>
                      <w:color w:val="auto"/>
                      <w:spacing w:val="0"/>
                      <w:position w:val="0"/>
                    </w:rPr>
                    <w:t>平均</w:t>
                  </w:r>
                  <w:r>
                    <w:rPr>
                      <w:rFonts w:ascii="Times New Roman" w:hAnsi="Times New Roman" w:eastAsia="Times New Roman" w:cs="Times New Roman"/>
                      <w:color w:val="auto"/>
                      <w:spacing w:val="0"/>
                      <w:position w:val="0"/>
                    </w:rPr>
                    <w:t>*</w:t>
                  </w:r>
                </w:p>
              </w:tc>
              <w:tc>
                <w:tcPr>
                  <w:tcW w:w="1632" w:type="dxa"/>
                  <w:vAlign w:val="center"/>
                </w:tcPr>
                <w:p w14:paraId="1590FD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pacing w:val="0"/>
                      <w:position w:val="0"/>
                      <w:sz w:val="20"/>
                      <w:szCs w:val="20"/>
                    </w:rPr>
                  </w:pPr>
                  <w:r>
                    <w:rPr>
                      <w:rFonts w:ascii="Times New Roman" w:hAnsi="Times New Roman" w:eastAsia="Times New Roman" w:cs="Times New Roman"/>
                      <w:color w:val="auto"/>
                      <w:spacing w:val="0"/>
                      <w:position w:val="0"/>
                      <w:sz w:val="20"/>
                      <w:szCs w:val="20"/>
                    </w:rPr>
                    <w:t>900</w:t>
                  </w:r>
                </w:p>
              </w:tc>
              <w:tc>
                <w:tcPr>
                  <w:tcW w:w="3285" w:type="dxa"/>
                  <w:vAlign w:val="center"/>
                </w:tcPr>
                <w:p w14:paraId="1CFC0F73">
                  <w:pPr>
                    <w:pStyle w:val="12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0"/>
                      <w:position w:val="0"/>
                    </w:rPr>
                  </w:pPr>
                  <w:r>
                    <w:rPr>
                      <w:color w:val="auto"/>
                      <w:spacing w:val="0"/>
                      <w:position w:val="0"/>
                    </w:rPr>
                    <w:t>《环境空气质量标准》（</w:t>
                  </w:r>
                  <w:r>
                    <w:rPr>
                      <w:rFonts w:ascii="Times New Roman" w:hAnsi="Times New Roman" w:eastAsia="Times New Roman" w:cs="Times New Roman"/>
                      <w:color w:val="auto"/>
                      <w:spacing w:val="0"/>
                      <w:position w:val="0"/>
                    </w:rPr>
                    <w:t>GB30 95-2012</w:t>
                  </w:r>
                  <w:r>
                    <w:rPr>
                      <w:color w:val="auto"/>
                      <w:spacing w:val="0"/>
                      <w:position w:val="0"/>
                    </w:rPr>
                    <w:t>）二级标准浓度限值</w:t>
                  </w:r>
                </w:p>
              </w:tc>
            </w:tr>
          </w:tbl>
          <w:p w14:paraId="0FB665C8">
            <w:pPr>
              <w:pStyle w:val="122"/>
              <w:spacing w:before="5" w:line="357" w:lineRule="auto"/>
              <w:ind w:left="108" w:firstLine="485"/>
              <w:jc w:val="both"/>
              <w:rPr>
                <w:color w:val="auto"/>
                <w:sz w:val="24"/>
                <w:szCs w:val="24"/>
              </w:rPr>
            </w:pPr>
            <w:r>
              <w:rPr>
                <w:color w:val="auto"/>
                <w:spacing w:val="-6"/>
                <w:sz w:val="24"/>
                <w:szCs w:val="24"/>
              </w:rPr>
              <w:t>根据预测结果，项目无组织排放</w:t>
            </w:r>
            <w:r>
              <w:rPr>
                <w:color w:val="auto"/>
                <w:spacing w:val="0"/>
                <w:sz w:val="24"/>
                <w:szCs w:val="24"/>
              </w:rPr>
              <w:t>的</w:t>
            </w:r>
            <w:r>
              <w:rPr>
                <w:rFonts w:ascii="Times New Roman" w:hAnsi="Times New Roman" w:eastAsia="Times New Roman" w:cs="Times New Roman"/>
                <w:color w:val="auto"/>
                <w:spacing w:val="0"/>
                <w:sz w:val="24"/>
                <w:szCs w:val="24"/>
              </w:rPr>
              <w:t>TSP</w:t>
            </w:r>
            <w:r>
              <w:rPr>
                <w:rFonts w:hint="default" w:ascii="Times New Roman" w:hAnsi="Times New Roman" w:cs="Times New Roman"/>
                <w:color w:val="auto"/>
                <w:spacing w:val="0"/>
                <w:sz w:val="24"/>
                <w:szCs w:val="24"/>
              </w:rPr>
              <w:t>，最大落地浓</w:t>
            </w:r>
            <w:r>
              <w:rPr>
                <w:rFonts w:hint="default" w:ascii="Times New Roman" w:hAnsi="Times New Roman" w:cs="Times New Roman"/>
                <w:color w:val="auto"/>
                <w:spacing w:val="0"/>
                <w:position w:val="0"/>
                <w:sz w:val="24"/>
                <w:szCs w:val="24"/>
              </w:rPr>
              <w:t>度为</w:t>
            </w:r>
            <w:r>
              <w:rPr>
                <w:rFonts w:hint="eastAsia" w:ascii="Times New Roman" w:hAnsi="Times New Roman" w:eastAsia="宋体" w:cs="Times New Roman"/>
                <w:color w:val="auto"/>
                <w:spacing w:val="0"/>
                <w:position w:val="0"/>
                <w:sz w:val="24"/>
                <w:szCs w:val="24"/>
                <w:lang w:val="en-US" w:eastAsia="zh-CN"/>
              </w:rPr>
              <w:t>371</w:t>
            </w:r>
            <w:r>
              <w:rPr>
                <w:rFonts w:hint="default" w:ascii="Times New Roman" w:hAnsi="Times New Roman" w:eastAsia="Times New Roman" w:cs="Times New Roman"/>
                <w:color w:val="auto"/>
                <w:spacing w:val="0"/>
                <w:position w:val="0"/>
                <w:sz w:val="24"/>
                <w:szCs w:val="24"/>
              </w:rPr>
              <w:t>ug/m</w:t>
            </w:r>
            <w:r>
              <w:rPr>
                <w:rFonts w:hint="default" w:ascii="Times New Roman" w:hAnsi="Times New Roman" w:eastAsia="Times New Roman" w:cs="Times New Roman"/>
                <w:color w:val="auto"/>
                <w:spacing w:val="0"/>
                <w:position w:val="0"/>
                <w:sz w:val="21"/>
                <w:szCs w:val="21"/>
                <w:vertAlign w:val="superscript"/>
              </w:rPr>
              <w:t>3</w:t>
            </w:r>
            <w:r>
              <w:rPr>
                <w:rFonts w:hint="default" w:ascii="Times New Roman" w:hAnsi="Times New Roman" w:cs="Times New Roman"/>
                <w:color w:val="auto"/>
                <w:spacing w:val="0"/>
                <w:position w:val="0"/>
                <w:sz w:val="24"/>
                <w:szCs w:val="24"/>
              </w:rPr>
              <w:t>，</w:t>
            </w:r>
            <w:r>
              <w:rPr>
                <w:rFonts w:hint="default" w:ascii="Times New Roman" w:hAnsi="Times New Roman" w:cs="Times New Roman"/>
                <w:color w:val="auto"/>
                <w:spacing w:val="0"/>
                <w:sz w:val="24"/>
                <w:szCs w:val="24"/>
              </w:rPr>
              <w:t>最大落地浓度出现距离为下风向</w:t>
            </w:r>
            <w:r>
              <w:rPr>
                <w:rFonts w:hint="default" w:ascii="Times New Roman" w:hAnsi="Times New Roman" w:eastAsia="宋体" w:cs="Times New Roman"/>
                <w:color w:val="auto"/>
                <w:spacing w:val="0"/>
                <w:sz w:val="24"/>
                <w:szCs w:val="24"/>
                <w:lang w:val="en-US" w:eastAsia="zh-CN"/>
              </w:rPr>
              <w:t>109</w:t>
            </w:r>
            <w:r>
              <w:rPr>
                <w:rFonts w:hint="default" w:ascii="Times New Roman" w:hAnsi="Times New Roman" w:eastAsia="Times New Roman" w:cs="Times New Roman"/>
                <w:color w:val="auto"/>
                <w:spacing w:val="0"/>
                <w:sz w:val="24"/>
                <w:szCs w:val="24"/>
              </w:rPr>
              <w:t>m</w:t>
            </w:r>
            <w:r>
              <w:rPr>
                <w:color w:val="auto"/>
                <w:spacing w:val="0"/>
                <w:sz w:val="24"/>
                <w:szCs w:val="24"/>
              </w:rPr>
              <w:t>，</w:t>
            </w:r>
            <w:r>
              <w:rPr>
                <w:color w:val="auto"/>
                <w:spacing w:val="-5"/>
                <w:sz w:val="24"/>
                <w:szCs w:val="24"/>
              </w:rPr>
              <w:t>满足《</w:t>
            </w:r>
            <w:r>
              <w:rPr>
                <w:color w:val="auto"/>
                <w:spacing w:val="-6"/>
                <w:sz w:val="24"/>
                <w:szCs w:val="24"/>
              </w:rPr>
              <w:t>水泥工</w:t>
            </w:r>
            <w:r>
              <w:rPr>
                <w:color w:val="auto"/>
                <w:spacing w:val="-2"/>
                <w:sz w:val="24"/>
                <w:szCs w:val="24"/>
              </w:rPr>
              <w:t>业大气污染物排放标准》（</w:t>
            </w:r>
            <w:r>
              <w:rPr>
                <w:rFonts w:ascii="Times New Roman" w:hAnsi="Times New Roman" w:eastAsia="Times New Roman" w:cs="Times New Roman"/>
                <w:color w:val="auto"/>
                <w:spacing w:val="-2"/>
                <w:sz w:val="24"/>
                <w:szCs w:val="24"/>
              </w:rPr>
              <w:t>GB4915-2013</w:t>
            </w:r>
            <w:r>
              <w:rPr>
                <w:color w:val="auto"/>
                <w:spacing w:val="-2"/>
                <w:sz w:val="24"/>
                <w:szCs w:val="24"/>
              </w:rPr>
              <w:t>）中无组织标准排放限值</w:t>
            </w:r>
            <w:r>
              <w:rPr>
                <w:color w:val="auto"/>
                <w:spacing w:val="-3"/>
                <w:sz w:val="24"/>
                <w:szCs w:val="24"/>
              </w:rPr>
              <w:t>要求，即</w:t>
            </w:r>
            <w:r>
              <w:rPr>
                <w:color w:val="auto"/>
                <w:spacing w:val="-52"/>
                <w:sz w:val="24"/>
                <w:szCs w:val="24"/>
              </w:rPr>
              <w:t xml:space="preserve"> </w:t>
            </w:r>
            <w:r>
              <w:rPr>
                <w:rFonts w:ascii="Times New Roman" w:hAnsi="Times New Roman" w:eastAsia="Times New Roman" w:cs="Times New Roman"/>
                <w:color w:val="auto"/>
                <w:spacing w:val="-3"/>
                <w:sz w:val="24"/>
                <w:szCs w:val="24"/>
              </w:rPr>
              <w:t>0.5mg</w:t>
            </w:r>
            <w:r>
              <w:rPr>
                <w:rFonts w:ascii="Times New Roman" w:hAnsi="Times New Roman" w:eastAsia="Times New Roman" w:cs="Times New Roman"/>
                <w:color w:val="auto"/>
                <w:spacing w:val="-1"/>
                <w:sz w:val="24"/>
                <w:szCs w:val="24"/>
              </w:rPr>
              <w:t>/m</w:t>
            </w:r>
            <w:r>
              <w:rPr>
                <w:rFonts w:ascii="Times New Roman" w:hAnsi="Times New Roman" w:eastAsia="Times New Roman" w:cs="Times New Roman"/>
                <w:color w:val="auto"/>
                <w:spacing w:val="-1"/>
                <w:position w:val="7"/>
                <w:sz w:val="15"/>
                <w:szCs w:val="15"/>
              </w:rPr>
              <w:t>3</w:t>
            </w:r>
            <w:r>
              <w:rPr>
                <w:color w:val="auto"/>
                <w:spacing w:val="-1"/>
                <w:sz w:val="24"/>
                <w:szCs w:val="24"/>
              </w:rPr>
              <w:t>。</w:t>
            </w:r>
          </w:p>
          <w:p w14:paraId="6D5421B3">
            <w:pPr>
              <w:pStyle w:val="13"/>
              <w:spacing w:line="348" w:lineRule="auto"/>
              <w:ind w:firstLine="480"/>
              <w:rPr>
                <w:color w:val="auto"/>
                <w:sz w:val="24"/>
              </w:rPr>
            </w:pPr>
            <w:r>
              <w:rPr>
                <w:color w:val="auto"/>
                <w:sz w:val="24"/>
              </w:rPr>
              <w:t>本项目废气污染排放源情况见下表。</w:t>
            </w:r>
          </w:p>
          <w:p w14:paraId="5316624C">
            <w:pPr>
              <w:pStyle w:val="13"/>
              <w:spacing w:line="348" w:lineRule="auto"/>
              <w:ind w:firstLine="0" w:firstLineChars="0"/>
              <w:rPr>
                <w:color w:val="auto"/>
                <w:sz w:val="24"/>
              </w:rPr>
            </w:pPr>
          </w:p>
        </w:tc>
      </w:tr>
    </w:tbl>
    <w:p w14:paraId="54F2A6A1">
      <w:pPr>
        <w:pStyle w:val="33"/>
        <w:adjustRightInd w:val="0"/>
        <w:snapToGrid w:val="0"/>
        <w:spacing w:before="0" w:beforeAutospacing="0" w:after="0" w:afterAutospacing="0"/>
        <w:ind w:firstLine="0" w:firstLineChars="0"/>
        <w:jc w:val="both"/>
        <w:outlineLvl w:val="0"/>
        <w:rPr>
          <w:rFonts w:ascii="Times New Roman" w:hAnsi="Times New Roman"/>
          <w:b/>
          <w:bCs/>
          <w:snapToGrid w:val="0"/>
          <w:color w:val="auto"/>
          <w:sz w:val="30"/>
          <w:szCs w:val="30"/>
        </w:rPr>
        <w:sectPr>
          <w:pgSz w:w="11906" w:h="16838"/>
          <w:pgMar w:top="1440" w:right="1800" w:bottom="1440" w:left="1800" w:header="851" w:footer="992" w:gutter="0"/>
          <w:cols w:space="425" w:num="1"/>
          <w:docGrid w:type="lines" w:linePitch="312" w:charSpace="0"/>
        </w:sectPr>
      </w:pPr>
      <w:bookmarkStart w:id="22" w:name="_Toc4859"/>
    </w:p>
    <w:p w14:paraId="1E39ECC2">
      <w:pPr>
        <w:tabs>
          <w:tab w:val="left" w:pos="900"/>
        </w:tabs>
        <w:ind w:firstLine="422"/>
        <w:jc w:val="center"/>
        <w:rPr>
          <w:b/>
          <w:color w:val="auto"/>
          <w:szCs w:val="21"/>
          <w:lang w:bidi="ar"/>
        </w:rPr>
      </w:pPr>
      <w:r>
        <w:rPr>
          <w:b/>
          <w:color w:val="auto"/>
          <w:szCs w:val="21"/>
          <w:lang w:bidi="ar"/>
        </w:rPr>
        <w:t>表4-</w:t>
      </w:r>
      <w:r>
        <w:rPr>
          <w:rFonts w:hint="eastAsia"/>
          <w:b/>
          <w:color w:val="auto"/>
          <w:szCs w:val="21"/>
          <w:lang w:val="en-US" w:eastAsia="zh-CN" w:bidi="ar"/>
        </w:rPr>
        <w:t>11</w:t>
      </w:r>
      <w:r>
        <w:rPr>
          <w:b/>
          <w:color w:val="auto"/>
          <w:szCs w:val="21"/>
          <w:lang w:bidi="ar"/>
        </w:rPr>
        <w:t xml:space="preserve">  废气产排情况一览表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9"/>
        <w:gridCol w:w="1207"/>
        <w:gridCol w:w="487"/>
        <w:gridCol w:w="942"/>
        <w:gridCol w:w="1965"/>
        <w:gridCol w:w="1485"/>
        <w:gridCol w:w="1290"/>
        <w:gridCol w:w="1080"/>
        <w:gridCol w:w="945"/>
        <w:gridCol w:w="1125"/>
        <w:gridCol w:w="1125"/>
        <w:gridCol w:w="1144"/>
        <w:gridCol w:w="690"/>
      </w:tblGrid>
      <w:tr w14:paraId="2C8FDF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174" w:type="dxa"/>
            <w:gridSpan w:val="13"/>
            <w:vAlign w:val="center"/>
          </w:tcPr>
          <w:p w14:paraId="5F52FB30">
            <w:pPr>
              <w:tabs>
                <w:tab w:val="left" w:pos="0"/>
              </w:tabs>
              <w:adjustRightInd w:val="0"/>
              <w:snapToGrid w:val="0"/>
              <w:ind w:firstLine="0" w:firstLineChars="0"/>
              <w:jc w:val="center"/>
              <w:rPr>
                <w:bCs/>
                <w:color w:val="auto"/>
                <w:kern w:val="21"/>
                <w:szCs w:val="21"/>
              </w:rPr>
            </w:pPr>
            <w:r>
              <w:rPr>
                <w:rFonts w:hint="eastAsia"/>
                <w:bCs/>
                <w:color w:val="auto"/>
                <w:kern w:val="21"/>
                <w:szCs w:val="21"/>
              </w:rPr>
              <w:t>制砂</w:t>
            </w:r>
            <w:r>
              <w:rPr>
                <w:bCs/>
                <w:color w:val="auto"/>
                <w:kern w:val="21"/>
                <w:szCs w:val="21"/>
              </w:rPr>
              <w:t>生产线</w:t>
            </w:r>
          </w:p>
        </w:tc>
      </w:tr>
      <w:tr w14:paraId="3B3F9D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Merge w:val="restart"/>
            <w:vAlign w:val="center"/>
          </w:tcPr>
          <w:p w14:paraId="337878AE">
            <w:pPr>
              <w:tabs>
                <w:tab w:val="left" w:pos="0"/>
              </w:tabs>
              <w:adjustRightInd w:val="0"/>
              <w:snapToGrid w:val="0"/>
              <w:ind w:firstLine="0" w:firstLineChars="0"/>
              <w:jc w:val="center"/>
              <w:rPr>
                <w:bCs/>
                <w:color w:val="auto"/>
                <w:kern w:val="21"/>
                <w:szCs w:val="21"/>
              </w:rPr>
            </w:pPr>
            <w:r>
              <w:rPr>
                <w:bCs/>
                <w:color w:val="auto"/>
                <w:kern w:val="21"/>
                <w:szCs w:val="21"/>
              </w:rPr>
              <w:t>生产线</w:t>
            </w:r>
          </w:p>
        </w:tc>
        <w:tc>
          <w:tcPr>
            <w:tcW w:w="1207" w:type="dxa"/>
            <w:vMerge w:val="restart"/>
            <w:vAlign w:val="center"/>
          </w:tcPr>
          <w:p w14:paraId="024F6D1C">
            <w:pPr>
              <w:tabs>
                <w:tab w:val="left" w:pos="0"/>
              </w:tabs>
              <w:adjustRightInd w:val="0"/>
              <w:snapToGrid w:val="0"/>
              <w:ind w:firstLine="0" w:firstLineChars="0"/>
              <w:jc w:val="center"/>
              <w:rPr>
                <w:bCs/>
                <w:color w:val="auto"/>
                <w:kern w:val="21"/>
                <w:szCs w:val="21"/>
              </w:rPr>
            </w:pPr>
            <w:r>
              <w:rPr>
                <w:bCs/>
                <w:color w:val="auto"/>
                <w:kern w:val="21"/>
                <w:szCs w:val="21"/>
              </w:rPr>
              <w:t>产污</w:t>
            </w:r>
          </w:p>
          <w:p w14:paraId="2853FFAF">
            <w:pPr>
              <w:tabs>
                <w:tab w:val="left" w:pos="0"/>
              </w:tabs>
              <w:adjustRightInd w:val="0"/>
              <w:snapToGrid w:val="0"/>
              <w:ind w:firstLine="0" w:firstLineChars="0"/>
              <w:jc w:val="center"/>
              <w:rPr>
                <w:bCs/>
                <w:color w:val="auto"/>
                <w:kern w:val="21"/>
                <w:szCs w:val="21"/>
              </w:rPr>
            </w:pPr>
            <w:r>
              <w:rPr>
                <w:bCs/>
                <w:color w:val="auto"/>
                <w:kern w:val="21"/>
                <w:szCs w:val="21"/>
              </w:rPr>
              <w:t>环节</w:t>
            </w:r>
          </w:p>
        </w:tc>
        <w:tc>
          <w:tcPr>
            <w:tcW w:w="487" w:type="dxa"/>
            <w:vMerge w:val="restart"/>
            <w:vAlign w:val="center"/>
          </w:tcPr>
          <w:p w14:paraId="18267E2C">
            <w:pPr>
              <w:tabs>
                <w:tab w:val="left" w:pos="0"/>
              </w:tabs>
              <w:adjustRightInd w:val="0"/>
              <w:snapToGrid w:val="0"/>
              <w:ind w:firstLine="0" w:firstLineChars="0"/>
              <w:jc w:val="center"/>
              <w:rPr>
                <w:bCs/>
                <w:color w:val="auto"/>
                <w:kern w:val="21"/>
                <w:szCs w:val="21"/>
              </w:rPr>
            </w:pPr>
            <w:r>
              <w:rPr>
                <w:bCs/>
                <w:color w:val="auto"/>
                <w:kern w:val="21"/>
                <w:szCs w:val="21"/>
              </w:rPr>
              <w:t>污染物</w:t>
            </w:r>
          </w:p>
        </w:tc>
        <w:tc>
          <w:tcPr>
            <w:tcW w:w="942" w:type="dxa"/>
            <w:vMerge w:val="restart"/>
            <w:vAlign w:val="center"/>
          </w:tcPr>
          <w:p w14:paraId="6881B985">
            <w:pPr>
              <w:tabs>
                <w:tab w:val="left" w:pos="0"/>
              </w:tabs>
              <w:adjustRightInd w:val="0"/>
              <w:snapToGrid w:val="0"/>
              <w:ind w:firstLine="0" w:firstLineChars="0"/>
              <w:jc w:val="center"/>
              <w:rPr>
                <w:bCs/>
                <w:color w:val="auto"/>
                <w:kern w:val="21"/>
                <w:szCs w:val="21"/>
              </w:rPr>
            </w:pPr>
            <w:r>
              <w:rPr>
                <w:bCs/>
                <w:color w:val="auto"/>
                <w:kern w:val="21"/>
                <w:szCs w:val="21"/>
              </w:rPr>
              <w:t>产生量/（t/a）</w:t>
            </w:r>
          </w:p>
        </w:tc>
        <w:tc>
          <w:tcPr>
            <w:tcW w:w="1965" w:type="dxa"/>
            <w:vMerge w:val="restart"/>
            <w:vAlign w:val="center"/>
          </w:tcPr>
          <w:p w14:paraId="70687BAA">
            <w:pPr>
              <w:tabs>
                <w:tab w:val="left" w:pos="0"/>
              </w:tabs>
              <w:adjustRightInd w:val="0"/>
              <w:snapToGrid w:val="0"/>
              <w:ind w:firstLine="0" w:firstLineChars="0"/>
              <w:jc w:val="center"/>
              <w:rPr>
                <w:bCs/>
                <w:color w:val="auto"/>
                <w:kern w:val="21"/>
                <w:szCs w:val="21"/>
              </w:rPr>
            </w:pPr>
            <w:r>
              <w:rPr>
                <w:bCs/>
                <w:color w:val="auto"/>
                <w:kern w:val="21"/>
                <w:szCs w:val="21"/>
              </w:rPr>
              <w:t>排放</w:t>
            </w:r>
          </w:p>
          <w:p w14:paraId="073A790F">
            <w:pPr>
              <w:tabs>
                <w:tab w:val="left" w:pos="0"/>
              </w:tabs>
              <w:adjustRightInd w:val="0"/>
              <w:snapToGrid w:val="0"/>
              <w:ind w:firstLine="0" w:firstLineChars="0"/>
              <w:jc w:val="center"/>
              <w:rPr>
                <w:bCs/>
                <w:color w:val="auto"/>
                <w:kern w:val="21"/>
                <w:szCs w:val="21"/>
              </w:rPr>
            </w:pPr>
            <w:r>
              <w:rPr>
                <w:bCs/>
                <w:color w:val="auto"/>
                <w:kern w:val="21"/>
                <w:szCs w:val="21"/>
              </w:rPr>
              <w:t>形式</w:t>
            </w:r>
          </w:p>
        </w:tc>
        <w:tc>
          <w:tcPr>
            <w:tcW w:w="3855" w:type="dxa"/>
            <w:gridSpan w:val="3"/>
            <w:vAlign w:val="center"/>
          </w:tcPr>
          <w:p w14:paraId="3CD1A72C">
            <w:pPr>
              <w:tabs>
                <w:tab w:val="left" w:pos="0"/>
              </w:tabs>
              <w:adjustRightInd w:val="0"/>
              <w:snapToGrid w:val="0"/>
              <w:ind w:firstLine="0" w:firstLineChars="0"/>
              <w:jc w:val="center"/>
              <w:rPr>
                <w:bCs/>
                <w:color w:val="auto"/>
                <w:kern w:val="21"/>
                <w:szCs w:val="21"/>
              </w:rPr>
            </w:pPr>
            <w:r>
              <w:rPr>
                <w:bCs/>
                <w:color w:val="auto"/>
                <w:kern w:val="21"/>
                <w:szCs w:val="21"/>
              </w:rPr>
              <w:t>收集治理设施</w:t>
            </w:r>
          </w:p>
        </w:tc>
        <w:tc>
          <w:tcPr>
            <w:tcW w:w="3195" w:type="dxa"/>
            <w:gridSpan w:val="3"/>
            <w:vAlign w:val="center"/>
          </w:tcPr>
          <w:p w14:paraId="71AAF770">
            <w:pPr>
              <w:ind w:firstLine="420"/>
              <w:jc w:val="center"/>
              <w:rPr>
                <w:bCs/>
                <w:color w:val="auto"/>
                <w:kern w:val="21"/>
                <w:szCs w:val="21"/>
              </w:rPr>
            </w:pPr>
            <w:r>
              <w:rPr>
                <w:rFonts w:hint="eastAsia"/>
                <w:bCs/>
                <w:color w:val="auto"/>
                <w:kern w:val="21"/>
                <w:szCs w:val="21"/>
              </w:rPr>
              <w:t>污染物排放</w:t>
            </w:r>
          </w:p>
        </w:tc>
        <w:tc>
          <w:tcPr>
            <w:tcW w:w="1144" w:type="dxa"/>
            <w:vMerge w:val="restart"/>
            <w:vAlign w:val="center"/>
          </w:tcPr>
          <w:p w14:paraId="3DABBF68">
            <w:pPr>
              <w:ind w:firstLine="0" w:firstLineChars="0"/>
              <w:jc w:val="center"/>
              <w:rPr>
                <w:bCs/>
                <w:color w:val="auto"/>
                <w:kern w:val="21"/>
                <w:szCs w:val="21"/>
              </w:rPr>
            </w:pPr>
            <w:r>
              <w:rPr>
                <w:rFonts w:hint="eastAsia"/>
                <w:bCs/>
                <w:color w:val="auto"/>
                <w:kern w:val="21"/>
                <w:szCs w:val="21"/>
              </w:rPr>
              <w:t>浓度限值（mg/m</w:t>
            </w:r>
            <w:r>
              <w:rPr>
                <w:rFonts w:hint="eastAsia"/>
                <w:bCs/>
                <w:color w:val="auto"/>
                <w:kern w:val="21"/>
                <w:szCs w:val="21"/>
                <w:vertAlign w:val="superscript"/>
              </w:rPr>
              <w:t>3</w:t>
            </w:r>
            <w:r>
              <w:rPr>
                <w:rFonts w:hint="eastAsia"/>
                <w:bCs/>
                <w:color w:val="auto"/>
                <w:kern w:val="21"/>
                <w:szCs w:val="21"/>
              </w:rPr>
              <w:t>）</w:t>
            </w:r>
          </w:p>
        </w:tc>
        <w:tc>
          <w:tcPr>
            <w:tcW w:w="690" w:type="dxa"/>
            <w:vMerge w:val="restart"/>
            <w:vAlign w:val="center"/>
          </w:tcPr>
          <w:p w14:paraId="4750B488">
            <w:pPr>
              <w:ind w:firstLine="0" w:firstLineChars="0"/>
              <w:jc w:val="center"/>
              <w:rPr>
                <w:bCs/>
                <w:color w:val="auto"/>
                <w:kern w:val="21"/>
                <w:szCs w:val="21"/>
              </w:rPr>
            </w:pPr>
            <w:r>
              <w:rPr>
                <w:rFonts w:hint="eastAsia"/>
                <w:bCs/>
                <w:color w:val="auto"/>
                <w:kern w:val="21"/>
                <w:szCs w:val="21"/>
              </w:rPr>
              <w:t>达标情况</w:t>
            </w:r>
          </w:p>
        </w:tc>
      </w:tr>
      <w:tr w14:paraId="094294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4104C701">
            <w:pPr>
              <w:tabs>
                <w:tab w:val="left" w:pos="0"/>
              </w:tabs>
              <w:adjustRightInd w:val="0"/>
              <w:snapToGrid w:val="0"/>
              <w:ind w:firstLine="0" w:firstLineChars="0"/>
              <w:jc w:val="center"/>
              <w:rPr>
                <w:bCs/>
                <w:color w:val="auto"/>
                <w:kern w:val="21"/>
                <w:szCs w:val="21"/>
              </w:rPr>
            </w:pPr>
          </w:p>
        </w:tc>
        <w:tc>
          <w:tcPr>
            <w:tcW w:w="1207" w:type="dxa"/>
            <w:vMerge w:val="continue"/>
            <w:vAlign w:val="center"/>
          </w:tcPr>
          <w:p w14:paraId="1629BBB3">
            <w:pPr>
              <w:tabs>
                <w:tab w:val="left" w:pos="0"/>
              </w:tabs>
              <w:adjustRightInd w:val="0"/>
              <w:snapToGrid w:val="0"/>
              <w:ind w:firstLine="0" w:firstLineChars="0"/>
              <w:jc w:val="center"/>
              <w:rPr>
                <w:bCs/>
                <w:color w:val="auto"/>
                <w:kern w:val="21"/>
                <w:szCs w:val="21"/>
              </w:rPr>
            </w:pPr>
          </w:p>
        </w:tc>
        <w:tc>
          <w:tcPr>
            <w:tcW w:w="487" w:type="dxa"/>
            <w:vMerge w:val="continue"/>
            <w:vAlign w:val="center"/>
          </w:tcPr>
          <w:p w14:paraId="76534B0C">
            <w:pPr>
              <w:tabs>
                <w:tab w:val="left" w:pos="0"/>
              </w:tabs>
              <w:adjustRightInd w:val="0"/>
              <w:snapToGrid w:val="0"/>
              <w:ind w:firstLine="0" w:firstLineChars="0"/>
              <w:jc w:val="center"/>
              <w:rPr>
                <w:bCs/>
                <w:color w:val="auto"/>
                <w:kern w:val="21"/>
                <w:szCs w:val="21"/>
              </w:rPr>
            </w:pPr>
          </w:p>
        </w:tc>
        <w:tc>
          <w:tcPr>
            <w:tcW w:w="942" w:type="dxa"/>
            <w:vMerge w:val="continue"/>
            <w:vAlign w:val="center"/>
          </w:tcPr>
          <w:p w14:paraId="339960E2">
            <w:pPr>
              <w:tabs>
                <w:tab w:val="left" w:pos="0"/>
              </w:tabs>
              <w:adjustRightInd w:val="0"/>
              <w:snapToGrid w:val="0"/>
              <w:ind w:firstLine="0" w:firstLineChars="0"/>
              <w:jc w:val="center"/>
              <w:rPr>
                <w:bCs/>
                <w:color w:val="auto"/>
                <w:kern w:val="21"/>
                <w:szCs w:val="21"/>
              </w:rPr>
            </w:pPr>
          </w:p>
        </w:tc>
        <w:tc>
          <w:tcPr>
            <w:tcW w:w="1965" w:type="dxa"/>
            <w:vMerge w:val="continue"/>
            <w:vAlign w:val="center"/>
          </w:tcPr>
          <w:p w14:paraId="1B5B3C9D">
            <w:pPr>
              <w:tabs>
                <w:tab w:val="left" w:pos="0"/>
              </w:tabs>
              <w:adjustRightInd w:val="0"/>
              <w:snapToGrid w:val="0"/>
              <w:ind w:firstLine="0" w:firstLineChars="0"/>
              <w:jc w:val="center"/>
              <w:rPr>
                <w:bCs/>
                <w:color w:val="auto"/>
                <w:kern w:val="21"/>
                <w:szCs w:val="21"/>
              </w:rPr>
            </w:pPr>
          </w:p>
        </w:tc>
        <w:tc>
          <w:tcPr>
            <w:tcW w:w="1485" w:type="dxa"/>
            <w:vAlign w:val="center"/>
          </w:tcPr>
          <w:p w14:paraId="0DD0222C">
            <w:pPr>
              <w:tabs>
                <w:tab w:val="left" w:pos="0"/>
              </w:tabs>
              <w:adjustRightInd w:val="0"/>
              <w:snapToGrid w:val="0"/>
              <w:ind w:firstLine="0" w:firstLineChars="0"/>
              <w:jc w:val="center"/>
              <w:rPr>
                <w:bCs/>
                <w:color w:val="auto"/>
                <w:kern w:val="21"/>
                <w:szCs w:val="21"/>
              </w:rPr>
            </w:pPr>
            <w:r>
              <w:rPr>
                <w:bCs/>
                <w:color w:val="auto"/>
                <w:kern w:val="21"/>
                <w:szCs w:val="21"/>
              </w:rPr>
              <w:t>设施名称</w:t>
            </w:r>
          </w:p>
        </w:tc>
        <w:tc>
          <w:tcPr>
            <w:tcW w:w="1290" w:type="dxa"/>
            <w:vAlign w:val="center"/>
          </w:tcPr>
          <w:p w14:paraId="76508A76">
            <w:pPr>
              <w:tabs>
                <w:tab w:val="left" w:pos="0"/>
              </w:tabs>
              <w:adjustRightInd w:val="0"/>
              <w:snapToGrid w:val="0"/>
              <w:ind w:firstLine="0" w:firstLineChars="0"/>
              <w:jc w:val="center"/>
              <w:rPr>
                <w:bCs/>
                <w:color w:val="auto"/>
                <w:kern w:val="21"/>
                <w:szCs w:val="21"/>
              </w:rPr>
            </w:pPr>
            <w:r>
              <w:rPr>
                <w:bCs/>
                <w:color w:val="auto"/>
                <w:kern w:val="21"/>
                <w:szCs w:val="21"/>
              </w:rPr>
              <w:t>处理</w:t>
            </w:r>
          </w:p>
          <w:p w14:paraId="4E25AF97">
            <w:pPr>
              <w:tabs>
                <w:tab w:val="left" w:pos="0"/>
              </w:tabs>
              <w:adjustRightInd w:val="0"/>
              <w:snapToGrid w:val="0"/>
              <w:ind w:firstLine="0" w:firstLineChars="0"/>
              <w:jc w:val="center"/>
              <w:rPr>
                <w:bCs/>
                <w:color w:val="auto"/>
                <w:kern w:val="21"/>
                <w:szCs w:val="21"/>
              </w:rPr>
            </w:pPr>
            <w:r>
              <w:rPr>
                <w:bCs/>
                <w:color w:val="auto"/>
                <w:kern w:val="21"/>
                <w:szCs w:val="21"/>
              </w:rPr>
              <w:t>效率</w:t>
            </w:r>
          </w:p>
        </w:tc>
        <w:tc>
          <w:tcPr>
            <w:tcW w:w="1080" w:type="dxa"/>
            <w:vAlign w:val="center"/>
          </w:tcPr>
          <w:p w14:paraId="04733DE0">
            <w:pPr>
              <w:tabs>
                <w:tab w:val="left" w:pos="0"/>
              </w:tabs>
              <w:adjustRightInd w:val="0"/>
              <w:snapToGrid w:val="0"/>
              <w:ind w:firstLine="0" w:firstLineChars="0"/>
              <w:jc w:val="center"/>
              <w:rPr>
                <w:bCs/>
                <w:color w:val="auto"/>
                <w:kern w:val="21"/>
                <w:szCs w:val="21"/>
              </w:rPr>
            </w:pPr>
            <w:r>
              <w:rPr>
                <w:bCs/>
                <w:color w:val="auto"/>
                <w:kern w:val="21"/>
                <w:szCs w:val="21"/>
              </w:rPr>
              <w:t>是否为可行技术</w:t>
            </w:r>
          </w:p>
        </w:tc>
        <w:tc>
          <w:tcPr>
            <w:tcW w:w="945" w:type="dxa"/>
            <w:vAlign w:val="center"/>
          </w:tcPr>
          <w:p w14:paraId="14760273">
            <w:pPr>
              <w:tabs>
                <w:tab w:val="left" w:pos="0"/>
              </w:tabs>
              <w:adjustRightInd w:val="0"/>
              <w:snapToGrid w:val="0"/>
              <w:ind w:firstLine="0" w:firstLineChars="0"/>
              <w:jc w:val="center"/>
              <w:rPr>
                <w:bCs/>
                <w:color w:val="auto"/>
                <w:kern w:val="21"/>
                <w:szCs w:val="21"/>
              </w:rPr>
            </w:pPr>
            <w:r>
              <w:rPr>
                <w:bCs/>
                <w:color w:val="auto"/>
                <w:kern w:val="21"/>
                <w:szCs w:val="21"/>
              </w:rPr>
              <w:t>排放量（t/a）</w:t>
            </w:r>
          </w:p>
        </w:tc>
        <w:tc>
          <w:tcPr>
            <w:tcW w:w="1125" w:type="dxa"/>
            <w:vAlign w:val="center"/>
          </w:tcPr>
          <w:p w14:paraId="31C5C727">
            <w:pPr>
              <w:tabs>
                <w:tab w:val="left" w:pos="0"/>
              </w:tabs>
              <w:adjustRightInd w:val="0"/>
              <w:snapToGrid w:val="0"/>
              <w:ind w:firstLine="0" w:firstLineChars="0"/>
              <w:jc w:val="center"/>
              <w:rPr>
                <w:bCs/>
                <w:color w:val="auto"/>
                <w:kern w:val="21"/>
                <w:szCs w:val="21"/>
              </w:rPr>
            </w:pPr>
            <w:r>
              <w:rPr>
                <w:rFonts w:hint="eastAsia"/>
                <w:bCs/>
                <w:color w:val="auto"/>
                <w:kern w:val="21"/>
                <w:szCs w:val="21"/>
              </w:rPr>
              <w:t>排放速率（kg/h）</w:t>
            </w:r>
          </w:p>
        </w:tc>
        <w:tc>
          <w:tcPr>
            <w:tcW w:w="1125" w:type="dxa"/>
            <w:vAlign w:val="center"/>
          </w:tcPr>
          <w:p w14:paraId="7E28DC58">
            <w:pPr>
              <w:tabs>
                <w:tab w:val="left" w:pos="0"/>
              </w:tabs>
              <w:adjustRightInd w:val="0"/>
              <w:snapToGrid w:val="0"/>
              <w:ind w:firstLine="0" w:firstLineChars="0"/>
              <w:jc w:val="center"/>
              <w:rPr>
                <w:bCs/>
                <w:color w:val="auto"/>
                <w:kern w:val="21"/>
                <w:szCs w:val="21"/>
              </w:rPr>
            </w:pPr>
            <w:r>
              <w:rPr>
                <w:rFonts w:hint="eastAsia"/>
                <w:bCs/>
                <w:color w:val="auto"/>
                <w:kern w:val="21"/>
                <w:szCs w:val="21"/>
              </w:rPr>
              <w:t>排放浓度（mg/m</w:t>
            </w:r>
            <w:r>
              <w:rPr>
                <w:rFonts w:hint="eastAsia"/>
                <w:bCs/>
                <w:color w:val="auto"/>
                <w:kern w:val="21"/>
                <w:szCs w:val="21"/>
                <w:vertAlign w:val="superscript"/>
              </w:rPr>
              <w:t>3</w:t>
            </w:r>
            <w:r>
              <w:rPr>
                <w:rFonts w:hint="eastAsia"/>
                <w:bCs/>
                <w:color w:val="auto"/>
                <w:kern w:val="21"/>
                <w:szCs w:val="21"/>
              </w:rPr>
              <w:t>）</w:t>
            </w:r>
          </w:p>
        </w:tc>
        <w:tc>
          <w:tcPr>
            <w:tcW w:w="1144" w:type="dxa"/>
            <w:vMerge w:val="continue"/>
            <w:vAlign w:val="center"/>
          </w:tcPr>
          <w:p w14:paraId="7CE9A7A1">
            <w:pPr>
              <w:tabs>
                <w:tab w:val="left" w:pos="0"/>
              </w:tabs>
              <w:adjustRightInd w:val="0"/>
              <w:snapToGrid w:val="0"/>
              <w:ind w:firstLine="0" w:firstLineChars="0"/>
              <w:jc w:val="center"/>
              <w:rPr>
                <w:bCs/>
                <w:color w:val="auto"/>
                <w:kern w:val="21"/>
                <w:szCs w:val="21"/>
              </w:rPr>
            </w:pPr>
          </w:p>
        </w:tc>
        <w:tc>
          <w:tcPr>
            <w:tcW w:w="690" w:type="dxa"/>
            <w:vMerge w:val="continue"/>
            <w:vAlign w:val="center"/>
          </w:tcPr>
          <w:p w14:paraId="1C8740F6">
            <w:pPr>
              <w:tabs>
                <w:tab w:val="left" w:pos="0"/>
              </w:tabs>
              <w:adjustRightInd w:val="0"/>
              <w:snapToGrid w:val="0"/>
              <w:ind w:firstLine="0" w:firstLineChars="0"/>
              <w:jc w:val="center"/>
              <w:rPr>
                <w:bCs/>
                <w:color w:val="auto"/>
                <w:kern w:val="21"/>
                <w:szCs w:val="21"/>
              </w:rPr>
            </w:pPr>
          </w:p>
        </w:tc>
      </w:tr>
      <w:tr w14:paraId="5B9C69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Align w:val="center"/>
          </w:tcPr>
          <w:p w14:paraId="5A7D2986">
            <w:pPr>
              <w:tabs>
                <w:tab w:val="left" w:pos="0"/>
              </w:tabs>
              <w:adjustRightInd w:val="0"/>
              <w:snapToGrid w:val="0"/>
              <w:ind w:firstLine="0" w:firstLineChars="0"/>
              <w:jc w:val="center"/>
              <w:rPr>
                <w:rFonts w:hint="eastAsia" w:eastAsia="宋体"/>
                <w:bCs/>
                <w:color w:val="auto"/>
                <w:kern w:val="21"/>
                <w:szCs w:val="21"/>
                <w:lang w:eastAsia="zh-CN"/>
              </w:rPr>
            </w:pPr>
            <w:r>
              <w:rPr>
                <w:bCs/>
                <w:color w:val="auto"/>
                <w:kern w:val="21"/>
                <w:szCs w:val="21"/>
              </w:rPr>
              <w:t>制砂</w:t>
            </w:r>
            <w:r>
              <w:rPr>
                <w:rFonts w:hint="eastAsia"/>
                <w:bCs/>
                <w:color w:val="auto"/>
                <w:kern w:val="21"/>
                <w:szCs w:val="21"/>
                <w:lang w:val="en-US" w:eastAsia="zh-CN"/>
              </w:rPr>
              <w:t>车间</w:t>
            </w:r>
          </w:p>
        </w:tc>
        <w:tc>
          <w:tcPr>
            <w:tcW w:w="1207" w:type="dxa"/>
            <w:vAlign w:val="center"/>
          </w:tcPr>
          <w:p w14:paraId="7E7CF662">
            <w:pPr>
              <w:tabs>
                <w:tab w:val="left" w:pos="0"/>
              </w:tabs>
              <w:adjustRightInd w:val="0"/>
              <w:snapToGrid w:val="0"/>
              <w:ind w:firstLine="0" w:firstLineChars="0"/>
              <w:jc w:val="center"/>
              <w:rPr>
                <w:bCs/>
                <w:color w:val="auto"/>
                <w:kern w:val="21"/>
                <w:szCs w:val="21"/>
              </w:rPr>
            </w:pPr>
            <w:r>
              <w:rPr>
                <w:bCs/>
                <w:color w:val="auto"/>
                <w:kern w:val="21"/>
                <w:szCs w:val="21"/>
              </w:rPr>
              <w:t>破碎</w:t>
            </w:r>
            <w:r>
              <w:rPr>
                <w:rFonts w:hint="eastAsia"/>
                <w:bCs/>
                <w:color w:val="auto"/>
                <w:kern w:val="21"/>
                <w:szCs w:val="21"/>
              </w:rPr>
              <w:t>、筛分</w:t>
            </w:r>
          </w:p>
        </w:tc>
        <w:tc>
          <w:tcPr>
            <w:tcW w:w="487" w:type="dxa"/>
            <w:vAlign w:val="center"/>
          </w:tcPr>
          <w:p w14:paraId="06647B37">
            <w:pPr>
              <w:tabs>
                <w:tab w:val="left" w:pos="0"/>
              </w:tabs>
              <w:adjustRightInd w:val="0"/>
              <w:snapToGrid w:val="0"/>
              <w:ind w:firstLine="0" w:firstLineChars="0"/>
              <w:jc w:val="center"/>
              <w:rPr>
                <w:bCs/>
                <w:color w:val="auto"/>
                <w:kern w:val="21"/>
                <w:szCs w:val="21"/>
              </w:rPr>
            </w:pPr>
            <w:r>
              <w:rPr>
                <w:bCs/>
                <w:color w:val="auto"/>
                <w:kern w:val="21"/>
                <w:szCs w:val="21"/>
              </w:rPr>
              <w:t>颗粒物</w:t>
            </w:r>
          </w:p>
        </w:tc>
        <w:tc>
          <w:tcPr>
            <w:tcW w:w="942" w:type="dxa"/>
            <w:vAlign w:val="center"/>
          </w:tcPr>
          <w:p w14:paraId="3642A175">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13.28</w:t>
            </w:r>
          </w:p>
        </w:tc>
        <w:tc>
          <w:tcPr>
            <w:tcW w:w="1965" w:type="dxa"/>
            <w:vAlign w:val="center"/>
          </w:tcPr>
          <w:p w14:paraId="1A7F94A3">
            <w:pPr>
              <w:tabs>
                <w:tab w:val="left" w:pos="0"/>
              </w:tabs>
              <w:adjustRightInd w:val="0"/>
              <w:snapToGrid w:val="0"/>
              <w:ind w:firstLine="0" w:firstLineChars="0"/>
              <w:jc w:val="center"/>
              <w:rPr>
                <w:bCs/>
                <w:color w:val="auto"/>
                <w:kern w:val="21"/>
                <w:szCs w:val="21"/>
              </w:rPr>
            </w:pPr>
            <w:r>
              <w:rPr>
                <w:bCs/>
                <w:color w:val="auto"/>
                <w:kern w:val="21"/>
                <w:szCs w:val="21"/>
              </w:rPr>
              <w:t>无组织</w:t>
            </w:r>
          </w:p>
        </w:tc>
        <w:tc>
          <w:tcPr>
            <w:tcW w:w="1485" w:type="dxa"/>
            <w:vAlign w:val="center"/>
          </w:tcPr>
          <w:p w14:paraId="798B621F">
            <w:pPr>
              <w:tabs>
                <w:tab w:val="left" w:pos="0"/>
              </w:tabs>
              <w:adjustRightInd w:val="0"/>
              <w:snapToGrid w:val="0"/>
              <w:ind w:firstLine="0" w:firstLineChars="0"/>
              <w:jc w:val="center"/>
              <w:rPr>
                <w:bCs/>
                <w:color w:val="auto"/>
                <w:kern w:val="21"/>
                <w:szCs w:val="21"/>
              </w:rPr>
            </w:pPr>
            <w:r>
              <w:rPr>
                <w:rFonts w:hint="eastAsia"/>
                <w:bCs/>
                <w:color w:val="auto"/>
                <w:kern w:val="21"/>
                <w:szCs w:val="21"/>
              </w:rPr>
              <w:t>车间全密闭+</w:t>
            </w:r>
            <w:r>
              <w:rPr>
                <w:bCs/>
                <w:color w:val="auto"/>
                <w:kern w:val="21"/>
                <w:szCs w:val="21"/>
              </w:rPr>
              <w:t>车间喷雾降尘</w:t>
            </w:r>
          </w:p>
        </w:tc>
        <w:tc>
          <w:tcPr>
            <w:tcW w:w="1290" w:type="dxa"/>
            <w:vAlign w:val="center"/>
          </w:tcPr>
          <w:p w14:paraId="1C8B2DC7">
            <w:pPr>
              <w:tabs>
                <w:tab w:val="left" w:pos="0"/>
              </w:tabs>
              <w:adjustRightInd w:val="0"/>
              <w:snapToGrid w:val="0"/>
              <w:ind w:firstLine="0" w:firstLineChars="0"/>
              <w:jc w:val="center"/>
              <w:rPr>
                <w:bCs/>
                <w:color w:val="auto"/>
                <w:kern w:val="21"/>
                <w:szCs w:val="21"/>
              </w:rPr>
            </w:pPr>
            <w:r>
              <w:rPr>
                <w:bCs/>
                <w:color w:val="auto"/>
                <w:kern w:val="21"/>
                <w:szCs w:val="21"/>
              </w:rPr>
              <w:t>厂房阻隔</w:t>
            </w:r>
          </w:p>
          <w:p w14:paraId="14E51733">
            <w:pPr>
              <w:tabs>
                <w:tab w:val="left" w:pos="0"/>
              </w:tabs>
              <w:adjustRightInd w:val="0"/>
              <w:snapToGrid w:val="0"/>
              <w:ind w:firstLine="0" w:firstLineChars="0"/>
              <w:jc w:val="center"/>
              <w:rPr>
                <w:bCs/>
                <w:color w:val="auto"/>
                <w:kern w:val="21"/>
                <w:szCs w:val="21"/>
              </w:rPr>
            </w:pPr>
            <w:r>
              <w:rPr>
                <w:bCs/>
                <w:color w:val="auto"/>
                <w:kern w:val="21"/>
                <w:szCs w:val="21"/>
              </w:rPr>
              <w:t>60%；喷雾除尘效率</w:t>
            </w:r>
            <w:r>
              <w:rPr>
                <w:rFonts w:hint="eastAsia"/>
                <w:bCs/>
                <w:color w:val="auto"/>
                <w:kern w:val="21"/>
                <w:szCs w:val="21"/>
                <w:lang w:val="en-US" w:eastAsia="zh-CN"/>
              </w:rPr>
              <w:t>74</w:t>
            </w:r>
            <w:r>
              <w:rPr>
                <w:bCs/>
                <w:color w:val="auto"/>
                <w:kern w:val="21"/>
                <w:szCs w:val="21"/>
              </w:rPr>
              <w:t>%</w:t>
            </w:r>
          </w:p>
        </w:tc>
        <w:tc>
          <w:tcPr>
            <w:tcW w:w="1080" w:type="dxa"/>
            <w:vAlign w:val="center"/>
          </w:tcPr>
          <w:p w14:paraId="09704A2B">
            <w:pPr>
              <w:tabs>
                <w:tab w:val="left" w:pos="0"/>
              </w:tabs>
              <w:adjustRightInd w:val="0"/>
              <w:snapToGrid w:val="0"/>
              <w:ind w:firstLine="0" w:firstLineChars="0"/>
              <w:jc w:val="center"/>
              <w:rPr>
                <w:bCs/>
                <w:color w:val="auto"/>
                <w:kern w:val="21"/>
                <w:szCs w:val="21"/>
              </w:rPr>
            </w:pPr>
            <w:r>
              <w:rPr>
                <w:bCs/>
                <w:color w:val="auto"/>
                <w:kern w:val="21"/>
                <w:szCs w:val="21"/>
              </w:rPr>
              <w:t>是</w:t>
            </w:r>
          </w:p>
        </w:tc>
        <w:tc>
          <w:tcPr>
            <w:tcW w:w="945" w:type="dxa"/>
            <w:vAlign w:val="center"/>
          </w:tcPr>
          <w:p w14:paraId="79435E0F">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1.38112</w:t>
            </w:r>
          </w:p>
        </w:tc>
        <w:tc>
          <w:tcPr>
            <w:tcW w:w="1125" w:type="dxa"/>
            <w:vAlign w:val="center"/>
          </w:tcPr>
          <w:p w14:paraId="4EDD2553">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rPr>
              <w:t>0.</w:t>
            </w:r>
            <w:r>
              <w:rPr>
                <w:rFonts w:hint="eastAsia"/>
                <w:bCs/>
                <w:color w:val="auto"/>
                <w:kern w:val="21"/>
                <w:szCs w:val="21"/>
                <w:lang w:val="en-US" w:eastAsia="zh-CN"/>
              </w:rPr>
              <w:t>5755</w:t>
            </w:r>
          </w:p>
        </w:tc>
        <w:tc>
          <w:tcPr>
            <w:tcW w:w="1125" w:type="dxa"/>
            <w:vAlign w:val="center"/>
          </w:tcPr>
          <w:p w14:paraId="69FB5460">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144" w:type="dxa"/>
            <w:vAlign w:val="center"/>
          </w:tcPr>
          <w:p w14:paraId="0E47D091">
            <w:pPr>
              <w:tabs>
                <w:tab w:val="left" w:pos="0"/>
              </w:tabs>
              <w:adjustRightInd w:val="0"/>
              <w:snapToGrid w:val="0"/>
              <w:ind w:firstLine="0" w:firstLineChars="0"/>
              <w:jc w:val="center"/>
              <w:rPr>
                <w:bCs/>
                <w:color w:val="auto"/>
                <w:kern w:val="21"/>
                <w:szCs w:val="21"/>
              </w:rPr>
            </w:pPr>
            <w:r>
              <w:rPr>
                <w:rFonts w:hint="eastAsia"/>
                <w:bCs/>
                <w:color w:val="auto"/>
                <w:kern w:val="21"/>
                <w:szCs w:val="21"/>
              </w:rPr>
              <w:t>0.5</w:t>
            </w:r>
          </w:p>
        </w:tc>
        <w:tc>
          <w:tcPr>
            <w:tcW w:w="690" w:type="dxa"/>
            <w:vAlign w:val="center"/>
          </w:tcPr>
          <w:p w14:paraId="7A42D6B4">
            <w:pPr>
              <w:tabs>
                <w:tab w:val="left" w:pos="0"/>
              </w:tabs>
              <w:adjustRightInd w:val="0"/>
              <w:snapToGrid w:val="0"/>
              <w:ind w:firstLine="0" w:firstLineChars="0"/>
              <w:jc w:val="center"/>
              <w:rPr>
                <w:rFonts w:hint="eastAsia" w:eastAsia="宋体"/>
                <w:bCs/>
                <w:color w:val="auto"/>
                <w:kern w:val="21"/>
                <w:szCs w:val="21"/>
                <w:lang w:eastAsia="zh-CN"/>
              </w:rPr>
            </w:pPr>
            <w:r>
              <w:rPr>
                <w:rFonts w:hint="eastAsia"/>
                <w:bCs/>
                <w:color w:val="auto"/>
                <w:kern w:val="21"/>
                <w:szCs w:val="21"/>
                <w:lang w:val="en-US" w:eastAsia="zh-CN"/>
              </w:rPr>
              <w:t>/</w:t>
            </w:r>
          </w:p>
        </w:tc>
      </w:tr>
      <w:tr w14:paraId="3DF6D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174" w:type="dxa"/>
            <w:gridSpan w:val="13"/>
            <w:vAlign w:val="center"/>
          </w:tcPr>
          <w:p w14:paraId="147D4E11">
            <w:pPr>
              <w:tabs>
                <w:tab w:val="left" w:pos="0"/>
              </w:tabs>
              <w:adjustRightInd w:val="0"/>
              <w:snapToGrid w:val="0"/>
              <w:ind w:firstLine="0" w:firstLineChars="0"/>
              <w:jc w:val="center"/>
              <w:rPr>
                <w:bCs/>
                <w:color w:val="auto"/>
                <w:kern w:val="21"/>
                <w:szCs w:val="21"/>
              </w:rPr>
            </w:pPr>
            <w:r>
              <w:rPr>
                <w:bCs/>
                <w:color w:val="auto"/>
                <w:kern w:val="21"/>
                <w:szCs w:val="21"/>
              </w:rPr>
              <w:t>商品混凝土生产线</w:t>
            </w:r>
          </w:p>
        </w:tc>
      </w:tr>
      <w:tr w14:paraId="0189D1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Merge w:val="restart"/>
            <w:vAlign w:val="center"/>
          </w:tcPr>
          <w:p w14:paraId="4F6C56DE">
            <w:pPr>
              <w:tabs>
                <w:tab w:val="left" w:pos="0"/>
              </w:tabs>
              <w:adjustRightInd w:val="0"/>
              <w:snapToGrid w:val="0"/>
              <w:ind w:firstLine="0" w:firstLineChars="0"/>
              <w:jc w:val="center"/>
              <w:rPr>
                <w:bCs/>
                <w:color w:val="auto"/>
                <w:kern w:val="21"/>
                <w:szCs w:val="21"/>
              </w:rPr>
            </w:pPr>
            <w:r>
              <w:rPr>
                <w:bCs/>
                <w:color w:val="auto"/>
                <w:kern w:val="21"/>
                <w:szCs w:val="21"/>
              </w:rPr>
              <w:t>拌合站</w:t>
            </w:r>
          </w:p>
        </w:tc>
        <w:tc>
          <w:tcPr>
            <w:tcW w:w="1207" w:type="dxa"/>
            <w:vAlign w:val="center"/>
          </w:tcPr>
          <w:p w14:paraId="661AE624">
            <w:pPr>
              <w:tabs>
                <w:tab w:val="left" w:pos="0"/>
              </w:tabs>
              <w:ind w:firstLine="0" w:firstLineChars="0"/>
              <w:jc w:val="left"/>
              <w:rPr>
                <w:bCs/>
                <w:color w:val="auto"/>
                <w:kern w:val="21"/>
                <w:szCs w:val="21"/>
              </w:rPr>
            </w:pPr>
            <w:r>
              <w:rPr>
                <w:rFonts w:hint="eastAsia"/>
                <w:bCs/>
                <w:color w:val="auto"/>
                <w:kern w:val="21"/>
                <w:szCs w:val="21"/>
              </w:rPr>
              <w:t>2个水泥筒仓（5#）</w:t>
            </w:r>
          </w:p>
        </w:tc>
        <w:tc>
          <w:tcPr>
            <w:tcW w:w="487" w:type="dxa"/>
            <w:vMerge w:val="restart"/>
            <w:tcBorders>
              <w:top w:val="single" w:color="000000" w:sz="4" w:space="0"/>
            </w:tcBorders>
            <w:vAlign w:val="center"/>
          </w:tcPr>
          <w:p w14:paraId="727165FE">
            <w:pPr>
              <w:tabs>
                <w:tab w:val="left" w:pos="0"/>
              </w:tabs>
              <w:adjustRightInd w:val="0"/>
              <w:snapToGrid w:val="0"/>
              <w:ind w:firstLine="0" w:firstLineChars="0"/>
              <w:jc w:val="center"/>
              <w:rPr>
                <w:bCs/>
                <w:color w:val="auto"/>
                <w:kern w:val="21"/>
                <w:szCs w:val="21"/>
              </w:rPr>
            </w:pPr>
            <w:r>
              <w:rPr>
                <w:bCs/>
                <w:color w:val="auto"/>
                <w:kern w:val="21"/>
                <w:szCs w:val="21"/>
              </w:rPr>
              <w:t>颗</w:t>
            </w:r>
          </w:p>
          <w:p w14:paraId="068A3061">
            <w:pPr>
              <w:tabs>
                <w:tab w:val="left" w:pos="0"/>
              </w:tabs>
              <w:adjustRightInd w:val="0"/>
              <w:snapToGrid w:val="0"/>
              <w:ind w:firstLine="0" w:firstLineChars="0"/>
              <w:jc w:val="center"/>
              <w:rPr>
                <w:bCs/>
                <w:color w:val="auto"/>
                <w:kern w:val="21"/>
                <w:szCs w:val="21"/>
              </w:rPr>
            </w:pPr>
            <w:r>
              <w:rPr>
                <w:bCs/>
                <w:color w:val="auto"/>
                <w:kern w:val="21"/>
                <w:szCs w:val="21"/>
              </w:rPr>
              <w:t>粒</w:t>
            </w:r>
          </w:p>
          <w:p w14:paraId="178251DA">
            <w:pPr>
              <w:tabs>
                <w:tab w:val="left" w:pos="0"/>
              </w:tabs>
              <w:adjustRightInd w:val="0"/>
              <w:snapToGrid w:val="0"/>
              <w:ind w:firstLine="0" w:firstLineChars="0"/>
              <w:jc w:val="center"/>
              <w:rPr>
                <w:bCs/>
                <w:color w:val="auto"/>
                <w:kern w:val="21"/>
                <w:szCs w:val="21"/>
              </w:rPr>
            </w:pPr>
            <w:r>
              <w:rPr>
                <w:bCs/>
                <w:color w:val="auto"/>
                <w:kern w:val="21"/>
                <w:szCs w:val="21"/>
              </w:rPr>
              <w:t>物</w:t>
            </w:r>
          </w:p>
        </w:tc>
        <w:tc>
          <w:tcPr>
            <w:tcW w:w="942" w:type="dxa"/>
            <w:tcBorders>
              <w:top w:val="single" w:color="000000" w:sz="4" w:space="0"/>
            </w:tcBorders>
            <w:vAlign w:val="center"/>
          </w:tcPr>
          <w:p w14:paraId="04A02C46">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4.056</w:t>
            </w:r>
          </w:p>
        </w:tc>
        <w:tc>
          <w:tcPr>
            <w:tcW w:w="1965" w:type="dxa"/>
            <w:vAlign w:val="center"/>
          </w:tcPr>
          <w:p w14:paraId="3B9173B2">
            <w:pPr>
              <w:pStyle w:val="20"/>
              <w:spacing w:after="0"/>
              <w:ind w:firstLine="0" w:firstLineChars="0"/>
              <w:jc w:val="center"/>
              <w:rPr>
                <w:bCs/>
                <w:color w:val="auto"/>
                <w:kern w:val="21"/>
                <w:szCs w:val="21"/>
              </w:rPr>
            </w:pPr>
            <w:r>
              <w:rPr>
                <w:rFonts w:hint="eastAsia"/>
                <w:color w:val="auto"/>
                <w:szCs w:val="21"/>
              </w:rPr>
              <w:t>有组织，DA00</w:t>
            </w:r>
            <w:r>
              <w:rPr>
                <w:rFonts w:hint="eastAsia"/>
                <w:color w:val="auto"/>
                <w:szCs w:val="21"/>
                <w:lang w:val="en-US" w:eastAsia="zh-CN"/>
              </w:rPr>
              <w:t>4</w:t>
            </w:r>
            <w:r>
              <w:rPr>
                <w:rFonts w:hint="eastAsia"/>
                <w:color w:val="auto"/>
                <w:szCs w:val="21"/>
              </w:rPr>
              <w:t>水泥筒仓顶部排放口</w:t>
            </w:r>
          </w:p>
        </w:tc>
        <w:tc>
          <w:tcPr>
            <w:tcW w:w="1485" w:type="dxa"/>
            <w:vAlign w:val="center"/>
          </w:tcPr>
          <w:p w14:paraId="79E525D2">
            <w:pPr>
              <w:tabs>
                <w:tab w:val="left" w:pos="0"/>
              </w:tabs>
              <w:adjustRightInd w:val="0"/>
              <w:snapToGrid w:val="0"/>
              <w:ind w:firstLine="0" w:firstLineChars="0"/>
              <w:jc w:val="center"/>
              <w:rPr>
                <w:bCs/>
                <w:color w:val="auto"/>
                <w:kern w:val="21"/>
                <w:szCs w:val="21"/>
              </w:rPr>
            </w:pPr>
            <w:r>
              <w:rPr>
                <w:bCs/>
                <w:color w:val="auto"/>
                <w:kern w:val="21"/>
                <w:szCs w:val="21"/>
              </w:rPr>
              <w:t>布袋</w:t>
            </w:r>
          </w:p>
          <w:p w14:paraId="69DBF6EF">
            <w:pPr>
              <w:tabs>
                <w:tab w:val="left" w:pos="0"/>
              </w:tabs>
              <w:adjustRightInd w:val="0"/>
              <w:snapToGrid w:val="0"/>
              <w:ind w:firstLine="0" w:firstLineChars="0"/>
              <w:jc w:val="center"/>
              <w:rPr>
                <w:bCs/>
                <w:color w:val="auto"/>
                <w:kern w:val="21"/>
                <w:szCs w:val="21"/>
              </w:rPr>
            </w:pPr>
            <w:r>
              <w:rPr>
                <w:bCs/>
                <w:color w:val="auto"/>
                <w:kern w:val="21"/>
                <w:szCs w:val="21"/>
              </w:rPr>
              <w:t>除尘器</w:t>
            </w:r>
            <w:r>
              <w:rPr>
                <w:rFonts w:hint="eastAsia"/>
                <w:bCs/>
                <w:color w:val="auto"/>
                <w:kern w:val="21"/>
                <w:szCs w:val="21"/>
                <w:lang w:val="en-US" w:eastAsia="zh-CN"/>
              </w:rPr>
              <w:t>4</w:t>
            </w:r>
            <w:r>
              <w:rPr>
                <w:bCs/>
                <w:color w:val="auto"/>
                <w:kern w:val="21"/>
                <w:szCs w:val="21"/>
              </w:rPr>
              <w:t>#</w:t>
            </w:r>
          </w:p>
        </w:tc>
        <w:tc>
          <w:tcPr>
            <w:tcW w:w="1290" w:type="dxa"/>
            <w:vMerge w:val="restart"/>
            <w:vAlign w:val="center"/>
          </w:tcPr>
          <w:p w14:paraId="22A2EA8F">
            <w:pPr>
              <w:tabs>
                <w:tab w:val="left" w:pos="0"/>
              </w:tabs>
              <w:adjustRightInd w:val="0"/>
              <w:snapToGrid w:val="0"/>
              <w:ind w:firstLine="0" w:firstLineChars="0"/>
              <w:jc w:val="center"/>
              <w:rPr>
                <w:bCs/>
                <w:color w:val="auto"/>
                <w:kern w:val="21"/>
                <w:szCs w:val="21"/>
              </w:rPr>
            </w:pPr>
            <w:r>
              <w:rPr>
                <w:bCs/>
                <w:color w:val="auto"/>
                <w:kern w:val="21"/>
                <w:szCs w:val="21"/>
              </w:rPr>
              <w:t>99.7%</w:t>
            </w:r>
          </w:p>
        </w:tc>
        <w:tc>
          <w:tcPr>
            <w:tcW w:w="1080" w:type="dxa"/>
            <w:vMerge w:val="restart"/>
            <w:vAlign w:val="center"/>
          </w:tcPr>
          <w:p w14:paraId="0B56D729">
            <w:pPr>
              <w:tabs>
                <w:tab w:val="left" w:pos="0"/>
              </w:tabs>
              <w:adjustRightInd w:val="0"/>
              <w:snapToGrid w:val="0"/>
              <w:ind w:firstLine="0" w:firstLineChars="0"/>
              <w:jc w:val="center"/>
              <w:rPr>
                <w:bCs/>
                <w:color w:val="auto"/>
                <w:kern w:val="21"/>
                <w:szCs w:val="21"/>
              </w:rPr>
            </w:pPr>
            <w:r>
              <w:rPr>
                <w:bCs/>
                <w:color w:val="auto"/>
                <w:kern w:val="21"/>
                <w:szCs w:val="21"/>
              </w:rPr>
              <w:t>是</w:t>
            </w:r>
          </w:p>
        </w:tc>
        <w:tc>
          <w:tcPr>
            <w:tcW w:w="945" w:type="dxa"/>
            <w:vAlign w:val="center"/>
          </w:tcPr>
          <w:p w14:paraId="74B73C93">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0.01216</w:t>
            </w:r>
          </w:p>
        </w:tc>
        <w:tc>
          <w:tcPr>
            <w:tcW w:w="1125" w:type="dxa"/>
            <w:vAlign w:val="center"/>
          </w:tcPr>
          <w:p w14:paraId="1C80B0FC">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125" w:type="dxa"/>
            <w:vAlign w:val="center"/>
          </w:tcPr>
          <w:p w14:paraId="1D518850">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4.64</w:t>
            </w:r>
          </w:p>
        </w:tc>
        <w:tc>
          <w:tcPr>
            <w:tcW w:w="1144" w:type="dxa"/>
            <w:vAlign w:val="center"/>
          </w:tcPr>
          <w:p w14:paraId="7A24B1F1">
            <w:pPr>
              <w:tabs>
                <w:tab w:val="left" w:pos="0"/>
              </w:tabs>
              <w:adjustRightInd w:val="0"/>
              <w:snapToGrid w:val="0"/>
              <w:ind w:firstLine="0" w:firstLineChars="0"/>
              <w:jc w:val="center"/>
              <w:rPr>
                <w:bCs/>
                <w:color w:val="auto"/>
                <w:kern w:val="21"/>
                <w:szCs w:val="21"/>
              </w:rPr>
            </w:pPr>
            <w:r>
              <w:rPr>
                <w:rFonts w:hint="eastAsia"/>
                <w:bCs/>
                <w:color w:val="auto"/>
                <w:kern w:val="21"/>
                <w:szCs w:val="21"/>
              </w:rPr>
              <w:t>20</w:t>
            </w:r>
          </w:p>
        </w:tc>
        <w:tc>
          <w:tcPr>
            <w:tcW w:w="690" w:type="dxa"/>
            <w:vAlign w:val="center"/>
          </w:tcPr>
          <w:p w14:paraId="0DC539C5">
            <w:pPr>
              <w:tabs>
                <w:tab w:val="left" w:pos="0"/>
              </w:tabs>
              <w:adjustRightInd w:val="0"/>
              <w:snapToGrid w:val="0"/>
              <w:ind w:firstLine="0" w:firstLineChars="0"/>
              <w:jc w:val="center"/>
              <w:rPr>
                <w:bCs/>
                <w:color w:val="auto"/>
                <w:kern w:val="21"/>
                <w:szCs w:val="21"/>
              </w:rPr>
            </w:pPr>
            <w:r>
              <w:rPr>
                <w:rFonts w:hint="eastAsia"/>
                <w:bCs/>
                <w:color w:val="auto"/>
                <w:kern w:val="21"/>
                <w:szCs w:val="21"/>
              </w:rPr>
              <w:t>达标</w:t>
            </w:r>
          </w:p>
        </w:tc>
      </w:tr>
      <w:tr w14:paraId="2D67A7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2B996CF8">
            <w:pPr>
              <w:tabs>
                <w:tab w:val="left" w:pos="0"/>
              </w:tabs>
              <w:adjustRightInd w:val="0"/>
              <w:snapToGrid w:val="0"/>
              <w:ind w:firstLine="0" w:firstLineChars="0"/>
              <w:jc w:val="center"/>
              <w:rPr>
                <w:bCs/>
                <w:color w:val="auto"/>
                <w:kern w:val="21"/>
                <w:szCs w:val="21"/>
              </w:rPr>
            </w:pPr>
          </w:p>
        </w:tc>
        <w:tc>
          <w:tcPr>
            <w:tcW w:w="1207" w:type="dxa"/>
            <w:vAlign w:val="center"/>
          </w:tcPr>
          <w:p w14:paraId="01F7F8FC">
            <w:pPr>
              <w:tabs>
                <w:tab w:val="left" w:pos="0"/>
              </w:tabs>
              <w:adjustRightInd w:val="0"/>
              <w:snapToGrid w:val="0"/>
              <w:ind w:firstLine="0" w:firstLineChars="0"/>
              <w:jc w:val="center"/>
              <w:rPr>
                <w:bCs/>
                <w:color w:val="auto"/>
                <w:kern w:val="21"/>
                <w:szCs w:val="21"/>
              </w:rPr>
            </w:pPr>
            <w:r>
              <w:rPr>
                <w:bCs/>
                <w:color w:val="auto"/>
                <w:kern w:val="21"/>
                <w:szCs w:val="21"/>
              </w:rPr>
              <w:t>粉煤灰筒仓（</w:t>
            </w:r>
            <w:r>
              <w:rPr>
                <w:rFonts w:hint="eastAsia"/>
                <w:bCs/>
                <w:color w:val="auto"/>
                <w:kern w:val="21"/>
                <w:szCs w:val="21"/>
              </w:rPr>
              <w:t>6</w:t>
            </w:r>
            <w:r>
              <w:rPr>
                <w:bCs/>
                <w:color w:val="auto"/>
                <w:kern w:val="21"/>
                <w:szCs w:val="21"/>
              </w:rPr>
              <w:t>#）</w:t>
            </w:r>
          </w:p>
        </w:tc>
        <w:tc>
          <w:tcPr>
            <w:tcW w:w="487" w:type="dxa"/>
            <w:vMerge w:val="continue"/>
            <w:vAlign w:val="center"/>
          </w:tcPr>
          <w:p w14:paraId="29738751">
            <w:pPr>
              <w:tabs>
                <w:tab w:val="left" w:pos="0"/>
              </w:tabs>
              <w:adjustRightInd w:val="0"/>
              <w:snapToGrid w:val="0"/>
              <w:ind w:firstLine="0" w:firstLineChars="0"/>
              <w:jc w:val="center"/>
              <w:rPr>
                <w:bCs/>
                <w:color w:val="auto"/>
                <w:kern w:val="21"/>
                <w:szCs w:val="21"/>
              </w:rPr>
            </w:pPr>
          </w:p>
        </w:tc>
        <w:tc>
          <w:tcPr>
            <w:tcW w:w="942" w:type="dxa"/>
            <w:tcBorders>
              <w:top w:val="single" w:color="000000" w:sz="4" w:space="0"/>
            </w:tcBorders>
            <w:vAlign w:val="center"/>
          </w:tcPr>
          <w:p w14:paraId="57FEDD92">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7.334</w:t>
            </w:r>
          </w:p>
        </w:tc>
        <w:tc>
          <w:tcPr>
            <w:tcW w:w="1965" w:type="dxa"/>
            <w:vAlign w:val="center"/>
          </w:tcPr>
          <w:p w14:paraId="75121D21">
            <w:pPr>
              <w:pStyle w:val="20"/>
              <w:spacing w:after="0"/>
              <w:ind w:firstLine="0" w:firstLineChars="0"/>
              <w:jc w:val="center"/>
              <w:rPr>
                <w:bCs/>
                <w:color w:val="auto"/>
                <w:kern w:val="21"/>
                <w:szCs w:val="21"/>
              </w:rPr>
            </w:pPr>
            <w:r>
              <w:rPr>
                <w:rFonts w:hint="eastAsia"/>
                <w:color w:val="auto"/>
                <w:szCs w:val="21"/>
              </w:rPr>
              <w:t>有组织，DA00</w:t>
            </w:r>
            <w:r>
              <w:rPr>
                <w:rFonts w:hint="eastAsia"/>
                <w:color w:val="auto"/>
                <w:szCs w:val="21"/>
                <w:lang w:val="en-US" w:eastAsia="zh-CN"/>
              </w:rPr>
              <w:t>5</w:t>
            </w:r>
            <w:r>
              <w:rPr>
                <w:color w:val="auto"/>
                <w:szCs w:val="21"/>
              </w:rPr>
              <w:t>粉煤灰筒仓仓顶</w:t>
            </w:r>
            <w:r>
              <w:rPr>
                <w:rFonts w:hint="eastAsia"/>
                <w:color w:val="auto"/>
                <w:szCs w:val="21"/>
              </w:rPr>
              <w:t>排放</w:t>
            </w:r>
            <w:r>
              <w:rPr>
                <w:color w:val="auto"/>
                <w:szCs w:val="21"/>
              </w:rPr>
              <w:t>口</w:t>
            </w:r>
          </w:p>
        </w:tc>
        <w:tc>
          <w:tcPr>
            <w:tcW w:w="1485" w:type="dxa"/>
            <w:vAlign w:val="center"/>
          </w:tcPr>
          <w:p w14:paraId="476040F7">
            <w:pPr>
              <w:tabs>
                <w:tab w:val="left" w:pos="0"/>
              </w:tabs>
              <w:adjustRightInd w:val="0"/>
              <w:snapToGrid w:val="0"/>
              <w:ind w:firstLine="0" w:firstLineChars="0"/>
              <w:jc w:val="center"/>
              <w:rPr>
                <w:bCs/>
                <w:color w:val="auto"/>
                <w:kern w:val="21"/>
                <w:szCs w:val="21"/>
              </w:rPr>
            </w:pPr>
            <w:r>
              <w:rPr>
                <w:bCs/>
                <w:color w:val="auto"/>
                <w:kern w:val="21"/>
                <w:szCs w:val="21"/>
              </w:rPr>
              <w:t>布袋</w:t>
            </w:r>
          </w:p>
          <w:p w14:paraId="28C28656">
            <w:pPr>
              <w:tabs>
                <w:tab w:val="left" w:pos="0"/>
              </w:tabs>
              <w:adjustRightInd w:val="0"/>
              <w:snapToGrid w:val="0"/>
              <w:ind w:firstLine="0" w:firstLineChars="0"/>
              <w:jc w:val="center"/>
              <w:rPr>
                <w:bCs/>
                <w:color w:val="auto"/>
                <w:kern w:val="21"/>
                <w:szCs w:val="21"/>
              </w:rPr>
            </w:pPr>
            <w:r>
              <w:rPr>
                <w:bCs/>
                <w:color w:val="auto"/>
                <w:kern w:val="21"/>
                <w:szCs w:val="21"/>
              </w:rPr>
              <w:t>除尘器</w:t>
            </w:r>
            <w:r>
              <w:rPr>
                <w:rFonts w:hint="eastAsia"/>
                <w:bCs/>
                <w:color w:val="auto"/>
                <w:kern w:val="21"/>
                <w:szCs w:val="21"/>
                <w:lang w:val="en-US" w:eastAsia="zh-CN"/>
              </w:rPr>
              <w:t>5</w:t>
            </w:r>
            <w:r>
              <w:rPr>
                <w:bCs/>
                <w:color w:val="auto"/>
                <w:kern w:val="21"/>
                <w:szCs w:val="21"/>
              </w:rPr>
              <w:t>#</w:t>
            </w:r>
          </w:p>
        </w:tc>
        <w:tc>
          <w:tcPr>
            <w:tcW w:w="1290" w:type="dxa"/>
            <w:vMerge w:val="continue"/>
            <w:vAlign w:val="center"/>
          </w:tcPr>
          <w:p w14:paraId="3C7406BA">
            <w:pPr>
              <w:tabs>
                <w:tab w:val="left" w:pos="0"/>
              </w:tabs>
              <w:adjustRightInd w:val="0"/>
              <w:snapToGrid w:val="0"/>
              <w:ind w:firstLine="0" w:firstLineChars="0"/>
              <w:jc w:val="center"/>
              <w:rPr>
                <w:bCs/>
                <w:color w:val="auto"/>
                <w:kern w:val="21"/>
                <w:szCs w:val="21"/>
              </w:rPr>
            </w:pPr>
          </w:p>
        </w:tc>
        <w:tc>
          <w:tcPr>
            <w:tcW w:w="1080" w:type="dxa"/>
            <w:vMerge w:val="continue"/>
            <w:vAlign w:val="center"/>
          </w:tcPr>
          <w:p w14:paraId="7B926843">
            <w:pPr>
              <w:tabs>
                <w:tab w:val="left" w:pos="0"/>
              </w:tabs>
              <w:adjustRightInd w:val="0"/>
              <w:snapToGrid w:val="0"/>
              <w:ind w:firstLine="0" w:firstLineChars="0"/>
              <w:jc w:val="center"/>
              <w:rPr>
                <w:bCs/>
                <w:color w:val="auto"/>
                <w:kern w:val="21"/>
                <w:szCs w:val="21"/>
              </w:rPr>
            </w:pPr>
          </w:p>
        </w:tc>
        <w:tc>
          <w:tcPr>
            <w:tcW w:w="945" w:type="dxa"/>
            <w:vAlign w:val="center"/>
          </w:tcPr>
          <w:p w14:paraId="7959555E">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0.022</w:t>
            </w:r>
          </w:p>
        </w:tc>
        <w:tc>
          <w:tcPr>
            <w:tcW w:w="1125" w:type="dxa"/>
            <w:vAlign w:val="center"/>
          </w:tcPr>
          <w:p w14:paraId="38856FF2">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125" w:type="dxa"/>
            <w:vAlign w:val="center"/>
          </w:tcPr>
          <w:p w14:paraId="5E5AA01B">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7.49</w:t>
            </w:r>
          </w:p>
        </w:tc>
        <w:tc>
          <w:tcPr>
            <w:tcW w:w="1144" w:type="dxa"/>
            <w:vAlign w:val="center"/>
          </w:tcPr>
          <w:p w14:paraId="762FBF6C">
            <w:pPr>
              <w:tabs>
                <w:tab w:val="left" w:pos="0"/>
              </w:tabs>
              <w:adjustRightInd w:val="0"/>
              <w:snapToGrid w:val="0"/>
              <w:ind w:firstLine="0" w:firstLineChars="0"/>
              <w:jc w:val="center"/>
              <w:rPr>
                <w:bCs/>
                <w:color w:val="auto"/>
                <w:kern w:val="21"/>
                <w:szCs w:val="21"/>
              </w:rPr>
            </w:pPr>
            <w:r>
              <w:rPr>
                <w:rFonts w:hint="eastAsia"/>
                <w:bCs/>
                <w:color w:val="auto"/>
                <w:kern w:val="21"/>
                <w:szCs w:val="21"/>
              </w:rPr>
              <w:t>20</w:t>
            </w:r>
          </w:p>
        </w:tc>
        <w:tc>
          <w:tcPr>
            <w:tcW w:w="690" w:type="dxa"/>
            <w:vAlign w:val="center"/>
          </w:tcPr>
          <w:p w14:paraId="0A607FC7">
            <w:pPr>
              <w:tabs>
                <w:tab w:val="left" w:pos="0"/>
              </w:tabs>
              <w:adjustRightInd w:val="0"/>
              <w:snapToGrid w:val="0"/>
              <w:ind w:firstLine="0" w:firstLineChars="0"/>
              <w:jc w:val="center"/>
              <w:rPr>
                <w:bCs/>
                <w:color w:val="auto"/>
                <w:kern w:val="21"/>
                <w:szCs w:val="21"/>
              </w:rPr>
            </w:pPr>
            <w:r>
              <w:rPr>
                <w:rFonts w:hint="eastAsia"/>
                <w:bCs/>
                <w:color w:val="auto"/>
                <w:kern w:val="21"/>
                <w:szCs w:val="21"/>
              </w:rPr>
              <w:t>达标</w:t>
            </w:r>
          </w:p>
        </w:tc>
      </w:tr>
      <w:tr w14:paraId="031169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737CA47E">
            <w:pPr>
              <w:tabs>
                <w:tab w:val="left" w:pos="0"/>
              </w:tabs>
              <w:adjustRightInd w:val="0"/>
              <w:snapToGrid w:val="0"/>
              <w:ind w:firstLine="0" w:firstLineChars="0"/>
              <w:jc w:val="center"/>
              <w:rPr>
                <w:bCs/>
                <w:color w:val="auto"/>
                <w:kern w:val="21"/>
                <w:szCs w:val="21"/>
              </w:rPr>
            </w:pPr>
          </w:p>
        </w:tc>
        <w:tc>
          <w:tcPr>
            <w:tcW w:w="1207" w:type="dxa"/>
            <w:vAlign w:val="center"/>
          </w:tcPr>
          <w:p w14:paraId="0099D8E5">
            <w:pPr>
              <w:tabs>
                <w:tab w:val="left" w:pos="0"/>
              </w:tabs>
              <w:adjustRightInd w:val="0"/>
              <w:snapToGrid w:val="0"/>
              <w:ind w:firstLine="0" w:firstLineChars="0"/>
              <w:jc w:val="center"/>
              <w:rPr>
                <w:bCs/>
                <w:color w:val="auto"/>
                <w:kern w:val="21"/>
                <w:szCs w:val="21"/>
              </w:rPr>
            </w:pPr>
            <w:r>
              <w:rPr>
                <w:rFonts w:hint="eastAsia"/>
                <w:bCs/>
                <w:color w:val="auto"/>
                <w:kern w:val="21"/>
                <w:szCs w:val="21"/>
              </w:rPr>
              <w:t>矿粉</w:t>
            </w:r>
            <w:r>
              <w:rPr>
                <w:bCs/>
                <w:color w:val="auto"/>
                <w:kern w:val="21"/>
                <w:szCs w:val="21"/>
              </w:rPr>
              <w:t>筒仓</w:t>
            </w:r>
            <w:r>
              <w:rPr>
                <w:rFonts w:hint="eastAsia"/>
                <w:bCs/>
                <w:color w:val="auto"/>
                <w:kern w:val="21"/>
                <w:szCs w:val="21"/>
              </w:rPr>
              <w:t>（7#）</w:t>
            </w:r>
          </w:p>
        </w:tc>
        <w:tc>
          <w:tcPr>
            <w:tcW w:w="487" w:type="dxa"/>
            <w:vMerge w:val="continue"/>
            <w:vAlign w:val="center"/>
          </w:tcPr>
          <w:p w14:paraId="2760F26A">
            <w:pPr>
              <w:tabs>
                <w:tab w:val="left" w:pos="0"/>
              </w:tabs>
              <w:adjustRightInd w:val="0"/>
              <w:snapToGrid w:val="0"/>
              <w:ind w:firstLine="0" w:firstLineChars="0"/>
              <w:jc w:val="center"/>
              <w:rPr>
                <w:bCs/>
                <w:color w:val="auto"/>
                <w:kern w:val="21"/>
                <w:szCs w:val="21"/>
              </w:rPr>
            </w:pPr>
          </w:p>
        </w:tc>
        <w:tc>
          <w:tcPr>
            <w:tcW w:w="942" w:type="dxa"/>
            <w:tcBorders>
              <w:top w:val="single" w:color="000000" w:sz="4" w:space="0"/>
            </w:tcBorders>
            <w:vAlign w:val="center"/>
          </w:tcPr>
          <w:p w14:paraId="0D6DF406">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6.864</w:t>
            </w:r>
          </w:p>
        </w:tc>
        <w:tc>
          <w:tcPr>
            <w:tcW w:w="1965" w:type="dxa"/>
            <w:vAlign w:val="center"/>
          </w:tcPr>
          <w:p w14:paraId="1AEFBA1D">
            <w:pPr>
              <w:pStyle w:val="20"/>
              <w:spacing w:after="0"/>
              <w:ind w:firstLine="0" w:firstLineChars="0"/>
              <w:jc w:val="center"/>
              <w:rPr>
                <w:bCs/>
                <w:color w:val="auto"/>
                <w:kern w:val="21"/>
                <w:szCs w:val="21"/>
              </w:rPr>
            </w:pPr>
            <w:r>
              <w:rPr>
                <w:rFonts w:hint="eastAsia"/>
                <w:color w:val="auto"/>
                <w:szCs w:val="21"/>
              </w:rPr>
              <w:t>有组织，DA00</w:t>
            </w:r>
            <w:r>
              <w:rPr>
                <w:rFonts w:hint="eastAsia"/>
                <w:color w:val="auto"/>
                <w:szCs w:val="21"/>
                <w:lang w:val="en-US" w:eastAsia="zh-CN"/>
              </w:rPr>
              <w:t>6</w:t>
            </w:r>
            <w:r>
              <w:rPr>
                <w:rFonts w:hint="eastAsia"/>
                <w:color w:val="auto"/>
                <w:szCs w:val="21"/>
              </w:rPr>
              <w:t>矿粉</w:t>
            </w:r>
            <w:r>
              <w:rPr>
                <w:color w:val="auto"/>
                <w:szCs w:val="21"/>
              </w:rPr>
              <w:t>筒仓仓顶</w:t>
            </w:r>
            <w:r>
              <w:rPr>
                <w:rFonts w:hint="eastAsia"/>
                <w:color w:val="auto"/>
                <w:szCs w:val="21"/>
              </w:rPr>
              <w:t>排放</w:t>
            </w:r>
            <w:r>
              <w:rPr>
                <w:color w:val="auto"/>
                <w:szCs w:val="21"/>
              </w:rPr>
              <w:t>口</w:t>
            </w:r>
          </w:p>
        </w:tc>
        <w:tc>
          <w:tcPr>
            <w:tcW w:w="1485" w:type="dxa"/>
            <w:vAlign w:val="center"/>
          </w:tcPr>
          <w:p w14:paraId="2CF59A57">
            <w:pPr>
              <w:tabs>
                <w:tab w:val="left" w:pos="0"/>
              </w:tabs>
              <w:adjustRightInd w:val="0"/>
              <w:snapToGrid w:val="0"/>
              <w:ind w:firstLine="0" w:firstLineChars="0"/>
              <w:jc w:val="center"/>
              <w:rPr>
                <w:bCs/>
                <w:color w:val="auto"/>
                <w:kern w:val="21"/>
                <w:szCs w:val="21"/>
              </w:rPr>
            </w:pPr>
            <w:r>
              <w:rPr>
                <w:bCs/>
                <w:color w:val="auto"/>
                <w:kern w:val="21"/>
                <w:szCs w:val="21"/>
              </w:rPr>
              <w:t>布袋</w:t>
            </w:r>
          </w:p>
          <w:p w14:paraId="0526F57A">
            <w:pPr>
              <w:tabs>
                <w:tab w:val="left" w:pos="0"/>
              </w:tabs>
              <w:adjustRightInd w:val="0"/>
              <w:snapToGrid w:val="0"/>
              <w:ind w:firstLine="0" w:firstLineChars="0"/>
              <w:jc w:val="center"/>
              <w:rPr>
                <w:bCs/>
                <w:color w:val="auto"/>
                <w:kern w:val="21"/>
                <w:szCs w:val="21"/>
              </w:rPr>
            </w:pPr>
            <w:r>
              <w:rPr>
                <w:bCs/>
                <w:color w:val="auto"/>
                <w:kern w:val="21"/>
                <w:szCs w:val="21"/>
              </w:rPr>
              <w:t>除尘器</w:t>
            </w:r>
            <w:r>
              <w:rPr>
                <w:rFonts w:hint="eastAsia"/>
                <w:bCs/>
                <w:color w:val="auto"/>
                <w:kern w:val="21"/>
                <w:szCs w:val="21"/>
                <w:lang w:val="en-US" w:eastAsia="zh-CN"/>
              </w:rPr>
              <w:t>6</w:t>
            </w:r>
            <w:r>
              <w:rPr>
                <w:rFonts w:hint="eastAsia"/>
                <w:bCs/>
                <w:color w:val="auto"/>
                <w:kern w:val="21"/>
                <w:szCs w:val="21"/>
              </w:rPr>
              <w:t>#</w:t>
            </w:r>
          </w:p>
        </w:tc>
        <w:tc>
          <w:tcPr>
            <w:tcW w:w="1290" w:type="dxa"/>
            <w:vMerge w:val="continue"/>
            <w:vAlign w:val="center"/>
          </w:tcPr>
          <w:p w14:paraId="639A4F1D">
            <w:pPr>
              <w:tabs>
                <w:tab w:val="left" w:pos="0"/>
              </w:tabs>
              <w:adjustRightInd w:val="0"/>
              <w:snapToGrid w:val="0"/>
              <w:ind w:firstLine="0" w:firstLineChars="0"/>
              <w:jc w:val="center"/>
              <w:rPr>
                <w:bCs/>
                <w:color w:val="auto"/>
                <w:kern w:val="21"/>
                <w:szCs w:val="21"/>
              </w:rPr>
            </w:pPr>
          </w:p>
        </w:tc>
        <w:tc>
          <w:tcPr>
            <w:tcW w:w="1080" w:type="dxa"/>
            <w:vMerge w:val="continue"/>
            <w:vAlign w:val="center"/>
          </w:tcPr>
          <w:p w14:paraId="450376C5">
            <w:pPr>
              <w:tabs>
                <w:tab w:val="left" w:pos="0"/>
              </w:tabs>
              <w:adjustRightInd w:val="0"/>
              <w:snapToGrid w:val="0"/>
              <w:ind w:firstLine="0" w:firstLineChars="0"/>
              <w:jc w:val="center"/>
              <w:rPr>
                <w:bCs/>
                <w:color w:val="auto"/>
                <w:kern w:val="21"/>
                <w:szCs w:val="21"/>
              </w:rPr>
            </w:pPr>
          </w:p>
        </w:tc>
        <w:tc>
          <w:tcPr>
            <w:tcW w:w="945" w:type="dxa"/>
            <w:vAlign w:val="center"/>
          </w:tcPr>
          <w:p w14:paraId="720AAA47">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0.02056</w:t>
            </w:r>
          </w:p>
        </w:tc>
        <w:tc>
          <w:tcPr>
            <w:tcW w:w="1125" w:type="dxa"/>
            <w:vAlign w:val="center"/>
          </w:tcPr>
          <w:p w14:paraId="4F6B8032">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125" w:type="dxa"/>
            <w:vAlign w:val="center"/>
          </w:tcPr>
          <w:p w14:paraId="21E20793">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7.71</w:t>
            </w:r>
          </w:p>
        </w:tc>
        <w:tc>
          <w:tcPr>
            <w:tcW w:w="1144" w:type="dxa"/>
            <w:vAlign w:val="center"/>
          </w:tcPr>
          <w:p w14:paraId="5E8C050A">
            <w:pPr>
              <w:tabs>
                <w:tab w:val="left" w:pos="0"/>
              </w:tabs>
              <w:adjustRightInd w:val="0"/>
              <w:snapToGrid w:val="0"/>
              <w:ind w:firstLine="0" w:firstLineChars="0"/>
              <w:jc w:val="center"/>
              <w:rPr>
                <w:bCs/>
                <w:color w:val="auto"/>
                <w:kern w:val="21"/>
                <w:szCs w:val="21"/>
              </w:rPr>
            </w:pPr>
            <w:r>
              <w:rPr>
                <w:rFonts w:hint="eastAsia"/>
                <w:bCs/>
                <w:color w:val="auto"/>
                <w:kern w:val="21"/>
                <w:szCs w:val="21"/>
              </w:rPr>
              <w:t>20</w:t>
            </w:r>
          </w:p>
        </w:tc>
        <w:tc>
          <w:tcPr>
            <w:tcW w:w="690" w:type="dxa"/>
            <w:vAlign w:val="center"/>
          </w:tcPr>
          <w:p w14:paraId="21F98F6F">
            <w:pPr>
              <w:tabs>
                <w:tab w:val="left" w:pos="0"/>
              </w:tabs>
              <w:adjustRightInd w:val="0"/>
              <w:snapToGrid w:val="0"/>
              <w:ind w:firstLine="0" w:firstLineChars="0"/>
              <w:jc w:val="center"/>
              <w:rPr>
                <w:bCs/>
                <w:color w:val="auto"/>
                <w:kern w:val="21"/>
                <w:szCs w:val="21"/>
              </w:rPr>
            </w:pPr>
            <w:r>
              <w:rPr>
                <w:rFonts w:hint="eastAsia"/>
                <w:bCs/>
                <w:color w:val="auto"/>
                <w:kern w:val="21"/>
                <w:szCs w:val="21"/>
              </w:rPr>
              <w:t>达标</w:t>
            </w:r>
          </w:p>
        </w:tc>
      </w:tr>
      <w:tr w14:paraId="53C371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67F012BD">
            <w:pPr>
              <w:tabs>
                <w:tab w:val="left" w:pos="0"/>
              </w:tabs>
              <w:adjustRightInd w:val="0"/>
              <w:snapToGrid w:val="0"/>
              <w:ind w:firstLine="0" w:firstLineChars="0"/>
              <w:jc w:val="center"/>
              <w:rPr>
                <w:bCs/>
                <w:color w:val="auto"/>
                <w:kern w:val="21"/>
                <w:szCs w:val="21"/>
              </w:rPr>
            </w:pPr>
          </w:p>
        </w:tc>
        <w:tc>
          <w:tcPr>
            <w:tcW w:w="1207" w:type="dxa"/>
            <w:vAlign w:val="center"/>
          </w:tcPr>
          <w:p w14:paraId="4AE786C5">
            <w:pPr>
              <w:tabs>
                <w:tab w:val="left" w:pos="0"/>
              </w:tabs>
              <w:adjustRightInd w:val="0"/>
              <w:snapToGrid w:val="0"/>
              <w:ind w:firstLine="0" w:firstLineChars="0"/>
              <w:jc w:val="center"/>
              <w:rPr>
                <w:rFonts w:hint="eastAsia" w:eastAsia="宋体"/>
                <w:bCs/>
                <w:color w:val="auto"/>
                <w:kern w:val="21"/>
                <w:sz w:val="21"/>
                <w:szCs w:val="21"/>
                <w:lang w:val="en-US" w:eastAsia="zh-CN"/>
              </w:rPr>
            </w:pPr>
            <w:r>
              <w:rPr>
                <w:color w:val="auto"/>
                <w:kern w:val="0"/>
                <w:sz w:val="21"/>
                <w:szCs w:val="21"/>
                <w:lang w:bidi="en-US"/>
              </w:rPr>
              <w:t>砂石料堆</w:t>
            </w:r>
            <w:r>
              <w:rPr>
                <w:rFonts w:hint="eastAsia"/>
                <w:color w:val="auto"/>
                <w:kern w:val="0"/>
                <w:sz w:val="21"/>
                <w:szCs w:val="21"/>
                <w:lang w:val="en-US" w:eastAsia="zh-CN" w:bidi="en-US"/>
              </w:rPr>
              <w:t>逸散</w:t>
            </w:r>
          </w:p>
        </w:tc>
        <w:tc>
          <w:tcPr>
            <w:tcW w:w="487" w:type="dxa"/>
            <w:vMerge w:val="continue"/>
            <w:vAlign w:val="center"/>
          </w:tcPr>
          <w:p w14:paraId="03B0A72E">
            <w:pPr>
              <w:tabs>
                <w:tab w:val="left" w:pos="0"/>
              </w:tabs>
              <w:adjustRightInd w:val="0"/>
              <w:snapToGrid w:val="0"/>
              <w:ind w:firstLine="0" w:firstLineChars="0"/>
              <w:jc w:val="center"/>
              <w:rPr>
                <w:bCs/>
                <w:color w:val="auto"/>
                <w:kern w:val="21"/>
                <w:szCs w:val="21"/>
              </w:rPr>
            </w:pPr>
          </w:p>
        </w:tc>
        <w:tc>
          <w:tcPr>
            <w:tcW w:w="942" w:type="dxa"/>
            <w:vAlign w:val="center"/>
          </w:tcPr>
          <w:p w14:paraId="444ECAC4">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 w:val="21"/>
                <w:szCs w:val="21"/>
              </w:rPr>
              <w:t>0.00003</w:t>
            </w:r>
            <w:r>
              <w:rPr>
                <w:rFonts w:hint="eastAsia"/>
                <w:bCs/>
                <w:color w:val="auto"/>
                <w:kern w:val="21"/>
                <w:sz w:val="21"/>
                <w:szCs w:val="21"/>
                <w:lang w:val="en-US" w:eastAsia="zh-CN"/>
              </w:rPr>
              <w:t>78</w:t>
            </w:r>
          </w:p>
        </w:tc>
        <w:tc>
          <w:tcPr>
            <w:tcW w:w="1965" w:type="dxa"/>
            <w:vMerge w:val="restart"/>
            <w:vAlign w:val="center"/>
          </w:tcPr>
          <w:p w14:paraId="1AD0AD06">
            <w:pPr>
              <w:tabs>
                <w:tab w:val="left" w:pos="0"/>
              </w:tabs>
              <w:adjustRightInd w:val="0"/>
              <w:snapToGrid w:val="0"/>
              <w:ind w:firstLine="0" w:firstLineChars="0"/>
              <w:jc w:val="center"/>
              <w:rPr>
                <w:bCs/>
                <w:color w:val="auto"/>
                <w:kern w:val="21"/>
                <w:szCs w:val="21"/>
              </w:rPr>
            </w:pPr>
            <w:r>
              <w:rPr>
                <w:bCs/>
                <w:color w:val="auto"/>
                <w:kern w:val="21"/>
                <w:szCs w:val="21"/>
              </w:rPr>
              <w:t>无组织</w:t>
            </w:r>
          </w:p>
        </w:tc>
        <w:tc>
          <w:tcPr>
            <w:tcW w:w="1485" w:type="dxa"/>
            <w:vMerge w:val="restart"/>
            <w:vAlign w:val="center"/>
          </w:tcPr>
          <w:p w14:paraId="2C7D6D75">
            <w:pPr>
              <w:tabs>
                <w:tab w:val="left" w:pos="0"/>
              </w:tabs>
              <w:adjustRightInd w:val="0"/>
              <w:snapToGrid w:val="0"/>
              <w:ind w:firstLine="0" w:firstLineChars="0"/>
              <w:jc w:val="center"/>
              <w:rPr>
                <w:bCs/>
                <w:color w:val="auto"/>
                <w:kern w:val="21"/>
                <w:szCs w:val="21"/>
              </w:rPr>
            </w:pPr>
            <w:r>
              <w:rPr>
                <w:color w:val="auto"/>
                <w:spacing w:val="8"/>
              </w:rPr>
              <w:t>堆棚半封闭，料堆三面</w:t>
            </w:r>
            <w:r>
              <w:rPr>
                <w:color w:val="auto"/>
                <w:spacing w:val="6"/>
              </w:rPr>
              <w:t>围挡</w:t>
            </w:r>
            <w:r>
              <w:rPr>
                <w:rFonts w:hint="eastAsia"/>
                <w:color w:val="auto"/>
                <w:spacing w:val="6"/>
                <w:lang w:val="en-US" w:eastAsia="zh-CN"/>
              </w:rPr>
              <w:t>+顶棚</w:t>
            </w:r>
            <w:r>
              <w:rPr>
                <w:color w:val="auto"/>
                <w:spacing w:val="6"/>
              </w:rPr>
              <w:t>，设置喷淋措施</w:t>
            </w:r>
          </w:p>
        </w:tc>
        <w:tc>
          <w:tcPr>
            <w:tcW w:w="1290" w:type="dxa"/>
            <w:vMerge w:val="restart"/>
            <w:vAlign w:val="center"/>
          </w:tcPr>
          <w:p w14:paraId="111B82EF">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89.6%</w:t>
            </w:r>
          </w:p>
        </w:tc>
        <w:tc>
          <w:tcPr>
            <w:tcW w:w="1080" w:type="dxa"/>
            <w:vMerge w:val="restart"/>
            <w:vAlign w:val="center"/>
          </w:tcPr>
          <w:p w14:paraId="7DD6F69A">
            <w:pPr>
              <w:tabs>
                <w:tab w:val="left" w:pos="0"/>
              </w:tabs>
              <w:adjustRightInd w:val="0"/>
              <w:snapToGrid w:val="0"/>
              <w:ind w:firstLine="0" w:firstLineChars="0"/>
              <w:jc w:val="center"/>
              <w:rPr>
                <w:bCs/>
                <w:color w:val="auto"/>
                <w:kern w:val="21"/>
                <w:szCs w:val="21"/>
              </w:rPr>
            </w:pPr>
            <w:r>
              <w:rPr>
                <w:bCs/>
                <w:color w:val="auto"/>
                <w:kern w:val="21"/>
                <w:szCs w:val="21"/>
              </w:rPr>
              <w:t>是</w:t>
            </w:r>
          </w:p>
        </w:tc>
        <w:tc>
          <w:tcPr>
            <w:tcW w:w="945" w:type="dxa"/>
            <w:vAlign w:val="center"/>
          </w:tcPr>
          <w:p w14:paraId="506D3497">
            <w:pPr>
              <w:tabs>
                <w:tab w:val="left" w:pos="0"/>
              </w:tabs>
              <w:adjustRightInd w:val="0"/>
              <w:snapToGrid w:val="0"/>
              <w:ind w:firstLine="0" w:firstLineChars="0"/>
              <w:jc w:val="center"/>
              <w:rPr>
                <w:bCs/>
                <w:color w:val="auto"/>
                <w:kern w:val="21"/>
                <w:sz w:val="21"/>
                <w:szCs w:val="21"/>
              </w:rPr>
            </w:pPr>
            <w:r>
              <w:rPr>
                <w:rFonts w:hint="eastAsia"/>
                <w:bCs/>
                <w:color w:val="auto"/>
                <w:kern w:val="21"/>
                <w:sz w:val="21"/>
                <w:szCs w:val="21"/>
              </w:rPr>
              <w:t>0.00000393</w:t>
            </w:r>
          </w:p>
        </w:tc>
        <w:tc>
          <w:tcPr>
            <w:tcW w:w="1125" w:type="dxa"/>
            <w:vAlign w:val="center"/>
          </w:tcPr>
          <w:p w14:paraId="2B41887F">
            <w:pPr>
              <w:tabs>
                <w:tab w:val="left" w:pos="0"/>
              </w:tabs>
              <w:adjustRightInd w:val="0"/>
              <w:snapToGrid w:val="0"/>
              <w:ind w:firstLine="0" w:firstLineChars="0"/>
              <w:jc w:val="center"/>
              <w:rPr>
                <w:bCs/>
                <w:color w:val="auto"/>
                <w:kern w:val="21"/>
                <w:sz w:val="21"/>
                <w:szCs w:val="21"/>
              </w:rPr>
            </w:pPr>
            <w:r>
              <w:rPr>
                <w:rFonts w:hint="eastAsia"/>
                <w:bCs/>
                <w:color w:val="auto"/>
                <w:kern w:val="21"/>
                <w:sz w:val="21"/>
                <w:szCs w:val="21"/>
              </w:rPr>
              <w:t>0.00000164</w:t>
            </w:r>
          </w:p>
        </w:tc>
        <w:tc>
          <w:tcPr>
            <w:tcW w:w="1125" w:type="dxa"/>
            <w:vAlign w:val="center"/>
          </w:tcPr>
          <w:p w14:paraId="45033070">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144" w:type="dxa"/>
            <w:vMerge w:val="restart"/>
            <w:vAlign w:val="center"/>
          </w:tcPr>
          <w:p w14:paraId="6D22BA7F">
            <w:pPr>
              <w:tabs>
                <w:tab w:val="left" w:pos="0"/>
              </w:tabs>
              <w:adjustRightInd w:val="0"/>
              <w:snapToGrid w:val="0"/>
              <w:ind w:firstLine="0" w:firstLineChars="0"/>
              <w:jc w:val="center"/>
              <w:rPr>
                <w:rFonts w:hint="eastAsia" w:eastAsia="宋体"/>
                <w:bCs/>
                <w:color w:val="auto"/>
                <w:kern w:val="21"/>
                <w:szCs w:val="21"/>
                <w:lang w:val="en-US" w:eastAsia="zh-CN"/>
              </w:rPr>
            </w:pPr>
            <w:r>
              <w:rPr>
                <w:rFonts w:hint="eastAsia"/>
                <w:bCs/>
                <w:color w:val="auto"/>
                <w:kern w:val="21"/>
                <w:szCs w:val="21"/>
              </w:rPr>
              <w:t>0.5</w:t>
            </w:r>
          </w:p>
        </w:tc>
        <w:tc>
          <w:tcPr>
            <w:tcW w:w="690" w:type="dxa"/>
            <w:vAlign w:val="center"/>
          </w:tcPr>
          <w:p w14:paraId="052D78C1">
            <w:pPr>
              <w:tabs>
                <w:tab w:val="left" w:pos="0"/>
              </w:tabs>
              <w:adjustRightInd w:val="0"/>
              <w:snapToGrid w:val="0"/>
              <w:ind w:firstLine="0" w:firstLineChars="0"/>
              <w:jc w:val="center"/>
              <w:rPr>
                <w:rFonts w:hint="eastAsia" w:eastAsia="宋体"/>
                <w:bCs/>
                <w:color w:val="auto"/>
                <w:kern w:val="21"/>
                <w:szCs w:val="21"/>
                <w:lang w:eastAsia="zh-CN"/>
              </w:rPr>
            </w:pPr>
            <w:r>
              <w:rPr>
                <w:rFonts w:hint="eastAsia"/>
                <w:bCs/>
                <w:color w:val="auto"/>
                <w:kern w:val="21"/>
                <w:szCs w:val="21"/>
                <w:lang w:val="en-US" w:eastAsia="zh-CN"/>
              </w:rPr>
              <w:t>/</w:t>
            </w:r>
          </w:p>
        </w:tc>
      </w:tr>
      <w:tr w14:paraId="6D9D51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0C086D79">
            <w:pPr>
              <w:tabs>
                <w:tab w:val="left" w:pos="0"/>
              </w:tabs>
              <w:adjustRightInd w:val="0"/>
              <w:snapToGrid w:val="0"/>
              <w:ind w:firstLine="0" w:firstLineChars="0"/>
              <w:jc w:val="center"/>
              <w:rPr>
                <w:bCs/>
                <w:color w:val="auto"/>
                <w:kern w:val="21"/>
                <w:szCs w:val="21"/>
              </w:rPr>
            </w:pPr>
          </w:p>
        </w:tc>
        <w:tc>
          <w:tcPr>
            <w:tcW w:w="1207" w:type="dxa"/>
            <w:vAlign w:val="center"/>
          </w:tcPr>
          <w:p w14:paraId="269B485A">
            <w:pPr>
              <w:tabs>
                <w:tab w:val="left" w:pos="0"/>
              </w:tabs>
              <w:adjustRightInd w:val="0"/>
              <w:snapToGrid w:val="0"/>
              <w:ind w:firstLine="0" w:firstLineChars="0"/>
              <w:jc w:val="center"/>
              <w:rPr>
                <w:bCs/>
                <w:color w:val="auto"/>
                <w:kern w:val="21"/>
                <w:sz w:val="21"/>
                <w:szCs w:val="21"/>
              </w:rPr>
            </w:pPr>
            <w:r>
              <w:rPr>
                <w:color w:val="auto"/>
                <w:spacing w:val="-1"/>
                <w:sz w:val="21"/>
                <w:szCs w:val="21"/>
              </w:rPr>
              <w:t>砂石料上料</w:t>
            </w:r>
          </w:p>
        </w:tc>
        <w:tc>
          <w:tcPr>
            <w:tcW w:w="487" w:type="dxa"/>
            <w:vMerge w:val="continue"/>
            <w:vAlign w:val="center"/>
          </w:tcPr>
          <w:p w14:paraId="768683E6">
            <w:pPr>
              <w:tabs>
                <w:tab w:val="left" w:pos="0"/>
              </w:tabs>
              <w:adjustRightInd w:val="0"/>
              <w:snapToGrid w:val="0"/>
              <w:ind w:firstLine="0" w:firstLineChars="0"/>
              <w:jc w:val="center"/>
              <w:rPr>
                <w:bCs/>
                <w:color w:val="auto"/>
                <w:kern w:val="21"/>
                <w:szCs w:val="21"/>
              </w:rPr>
            </w:pPr>
          </w:p>
        </w:tc>
        <w:tc>
          <w:tcPr>
            <w:tcW w:w="942" w:type="dxa"/>
            <w:vAlign w:val="center"/>
          </w:tcPr>
          <w:p w14:paraId="4CF63811">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 w:val="21"/>
                <w:szCs w:val="21"/>
              </w:rPr>
              <w:t>0.00003</w:t>
            </w:r>
            <w:r>
              <w:rPr>
                <w:rFonts w:hint="eastAsia"/>
                <w:bCs/>
                <w:color w:val="auto"/>
                <w:kern w:val="21"/>
                <w:sz w:val="21"/>
                <w:szCs w:val="21"/>
                <w:lang w:val="en-US" w:eastAsia="zh-CN"/>
              </w:rPr>
              <w:t>78</w:t>
            </w:r>
          </w:p>
        </w:tc>
        <w:tc>
          <w:tcPr>
            <w:tcW w:w="1965" w:type="dxa"/>
            <w:vMerge w:val="continue"/>
            <w:vAlign w:val="center"/>
          </w:tcPr>
          <w:p w14:paraId="7DA51623">
            <w:pPr>
              <w:tabs>
                <w:tab w:val="left" w:pos="0"/>
              </w:tabs>
              <w:adjustRightInd w:val="0"/>
              <w:snapToGrid w:val="0"/>
              <w:ind w:firstLine="0" w:firstLineChars="0"/>
              <w:jc w:val="center"/>
              <w:rPr>
                <w:bCs/>
                <w:color w:val="auto"/>
                <w:kern w:val="21"/>
                <w:szCs w:val="21"/>
              </w:rPr>
            </w:pPr>
          </w:p>
        </w:tc>
        <w:tc>
          <w:tcPr>
            <w:tcW w:w="1485" w:type="dxa"/>
            <w:vMerge w:val="continue"/>
            <w:vAlign w:val="center"/>
          </w:tcPr>
          <w:p w14:paraId="1CF62AA5">
            <w:pPr>
              <w:tabs>
                <w:tab w:val="left" w:pos="0"/>
              </w:tabs>
              <w:adjustRightInd w:val="0"/>
              <w:snapToGrid w:val="0"/>
              <w:ind w:firstLine="0" w:firstLineChars="0"/>
              <w:jc w:val="center"/>
              <w:rPr>
                <w:bCs/>
                <w:color w:val="auto"/>
                <w:kern w:val="21"/>
                <w:szCs w:val="21"/>
              </w:rPr>
            </w:pPr>
          </w:p>
        </w:tc>
        <w:tc>
          <w:tcPr>
            <w:tcW w:w="1290" w:type="dxa"/>
            <w:vMerge w:val="continue"/>
            <w:vAlign w:val="center"/>
          </w:tcPr>
          <w:p w14:paraId="02FBBBB1">
            <w:pPr>
              <w:tabs>
                <w:tab w:val="left" w:pos="0"/>
              </w:tabs>
              <w:adjustRightInd w:val="0"/>
              <w:snapToGrid w:val="0"/>
              <w:ind w:firstLine="0" w:firstLineChars="0"/>
              <w:jc w:val="center"/>
              <w:rPr>
                <w:bCs/>
                <w:color w:val="auto"/>
                <w:kern w:val="21"/>
                <w:szCs w:val="21"/>
              </w:rPr>
            </w:pPr>
          </w:p>
        </w:tc>
        <w:tc>
          <w:tcPr>
            <w:tcW w:w="1080" w:type="dxa"/>
            <w:vMerge w:val="continue"/>
            <w:vAlign w:val="center"/>
          </w:tcPr>
          <w:p w14:paraId="1C8AE7FE">
            <w:pPr>
              <w:tabs>
                <w:tab w:val="left" w:pos="0"/>
              </w:tabs>
              <w:adjustRightInd w:val="0"/>
              <w:snapToGrid w:val="0"/>
              <w:ind w:firstLine="0" w:firstLineChars="0"/>
              <w:jc w:val="center"/>
              <w:rPr>
                <w:bCs/>
                <w:color w:val="auto"/>
                <w:kern w:val="21"/>
                <w:szCs w:val="21"/>
              </w:rPr>
            </w:pPr>
          </w:p>
        </w:tc>
        <w:tc>
          <w:tcPr>
            <w:tcW w:w="945" w:type="dxa"/>
            <w:vAlign w:val="center"/>
          </w:tcPr>
          <w:p w14:paraId="7F4B3863">
            <w:pPr>
              <w:tabs>
                <w:tab w:val="left" w:pos="0"/>
              </w:tabs>
              <w:adjustRightInd w:val="0"/>
              <w:snapToGrid w:val="0"/>
              <w:ind w:firstLine="0" w:firstLineChars="0"/>
              <w:jc w:val="center"/>
              <w:rPr>
                <w:rFonts w:hint="eastAsia"/>
                <w:bCs/>
                <w:color w:val="auto"/>
                <w:kern w:val="21"/>
                <w:sz w:val="21"/>
                <w:szCs w:val="21"/>
              </w:rPr>
            </w:pPr>
            <w:r>
              <w:rPr>
                <w:rFonts w:hint="eastAsia"/>
                <w:bCs/>
                <w:color w:val="auto"/>
                <w:kern w:val="21"/>
                <w:sz w:val="21"/>
                <w:szCs w:val="21"/>
              </w:rPr>
              <w:t>0.00000393</w:t>
            </w:r>
          </w:p>
        </w:tc>
        <w:tc>
          <w:tcPr>
            <w:tcW w:w="1125" w:type="dxa"/>
            <w:vAlign w:val="center"/>
          </w:tcPr>
          <w:p w14:paraId="5B593912">
            <w:pPr>
              <w:tabs>
                <w:tab w:val="left" w:pos="0"/>
              </w:tabs>
              <w:adjustRightInd w:val="0"/>
              <w:snapToGrid w:val="0"/>
              <w:ind w:firstLine="0" w:firstLineChars="0"/>
              <w:jc w:val="center"/>
              <w:rPr>
                <w:rFonts w:hint="eastAsia"/>
                <w:bCs/>
                <w:color w:val="auto"/>
                <w:kern w:val="21"/>
                <w:sz w:val="21"/>
                <w:szCs w:val="21"/>
              </w:rPr>
            </w:pPr>
            <w:r>
              <w:rPr>
                <w:rFonts w:hint="eastAsia"/>
                <w:bCs/>
                <w:color w:val="auto"/>
                <w:kern w:val="21"/>
                <w:sz w:val="21"/>
                <w:szCs w:val="21"/>
              </w:rPr>
              <w:t>0.00000164</w:t>
            </w:r>
          </w:p>
        </w:tc>
        <w:tc>
          <w:tcPr>
            <w:tcW w:w="1125" w:type="dxa"/>
            <w:vAlign w:val="center"/>
          </w:tcPr>
          <w:p w14:paraId="3342FD0E">
            <w:pPr>
              <w:tabs>
                <w:tab w:val="left" w:pos="0"/>
              </w:tabs>
              <w:adjustRightInd w:val="0"/>
              <w:snapToGrid w:val="0"/>
              <w:ind w:firstLine="0" w:firstLineChars="0"/>
              <w:jc w:val="center"/>
              <w:rPr>
                <w:rFonts w:hint="eastAsia" w:eastAsia="宋体"/>
                <w:bCs/>
                <w:color w:val="auto"/>
                <w:kern w:val="21"/>
                <w:szCs w:val="21"/>
                <w:lang w:val="en-US" w:eastAsia="zh-CN"/>
              </w:rPr>
            </w:pPr>
            <w:r>
              <w:rPr>
                <w:rFonts w:hint="eastAsia"/>
                <w:bCs/>
                <w:color w:val="auto"/>
                <w:kern w:val="21"/>
                <w:szCs w:val="21"/>
                <w:lang w:val="en-US" w:eastAsia="zh-CN"/>
              </w:rPr>
              <w:t>/</w:t>
            </w:r>
          </w:p>
        </w:tc>
        <w:tc>
          <w:tcPr>
            <w:tcW w:w="1144" w:type="dxa"/>
            <w:vMerge w:val="continue"/>
            <w:vAlign w:val="center"/>
          </w:tcPr>
          <w:p w14:paraId="0B8B72DF">
            <w:pPr>
              <w:tabs>
                <w:tab w:val="left" w:pos="0"/>
              </w:tabs>
              <w:adjustRightInd w:val="0"/>
              <w:snapToGrid w:val="0"/>
              <w:ind w:firstLine="0" w:firstLineChars="0"/>
              <w:jc w:val="center"/>
              <w:rPr>
                <w:rFonts w:hint="eastAsia" w:eastAsia="宋体"/>
                <w:bCs/>
                <w:color w:val="auto"/>
                <w:kern w:val="21"/>
                <w:szCs w:val="21"/>
                <w:lang w:val="en-US" w:eastAsia="zh-CN"/>
              </w:rPr>
            </w:pPr>
          </w:p>
        </w:tc>
        <w:tc>
          <w:tcPr>
            <w:tcW w:w="690" w:type="dxa"/>
            <w:vAlign w:val="center"/>
          </w:tcPr>
          <w:p w14:paraId="33E98EFF">
            <w:pPr>
              <w:tabs>
                <w:tab w:val="left" w:pos="0"/>
              </w:tabs>
              <w:adjustRightInd w:val="0"/>
              <w:snapToGrid w:val="0"/>
              <w:ind w:firstLine="0" w:firstLineChars="0"/>
              <w:jc w:val="center"/>
              <w:rPr>
                <w:rFonts w:hint="eastAsia" w:eastAsia="宋体"/>
                <w:bCs/>
                <w:color w:val="auto"/>
                <w:kern w:val="21"/>
                <w:szCs w:val="21"/>
                <w:lang w:val="en-US" w:eastAsia="zh-CN"/>
              </w:rPr>
            </w:pPr>
            <w:r>
              <w:rPr>
                <w:rFonts w:hint="eastAsia"/>
                <w:bCs/>
                <w:color w:val="auto"/>
                <w:kern w:val="21"/>
                <w:szCs w:val="21"/>
                <w:lang w:val="en-US" w:eastAsia="zh-CN"/>
              </w:rPr>
              <w:t>/</w:t>
            </w:r>
          </w:p>
        </w:tc>
      </w:tr>
      <w:tr w14:paraId="62FAEC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7C214CC0">
            <w:pPr>
              <w:tabs>
                <w:tab w:val="left" w:pos="0"/>
              </w:tabs>
              <w:adjustRightInd w:val="0"/>
              <w:snapToGrid w:val="0"/>
              <w:ind w:firstLine="0" w:firstLineChars="0"/>
              <w:jc w:val="center"/>
              <w:rPr>
                <w:bCs/>
                <w:color w:val="auto"/>
                <w:kern w:val="21"/>
                <w:szCs w:val="21"/>
              </w:rPr>
            </w:pPr>
          </w:p>
        </w:tc>
        <w:tc>
          <w:tcPr>
            <w:tcW w:w="1207" w:type="dxa"/>
            <w:vAlign w:val="center"/>
          </w:tcPr>
          <w:p w14:paraId="223597B1">
            <w:pPr>
              <w:tabs>
                <w:tab w:val="left" w:pos="0"/>
              </w:tabs>
              <w:adjustRightInd w:val="0"/>
              <w:snapToGrid w:val="0"/>
              <w:ind w:firstLine="0" w:firstLineChars="0"/>
              <w:jc w:val="center"/>
              <w:rPr>
                <w:bCs/>
                <w:color w:val="auto"/>
                <w:kern w:val="21"/>
                <w:sz w:val="21"/>
                <w:szCs w:val="21"/>
              </w:rPr>
            </w:pPr>
            <w:r>
              <w:rPr>
                <w:color w:val="auto"/>
                <w:spacing w:val="-2"/>
                <w:sz w:val="21"/>
                <w:szCs w:val="21"/>
              </w:rPr>
              <w:t>车辆运输</w:t>
            </w:r>
          </w:p>
        </w:tc>
        <w:tc>
          <w:tcPr>
            <w:tcW w:w="487" w:type="dxa"/>
            <w:vMerge w:val="continue"/>
            <w:vAlign w:val="center"/>
          </w:tcPr>
          <w:p w14:paraId="4FCA70B5">
            <w:pPr>
              <w:tabs>
                <w:tab w:val="left" w:pos="0"/>
              </w:tabs>
              <w:adjustRightInd w:val="0"/>
              <w:snapToGrid w:val="0"/>
              <w:ind w:firstLine="0" w:firstLineChars="0"/>
              <w:jc w:val="center"/>
              <w:rPr>
                <w:bCs/>
                <w:color w:val="auto"/>
                <w:kern w:val="21"/>
                <w:szCs w:val="21"/>
              </w:rPr>
            </w:pPr>
          </w:p>
        </w:tc>
        <w:tc>
          <w:tcPr>
            <w:tcW w:w="942" w:type="dxa"/>
            <w:vAlign w:val="center"/>
          </w:tcPr>
          <w:p w14:paraId="4EC6DB69">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ascii="Times New Roman" w:hAnsi="Times New Roman" w:eastAsia="宋体" w:cs="Times New Roman"/>
                <w:color w:val="auto"/>
                <w:spacing w:val="0"/>
                <w:sz w:val="21"/>
                <w:szCs w:val="21"/>
                <w:lang w:val="en-US" w:eastAsia="zh-CN"/>
              </w:rPr>
              <w:t>0.</w:t>
            </w:r>
            <w:r>
              <w:rPr>
                <w:rFonts w:hint="eastAsia" w:cs="Times New Roman"/>
                <w:color w:val="auto"/>
                <w:spacing w:val="0"/>
                <w:sz w:val="21"/>
                <w:szCs w:val="21"/>
                <w:lang w:val="en-US" w:eastAsia="zh-CN"/>
              </w:rPr>
              <w:t>9628</w:t>
            </w:r>
          </w:p>
        </w:tc>
        <w:tc>
          <w:tcPr>
            <w:tcW w:w="1965" w:type="dxa"/>
            <w:vMerge w:val="continue"/>
            <w:vAlign w:val="center"/>
          </w:tcPr>
          <w:p w14:paraId="2586BA19">
            <w:pPr>
              <w:tabs>
                <w:tab w:val="left" w:pos="0"/>
              </w:tabs>
              <w:adjustRightInd w:val="0"/>
              <w:snapToGrid w:val="0"/>
              <w:ind w:firstLine="0" w:firstLineChars="0"/>
              <w:jc w:val="center"/>
              <w:rPr>
                <w:bCs/>
                <w:color w:val="auto"/>
                <w:kern w:val="21"/>
                <w:szCs w:val="21"/>
              </w:rPr>
            </w:pPr>
          </w:p>
        </w:tc>
        <w:tc>
          <w:tcPr>
            <w:tcW w:w="1485" w:type="dxa"/>
            <w:vAlign w:val="center"/>
          </w:tcPr>
          <w:p w14:paraId="481FED08">
            <w:pPr>
              <w:tabs>
                <w:tab w:val="left" w:pos="0"/>
              </w:tabs>
              <w:adjustRightInd w:val="0"/>
              <w:snapToGrid w:val="0"/>
              <w:ind w:firstLine="0" w:firstLineChars="0"/>
              <w:jc w:val="center"/>
              <w:rPr>
                <w:bCs/>
                <w:color w:val="auto"/>
                <w:kern w:val="21"/>
                <w:szCs w:val="21"/>
              </w:rPr>
            </w:pPr>
            <w:r>
              <w:rPr>
                <w:color w:val="auto"/>
                <w:spacing w:val="-5"/>
              </w:rPr>
              <w:t>雾炮机，洒水降尘，路面进行定</w:t>
            </w:r>
            <w:r>
              <w:rPr>
                <w:color w:val="auto"/>
                <w:spacing w:val="17"/>
              </w:rPr>
              <w:t>期清扫和维护</w:t>
            </w:r>
          </w:p>
        </w:tc>
        <w:tc>
          <w:tcPr>
            <w:tcW w:w="1290" w:type="dxa"/>
            <w:vAlign w:val="center"/>
          </w:tcPr>
          <w:p w14:paraId="08198D05">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66%</w:t>
            </w:r>
          </w:p>
        </w:tc>
        <w:tc>
          <w:tcPr>
            <w:tcW w:w="1080" w:type="dxa"/>
            <w:vMerge w:val="continue"/>
            <w:vAlign w:val="center"/>
          </w:tcPr>
          <w:p w14:paraId="0E5E5A60">
            <w:pPr>
              <w:tabs>
                <w:tab w:val="left" w:pos="0"/>
              </w:tabs>
              <w:adjustRightInd w:val="0"/>
              <w:snapToGrid w:val="0"/>
              <w:ind w:firstLine="0" w:firstLineChars="0"/>
              <w:jc w:val="center"/>
              <w:rPr>
                <w:bCs/>
                <w:color w:val="auto"/>
                <w:kern w:val="21"/>
                <w:szCs w:val="21"/>
              </w:rPr>
            </w:pPr>
          </w:p>
        </w:tc>
        <w:tc>
          <w:tcPr>
            <w:tcW w:w="945" w:type="dxa"/>
            <w:vAlign w:val="center"/>
          </w:tcPr>
          <w:p w14:paraId="5CAA9BAC">
            <w:pPr>
              <w:tabs>
                <w:tab w:val="left" w:pos="0"/>
              </w:tabs>
              <w:adjustRightInd w:val="0"/>
              <w:snapToGrid w:val="0"/>
              <w:ind w:firstLine="0" w:firstLineChars="0"/>
              <w:jc w:val="center"/>
              <w:rPr>
                <w:rFonts w:hint="eastAsia"/>
                <w:bCs/>
                <w:color w:val="auto"/>
                <w:kern w:val="21"/>
                <w:sz w:val="21"/>
                <w:szCs w:val="21"/>
              </w:rPr>
            </w:pPr>
            <w:r>
              <w:rPr>
                <w:rFonts w:hint="eastAsia" w:ascii="Times New Roman" w:hAnsi="Times New Roman" w:eastAsia="宋体" w:cs="Times New Roman"/>
                <w:color w:val="auto"/>
                <w:spacing w:val="0"/>
                <w:sz w:val="21"/>
                <w:szCs w:val="21"/>
                <w:lang w:val="en-US" w:eastAsia="zh-CN"/>
              </w:rPr>
              <w:t>0.</w:t>
            </w:r>
            <w:r>
              <w:rPr>
                <w:rFonts w:hint="default" w:ascii="Times New Roman" w:hAnsi="Times New Roman" w:eastAsia="宋体" w:cs="Times New Roman"/>
                <w:color w:val="auto"/>
                <w:spacing w:val="0"/>
                <w:sz w:val="21"/>
                <w:szCs w:val="21"/>
                <w:lang w:val="en-US" w:eastAsia="zh-CN"/>
              </w:rPr>
              <w:t>6353</w:t>
            </w:r>
          </w:p>
        </w:tc>
        <w:tc>
          <w:tcPr>
            <w:tcW w:w="1125" w:type="dxa"/>
            <w:vAlign w:val="center"/>
          </w:tcPr>
          <w:p w14:paraId="619E9E88">
            <w:pPr>
              <w:tabs>
                <w:tab w:val="left" w:pos="0"/>
              </w:tabs>
              <w:adjustRightInd w:val="0"/>
              <w:snapToGrid w:val="0"/>
              <w:ind w:firstLine="0" w:firstLineChars="0"/>
              <w:jc w:val="center"/>
              <w:rPr>
                <w:rFonts w:hint="eastAsia"/>
                <w:bCs/>
                <w:color w:val="auto"/>
                <w:kern w:val="21"/>
                <w:sz w:val="21"/>
                <w:szCs w:val="21"/>
              </w:rPr>
            </w:pPr>
            <w:r>
              <w:rPr>
                <w:rFonts w:hint="eastAsia" w:ascii="Times New Roman" w:hAnsi="Times New Roman" w:eastAsia="宋体" w:cs="Times New Roman"/>
                <w:color w:val="auto"/>
                <w:spacing w:val="0"/>
                <w:sz w:val="21"/>
                <w:szCs w:val="21"/>
                <w:lang w:val="en-US" w:eastAsia="zh-CN"/>
              </w:rPr>
              <w:t>0.2647</w:t>
            </w:r>
          </w:p>
        </w:tc>
        <w:tc>
          <w:tcPr>
            <w:tcW w:w="1125" w:type="dxa"/>
            <w:vAlign w:val="center"/>
          </w:tcPr>
          <w:p w14:paraId="599632A9">
            <w:pPr>
              <w:tabs>
                <w:tab w:val="left" w:pos="0"/>
              </w:tabs>
              <w:adjustRightInd w:val="0"/>
              <w:snapToGrid w:val="0"/>
              <w:ind w:firstLine="0" w:firstLineChars="0"/>
              <w:jc w:val="center"/>
              <w:rPr>
                <w:rFonts w:hint="eastAsia" w:eastAsia="宋体"/>
                <w:bCs/>
                <w:color w:val="auto"/>
                <w:kern w:val="21"/>
                <w:szCs w:val="21"/>
                <w:lang w:val="en-US" w:eastAsia="zh-CN"/>
              </w:rPr>
            </w:pPr>
            <w:r>
              <w:rPr>
                <w:rFonts w:hint="eastAsia"/>
                <w:bCs/>
                <w:color w:val="auto"/>
                <w:kern w:val="21"/>
                <w:szCs w:val="21"/>
                <w:lang w:val="en-US" w:eastAsia="zh-CN"/>
              </w:rPr>
              <w:t>/</w:t>
            </w:r>
          </w:p>
        </w:tc>
        <w:tc>
          <w:tcPr>
            <w:tcW w:w="1144" w:type="dxa"/>
            <w:vMerge w:val="continue"/>
            <w:vAlign w:val="center"/>
          </w:tcPr>
          <w:p w14:paraId="3884BD4F">
            <w:pPr>
              <w:tabs>
                <w:tab w:val="left" w:pos="0"/>
              </w:tabs>
              <w:adjustRightInd w:val="0"/>
              <w:snapToGrid w:val="0"/>
              <w:ind w:firstLine="0" w:firstLineChars="0"/>
              <w:jc w:val="center"/>
              <w:rPr>
                <w:rFonts w:hint="eastAsia" w:eastAsia="宋体"/>
                <w:bCs/>
                <w:color w:val="auto"/>
                <w:kern w:val="21"/>
                <w:szCs w:val="21"/>
                <w:lang w:val="en-US" w:eastAsia="zh-CN"/>
              </w:rPr>
            </w:pPr>
          </w:p>
        </w:tc>
        <w:tc>
          <w:tcPr>
            <w:tcW w:w="690" w:type="dxa"/>
            <w:vAlign w:val="center"/>
          </w:tcPr>
          <w:p w14:paraId="3C1148B5">
            <w:pPr>
              <w:tabs>
                <w:tab w:val="left" w:pos="0"/>
              </w:tabs>
              <w:adjustRightInd w:val="0"/>
              <w:snapToGrid w:val="0"/>
              <w:ind w:firstLine="0" w:firstLineChars="0"/>
              <w:jc w:val="center"/>
              <w:rPr>
                <w:rFonts w:hint="eastAsia" w:eastAsia="宋体"/>
                <w:bCs/>
                <w:color w:val="auto"/>
                <w:kern w:val="21"/>
                <w:szCs w:val="21"/>
                <w:lang w:val="en-US" w:eastAsia="zh-CN"/>
              </w:rPr>
            </w:pPr>
            <w:r>
              <w:rPr>
                <w:rFonts w:hint="eastAsia"/>
                <w:bCs/>
                <w:color w:val="auto"/>
                <w:kern w:val="21"/>
                <w:szCs w:val="21"/>
                <w:lang w:val="en-US" w:eastAsia="zh-CN"/>
              </w:rPr>
              <w:t>/</w:t>
            </w:r>
          </w:p>
        </w:tc>
      </w:tr>
      <w:tr w14:paraId="6C38CA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6392CD0B">
            <w:pPr>
              <w:tabs>
                <w:tab w:val="left" w:pos="0"/>
              </w:tabs>
              <w:adjustRightInd w:val="0"/>
              <w:snapToGrid w:val="0"/>
              <w:ind w:firstLine="0" w:firstLineChars="0"/>
              <w:jc w:val="center"/>
              <w:rPr>
                <w:bCs/>
                <w:color w:val="auto"/>
                <w:kern w:val="21"/>
                <w:szCs w:val="21"/>
              </w:rPr>
            </w:pPr>
          </w:p>
        </w:tc>
        <w:tc>
          <w:tcPr>
            <w:tcW w:w="1207" w:type="dxa"/>
            <w:vAlign w:val="center"/>
          </w:tcPr>
          <w:p w14:paraId="3521C877">
            <w:pPr>
              <w:tabs>
                <w:tab w:val="left" w:pos="0"/>
              </w:tabs>
              <w:adjustRightInd w:val="0"/>
              <w:snapToGrid w:val="0"/>
              <w:ind w:firstLine="0" w:firstLineChars="0"/>
              <w:jc w:val="center"/>
              <w:rPr>
                <w:rFonts w:hint="default" w:eastAsia="宋体"/>
                <w:color w:val="auto"/>
                <w:spacing w:val="-2"/>
                <w:sz w:val="21"/>
                <w:szCs w:val="21"/>
                <w:lang w:val="en-US" w:eastAsia="zh-CN"/>
              </w:rPr>
            </w:pPr>
            <w:r>
              <w:rPr>
                <w:rFonts w:hint="eastAsia"/>
                <w:color w:val="auto"/>
                <w:spacing w:val="-2"/>
                <w:sz w:val="21"/>
                <w:szCs w:val="21"/>
                <w:lang w:val="en-US" w:eastAsia="zh-CN"/>
              </w:rPr>
              <w:t>搅拌机投料</w:t>
            </w:r>
          </w:p>
        </w:tc>
        <w:tc>
          <w:tcPr>
            <w:tcW w:w="487" w:type="dxa"/>
            <w:vMerge w:val="continue"/>
            <w:vAlign w:val="center"/>
          </w:tcPr>
          <w:p w14:paraId="4E35B145">
            <w:pPr>
              <w:tabs>
                <w:tab w:val="left" w:pos="0"/>
              </w:tabs>
              <w:adjustRightInd w:val="0"/>
              <w:snapToGrid w:val="0"/>
              <w:ind w:firstLine="0" w:firstLineChars="0"/>
              <w:jc w:val="center"/>
              <w:rPr>
                <w:bCs/>
                <w:color w:val="auto"/>
                <w:kern w:val="21"/>
                <w:szCs w:val="21"/>
              </w:rPr>
            </w:pPr>
          </w:p>
        </w:tc>
        <w:tc>
          <w:tcPr>
            <w:tcW w:w="942" w:type="dxa"/>
            <w:vAlign w:val="center"/>
          </w:tcPr>
          <w:p w14:paraId="6FDAE10E">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12</w:t>
            </w:r>
          </w:p>
        </w:tc>
        <w:tc>
          <w:tcPr>
            <w:tcW w:w="1965" w:type="dxa"/>
            <w:vMerge w:val="continue"/>
            <w:vAlign w:val="center"/>
          </w:tcPr>
          <w:p w14:paraId="7A466F98">
            <w:pPr>
              <w:tabs>
                <w:tab w:val="left" w:pos="0"/>
              </w:tabs>
              <w:adjustRightInd w:val="0"/>
              <w:snapToGrid w:val="0"/>
              <w:ind w:firstLine="0" w:firstLineChars="0"/>
              <w:jc w:val="center"/>
              <w:rPr>
                <w:bCs/>
                <w:color w:val="auto"/>
                <w:kern w:val="21"/>
                <w:szCs w:val="21"/>
              </w:rPr>
            </w:pPr>
          </w:p>
        </w:tc>
        <w:tc>
          <w:tcPr>
            <w:tcW w:w="1485" w:type="dxa"/>
            <w:vAlign w:val="center"/>
          </w:tcPr>
          <w:p w14:paraId="2FE4B7BD">
            <w:pPr>
              <w:tabs>
                <w:tab w:val="left" w:pos="0"/>
              </w:tabs>
              <w:adjustRightInd w:val="0"/>
              <w:snapToGrid w:val="0"/>
              <w:ind w:firstLine="0" w:firstLineChars="0"/>
              <w:jc w:val="center"/>
              <w:rPr>
                <w:bCs/>
                <w:color w:val="auto"/>
                <w:kern w:val="21"/>
                <w:szCs w:val="21"/>
              </w:rPr>
            </w:pPr>
            <w:r>
              <w:rPr>
                <w:bCs/>
                <w:color w:val="auto"/>
                <w:kern w:val="21"/>
                <w:szCs w:val="21"/>
              </w:rPr>
              <w:t>集气罩+布袋除尘器</w:t>
            </w:r>
          </w:p>
        </w:tc>
        <w:tc>
          <w:tcPr>
            <w:tcW w:w="1290" w:type="dxa"/>
            <w:vAlign w:val="center"/>
          </w:tcPr>
          <w:p w14:paraId="1265A709">
            <w:pPr>
              <w:tabs>
                <w:tab w:val="left" w:pos="0"/>
              </w:tabs>
              <w:adjustRightInd w:val="0"/>
              <w:snapToGrid w:val="0"/>
              <w:ind w:firstLine="0" w:firstLineChars="0"/>
              <w:jc w:val="center"/>
              <w:rPr>
                <w:bCs/>
                <w:color w:val="auto"/>
                <w:kern w:val="21"/>
                <w:szCs w:val="21"/>
              </w:rPr>
            </w:pPr>
            <w:r>
              <w:rPr>
                <w:bCs/>
                <w:color w:val="auto"/>
                <w:kern w:val="21"/>
                <w:szCs w:val="21"/>
              </w:rPr>
              <w:t>99.7%</w:t>
            </w:r>
          </w:p>
        </w:tc>
        <w:tc>
          <w:tcPr>
            <w:tcW w:w="1080" w:type="dxa"/>
            <w:vMerge w:val="continue"/>
            <w:vAlign w:val="center"/>
          </w:tcPr>
          <w:p w14:paraId="05D6ECE2">
            <w:pPr>
              <w:tabs>
                <w:tab w:val="left" w:pos="0"/>
              </w:tabs>
              <w:adjustRightInd w:val="0"/>
              <w:snapToGrid w:val="0"/>
              <w:ind w:firstLine="0" w:firstLineChars="0"/>
              <w:jc w:val="center"/>
              <w:rPr>
                <w:bCs/>
                <w:color w:val="auto"/>
                <w:kern w:val="21"/>
                <w:szCs w:val="21"/>
              </w:rPr>
            </w:pPr>
          </w:p>
        </w:tc>
        <w:tc>
          <w:tcPr>
            <w:tcW w:w="945" w:type="dxa"/>
            <w:vAlign w:val="center"/>
          </w:tcPr>
          <w:p w14:paraId="1B5EB3A0">
            <w:pPr>
              <w:tabs>
                <w:tab w:val="left" w:pos="0"/>
              </w:tabs>
              <w:adjustRightInd w:val="0"/>
              <w:snapToGrid w:val="0"/>
              <w:ind w:firstLine="0" w:firstLineChars="0"/>
              <w:jc w:val="center"/>
              <w:rPr>
                <w:rFonts w:hint="eastAsia"/>
                <w:bCs/>
                <w:color w:val="auto"/>
                <w:kern w:val="21"/>
                <w:sz w:val="21"/>
                <w:szCs w:val="21"/>
              </w:rPr>
            </w:pPr>
            <w:r>
              <w:rPr>
                <w:rFonts w:hint="eastAsia"/>
                <w:bCs/>
                <w:color w:val="auto"/>
                <w:sz w:val="21"/>
                <w:szCs w:val="21"/>
                <w:lang w:val="en-US" w:eastAsia="zh-CN"/>
              </w:rPr>
              <w:t>0.493</w:t>
            </w:r>
          </w:p>
        </w:tc>
        <w:tc>
          <w:tcPr>
            <w:tcW w:w="1125" w:type="dxa"/>
            <w:vAlign w:val="center"/>
          </w:tcPr>
          <w:p w14:paraId="7ABAFD51">
            <w:pPr>
              <w:tabs>
                <w:tab w:val="left" w:pos="0"/>
              </w:tabs>
              <w:adjustRightInd w:val="0"/>
              <w:snapToGrid w:val="0"/>
              <w:ind w:firstLine="0" w:firstLineChars="0"/>
              <w:jc w:val="center"/>
              <w:rPr>
                <w:rFonts w:hint="eastAsia"/>
                <w:bCs/>
                <w:color w:val="auto"/>
                <w:kern w:val="21"/>
                <w:sz w:val="21"/>
                <w:szCs w:val="21"/>
              </w:rPr>
            </w:pPr>
            <w:r>
              <w:rPr>
                <w:rFonts w:hint="eastAsia"/>
                <w:bCs/>
                <w:color w:val="auto"/>
                <w:sz w:val="21"/>
                <w:szCs w:val="21"/>
                <w:lang w:val="en-US" w:eastAsia="zh-CN"/>
              </w:rPr>
              <w:t>0.2054</w:t>
            </w:r>
          </w:p>
        </w:tc>
        <w:tc>
          <w:tcPr>
            <w:tcW w:w="1125" w:type="dxa"/>
            <w:vAlign w:val="center"/>
          </w:tcPr>
          <w:p w14:paraId="6AC846E5">
            <w:pPr>
              <w:tabs>
                <w:tab w:val="left" w:pos="0"/>
              </w:tabs>
              <w:adjustRightInd w:val="0"/>
              <w:snapToGrid w:val="0"/>
              <w:ind w:firstLine="0" w:firstLineChars="0"/>
              <w:jc w:val="center"/>
              <w:rPr>
                <w:rFonts w:hint="eastAsia" w:eastAsia="宋体"/>
                <w:bCs/>
                <w:color w:val="auto"/>
                <w:kern w:val="21"/>
                <w:szCs w:val="21"/>
                <w:lang w:val="en-US" w:eastAsia="zh-CN"/>
              </w:rPr>
            </w:pPr>
            <w:r>
              <w:rPr>
                <w:rFonts w:hint="eastAsia"/>
                <w:bCs/>
                <w:color w:val="auto"/>
                <w:kern w:val="21"/>
                <w:szCs w:val="21"/>
                <w:lang w:val="en-US" w:eastAsia="zh-CN"/>
              </w:rPr>
              <w:t>/</w:t>
            </w:r>
          </w:p>
        </w:tc>
        <w:tc>
          <w:tcPr>
            <w:tcW w:w="1144" w:type="dxa"/>
            <w:vMerge w:val="continue"/>
            <w:vAlign w:val="center"/>
          </w:tcPr>
          <w:p w14:paraId="13A105AD">
            <w:pPr>
              <w:tabs>
                <w:tab w:val="left" w:pos="0"/>
              </w:tabs>
              <w:adjustRightInd w:val="0"/>
              <w:snapToGrid w:val="0"/>
              <w:ind w:firstLine="0" w:firstLineChars="0"/>
              <w:jc w:val="center"/>
              <w:rPr>
                <w:rFonts w:hint="eastAsia" w:eastAsia="宋体"/>
                <w:bCs/>
                <w:color w:val="auto"/>
                <w:kern w:val="21"/>
                <w:szCs w:val="21"/>
                <w:lang w:val="en-US" w:eastAsia="zh-CN"/>
              </w:rPr>
            </w:pPr>
          </w:p>
        </w:tc>
        <w:tc>
          <w:tcPr>
            <w:tcW w:w="690" w:type="dxa"/>
            <w:vAlign w:val="center"/>
          </w:tcPr>
          <w:p w14:paraId="3DD6EF92">
            <w:pPr>
              <w:tabs>
                <w:tab w:val="left" w:pos="0"/>
              </w:tabs>
              <w:adjustRightInd w:val="0"/>
              <w:snapToGrid w:val="0"/>
              <w:ind w:firstLine="0" w:firstLineChars="0"/>
              <w:jc w:val="center"/>
              <w:rPr>
                <w:rFonts w:hint="eastAsia" w:eastAsia="宋体"/>
                <w:bCs/>
                <w:color w:val="auto"/>
                <w:kern w:val="21"/>
                <w:szCs w:val="21"/>
                <w:lang w:val="en-US" w:eastAsia="zh-CN"/>
              </w:rPr>
            </w:pPr>
            <w:r>
              <w:rPr>
                <w:rFonts w:hint="eastAsia"/>
                <w:bCs/>
                <w:color w:val="auto"/>
                <w:kern w:val="21"/>
                <w:szCs w:val="21"/>
                <w:lang w:val="en-US" w:eastAsia="zh-CN"/>
              </w:rPr>
              <w:t>/</w:t>
            </w:r>
          </w:p>
        </w:tc>
      </w:tr>
      <w:tr w14:paraId="34EBC6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89" w:type="dxa"/>
            <w:vAlign w:val="center"/>
          </w:tcPr>
          <w:p w14:paraId="2D0DC6B9">
            <w:pPr>
              <w:tabs>
                <w:tab w:val="left" w:pos="0"/>
              </w:tabs>
              <w:adjustRightInd w:val="0"/>
              <w:snapToGrid w:val="0"/>
              <w:ind w:firstLine="0" w:firstLineChars="0"/>
              <w:jc w:val="center"/>
              <w:rPr>
                <w:bCs/>
                <w:color w:val="auto"/>
                <w:kern w:val="21"/>
                <w:szCs w:val="21"/>
              </w:rPr>
            </w:pPr>
            <w:r>
              <w:rPr>
                <w:rFonts w:hint="eastAsia"/>
                <w:bCs/>
                <w:color w:val="auto"/>
                <w:kern w:val="21"/>
                <w:szCs w:val="21"/>
              </w:rPr>
              <w:t>总计</w:t>
            </w:r>
          </w:p>
        </w:tc>
        <w:tc>
          <w:tcPr>
            <w:tcW w:w="1207" w:type="dxa"/>
            <w:tcBorders>
              <w:bottom w:val="single" w:color="auto" w:sz="4" w:space="0"/>
            </w:tcBorders>
            <w:vAlign w:val="center"/>
          </w:tcPr>
          <w:p w14:paraId="77212DE5">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487" w:type="dxa"/>
            <w:vMerge w:val="continue"/>
            <w:tcBorders>
              <w:bottom w:val="single" w:color="000000" w:sz="4" w:space="0"/>
            </w:tcBorders>
            <w:vAlign w:val="center"/>
          </w:tcPr>
          <w:p w14:paraId="5BC6E9C8">
            <w:pPr>
              <w:tabs>
                <w:tab w:val="left" w:pos="0"/>
              </w:tabs>
              <w:adjustRightInd w:val="0"/>
              <w:snapToGrid w:val="0"/>
              <w:ind w:firstLine="0" w:firstLineChars="0"/>
              <w:jc w:val="center"/>
              <w:rPr>
                <w:bCs/>
                <w:color w:val="auto"/>
                <w:kern w:val="21"/>
                <w:szCs w:val="21"/>
              </w:rPr>
            </w:pPr>
          </w:p>
        </w:tc>
        <w:tc>
          <w:tcPr>
            <w:tcW w:w="942" w:type="dxa"/>
            <w:tcBorders>
              <w:bottom w:val="single" w:color="auto" w:sz="4" w:space="0"/>
            </w:tcBorders>
            <w:vAlign w:val="center"/>
          </w:tcPr>
          <w:p w14:paraId="54FE80C1">
            <w:pPr>
              <w:tabs>
                <w:tab w:val="left" w:pos="0"/>
              </w:tabs>
              <w:adjustRightInd w:val="0"/>
              <w:snapToGrid w:val="0"/>
              <w:ind w:firstLine="0" w:firstLineChars="0"/>
              <w:jc w:val="center"/>
              <w:rPr>
                <w:rFonts w:hint="default" w:eastAsia="宋体"/>
                <w:bCs/>
                <w:color w:val="auto"/>
                <w:kern w:val="21"/>
                <w:szCs w:val="21"/>
                <w:lang w:val="en-US" w:eastAsia="zh-CN"/>
              </w:rPr>
            </w:pPr>
            <w:r>
              <w:rPr>
                <w:rFonts w:hint="eastAsia"/>
                <w:bCs/>
                <w:color w:val="auto"/>
                <w:kern w:val="21"/>
                <w:szCs w:val="21"/>
                <w:lang w:val="en-US" w:eastAsia="zh-CN"/>
              </w:rPr>
              <w:t>44.4969</w:t>
            </w:r>
          </w:p>
        </w:tc>
        <w:tc>
          <w:tcPr>
            <w:tcW w:w="1965" w:type="dxa"/>
            <w:tcBorders>
              <w:bottom w:val="single" w:color="auto" w:sz="4" w:space="0"/>
            </w:tcBorders>
            <w:vAlign w:val="center"/>
          </w:tcPr>
          <w:p w14:paraId="6249DBA6">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485" w:type="dxa"/>
            <w:tcBorders>
              <w:bottom w:val="single" w:color="auto" w:sz="4" w:space="0"/>
            </w:tcBorders>
            <w:vAlign w:val="center"/>
          </w:tcPr>
          <w:p w14:paraId="37193239">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290" w:type="dxa"/>
            <w:tcBorders>
              <w:bottom w:val="single" w:color="auto" w:sz="4" w:space="0"/>
            </w:tcBorders>
            <w:vAlign w:val="center"/>
          </w:tcPr>
          <w:p w14:paraId="137CF1FD">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080" w:type="dxa"/>
            <w:tcBorders>
              <w:bottom w:val="single" w:color="auto" w:sz="4" w:space="0"/>
            </w:tcBorders>
            <w:vAlign w:val="center"/>
          </w:tcPr>
          <w:p w14:paraId="15731736">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945" w:type="dxa"/>
            <w:shd w:val="clear" w:color="auto" w:fill="auto"/>
            <w:vAlign w:val="center"/>
          </w:tcPr>
          <w:p w14:paraId="5EFFBBCD">
            <w:pPr>
              <w:widowControl/>
              <w:ind w:firstLine="0" w:firstLineChars="0"/>
              <w:jc w:val="right"/>
              <w:textAlignment w:val="center"/>
              <w:rPr>
                <w:rFonts w:hint="default"/>
                <w:color w:val="auto"/>
                <w:szCs w:val="21"/>
                <w:lang w:val="en-US"/>
              </w:rPr>
            </w:pPr>
            <w:r>
              <w:rPr>
                <w:rFonts w:hint="eastAsia"/>
                <w:color w:val="auto"/>
                <w:kern w:val="0"/>
                <w:szCs w:val="21"/>
                <w:lang w:val="en-US" w:eastAsia="zh-CN" w:bidi="ar"/>
              </w:rPr>
              <w:t>2.5641</w:t>
            </w:r>
          </w:p>
        </w:tc>
        <w:tc>
          <w:tcPr>
            <w:tcW w:w="1125" w:type="dxa"/>
            <w:vAlign w:val="center"/>
          </w:tcPr>
          <w:p w14:paraId="4810D444">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125" w:type="dxa"/>
            <w:vAlign w:val="center"/>
          </w:tcPr>
          <w:p w14:paraId="74135D64">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1144" w:type="dxa"/>
            <w:vAlign w:val="center"/>
          </w:tcPr>
          <w:p w14:paraId="5644C04D">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c>
          <w:tcPr>
            <w:tcW w:w="690" w:type="dxa"/>
            <w:vAlign w:val="center"/>
          </w:tcPr>
          <w:p w14:paraId="5C67CFCD">
            <w:pPr>
              <w:tabs>
                <w:tab w:val="left" w:pos="0"/>
              </w:tabs>
              <w:adjustRightInd w:val="0"/>
              <w:snapToGrid w:val="0"/>
              <w:ind w:firstLine="0" w:firstLineChars="0"/>
              <w:jc w:val="center"/>
              <w:rPr>
                <w:bCs/>
                <w:color w:val="auto"/>
                <w:kern w:val="21"/>
                <w:szCs w:val="21"/>
              </w:rPr>
            </w:pPr>
            <w:r>
              <w:rPr>
                <w:rFonts w:hint="eastAsia"/>
                <w:bCs/>
                <w:color w:val="auto"/>
                <w:kern w:val="21"/>
                <w:szCs w:val="21"/>
              </w:rPr>
              <w:t>/</w:t>
            </w:r>
          </w:p>
        </w:tc>
      </w:tr>
    </w:tbl>
    <w:p w14:paraId="67B71F5C">
      <w:pPr>
        <w:pStyle w:val="33"/>
        <w:adjustRightInd w:val="0"/>
        <w:snapToGrid w:val="0"/>
        <w:spacing w:before="0" w:beforeAutospacing="0" w:after="0" w:afterAutospacing="0"/>
        <w:ind w:firstLine="0" w:firstLineChars="0"/>
        <w:jc w:val="both"/>
        <w:outlineLvl w:val="0"/>
        <w:rPr>
          <w:rFonts w:ascii="Times New Roman" w:hAnsi="Times New Roman"/>
          <w:b/>
          <w:bCs/>
          <w:snapToGrid w:val="0"/>
          <w:color w:val="auto"/>
          <w:sz w:val="30"/>
          <w:szCs w:val="30"/>
        </w:rPr>
        <w:sectPr>
          <w:pgSz w:w="16838" w:h="11906" w:orient="landscape"/>
          <w:pgMar w:top="1803" w:right="1440" w:bottom="1803" w:left="1440" w:header="851" w:footer="992" w:gutter="0"/>
          <w:cols w:space="0" w:num="1"/>
          <w:docGrid w:type="lines" w:linePitch="319" w:charSpace="0"/>
        </w:sectPr>
      </w:pPr>
    </w:p>
    <w:tbl>
      <w:tblPr>
        <w:tblStyle w:val="38"/>
        <w:tblW w:w="9573" w:type="dxa"/>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117"/>
      </w:tblGrid>
      <w:tr w14:paraId="7AF0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1" w:hRule="atLeast"/>
        </w:trPr>
        <w:tc>
          <w:tcPr>
            <w:tcW w:w="456" w:type="dxa"/>
            <w:vAlign w:val="center"/>
          </w:tcPr>
          <w:p w14:paraId="57BF71C5">
            <w:pPr>
              <w:adjustRightInd w:val="0"/>
              <w:snapToGrid w:val="0"/>
              <w:ind w:firstLine="0" w:firstLineChars="0"/>
              <w:jc w:val="center"/>
              <w:rPr>
                <w:bCs/>
                <w:color w:val="auto"/>
                <w:sz w:val="24"/>
              </w:rPr>
            </w:pPr>
            <w:r>
              <w:rPr>
                <w:bCs/>
                <w:color w:val="auto"/>
                <w:sz w:val="24"/>
              </w:rPr>
              <w:t>运营</w:t>
            </w:r>
          </w:p>
          <w:p w14:paraId="272DF8A1">
            <w:pPr>
              <w:adjustRightInd w:val="0"/>
              <w:snapToGrid w:val="0"/>
              <w:ind w:firstLine="0" w:firstLineChars="0"/>
              <w:jc w:val="center"/>
              <w:rPr>
                <w:bCs/>
                <w:color w:val="auto"/>
                <w:sz w:val="24"/>
              </w:rPr>
            </w:pPr>
            <w:r>
              <w:rPr>
                <w:bCs/>
                <w:color w:val="auto"/>
                <w:sz w:val="24"/>
              </w:rPr>
              <w:t>期环</w:t>
            </w:r>
          </w:p>
          <w:p w14:paraId="564972DE">
            <w:pPr>
              <w:adjustRightInd w:val="0"/>
              <w:snapToGrid w:val="0"/>
              <w:ind w:firstLine="0" w:firstLineChars="0"/>
              <w:jc w:val="center"/>
              <w:rPr>
                <w:bCs/>
                <w:color w:val="auto"/>
                <w:sz w:val="24"/>
              </w:rPr>
            </w:pPr>
            <w:r>
              <w:rPr>
                <w:bCs/>
                <w:color w:val="auto"/>
                <w:sz w:val="24"/>
              </w:rPr>
              <w:t>境影</w:t>
            </w:r>
          </w:p>
          <w:p w14:paraId="1B705643">
            <w:pPr>
              <w:adjustRightInd w:val="0"/>
              <w:snapToGrid w:val="0"/>
              <w:ind w:firstLine="0" w:firstLineChars="0"/>
              <w:jc w:val="center"/>
              <w:rPr>
                <w:bCs/>
                <w:color w:val="auto"/>
                <w:sz w:val="24"/>
              </w:rPr>
            </w:pPr>
            <w:r>
              <w:rPr>
                <w:bCs/>
                <w:color w:val="auto"/>
                <w:sz w:val="24"/>
              </w:rPr>
              <w:t>响和</w:t>
            </w:r>
          </w:p>
          <w:p w14:paraId="61EA635D">
            <w:pPr>
              <w:adjustRightInd w:val="0"/>
              <w:snapToGrid w:val="0"/>
              <w:ind w:firstLine="0" w:firstLineChars="0"/>
              <w:jc w:val="center"/>
              <w:rPr>
                <w:bCs/>
                <w:color w:val="auto"/>
                <w:sz w:val="24"/>
              </w:rPr>
            </w:pPr>
            <w:r>
              <w:rPr>
                <w:bCs/>
                <w:color w:val="auto"/>
                <w:sz w:val="24"/>
              </w:rPr>
              <w:t>保护</w:t>
            </w:r>
          </w:p>
          <w:p w14:paraId="652EA889">
            <w:pPr>
              <w:adjustRightInd w:val="0"/>
              <w:snapToGrid w:val="0"/>
              <w:ind w:firstLine="0" w:firstLineChars="0"/>
              <w:jc w:val="center"/>
              <w:rPr>
                <w:b/>
                <w:bCs/>
                <w:snapToGrid w:val="0"/>
                <w:color w:val="auto"/>
                <w:sz w:val="30"/>
                <w:szCs w:val="30"/>
              </w:rPr>
            </w:pPr>
            <w:r>
              <w:rPr>
                <w:bCs/>
                <w:color w:val="auto"/>
                <w:sz w:val="24"/>
              </w:rPr>
              <w:t>措施</w:t>
            </w:r>
          </w:p>
        </w:tc>
        <w:tc>
          <w:tcPr>
            <w:tcW w:w="9117" w:type="dxa"/>
          </w:tcPr>
          <w:p w14:paraId="266B292A">
            <w:pPr>
              <w:widowControl/>
              <w:spacing w:line="360" w:lineRule="auto"/>
              <w:ind w:firstLine="482"/>
              <w:rPr>
                <w:b/>
                <w:bCs/>
                <w:color w:val="auto"/>
                <w:sz w:val="24"/>
              </w:rPr>
            </w:pPr>
            <w:r>
              <w:rPr>
                <w:b/>
                <w:bCs/>
                <w:color w:val="auto"/>
                <w:sz w:val="24"/>
              </w:rPr>
              <w:t>（</w:t>
            </w:r>
            <w:r>
              <w:rPr>
                <w:rFonts w:hint="eastAsia"/>
                <w:b/>
                <w:bCs/>
                <w:color w:val="auto"/>
                <w:sz w:val="24"/>
              </w:rPr>
              <w:t>三</w:t>
            </w:r>
            <w:r>
              <w:rPr>
                <w:b/>
                <w:bCs/>
                <w:color w:val="auto"/>
                <w:sz w:val="24"/>
              </w:rPr>
              <w:t>）废气排放口设置情况</w:t>
            </w:r>
          </w:p>
          <w:p w14:paraId="6012AEB3">
            <w:pPr>
              <w:widowControl/>
              <w:spacing w:line="360" w:lineRule="auto"/>
              <w:ind w:firstLine="480"/>
              <w:rPr>
                <w:color w:val="auto"/>
                <w:sz w:val="24"/>
              </w:rPr>
            </w:pPr>
            <w:r>
              <w:rPr>
                <w:rFonts w:hint="eastAsia"/>
                <w:color w:val="auto"/>
                <w:sz w:val="24"/>
              </w:rPr>
              <w:t>扩建完成后全厂</w:t>
            </w:r>
            <w:r>
              <w:rPr>
                <w:color w:val="auto"/>
                <w:sz w:val="24"/>
              </w:rPr>
              <w:t>废气排放口设置情况见表4-</w:t>
            </w:r>
            <w:r>
              <w:rPr>
                <w:rFonts w:hint="eastAsia"/>
                <w:color w:val="auto"/>
                <w:sz w:val="24"/>
                <w:lang w:val="en-US" w:eastAsia="zh-CN"/>
              </w:rPr>
              <w:t>12</w:t>
            </w:r>
            <w:r>
              <w:rPr>
                <w:color w:val="auto"/>
                <w:sz w:val="24"/>
              </w:rPr>
              <w:t>。</w:t>
            </w:r>
          </w:p>
          <w:p w14:paraId="30FE7230">
            <w:pPr>
              <w:adjustRightInd w:val="0"/>
              <w:snapToGrid w:val="0"/>
              <w:ind w:firstLine="422"/>
              <w:jc w:val="center"/>
              <w:rPr>
                <w:b/>
                <w:color w:val="auto"/>
                <w:szCs w:val="21"/>
              </w:rPr>
            </w:pPr>
            <w:r>
              <w:rPr>
                <w:b/>
                <w:color w:val="auto"/>
                <w:szCs w:val="21"/>
              </w:rPr>
              <w:t>表4-</w:t>
            </w:r>
            <w:r>
              <w:rPr>
                <w:rFonts w:hint="eastAsia"/>
                <w:b/>
                <w:color w:val="auto"/>
                <w:szCs w:val="21"/>
                <w:lang w:val="en-US" w:eastAsia="zh-CN"/>
              </w:rPr>
              <w:t>12</w:t>
            </w:r>
            <w:r>
              <w:rPr>
                <w:b/>
                <w:color w:val="auto"/>
                <w:szCs w:val="21"/>
              </w:rPr>
              <w:t xml:space="preserve">  </w:t>
            </w:r>
            <w:r>
              <w:rPr>
                <w:rFonts w:hint="eastAsia"/>
                <w:b/>
                <w:color w:val="auto"/>
                <w:szCs w:val="21"/>
              </w:rPr>
              <w:t xml:space="preserve"> </w:t>
            </w:r>
            <w:r>
              <w:rPr>
                <w:b/>
                <w:color w:val="auto"/>
                <w:szCs w:val="21"/>
              </w:rPr>
              <w:t>废气排放口基本情况</w:t>
            </w:r>
          </w:p>
          <w:tbl>
            <w:tblPr>
              <w:tblStyle w:val="37"/>
              <w:tblW w:w="4996"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701"/>
              <w:gridCol w:w="917"/>
              <w:gridCol w:w="615"/>
              <w:gridCol w:w="430"/>
              <w:gridCol w:w="450"/>
              <w:gridCol w:w="663"/>
              <w:gridCol w:w="505"/>
              <w:gridCol w:w="606"/>
              <w:gridCol w:w="1459"/>
              <w:gridCol w:w="1844"/>
            </w:tblGrid>
            <w:tr w14:paraId="7FF1E1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5" w:type="pct"/>
                  <w:gridSpan w:val="2"/>
                  <w:vAlign w:val="center"/>
                </w:tcPr>
                <w:p w14:paraId="55F4F3AD">
                  <w:pPr>
                    <w:pStyle w:val="20"/>
                    <w:spacing w:after="0"/>
                    <w:ind w:firstLine="0" w:firstLineChars="0"/>
                    <w:jc w:val="center"/>
                    <w:rPr>
                      <w:b/>
                      <w:color w:val="auto"/>
                      <w:szCs w:val="21"/>
                    </w:rPr>
                  </w:pPr>
                  <w:r>
                    <w:rPr>
                      <w:rFonts w:hint="eastAsia"/>
                      <w:b/>
                      <w:color w:val="auto"/>
                      <w:szCs w:val="21"/>
                    </w:rPr>
                    <w:t>排放口设置情况</w:t>
                  </w:r>
                </w:p>
              </w:tc>
              <w:tc>
                <w:tcPr>
                  <w:tcW w:w="516" w:type="pct"/>
                  <w:vAlign w:val="center"/>
                </w:tcPr>
                <w:p w14:paraId="7B7AF90A">
                  <w:pPr>
                    <w:pStyle w:val="20"/>
                    <w:spacing w:after="0"/>
                    <w:ind w:firstLine="0" w:firstLineChars="0"/>
                    <w:jc w:val="center"/>
                    <w:rPr>
                      <w:b/>
                      <w:color w:val="auto"/>
                      <w:szCs w:val="21"/>
                    </w:rPr>
                  </w:pPr>
                  <w:r>
                    <w:rPr>
                      <w:b/>
                      <w:color w:val="auto"/>
                      <w:szCs w:val="21"/>
                    </w:rPr>
                    <w:t>排放口名称</w:t>
                  </w:r>
                </w:p>
              </w:tc>
              <w:tc>
                <w:tcPr>
                  <w:tcW w:w="346" w:type="pct"/>
                  <w:vAlign w:val="center"/>
                </w:tcPr>
                <w:p w14:paraId="74B4DBB4">
                  <w:pPr>
                    <w:pStyle w:val="20"/>
                    <w:spacing w:after="0"/>
                    <w:ind w:firstLine="0" w:firstLineChars="0"/>
                    <w:jc w:val="center"/>
                    <w:rPr>
                      <w:b/>
                      <w:color w:val="auto"/>
                      <w:szCs w:val="21"/>
                    </w:rPr>
                  </w:pPr>
                  <w:r>
                    <w:rPr>
                      <w:b/>
                      <w:color w:val="auto"/>
                      <w:szCs w:val="21"/>
                    </w:rPr>
                    <w:t>排放口编号</w:t>
                  </w:r>
                </w:p>
              </w:tc>
              <w:tc>
                <w:tcPr>
                  <w:tcW w:w="242" w:type="pct"/>
                  <w:vAlign w:val="center"/>
                </w:tcPr>
                <w:p w14:paraId="43F23778">
                  <w:pPr>
                    <w:pStyle w:val="20"/>
                    <w:spacing w:after="0"/>
                    <w:ind w:firstLine="0" w:firstLineChars="0"/>
                    <w:jc w:val="center"/>
                    <w:rPr>
                      <w:b/>
                      <w:color w:val="auto"/>
                      <w:szCs w:val="21"/>
                    </w:rPr>
                  </w:pPr>
                  <w:r>
                    <w:rPr>
                      <w:b/>
                      <w:color w:val="auto"/>
                      <w:szCs w:val="21"/>
                    </w:rPr>
                    <w:t>污染物</w:t>
                  </w:r>
                </w:p>
              </w:tc>
              <w:tc>
                <w:tcPr>
                  <w:tcW w:w="253" w:type="pct"/>
                  <w:vAlign w:val="center"/>
                </w:tcPr>
                <w:p w14:paraId="5C38505B">
                  <w:pPr>
                    <w:pStyle w:val="20"/>
                    <w:spacing w:after="0"/>
                    <w:ind w:firstLine="0" w:firstLineChars="0"/>
                    <w:jc w:val="center"/>
                    <w:rPr>
                      <w:b/>
                      <w:color w:val="auto"/>
                      <w:szCs w:val="21"/>
                    </w:rPr>
                  </w:pPr>
                  <w:r>
                    <w:rPr>
                      <w:b/>
                      <w:color w:val="auto"/>
                      <w:szCs w:val="21"/>
                    </w:rPr>
                    <w:t>高度/m</w:t>
                  </w:r>
                </w:p>
              </w:tc>
              <w:tc>
                <w:tcPr>
                  <w:tcW w:w="373" w:type="pct"/>
                  <w:vAlign w:val="center"/>
                </w:tcPr>
                <w:p w14:paraId="72FF294F">
                  <w:pPr>
                    <w:pStyle w:val="20"/>
                    <w:spacing w:after="0"/>
                    <w:ind w:firstLine="0" w:firstLineChars="0"/>
                    <w:jc w:val="center"/>
                    <w:rPr>
                      <w:b/>
                      <w:color w:val="auto"/>
                      <w:szCs w:val="21"/>
                    </w:rPr>
                  </w:pPr>
                  <w:r>
                    <w:rPr>
                      <w:b/>
                      <w:color w:val="auto"/>
                      <w:szCs w:val="21"/>
                    </w:rPr>
                    <w:t>内径/m</w:t>
                  </w:r>
                </w:p>
              </w:tc>
              <w:tc>
                <w:tcPr>
                  <w:tcW w:w="284" w:type="pct"/>
                  <w:vAlign w:val="center"/>
                </w:tcPr>
                <w:p w14:paraId="64288C6E">
                  <w:pPr>
                    <w:pStyle w:val="20"/>
                    <w:spacing w:after="0"/>
                    <w:ind w:firstLine="0" w:firstLineChars="0"/>
                    <w:jc w:val="center"/>
                    <w:rPr>
                      <w:b/>
                      <w:color w:val="auto"/>
                      <w:szCs w:val="21"/>
                    </w:rPr>
                  </w:pPr>
                  <w:r>
                    <w:rPr>
                      <w:b/>
                      <w:color w:val="auto"/>
                      <w:szCs w:val="21"/>
                    </w:rPr>
                    <w:t>温度/℃</w:t>
                  </w:r>
                </w:p>
              </w:tc>
              <w:tc>
                <w:tcPr>
                  <w:tcW w:w="341" w:type="pct"/>
                  <w:vAlign w:val="center"/>
                </w:tcPr>
                <w:p w14:paraId="3D9F9280">
                  <w:pPr>
                    <w:pStyle w:val="20"/>
                    <w:spacing w:after="0"/>
                    <w:ind w:firstLine="0" w:firstLineChars="0"/>
                    <w:jc w:val="center"/>
                    <w:rPr>
                      <w:b/>
                      <w:color w:val="auto"/>
                      <w:szCs w:val="21"/>
                    </w:rPr>
                  </w:pPr>
                  <w:r>
                    <w:rPr>
                      <w:b/>
                      <w:color w:val="auto"/>
                      <w:szCs w:val="21"/>
                    </w:rPr>
                    <w:t>类型</w:t>
                  </w:r>
                </w:p>
              </w:tc>
              <w:tc>
                <w:tcPr>
                  <w:tcW w:w="821" w:type="pct"/>
                  <w:vAlign w:val="center"/>
                </w:tcPr>
                <w:p w14:paraId="5C841646">
                  <w:pPr>
                    <w:pStyle w:val="20"/>
                    <w:spacing w:after="0"/>
                    <w:ind w:firstLine="0" w:firstLineChars="0"/>
                    <w:jc w:val="center"/>
                    <w:rPr>
                      <w:b/>
                      <w:color w:val="auto"/>
                      <w:szCs w:val="21"/>
                    </w:rPr>
                  </w:pPr>
                  <w:r>
                    <w:rPr>
                      <w:b/>
                      <w:color w:val="auto"/>
                      <w:szCs w:val="21"/>
                    </w:rPr>
                    <w:t>坐标</w:t>
                  </w:r>
                </w:p>
              </w:tc>
              <w:tc>
                <w:tcPr>
                  <w:tcW w:w="1037" w:type="pct"/>
                  <w:vAlign w:val="center"/>
                </w:tcPr>
                <w:p w14:paraId="052A6F89">
                  <w:pPr>
                    <w:pStyle w:val="20"/>
                    <w:spacing w:after="0"/>
                    <w:ind w:firstLine="0" w:firstLineChars="0"/>
                    <w:jc w:val="center"/>
                    <w:rPr>
                      <w:b/>
                      <w:color w:val="auto"/>
                      <w:szCs w:val="21"/>
                    </w:rPr>
                  </w:pPr>
                  <w:r>
                    <w:rPr>
                      <w:b/>
                      <w:color w:val="auto"/>
                      <w:szCs w:val="21"/>
                    </w:rPr>
                    <w:t>排放标准</w:t>
                  </w:r>
                </w:p>
              </w:tc>
            </w:tr>
            <w:tr w14:paraId="6C4CB8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0" w:type="pct"/>
                  <w:vMerge w:val="restart"/>
                  <w:vAlign w:val="center"/>
                </w:tcPr>
                <w:p w14:paraId="4A44C0C1">
                  <w:pPr>
                    <w:pStyle w:val="20"/>
                    <w:spacing w:after="0"/>
                    <w:ind w:firstLine="0" w:firstLineChars="0"/>
                    <w:jc w:val="center"/>
                    <w:rPr>
                      <w:color w:val="auto"/>
                      <w:szCs w:val="21"/>
                    </w:rPr>
                  </w:pPr>
                  <w:r>
                    <w:rPr>
                      <w:rFonts w:hint="eastAsia"/>
                      <w:color w:val="auto"/>
                      <w:szCs w:val="21"/>
                    </w:rPr>
                    <w:t>扩建完成后全厂废气排放口</w:t>
                  </w:r>
                </w:p>
              </w:tc>
              <w:tc>
                <w:tcPr>
                  <w:tcW w:w="394" w:type="pct"/>
                  <w:vMerge w:val="restart"/>
                  <w:vAlign w:val="center"/>
                </w:tcPr>
                <w:p w14:paraId="5FD71BD1">
                  <w:pPr>
                    <w:pStyle w:val="20"/>
                    <w:spacing w:after="0"/>
                    <w:ind w:firstLine="0" w:firstLineChars="0"/>
                    <w:jc w:val="center"/>
                    <w:rPr>
                      <w:color w:val="auto"/>
                      <w:szCs w:val="21"/>
                    </w:rPr>
                  </w:pPr>
                  <w:r>
                    <w:rPr>
                      <w:rFonts w:hint="eastAsia"/>
                      <w:color w:val="auto"/>
                      <w:szCs w:val="21"/>
                    </w:rPr>
                    <w:t>现有项目废气排放口</w:t>
                  </w:r>
                </w:p>
              </w:tc>
              <w:tc>
                <w:tcPr>
                  <w:tcW w:w="516" w:type="pct"/>
                  <w:vAlign w:val="center"/>
                </w:tcPr>
                <w:p w14:paraId="134DA97A">
                  <w:pPr>
                    <w:pStyle w:val="20"/>
                    <w:spacing w:after="0"/>
                    <w:ind w:firstLine="0" w:firstLineChars="0"/>
                    <w:jc w:val="center"/>
                    <w:rPr>
                      <w:color w:val="auto"/>
                      <w:szCs w:val="21"/>
                    </w:rPr>
                  </w:pPr>
                  <w:r>
                    <w:rPr>
                      <w:rFonts w:hint="eastAsia"/>
                      <w:color w:val="auto"/>
                      <w:szCs w:val="21"/>
                    </w:rPr>
                    <w:t>1</w:t>
                  </w:r>
                  <w:r>
                    <w:rPr>
                      <w:color w:val="auto"/>
                      <w:szCs w:val="21"/>
                    </w:rPr>
                    <w:t>#水泥筒仓仓顶</w:t>
                  </w:r>
                  <w:r>
                    <w:rPr>
                      <w:rFonts w:hint="eastAsia"/>
                      <w:color w:val="auto"/>
                      <w:szCs w:val="21"/>
                    </w:rPr>
                    <w:t>排气筒</w:t>
                  </w:r>
                </w:p>
              </w:tc>
              <w:tc>
                <w:tcPr>
                  <w:tcW w:w="346" w:type="pct"/>
                  <w:vAlign w:val="center"/>
                </w:tcPr>
                <w:p w14:paraId="39EDD971">
                  <w:pPr>
                    <w:pStyle w:val="20"/>
                    <w:spacing w:after="0"/>
                    <w:ind w:firstLine="0" w:firstLineChars="0"/>
                    <w:jc w:val="center"/>
                    <w:rPr>
                      <w:color w:val="auto"/>
                      <w:szCs w:val="21"/>
                    </w:rPr>
                  </w:pPr>
                  <w:r>
                    <w:rPr>
                      <w:color w:val="auto"/>
                      <w:szCs w:val="21"/>
                    </w:rPr>
                    <w:t>DA00</w:t>
                  </w:r>
                  <w:r>
                    <w:rPr>
                      <w:rFonts w:hint="eastAsia"/>
                      <w:color w:val="auto"/>
                      <w:szCs w:val="21"/>
                    </w:rPr>
                    <w:t>1</w:t>
                  </w:r>
                </w:p>
              </w:tc>
              <w:tc>
                <w:tcPr>
                  <w:tcW w:w="242" w:type="pct"/>
                  <w:vMerge w:val="restart"/>
                  <w:vAlign w:val="center"/>
                </w:tcPr>
                <w:p w14:paraId="04112902">
                  <w:pPr>
                    <w:pStyle w:val="20"/>
                    <w:spacing w:after="0"/>
                    <w:ind w:firstLine="0" w:firstLineChars="0"/>
                    <w:jc w:val="center"/>
                    <w:rPr>
                      <w:rFonts w:hint="eastAsia" w:eastAsia="宋体"/>
                      <w:color w:val="auto"/>
                      <w:szCs w:val="21"/>
                      <w:lang w:eastAsia="zh-CN"/>
                    </w:rPr>
                  </w:pPr>
                  <w:r>
                    <w:rPr>
                      <w:rFonts w:hint="eastAsia"/>
                      <w:color w:val="auto"/>
                      <w:szCs w:val="21"/>
                      <w:lang w:val="en-US" w:eastAsia="zh-CN"/>
                    </w:rPr>
                    <w:t>颗粒物</w:t>
                  </w:r>
                </w:p>
              </w:tc>
              <w:tc>
                <w:tcPr>
                  <w:tcW w:w="253" w:type="pct"/>
                  <w:vAlign w:val="center"/>
                </w:tcPr>
                <w:p w14:paraId="2BBB7862">
                  <w:pPr>
                    <w:pStyle w:val="20"/>
                    <w:spacing w:after="0"/>
                    <w:ind w:firstLine="0" w:firstLineChars="0"/>
                    <w:jc w:val="center"/>
                    <w:rPr>
                      <w:color w:val="auto"/>
                      <w:szCs w:val="21"/>
                    </w:rPr>
                  </w:pPr>
                  <w:r>
                    <w:rPr>
                      <w:rFonts w:hint="eastAsia"/>
                      <w:color w:val="auto"/>
                      <w:szCs w:val="21"/>
                    </w:rPr>
                    <w:t>33</w:t>
                  </w:r>
                </w:p>
              </w:tc>
              <w:tc>
                <w:tcPr>
                  <w:tcW w:w="373" w:type="pct"/>
                  <w:vMerge w:val="restart"/>
                  <w:vAlign w:val="center"/>
                </w:tcPr>
                <w:p w14:paraId="39A153C8">
                  <w:pPr>
                    <w:pStyle w:val="20"/>
                    <w:spacing w:after="0"/>
                    <w:ind w:firstLine="0" w:firstLineChars="0"/>
                    <w:jc w:val="center"/>
                    <w:rPr>
                      <w:color w:val="auto"/>
                      <w:szCs w:val="21"/>
                    </w:rPr>
                  </w:pPr>
                  <w:r>
                    <w:rPr>
                      <w:rFonts w:hint="eastAsia"/>
                      <w:color w:val="auto"/>
                      <w:szCs w:val="21"/>
                    </w:rPr>
                    <w:t>截面矩形：0.22×0.28m</w:t>
                  </w:r>
                </w:p>
              </w:tc>
              <w:tc>
                <w:tcPr>
                  <w:tcW w:w="284" w:type="pct"/>
                  <w:vAlign w:val="center"/>
                </w:tcPr>
                <w:p w14:paraId="16F8852E">
                  <w:pPr>
                    <w:pStyle w:val="20"/>
                    <w:spacing w:after="0"/>
                    <w:ind w:firstLine="0" w:firstLineChars="0"/>
                    <w:jc w:val="center"/>
                    <w:rPr>
                      <w:color w:val="auto"/>
                      <w:szCs w:val="21"/>
                    </w:rPr>
                  </w:pPr>
                  <w:r>
                    <w:rPr>
                      <w:rFonts w:hint="eastAsia"/>
                      <w:color w:val="auto"/>
                      <w:szCs w:val="21"/>
                    </w:rPr>
                    <w:t>/</w:t>
                  </w:r>
                </w:p>
              </w:tc>
              <w:tc>
                <w:tcPr>
                  <w:tcW w:w="341" w:type="pct"/>
                  <w:vMerge w:val="restart"/>
                  <w:vAlign w:val="center"/>
                </w:tcPr>
                <w:p w14:paraId="42519536">
                  <w:pPr>
                    <w:pStyle w:val="20"/>
                    <w:spacing w:after="0"/>
                    <w:ind w:firstLine="0" w:firstLineChars="0"/>
                    <w:jc w:val="center"/>
                    <w:rPr>
                      <w:color w:val="auto"/>
                      <w:szCs w:val="21"/>
                    </w:rPr>
                  </w:pPr>
                  <w:r>
                    <w:rPr>
                      <w:color w:val="auto"/>
                      <w:szCs w:val="21"/>
                    </w:rPr>
                    <w:t>一般排放口</w:t>
                  </w:r>
                </w:p>
              </w:tc>
              <w:tc>
                <w:tcPr>
                  <w:tcW w:w="821" w:type="pct"/>
                  <w:shd w:val="clear" w:color="auto" w:fill="auto"/>
                  <w:vAlign w:val="center"/>
                </w:tcPr>
                <w:p w14:paraId="3A5847D8">
                  <w:pPr>
                    <w:pStyle w:val="20"/>
                    <w:spacing w:after="0"/>
                    <w:ind w:firstLine="0" w:firstLineChars="0"/>
                    <w:jc w:val="center"/>
                    <w:rPr>
                      <w:color w:val="auto"/>
                      <w:szCs w:val="21"/>
                    </w:rPr>
                  </w:pPr>
                  <w:r>
                    <w:rPr>
                      <w:color w:val="auto"/>
                      <w:szCs w:val="21"/>
                    </w:rPr>
                    <w:t>103.22068065</w:t>
                  </w:r>
                  <w:r>
                    <w:rPr>
                      <w:rFonts w:hint="eastAsia"/>
                      <w:color w:val="auto"/>
                      <w:szCs w:val="21"/>
                    </w:rPr>
                    <w:t>，</w:t>
                  </w:r>
                  <w:r>
                    <w:rPr>
                      <w:color w:val="auto"/>
                      <w:szCs w:val="21"/>
                    </w:rPr>
                    <w:t>25.54975348</w:t>
                  </w:r>
                </w:p>
              </w:tc>
              <w:tc>
                <w:tcPr>
                  <w:tcW w:w="1037" w:type="pct"/>
                  <w:vMerge w:val="restart"/>
                  <w:vAlign w:val="center"/>
                </w:tcPr>
                <w:p w14:paraId="4346ED4A">
                  <w:pPr>
                    <w:pStyle w:val="20"/>
                    <w:spacing w:after="0"/>
                    <w:ind w:firstLine="0" w:firstLineChars="0"/>
                    <w:jc w:val="center"/>
                    <w:rPr>
                      <w:color w:val="auto"/>
                      <w:szCs w:val="21"/>
                    </w:rPr>
                  </w:pPr>
                  <w:r>
                    <w:rPr>
                      <w:color w:val="auto"/>
                      <w:szCs w:val="21"/>
                    </w:rPr>
                    <w:t>《水泥工业大气污染物排放标准》（GB4915-2013）表1中颗粒物排放浓度限值（20mg/m</w:t>
                  </w:r>
                  <w:r>
                    <w:rPr>
                      <w:color w:val="auto"/>
                      <w:szCs w:val="21"/>
                      <w:vertAlign w:val="superscript"/>
                    </w:rPr>
                    <w:t>3</w:t>
                  </w:r>
                  <w:r>
                    <w:rPr>
                      <w:color w:val="auto"/>
                      <w:szCs w:val="21"/>
                    </w:rPr>
                    <w:t>）</w:t>
                  </w:r>
                </w:p>
              </w:tc>
            </w:tr>
            <w:tr w14:paraId="400FE5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0" w:type="pct"/>
                  <w:vMerge w:val="continue"/>
                  <w:vAlign w:val="center"/>
                </w:tcPr>
                <w:p w14:paraId="271907F6">
                  <w:pPr>
                    <w:pStyle w:val="20"/>
                    <w:spacing w:after="0"/>
                    <w:ind w:firstLine="0" w:firstLineChars="0"/>
                    <w:jc w:val="center"/>
                    <w:rPr>
                      <w:color w:val="auto"/>
                      <w:szCs w:val="21"/>
                    </w:rPr>
                  </w:pPr>
                </w:p>
              </w:tc>
              <w:tc>
                <w:tcPr>
                  <w:tcW w:w="394" w:type="pct"/>
                  <w:vMerge w:val="continue"/>
                  <w:vAlign w:val="center"/>
                </w:tcPr>
                <w:p w14:paraId="1B2425D3">
                  <w:pPr>
                    <w:pStyle w:val="20"/>
                    <w:spacing w:after="0"/>
                    <w:ind w:firstLine="0" w:firstLineChars="0"/>
                    <w:jc w:val="center"/>
                    <w:rPr>
                      <w:color w:val="auto"/>
                      <w:szCs w:val="21"/>
                    </w:rPr>
                  </w:pPr>
                </w:p>
              </w:tc>
              <w:tc>
                <w:tcPr>
                  <w:tcW w:w="516" w:type="pct"/>
                  <w:vAlign w:val="center"/>
                </w:tcPr>
                <w:p w14:paraId="4E1DD4F2">
                  <w:pPr>
                    <w:pStyle w:val="20"/>
                    <w:spacing w:after="0"/>
                    <w:ind w:firstLine="0" w:firstLineChars="0"/>
                    <w:jc w:val="center"/>
                    <w:rPr>
                      <w:color w:val="auto"/>
                      <w:szCs w:val="21"/>
                    </w:rPr>
                  </w:pPr>
                  <w:r>
                    <w:rPr>
                      <w:rFonts w:hint="eastAsia"/>
                      <w:color w:val="auto"/>
                      <w:szCs w:val="21"/>
                    </w:rPr>
                    <w:t>2</w:t>
                  </w:r>
                  <w:r>
                    <w:rPr>
                      <w:color w:val="auto"/>
                      <w:szCs w:val="21"/>
                    </w:rPr>
                    <w:t>#粉煤灰筒仓仓顶</w:t>
                  </w:r>
                  <w:r>
                    <w:rPr>
                      <w:rFonts w:hint="eastAsia"/>
                      <w:color w:val="auto"/>
                      <w:szCs w:val="21"/>
                    </w:rPr>
                    <w:t>排气筒</w:t>
                  </w:r>
                </w:p>
              </w:tc>
              <w:tc>
                <w:tcPr>
                  <w:tcW w:w="346" w:type="pct"/>
                  <w:vAlign w:val="center"/>
                </w:tcPr>
                <w:p w14:paraId="61723DFE">
                  <w:pPr>
                    <w:pStyle w:val="20"/>
                    <w:spacing w:after="0"/>
                    <w:ind w:firstLine="0" w:firstLineChars="0"/>
                    <w:jc w:val="center"/>
                    <w:rPr>
                      <w:color w:val="auto"/>
                      <w:szCs w:val="21"/>
                    </w:rPr>
                  </w:pPr>
                  <w:r>
                    <w:rPr>
                      <w:color w:val="auto"/>
                      <w:szCs w:val="21"/>
                    </w:rPr>
                    <w:t>DA00</w:t>
                  </w:r>
                  <w:r>
                    <w:rPr>
                      <w:rFonts w:hint="eastAsia"/>
                      <w:color w:val="auto"/>
                      <w:szCs w:val="21"/>
                    </w:rPr>
                    <w:t>2</w:t>
                  </w:r>
                </w:p>
              </w:tc>
              <w:tc>
                <w:tcPr>
                  <w:tcW w:w="242" w:type="pct"/>
                  <w:vMerge w:val="continue"/>
                  <w:vAlign w:val="center"/>
                </w:tcPr>
                <w:p w14:paraId="4DAAC811">
                  <w:pPr>
                    <w:pStyle w:val="20"/>
                    <w:spacing w:after="0"/>
                    <w:ind w:firstLine="0" w:firstLineChars="0"/>
                    <w:jc w:val="center"/>
                    <w:rPr>
                      <w:color w:val="auto"/>
                      <w:szCs w:val="21"/>
                    </w:rPr>
                  </w:pPr>
                </w:p>
              </w:tc>
              <w:tc>
                <w:tcPr>
                  <w:tcW w:w="253" w:type="pct"/>
                  <w:vAlign w:val="center"/>
                </w:tcPr>
                <w:p w14:paraId="1369432A">
                  <w:pPr>
                    <w:pStyle w:val="20"/>
                    <w:spacing w:after="0"/>
                    <w:ind w:firstLine="0" w:firstLineChars="0"/>
                    <w:jc w:val="center"/>
                    <w:rPr>
                      <w:color w:val="auto"/>
                      <w:szCs w:val="21"/>
                    </w:rPr>
                  </w:pPr>
                  <w:r>
                    <w:rPr>
                      <w:rFonts w:hint="eastAsia"/>
                      <w:color w:val="auto"/>
                      <w:szCs w:val="21"/>
                    </w:rPr>
                    <w:t>33</w:t>
                  </w:r>
                </w:p>
              </w:tc>
              <w:tc>
                <w:tcPr>
                  <w:tcW w:w="373" w:type="pct"/>
                  <w:vMerge w:val="continue"/>
                  <w:vAlign w:val="center"/>
                </w:tcPr>
                <w:p w14:paraId="377DD116">
                  <w:pPr>
                    <w:pStyle w:val="20"/>
                    <w:spacing w:after="0"/>
                    <w:ind w:firstLine="0" w:firstLineChars="0"/>
                    <w:jc w:val="center"/>
                    <w:rPr>
                      <w:color w:val="auto"/>
                      <w:szCs w:val="21"/>
                    </w:rPr>
                  </w:pPr>
                </w:p>
              </w:tc>
              <w:tc>
                <w:tcPr>
                  <w:tcW w:w="284" w:type="pct"/>
                  <w:vAlign w:val="center"/>
                </w:tcPr>
                <w:p w14:paraId="477E109B">
                  <w:pPr>
                    <w:ind w:firstLine="420"/>
                    <w:jc w:val="center"/>
                    <w:rPr>
                      <w:color w:val="auto"/>
                      <w:szCs w:val="21"/>
                    </w:rPr>
                  </w:pPr>
                  <w:r>
                    <w:rPr>
                      <w:rFonts w:hint="eastAsia"/>
                      <w:color w:val="auto"/>
                      <w:szCs w:val="21"/>
                    </w:rPr>
                    <w:t>//</w:t>
                  </w:r>
                </w:p>
              </w:tc>
              <w:tc>
                <w:tcPr>
                  <w:tcW w:w="341" w:type="pct"/>
                  <w:vMerge w:val="continue"/>
                  <w:vAlign w:val="center"/>
                </w:tcPr>
                <w:p w14:paraId="4CC56B0B">
                  <w:pPr>
                    <w:pStyle w:val="20"/>
                    <w:spacing w:after="0"/>
                    <w:ind w:firstLine="0" w:firstLineChars="0"/>
                    <w:jc w:val="center"/>
                    <w:rPr>
                      <w:color w:val="auto"/>
                      <w:szCs w:val="21"/>
                    </w:rPr>
                  </w:pPr>
                </w:p>
              </w:tc>
              <w:tc>
                <w:tcPr>
                  <w:tcW w:w="821" w:type="pct"/>
                  <w:shd w:val="clear" w:color="auto" w:fill="auto"/>
                  <w:vAlign w:val="center"/>
                </w:tcPr>
                <w:p w14:paraId="36E25937">
                  <w:pPr>
                    <w:pStyle w:val="20"/>
                    <w:spacing w:after="0"/>
                    <w:ind w:firstLine="0" w:firstLineChars="0"/>
                    <w:jc w:val="center"/>
                    <w:rPr>
                      <w:color w:val="auto"/>
                      <w:szCs w:val="21"/>
                    </w:rPr>
                  </w:pPr>
                  <w:r>
                    <w:rPr>
                      <w:rFonts w:hint="eastAsia"/>
                      <w:color w:val="auto"/>
                      <w:szCs w:val="21"/>
                    </w:rPr>
                    <w:t>103.22070479，25.54979946</w:t>
                  </w:r>
                </w:p>
              </w:tc>
              <w:tc>
                <w:tcPr>
                  <w:tcW w:w="1037" w:type="pct"/>
                  <w:vMerge w:val="continue"/>
                  <w:vAlign w:val="center"/>
                </w:tcPr>
                <w:p w14:paraId="768F22F1">
                  <w:pPr>
                    <w:pStyle w:val="20"/>
                    <w:spacing w:after="0"/>
                    <w:ind w:firstLine="0" w:firstLineChars="0"/>
                    <w:jc w:val="center"/>
                    <w:rPr>
                      <w:color w:val="auto"/>
                      <w:szCs w:val="21"/>
                    </w:rPr>
                  </w:pPr>
                </w:p>
              </w:tc>
            </w:tr>
            <w:tr w14:paraId="17E019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0" w:type="pct"/>
                  <w:vMerge w:val="continue"/>
                  <w:vAlign w:val="center"/>
                </w:tcPr>
                <w:p w14:paraId="56A268AC">
                  <w:pPr>
                    <w:pStyle w:val="20"/>
                    <w:spacing w:after="0"/>
                    <w:ind w:firstLine="0" w:firstLineChars="0"/>
                    <w:jc w:val="center"/>
                    <w:rPr>
                      <w:color w:val="auto"/>
                      <w:szCs w:val="21"/>
                    </w:rPr>
                  </w:pPr>
                </w:p>
              </w:tc>
              <w:tc>
                <w:tcPr>
                  <w:tcW w:w="394" w:type="pct"/>
                  <w:vMerge w:val="continue"/>
                  <w:vAlign w:val="center"/>
                </w:tcPr>
                <w:p w14:paraId="5BCB8F97">
                  <w:pPr>
                    <w:pStyle w:val="20"/>
                    <w:spacing w:after="0"/>
                    <w:ind w:firstLine="0" w:firstLineChars="0"/>
                    <w:jc w:val="center"/>
                    <w:rPr>
                      <w:color w:val="auto"/>
                      <w:szCs w:val="21"/>
                    </w:rPr>
                  </w:pPr>
                </w:p>
              </w:tc>
              <w:tc>
                <w:tcPr>
                  <w:tcW w:w="516" w:type="pct"/>
                  <w:vAlign w:val="center"/>
                </w:tcPr>
                <w:p w14:paraId="5527C1F9">
                  <w:pPr>
                    <w:pStyle w:val="20"/>
                    <w:spacing w:after="0"/>
                    <w:ind w:firstLine="0" w:firstLineChars="0"/>
                    <w:jc w:val="center"/>
                    <w:rPr>
                      <w:color w:val="auto"/>
                      <w:szCs w:val="21"/>
                    </w:rPr>
                  </w:pPr>
                  <w:r>
                    <w:rPr>
                      <w:rFonts w:hint="eastAsia"/>
                      <w:color w:val="auto"/>
                      <w:szCs w:val="21"/>
                    </w:rPr>
                    <w:t>3</w:t>
                  </w:r>
                  <w:r>
                    <w:rPr>
                      <w:color w:val="auto"/>
                      <w:szCs w:val="21"/>
                    </w:rPr>
                    <w:t>#</w:t>
                  </w:r>
                  <w:r>
                    <w:rPr>
                      <w:rFonts w:hint="eastAsia"/>
                      <w:color w:val="auto"/>
                      <w:szCs w:val="21"/>
                      <w:lang w:val="en-US" w:eastAsia="zh-CN"/>
                    </w:rPr>
                    <w:t>矿粉</w:t>
                  </w:r>
                  <w:r>
                    <w:rPr>
                      <w:color w:val="auto"/>
                      <w:szCs w:val="21"/>
                    </w:rPr>
                    <w:t>筒仓仓顶</w:t>
                  </w:r>
                  <w:r>
                    <w:rPr>
                      <w:rFonts w:hint="eastAsia"/>
                      <w:color w:val="auto"/>
                      <w:szCs w:val="21"/>
                    </w:rPr>
                    <w:t>排气筒</w:t>
                  </w:r>
                </w:p>
              </w:tc>
              <w:tc>
                <w:tcPr>
                  <w:tcW w:w="346" w:type="pct"/>
                  <w:vAlign w:val="center"/>
                </w:tcPr>
                <w:p w14:paraId="2DA81122">
                  <w:pPr>
                    <w:pStyle w:val="20"/>
                    <w:spacing w:after="0"/>
                    <w:ind w:firstLine="0" w:firstLineChars="0"/>
                    <w:jc w:val="center"/>
                    <w:rPr>
                      <w:color w:val="auto"/>
                      <w:szCs w:val="21"/>
                    </w:rPr>
                  </w:pPr>
                  <w:r>
                    <w:rPr>
                      <w:color w:val="auto"/>
                      <w:szCs w:val="21"/>
                    </w:rPr>
                    <w:t>DA00</w:t>
                  </w:r>
                  <w:r>
                    <w:rPr>
                      <w:rFonts w:hint="eastAsia"/>
                      <w:color w:val="auto"/>
                      <w:szCs w:val="21"/>
                    </w:rPr>
                    <w:t>3</w:t>
                  </w:r>
                </w:p>
              </w:tc>
              <w:tc>
                <w:tcPr>
                  <w:tcW w:w="242" w:type="pct"/>
                  <w:vMerge w:val="continue"/>
                  <w:vAlign w:val="center"/>
                </w:tcPr>
                <w:p w14:paraId="2AE43592">
                  <w:pPr>
                    <w:pStyle w:val="20"/>
                    <w:spacing w:after="0"/>
                    <w:ind w:firstLine="0" w:firstLineChars="0"/>
                    <w:jc w:val="center"/>
                    <w:rPr>
                      <w:color w:val="auto"/>
                      <w:szCs w:val="21"/>
                    </w:rPr>
                  </w:pPr>
                </w:p>
              </w:tc>
              <w:tc>
                <w:tcPr>
                  <w:tcW w:w="253" w:type="pct"/>
                  <w:vAlign w:val="center"/>
                </w:tcPr>
                <w:p w14:paraId="00AB9208">
                  <w:pPr>
                    <w:pStyle w:val="20"/>
                    <w:spacing w:after="0"/>
                    <w:ind w:firstLine="0" w:firstLineChars="0"/>
                    <w:jc w:val="center"/>
                    <w:rPr>
                      <w:color w:val="auto"/>
                      <w:szCs w:val="21"/>
                    </w:rPr>
                  </w:pPr>
                  <w:r>
                    <w:rPr>
                      <w:rFonts w:hint="eastAsia"/>
                      <w:color w:val="auto"/>
                      <w:szCs w:val="21"/>
                    </w:rPr>
                    <w:t>33</w:t>
                  </w:r>
                </w:p>
              </w:tc>
              <w:tc>
                <w:tcPr>
                  <w:tcW w:w="373" w:type="pct"/>
                  <w:vMerge w:val="continue"/>
                  <w:vAlign w:val="center"/>
                </w:tcPr>
                <w:p w14:paraId="6020A500">
                  <w:pPr>
                    <w:pStyle w:val="20"/>
                    <w:spacing w:after="0"/>
                    <w:ind w:firstLine="0" w:firstLineChars="0"/>
                    <w:jc w:val="center"/>
                    <w:rPr>
                      <w:color w:val="auto"/>
                      <w:szCs w:val="21"/>
                    </w:rPr>
                  </w:pPr>
                </w:p>
              </w:tc>
              <w:tc>
                <w:tcPr>
                  <w:tcW w:w="284" w:type="pct"/>
                  <w:vAlign w:val="center"/>
                </w:tcPr>
                <w:p w14:paraId="31ABEF63">
                  <w:pPr>
                    <w:ind w:firstLine="420"/>
                    <w:jc w:val="center"/>
                    <w:rPr>
                      <w:color w:val="auto"/>
                      <w:szCs w:val="21"/>
                    </w:rPr>
                  </w:pPr>
                  <w:r>
                    <w:rPr>
                      <w:rFonts w:hint="eastAsia"/>
                      <w:color w:val="auto"/>
                      <w:szCs w:val="21"/>
                    </w:rPr>
                    <w:t>//</w:t>
                  </w:r>
                </w:p>
              </w:tc>
              <w:tc>
                <w:tcPr>
                  <w:tcW w:w="341" w:type="pct"/>
                  <w:vMerge w:val="continue"/>
                  <w:vAlign w:val="center"/>
                </w:tcPr>
                <w:p w14:paraId="48392592">
                  <w:pPr>
                    <w:pStyle w:val="20"/>
                    <w:spacing w:after="0"/>
                    <w:ind w:firstLine="0" w:firstLineChars="0"/>
                    <w:jc w:val="center"/>
                    <w:rPr>
                      <w:color w:val="auto"/>
                      <w:szCs w:val="21"/>
                    </w:rPr>
                  </w:pPr>
                </w:p>
              </w:tc>
              <w:tc>
                <w:tcPr>
                  <w:tcW w:w="821" w:type="pct"/>
                  <w:shd w:val="clear" w:color="auto" w:fill="auto"/>
                  <w:vAlign w:val="center"/>
                </w:tcPr>
                <w:p w14:paraId="4D1110B8">
                  <w:pPr>
                    <w:pStyle w:val="20"/>
                    <w:spacing w:after="0"/>
                    <w:ind w:firstLine="0" w:firstLineChars="0"/>
                    <w:jc w:val="center"/>
                    <w:rPr>
                      <w:color w:val="auto"/>
                      <w:szCs w:val="21"/>
                    </w:rPr>
                  </w:pPr>
                  <w:r>
                    <w:rPr>
                      <w:rFonts w:hint="eastAsia"/>
                      <w:color w:val="auto"/>
                      <w:szCs w:val="21"/>
                    </w:rPr>
                    <w:t>103.22070882，25.54984180</w:t>
                  </w:r>
                </w:p>
              </w:tc>
              <w:tc>
                <w:tcPr>
                  <w:tcW w:w="1037" w:type="pct"/>
                  <w:vMerge w:val="continue"/>
                  <w:vAlign w:val="center"/>
                </w:tcPr>
                <w:p w14:paraId="08FDBC64">
                  <w:pPr>
                    <w:pStyle w:val="20"/>
                    <w:spacing w:after="0"/>
                    <w:ind w:firstLine="0" w:firstLineChars="0"/>
                    <w:jc w:val="center"/>
                    <w:rPr>
                      <w:color w:val="auto"/>
                      <w:szCs w:val="21"/>
                    </w:rPr>
                  </w:pPr>
                </w:p>
              </w:tc>
            </w:tr>
            <w:tr w14:paraId="4CD235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0" w:type="pct"/>
                  <w:vMerge w:val="continue"/>
                  <w:vAlign w:val="center"/>
                </w:tcPr>
                <w:p w14:paraId="31DADAB2">
                  <w:pPr>
                    <w:pStyle w:val="20"/>
                    <w:spacing w:after="0"/>
                    <w:ind w:firstLine="0" w:firstLineChars="0"/>
                    <w:jc w:val="center"/>
                    <w:rPr>
                      <w:color w:val="auto"/>
                      <w:szCs w:val="21"/>
                    </w:rPr>
                  </w:pPr>
                </w:p>
              </w:tc>
              <w:tc>
                <w:tcPr>
                  <w:tcW w:w="394" w:type="pct"/>
                  <w:vMerge w:val="restart"/>
                  <w:vAlign w:val="center"/>
                </w:tcPr>
                <w:p w14:paraId="03A6E056">
                  <w:pPr>
                    <w:pStyle w:val="20"/>
                    <w:spacing w:after="0"/>
                    <w:ind w:firstLine="0" w:firstLineChars="0"/>
                    <w:jc w:val="center"/>
                    <w:rPr>
                      <w:color w:val="auto"/>
                      <w:szCs w:val="21"/>
                    </w:rPr>
                  </w:pPr>
                  <w:r>
                    <w:rPr>
                      <w:rFonts w:hint="eastAsia"/>
                      <w:color w:val="auto"/>
                      <w:szCs w:val="21"/>
                    </w:rPr>
                    <w:t>本次扩建项目废气排放口</w:t>
                  </w:r>
                </w:p>
              </w:tc>
              <w:tc>
                <w:tcPr>
                  <w:tcW w:w="516" w:type="pct"/>
                  <w:vAlign w:val="center"/>
                </w:tcPr>
                <w:p w14:paraId="7DB6CB31">
                  <w:pPr>
                    <w:pStyle w:val="20"/>
                    <w:spacing w:after="0"/>
                    <w:ind w:firstLine="0" w:firstLineChars="0"/>
                    <w:jc w:val="center"/>
                    <w:rPr>
                      <w:color w:val="auto"/>
                      <w:szCs w:val="21"/>
                    </w:rPr>
                  </w:pPr>
                  <w:r>
                    <w:rPr>
                      <w:rFonts w:hint="eastAsia"/>
                      <w:color w:val="auto"/>
                      <w:szCs w:val="21"/>
                      <w:lang w:val="en-US" w:eastAsia="zh-CN"/>
                    </w:rPr>
                    <w:t>4</w:t>
                  </w:r>
                  <w:r>
                    <w:rPr>
                      <w:color w:val="auto"/>
                      <w:szCs w:val="21"/>
                    </w:rPr>
                    <w:t>#水泥筒仓仓顶</w:t>
                  </w:r>
                  <w:r>
                    <w:rPr>
                      <w:rFonts w:hint="eastAsia"/>
                      <w:color w:val="auto"/>
                      <w:szCs w:val="21"/>
                    </w:rPr>
                    <w:t>排气筒</w:t>
                  </w:r>
                </w:p>
              </w:tc>
              <w:tc>
                <w:tcPr>
                  <w:tcW w:w="346" w:type="pct"/>
                  <w:vAlign w:val="center"/>
                </w:tcPr>
                <w:p w14:paraId="2209E3B1">
                  <w:pPr>
                    <w:pStyle w:val="20"/>
                    <w:spacing w:after="0"/>
                    <w:ind w:firstLine="0" w:firstLineChars="0"/>
                    <w:jc w:val="center"/>
                    <w:rPr>
                      <w:color w:val="auto"/>
                      <w:szCs w:val="21"/>
                    </w:rPr>
                  </w:pPr>
                  <w:r>
                    <w:rPr>
                      <w:color w:val="auto"/>
                      <w:szCs w:val="21"/>
                    </w:rPr>
                    <w:t>DA00</w:t>
                  </w:r>
                  <w:r>
                    <w:rPr>
                      <w:rFonts w:hint="eastAsia"/>
                      <w:color w:val="auto"/>
                      <w:szCs w:val="21"/>
                    </w:rPr>
                    <w:t>5</w:t>
                  </w:r>
                </w:p>
              </w:tc>
              <w:tc>
                <w:tcPr>
                  <w:tcW w:w="242" w:type="pct"/>
                  <w:vMerge w:val="continue"/>
                  <w:vAlign w:val="center"/>
                </w:tcPr>
                <w:p w14:paraId="49047655">
                  <w:pPr>
                    <w:pStyle w:val="20"/>
                    <w:spacing w:after="0"/>
                    <w:ind w:firstLine="0" w:firstLineChars="0"/>
                    <w:jc w:val="center"/>
                    <w:rPr>
                      <w:color w:val="auto"/>
                      <w:szCs w:val="21"/>
                    </w:rPr>
                  </w:pPr>
                </w:p>
              </w:tc>
              <w:tc>
                <w:tcPr>
                  <w:tcW w:w="253" w:type="pct"/>
                  <w:vAlign w:val="center"/>
                </w:tcPr>
                <w:p w14:paraId="50114012">
                  <w:pPr>
                    <w:pStyle w:val="20"/>
                    <w:spacing w:after="0"/>
                    <w:ind w:firstLine="0" w:firstLineChars="0"/>
                    <w:jc w:val="center"/>
                    <w:rPr>
                      <w:color w:val="auto"/>
                      <w:szCs w:val="21"/>
                    </w:rPr>
                  </w:pPr>
                  <w:r>
                    <w:rPr>
                      <w:rFonts w:hint="eastAsia"/>
                      <w:color w:val="auto"/>
                      <w:szCs w:val="21"/>
                    </w:rPr>
                    <w:t>33</w:t>
                  </w:r>
                </w:p>
              </w:tc>
              <w:tc>
                <w:tcPr>
                  <w:tcW w:w="373" w:type="pct"/>
                  <w:vMerge w:val="continue"/>
                  <w:vAlign w:val="center"/>
                </w:tcPr>
                <w:p w14:paraId="5F729B0E">
                  <w:pPr>
                    <w:pStyle w:val="20"/>
                    <w:spacing w:after="0"/>
                    <w:ind w:firstLine="0" w:firstLineChars="0"/>
                    <w:jc w:val="center"/>
                    <w:rPr>
                      <w:color w:val="auto"/>
                      <w:szCs w:val="21"/>
                    </w:rPr>
                  </w:pPr>
                </w:p>
              </w:tc>
              <w:tc>
                <w:tcPr>
                  <w:tcW w:w="284" w:type="pct"/>
                  <w:vAlign w:val="center"/>
                </w:tcPr>
                <w:p w14:paraId="2D102960">
                  <w:pPr>
                    <w:pStyle w:val="20"/>
                    <w:spacing w:after="0"/>
                    <w:ind w:firstLine="0" w:firstLineChars="0"/>
                    <w:jc w:val="center"/>
                    <w:rPr>
                      <w:rFonts w:hint="eastAsia" w:eastAsia="宋体"/>
                      <w:color w:val="auto"/>
                      <w:szCs w:val="21"/>
                      <w:lang w:eastAsia="zh-CN"/>
                    </w:rPr>
                  </w:pPr>
                  <w:r>
                    <w:rPr>
                      <w:rFonts w:hint="eastAsia"/>
                      <w:color w:val="auto"/>
                      <w:szCs w:val="21"/>
                      <w:lang w:eastAsia="zh-CN"/>
                    </w:rPr>
                    <w:t>/</w:t>
                  </w:r>
                </w:p>
              </w:tc>
              <w:tc>
                <w:tcPr>
                  <w:tcW w:w="341" w:type="pct"/>
                  <w:vMerge w:val="continue"/>
                  <w:vAlign w:val="center"/>
                </w:tcPr>
                <w:p w14:paraId="72295975">
                  <w:pPr>
                    <w:pStyle w:val="20"/>
                    <w:spacing w:after="0"/>
                    <w:ind w:firstLine="0" w:firstLineChars="0"/>
                    <w:jc w:val="center"/>
                    <w:rPr>
                      <w:color w:val="auto"/>
                      <w:szCs w:val="21"/>
                    </w:rPr>
                  </w:pPr>
                </w:p>
              </w:tc>
              <w:tc>
                <w:tcPr>
                  <w:tcW w:w="821" w:type="pct"/>
                  <w:vAlign w:val="center"/>
                </w:tcPr>
                <w:p w14:paraId="6667D051">
                  <w:pPr>
                    <w:pStyle w:val="20"/>
                    <w:spacing w:after="0"/>
                    <w:ind w:firstLine="0" w:firstLineChars="0"/>
                    <w:jc w:val="center"/>
                    <w:rPr>
                      <w:color w:val="auto"/>
                      <w:szCs w:val="21"/>
                    </w:rPr>
                  </w:pPr>
                  <w:r>
                    <w:rPr>
                      <w:rFonts w:hint="eastAsia"/>
                      <w:color w:val="auto"/>
                      <w:szCs w:val="21"/>
                    </w:rPr>
                    <w:t>103.22097570，25.54967967</w:t>
                  </w:r>
                </w:p>
              </w:tc>
              <w:tc>
                <w:tcPr>
                  <w:tcW w:w="1037" w:type="pct"/>
                  <w:vMerge w:val="continue"/>
                  <w:vAlign w:val="center"/>
                </w:tcPr>
                <w:p w14:paraId="26455DE9">
                  <w:pPr>
                    <w:pStyle w:val="20"/>
                    <w:spacing w:after="0"/>
                    <w:ind w:firstLine="0" w:firstLineChars="0"/>
                    <w:jc w:val="center"/>
                    <w:rPr>
                      <w:color w:val="auto"/>
                      <w:szCs w:val="21"/>
                    </w:rPr>
                  </w:pPr>
                </w:p>
              </w:tc>
            </w:tr>
            <w:tr w14:paraId="57E484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0" w:type="pct"/>
                  <w:vMerge w:val="continue"/>
                  <w:vAlign w:val="center"/>
                </w:tcPr>
                <w:p w14:paraId="5892F101">
                  <w:pPr>
                    <w:pStyle w:val="20"/>
                    <w:spacing w:after="0"/>
                    <w:ind w:firstLine="0" w:firstLineChars="0"/>
                    <w:jc w:val="center"/>
                    <w:rPr>
                      <w:color w:val="auto"/>
                      <w:szCs w:val="21"/>
                    </w:rPr>
                  </w:pPr>
                </w:p>
              </w:tc>
              <w:tc>
                <w:tcPr>
                  <w:tcW w:w="394" w:type="pct"/>
                  <w:vMerge w:val="continue"/>
                  <w:vAlign w:val="center"/>
                </w:tcPr>
                <w:p w14:paraId="65AAD2F6">
                  <w:pPr>
                    <w:pStyle w:val="20"/>
                    <w:spacing w:after="0"/>
                    <w:ind w:firstLine="0" w:firstLineChars="0"/>
                    <w:jc w:val="center"/>
                    <w:rPr>
                      <w:color w:val="auto"/>
                      <w:szCs w:val="21"/>
                    </w:rPr>
                  </w:pPr>
                </w:p>
              </w:tc>
              <w:tc>
                <w:tcPr>
                  <w:tcW w:w="516" w:type="pct"/>
                  <w:vAlign w:val="center"/>
                </w:tcPr>
                <w:p w14:paraId="54AB1168">
                  <w:pPr>
                    <w:pStyle w:val="20"/>
                    <w:spacing w:after="0"/>
                    <w:ind w:firstLine="0" w:firstLineChars="0"/>
                    <w:jc w:val="center"/>
                    <w:rPr>
                      <w:color w:val="auto"/>
                      <w:szCs w:val="21"/>
                    </w:rPr>
                  </w:pPr>
                  <w:r>
                    <w:rPr>
                      <w:rFonts w:hint="eastAsia"/>
                      <w:color w:val="auto"/>
                      <w:szCs w:val="21"/>
                      <w:lang w:val="en-US" w:eastAsia="zh-CN"/>
                    </w:rPr>
                    <w:t>5</w:t>
                  </w:r>
                  <w:r>
                    <w:rPr>
                      <w:color w:val="auto"/>
                      <w:szCs w:val="21"/>
                    </w:rPr>
                    <w:t>#粉煤灰筒仓仓顶</w:t>
                  </w:r>
                  <w:r>
                    <w:rPr>
                      <w:rFonts w:hint="eastAsia"/>
                      <w:color w:val="auto"/>
                      <w:szCs w:val="21"/>
                    </w:rPr>
                    <w:t>排气筒</w:t>
                  </w:r>
                </w:p>
              </w:tc>
              <w:tc>
                <w:tcPr>
                  <w:tcW w:w="346" w:type="pct"/>
                  <w:vAlign w:val="center"/>
                </w:tcPr>
                <w:p w14:paraId="69E8AC2E">
                  <w:pPr>
                    <w:pStyle w:val="20"/>
                    <w:spacing w:after="0"/>
                    <w:ind w:firstLine="0" w:firstLineChars="0"/>
                    <w:jc w:val="center"/>
                    <w:rPr>
                      <w:color w:val="auto"/>
                      <w:szCs w:val="21"/>
                    </w:rPr>
                  </w:pPr>
                  <w:r>
                    <w:rPr>
                      <w:color w:val="auto"/>
                      <w:szCs w:val="21"/>
                    </w:rPr>
                    <w:t>DA00</w:t>
                  </w:r>
                  <w:r>
                    <w:rPr>
                      <w:rFonts w:hint="eastAsia"/>
                      <w:color w:val="auto"/>
                      <w:szCs w:val="21"/>
                    </w:rPr>
                    <w:t>6</w:t>
                  </w:r>
                </w:p>
              </w:tc>
              <w:tc>
                <w:tcPr>
                  <w:tcW w:w="242" w:type="pct"/>
                  <w:vMerge w:val="continue"/>
                  <w:vAlign w:val="center"/>
                </w:tcPr>
                <w:p w14:paraId="336E2E08">
                  <w:pPr>
                    <w:pStyle w:val="20"/>
                    <w:spacing w:after="0"/>
                    <w:ind w:firstLine="0" w:firstLineChars="0"/>
                    <w:jc w:val="center"/>
                    <w:rPr>
                      <w:color w:val="auto"/>
                      <w:szCs w:val="21"/>
                    </w:rPr>
                  </w:pPr>
                </w:p>
              </w:tc>
              <w:tc>
                <w:tcPr>
                  <w:tcW w:w="253" w:type="pct"/>
                  <w:vAlign w:val="center"/>
                </w:tcPr>
                <w:p w14:paraId="5D21F370">
                  <w:pPr>
                    <w:pStyle w:val="20"/>
                    <w:spacing w:after="0"/>
                    <w:ind w:firstLine="0" w:firstLineChars="0"/>
                    <w:jc w:val="center"/>
                    <w:rPr>
                      <w:color w:val="auto"/>
                      <w:szCs w:val="21"/>
                    </w:rPr>
                  </w:pPr>
                  <w:r>
                    <w:rPr>
                      <w:rFonts w:hint="eastAsia"/>
                      <w:color w:val="auto"/>
                      <w:szCs w:val="21"/>
                    </w:rPr>
                    <w:t>33</w:t>
                  </w:r>
                </w:p>
              </w:tc>
              <w:tc>
                <w:tcPr>
                  <w:tcW w:w="373" w:type="pct"/>
                  <w:vMerge w:val="continue"/>
                  <w:vAlign w:val="center"/>
                </w:tcPr>
                <w:p w14:paraId="402DA3C5">
                  <w:pPr>
                    <w:pStyle w:val="20"/>
                    <w:spacing w:after="0"/>
                    <w:ind w:firstLine="0" w:firstLineChars="0"/>
                    <w:jc w:val="center"/>
                    <w:rPr>
                      <w:color w:val="auto"/>
                      <w:szCs w:val="21"/>
                    </w:rPr>
                  </w:pPr>
                </w:p>
              </w:tc>
              <w:tc>
                <w:tcPr>
                  <w:tcW w:w="284" w:type="pct"/>
                  <w:vAlign w:val="center"/>
                </w:tcPr>
                <w:p w14:paraId="7A18D016">
                  <w:pPr>
                    <w:pStyle w:val="20"/>
                    <w:spacing w:after="0"/>
                    <w:ind w:firstLine="0" w:firstLineChars="0"/>
                    <w:jc w:val="center"/>
                    <w:rPr>
                      <w:rFonts w:hint="eastAsia" w:eastAsia="宋体"/>
                      <w:color w:val="auto"/>
                      <w:szCs w:val="21"/>
                      <w:lang w:eastAsia="zh-CN"/>
                    </w:rPr>
                  </w:pPr>
                  <w:r>
                    <w:rPr>
                      <w:rFonts w:hint="eastAsia"/>
                      <w:color w:val="auto"/>
                      <w:szCs w:val="21"/>
                      <w:lang w:val="en-US" w:eastAsia="zh-CN"/>
                    </w:rPr>
                    <w:t>/</w:t>
                  </w:r>
                </w:p>
              </w:tc>
              <w:tc>
                <w:tcPr>
                  <w:tcW w:w="341" w:type="pct"/>
                  <w:vMerge w:val="continue"/>
                  <w:vAlign w:val="center"/>
                </w:tcPr>
                <w:p w14:paraId="3D8A78BD">
                  <w:pPr>
                    <w:pStyle w:val="20"/>
                    <w:spacing w:after="0"/>
                    <w:ind w:firstLine="0" w:firstLineChars="0"/>
                    <w:jc w:val="center"/>
                    <w:rPr>
                      <w:color w:val="auto"/>
                      <w:szCs w:val="21"/>
                    </w:rPr>
                  </w:pPr>
                </w:p>
              </w:tc>
              <w:tc>
                <w:tcPr>
                  <w:tcW w:w="821" w:type="pct"/>
                  <w:vAlign w:val="center"/>
                </w:tcPr>
                <w:p w14:paraId="0DFCB1D6">
                  <w:pPr>
                    <w:pStyle w:val="20"/>
                    <w:spacing w:after="0"/>
                    <w:ind w:firstLine="0" w:firstLineChars="0"/>
                    <w:jc w:val="center"/>
                    <w:rPr>
                      <w:color w:val="auto"/>
                      <w:szCs w:val="21"/>
                    </w:rPr>
                  </w:pPr>
                  <w:r>
                    <w:rPr>
                      <w:rFonts w:hint="eastAsia"/>
                      <w:color w:val="auto"/>
                      <w:szCs w:val="21"/>
                    </w:rPr>
                    <w:t>103.22088450，25.54974259</w:t>
                  </w:r>
                </w:p>
              </w:tc>
              <w:tc>
                <w:tcPr>
                  <w:tcW w:w="1037" w:type="pct"/>
                  <w:vMerge w:val="continue"/>
                  <w:vAlign w:val="center"/>
                </w:tcPr>
                <w:p w14:paraId="6ADE935C">
                  <w:pPr>
                    <w:pStyle w:val="20"/>
                    <w:spacing w:after="0"/>
                    <w:ind w:firstLine="0" w:firstLineChars="0"/>
                    <w:jc w:val="center"/>
                    <w:rPr>
                      <w:color w:val="auto"/>
                      <w:szCs w:val="21"/>
                    </w:rPr>
                  </w:pPr>
                </w:p>
              </w:tc>
            </w:tr>
            <w:tr w14:paraId="48944D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0" w:type="pct"/>
                  <w:vMerge w:val="continue"/>
                  <w:vAlign w:val="center"/>
                </w:tcPr>
                <w:p w14:paraId="33E9C006">
                  <w:pPr>
                    <w:pStyle w:val="20"/>
                    <w:spacing w:after="0"/>
                    <w:ind w:firstLine="0" w:firstLineChars="0"/>
                    <w:jc w:val="center"/>
                    <w:rPr>
                      <w:color w:val="auto"/>
                      <w:szCs w:val="21"/>
                    </w:rPr>
                  </w:pPr>
                </w:p>
              </w:tc>
              <w:tc>
                <w:tcPr>
                  <w:tcW w:w="394" w:type="pct"/>
                  <w:vMerge w:val="continue"/>
                  <w:vAlign w:val="center"/>
                </w:tcPr>
                <w:p w14:paraId="4B5E2D33">
                  <w:pPr>
                    <w:pStyle w:val="20"/>
                    <w:spacing w:after="0"/>
                    <w:ind w:firstLine="0" w:firstLineChars="0"/>
                    <w:jc w:val="center"/>
                    <w:rPr>
                      <w:color w:val="auto"/>
                      <w:szCs w:val="21"/>
                    </w:rPr>
                  </w:pPr>
                </w:p>
              </w:tc>
              <w:tc>
                <w:tcPr>
                  <w:tcW w:w="516" w:type="pct"/>
                  <w:vAlign w:val="center"/>
                </w:tcPr>
                <w:p w14:paraId="529783F3">
                  <w:pPr>
                    <w:pStyle w:val="20"/>
                    <w:spacing w:after="0"/>
                    <w:ind w:firstLine="0" w:firstLineChars="0"/>
                    <w:jc w:val="center"/>
                    <w:rPr>
                      <w:color w:val="auto"/>
                      <w:szCs w:val="21"/>
                    </w:rPr>
                  </w:pPr>
                  <w:r>
                    <w:rPr>
                      <w:rFonts w:hint="eastAsia"/>
                      <w:color w:val="auto"/>
                      <w:szCs w:val="21"/>
                      <w:lang w:val="en-US" w:eastAsia="zh-CN"/>
                    </w:rPr>
                    <w:t>6</w:t>
                  </w:r>
                  <w:r>
                    <w:rPr>
                      <w:color w:val="auto"/>
                      <w:szCs w:val="21"/>
                    </w:rPr>
                    <w:t>#</w:t>
                  </w:r>
                  <w:r>
                    <w:rPr>
                      <w:rFonts w:hint="eastAsia"/>
                      <w:color w:val="auto"/>
                      <w:szCs w:val="21"/>
                    </w:rPr>
                    <w:t>矿粉</w:t>
                  </w:r>
                  <w:r>
                    <w:rPr>
                      <w:color w:val="auto"/>
                      <w:szCs w:val="21"/>
                    </w:rPr>
                    <w:t>筒仓仓顶</w:t>
                  </w:r>
                  <w:r>
                    <w:rPr>
                      <w:rFonts w:hint="eastAsia"/>
                      <w:color w:val="auto"/>
                      <w:szCs w:val="21"/>
                    </w:rPr>
                    <w:t>排气筒</w:t>
                  </w:r>
                </w:p>
              </w:tc>
              <w:tc>
                <w:tcPr>
                  <w:tcW w:w="346" w:type="pct"/>
                  <w:vAlign w:val="center"/>
                </w:tcPr>
                <w:p w14:paraId="378A0336">
                  <w:pPr>
                    <w:widowControl/>
                    <w:snapToGrid w:val="0"/>
                    <w:ind w:firstLine="0" w:firstLineChars="0"/>
                    <w:jc w:val="center"/>
                    <w:rPr>
                      <w:color w:val="auto"/>
                      <w:szCs w:val="21"/>
                    </w:rPr>
                  </w:pPr>
                  <w:r>
                    <w:rPr>
                      <w:color w:val="auto"/>
                      <w:szCs w:val="21"/>
                    </w:rPr>
                    <w:t>DA00</w:t>
                  </w:r>
                  <w:r>
                    <w:rPr>
                      <w:rFonts w:hint="eastAsia"/>
                      <w:color w:val="auto"/>
                      <w:szCs w:val="21"/>
                    </w:rPr>
                    <w:t>7</w:t>
                  </w:r>
                </w:p>
              </w:tc>
              <w:tc>
                <w:tcPr>
                  <w:tcW w:w="242" w:type="pct"/>
                  <w:vMerge w:val="continue"/>
                  <w:vAlign w:val="center"/>
                </w:tcPr>
                <w:p w14:paraId="10FDCE3F">
                  <w:pPr>
                    <w:pStyle w:val="20"/>
                    <w:spacing w:after="0"/>
                    <w:ind w:firstLine="0" w:firstLineChars="0"/>
                    <w:jc w:val="center"/>
                    <w:rPr>
                      <w:color w:val="auto"/>
                      <w:szCs w:val="21"/>
                    </w:rPr>
                  </w:pPr>
                </w:p>
              </w:tc>
              <w:tc>
                <w:tcPr>
                  <w:tcW w:w="253" w:type="pct"/>
                  <w:vAlign w:val="center"/>
                </w:tcPr>
                <w:p w14:paraId="6E7EDD18">
                  <w:pPr>
                    <w:pStyle w:val="20"/>
                    <w:spacing w:after="0"/>
                    <w:ind w:firstLine="0" w:firstLineChars="0"/>
                    <w:jc w:val="center"/>
                    <w:rPr>
                      <w:color w:val="auto"/>
                      <w:szCs w:val="21"/>
                    </w:rPr>
                  </w:pPr>
                  <w:r>
                    <w:rPr>
                      <w:rFonts w:hint="eastAsia"/>
                      <w:color w:val="auto"/>
                      <w:szCs w:val="21"/>
                    </w:rPr>
                    <w:t>33</w:t>
                  </w:r>
                </w:p>
              </w:tc>
              <w:tc>
                <w:tcPr>
                  <w:tcW w:w="373" w:type="pct"/>
                  <w:vMerge w:val="continue"/>
                  <w:vAlign w:val="center"/>
                </w:tcPr>
                <w:p w14:paraId="2AA91479">
                  <w:pPr>
                    <w:pStyle w:val="20"/>
                    <w:spacing w:after="0"/>
                    <w:ind w:firstLine="0" w:firstLineChars="0"/>
                    <w:jc w:val="center"/>
                    <w:rPr>
                      <w:color w:val="auto"/>
                      <w:szCs w:val="21"/>
                    </w:rPr>
                  </w:pPr>
                </w:p>
              </w:tc>
              <w:tc>
                <w:tcPr>
                  <w:tcW w:w="284" w:type="pct"/>
                  <w:vAlign w:val="center"/>
                </w:tcPr>
                <w:p w14:paraId="425E8F89">
                  <w:pPr>
                    <w:pStyle w:val="20"/>
                    <w:spacing w:after="0"/>
                    <w:ind w:firstLine="0" w:firstLineChars="0"/>
                    <w:jc w:val="center"/>
                    <w:rPr>
                      <w:rFonts w:hint="eastAsia" w:eastAsia="宋体"/>
                      <w:color w:val="auto"/>
                      <w:szCs w:val="21"/>
                      <w:lang w:val="en-US" w:eastAsia="zh-CN"/>
                    </w:rPr>
                  </w:pPr>
                  <w:r>
                    <w:rPr>
                      <w:rFonts w:hint="eastAsia"/>
                      <w:color w:val="auto"/>
                      <w:szCs w:val="21"/>
                      <w:lang w:val="en-US" w:eastAsia="zh-CN"/>
                    </w:rPr>
                    <w:t>/</w:t>
                  </w:r>
                </w:p>
              </w:tc>
              <w:tc>
                <w:tcPr>
                  <w:tcW w:w="341" w:type="pct"/>
                  <w:vMerge w:val="continue"/>
                  <w:vAlign w:val="center"/>
                </w:tcPr>
                <w:p w14:paraId="35A8587D">
                  <w:pPr>
                    <w:pStyle w:val="20"/>
                    <w:spacing w:after="0"/>
                    <w:ind w:firstLine="0" w:firstLineChars="0"/>
                    <w:jc w:val="center"/>
                    <w:rPr>
                      <w:color w:val="auto"/>
                      <w:szCs w:val="21"/>
                    </w:rPr>
                  </w:pPr>
                </w:p>
              </w:tc>
              <w:tc>
                <w:tcPr>
                  <w:tcW w:w="821" w:type="pct"/>
                  <w:vAlign w:val="center"/>
                </w:tcPr>
                <w:p w14:paraId="0D92FB07">
                  <w:pPr>
                    <w:pStyle w:val="20"/>
                    <w:spacing w:after="0"/>
                    <w:ind w:firstLine="0" w:firstLineChars="0"/>
                    <w:jc w:val="center"/>
                    <w:rPr>
                      <w:color w:val="auto"/>
                      <w:szCs w:val="21"/>
                    </w:rPr>
                  </w:pPr>
                  <w:r>
                    <w:rPr>
                      <w:rFonts w:hint="eastAsia"/>
                      <w:color w:val="auto"/>
                      <w:szCs w:val="21"/>
                    </w:rPr>
                    <w:t>103.22088182，25.54967241</w:t>
                  </w:r>
                </w:p>
              </w:tc>
              <w:tc>
                <w:tcPr>
                  <w:tcW w:w="1037" w:type="pct"/>
                  <w:vMerge w:val="continue"/>
                  <w:vAlign w:val="center"/>
                </w:tcPr>
                <w:p w14:paraId="165D50D4">
                  <w:pPr>
                    <w:pStyle w:val="20"/>
                    <w:spacing w:after="0"/>
                    <w:ind w:firstLine="0" w:firstLineChars="0"/>
                    <w:jc w:val="center"/>
                    <w:rPr>
                      <w:color w:val="auto"/>
                      <w:szCs w:val="21"/>
                    </w:rPr>
                  </w:pPr>
                </w:p>
              </w:tc>
            </w:tr>
          </w:tbl>
          <w:p w14:paraId="2F5E1CFD">
            <w:pPr>
              <w:spacing w:line="360" w:lineRule="auto"/>
              <w:ind w:firstLine="482"/>
              <w:jc w:val="left"/>
              <w:rPr>
                <w:b/>
                <w:bCs/>
                <w:color w:val="auto"/>
                <w:sz w:val="24"/>
              </w:rPr>
            </w:pPr>
            <w:r>
              <w:rPr>
                <w:b/>
                <w:bCs/>
                <w:color w:val="auto"/>
                <w:sz w:val="24"/>
              </w:rPr>
              <w:t>（四）废气处理措施可行性分析</w:t>
            </w:r>
          </w:p>
          <w:p w14:paraId="0871ED63">
            <w:pPr>
              <w:spacing w:line="360" w:lineRule="auto"/>
              <w:ind w:firstLine="480"/>
              <w:jc w:val="left"/>
              <w:rPr>
                <w:color w:val="auto"/>
                <w:sz w:val="24"/>
              </w:rPr>
            </w:pPr>
            <w:r>
              <w:rPr>
                <w:color w:val="auto"/>
                <w:sz w:val="24"/>
              </w:rPr>
              <w:t>可行技术分析</w:t>
            </w:r>
            <w:r>
              <w:rPr>
                <w:rFonts w:hint="eastAsia"/>
                <w:color w:val="auto"/>
                <w:sz w:val="24"/>
              </w:rPr>
              <w:t>：</w:t>
            </w:r>
          </w:p>
          <w:p w14:paraId="51B7CE83">
            <w:pPr>
              <w:keepNext w:val="0"/>
              <w:keepLines w:val="0"/>
              <w:pageBreakBefore w:val="0"/>
              <w:widowControl w:val="0"/>
              <w:kinsoku/>
              <w:wordWrap w:val="0"/>
              <w:overflowPunct/>
              <w:topLinePunct/>
              <w:autoSpaceDE/>
              <w:autoSpaceDN/>
              <w:bidi w:val="0"/>
              <w:adjustRightInd/>
              <w:snapToGrid/>
              <w:spacing w:line="360" w:lineRule="auto"/>
              <w:ind w:firstLine="480"/>
              <w:jc w:val="left"/>
              <w:textAlignment w:val="auto"/>
              <w:rPr>
                <w:rFonts w:hint="eastAsia" w:eastAsia="宋体"/>
                <w:color w:val="auto"/>
                <w:sz w:val="24"/>
                <w:lang w:eastAsia="zh-CN"/>
              </w:rPr>
            </w:pPr>
            <w:r>
              <w:rPr>
                <w:color w:val="auto"/>
                <w:sz w:val="24"/>
              </w:rPr>
              <w:t>本项目水泥筒仓、粉煤灰筒仓</w:t>
            </w:r>
            <w:r>
              <w:rPr>
                <w:rFonts w:hint="eastAsia"/>
                <w:color w:val="auto"/>
                <w:sz w:val="24"/>
              </w:rPr>
              <w:t>、矿粉筒仓产生</w:t>
            </w:r>
            <w:r>
              <w:rPr>
                <w:color w:val="auto"/>
                <w:sz w:val="24"/>
              </w:rPr>
              <w:t>的颗粒物，分别收集后采用</w:t>
            </w:r>
            <w:r>
              <w:rPr>
                <w:rFonts w:hint="eastAsia"/>
                <w:color w:val="auto"/>
                <w:sz w:val="24"/>
              </w:rPr>
              <w:t>“</w:t>
            </w:r>
            <w:r>
              <w:rPr>
                <w:color w:val="auto"/>
                <w:sz w:val="24"/>
              </w:rPr>
              <w:t>布袋除尘器</w:t>
            </w:r>
            <w:r>
              <w:rPr>
                <w:rFonts w:hint="eastAsia"/>
                <w:color w:val="auto"/>
                <w:sz w:val="24"/>
              </w:rPr>
              <w:t>”</w:t>
            </w:r>
            <w:r>
              <w:rPr>
                <w:color w:val="auto"/>
                <w:sz w:val="24"/>
              </w:rPr>
              <w:t>处理后通过排气筒排放</w:t>
            </w:r>
            <w:r>
              <w:rPr>
                <w:rFonts w:hint="eastAsia"/>
                <w:color w:val="auto"/>
                <w:sz w:val="24"/>
              </w:rPr>
              <w:t>；制砂车间产生的颗粒物经设备</w:t>
            </w:r>
            <w:r>
              <w:rPr>
                <w:rFonts w:hint="eastAsia"/>
                <w:color w:val="auto"/>
                <w:sz w:val="24"/>
                <w:lang w:val="en-US" w:eastAsia="zh-CN"/>
              </w:rPr>
              <w:t>密闭措施隔离</w:t>
            </w:r>
            <w:r>
              <w:rPr>
                <w:rFonts w:hint="eastAsia"/>
                <w:color w:val="auto"/>
                <w:sz w:val="24"/>
              </w:rPr>
              <w:t>并在车间内设置喷雾降尘设施，同时制砂车间全密闭设置；</w:t>
            </w:r>
            <w:r>
              <w:rPr>
                <w:color w:val="auto"/>
                <w:sz w:val="24"/>
              </w:rPr>
              <w:t>搅拌机产生</w:t>
            </w:r>
            <w:r>
              <w:rPr>
                <w:rFonts w:hint="eastAsia"/>
                <w:color w:val="auto"/>
                <w:sz w:val="24"/>
              </w:rPr>
              <w:t>的颗粒物经布袋除尘器处理后呈无组织排放</w:t>
            </w:r>
            <w:r>
              <w:rPr>
                <w:rFonts w:hint="eastAsia"/>
                <w:color w:val="auto"/>
                <w:sz w:val="24"/>
                <w:lang w:eastAsia="zh-CN"/>
              </w:rPr>
              <w:t>；</w:t>
            </w:r>
          </w:p>
          <w:p w14:paraId="7052FF88">
            <w:pPr>
              <w:widowControl/>
              <w:spacing w:line="360" w:lineRule="auto"/>
              <w:ind w:firstLine="480"/>
              <w:rPr>
                <w:color w:val="auto"/>
                <w:sz w:val="24"/>
              </w:rPr>
            </w:pPr>
            <w:r>
              <w:rPr>
                <w:rFonts w:hint="eastAsia"/>
                <w:color w:val="auto"/>
                <w:sz w:val="24"/>
              </w:rPr>
              <w:t>对照《固定污染源排污许可分类管理名录(2019年版)》，项目不涉及水泥炉窑，不属于水泥制造单位，仅使用水泥为原材料加工混凝土，参照“64、砖瓦、石材等建筑材料制造 303”《排污许可证申请与核发技术规范陶瓷砖瓦工业》中表32-33；</w:t>
            </w:r>
          </w:p>
          <w:p w14:paraId="5BBC28C3">
            <w:pPr>
              <w:widowControl/>
              <w:spacing w:line="360" w:lineRule="auto"/>
              <w:ind w:firstLine="422"/>
              <w:jc w:val="center"/>
              <w:rPr>
                <w:b/>
                <w:bCs/>
                <w:color w:val="auto"/>
                <w:szCs w:val="21"/>
              </w:rPr>
            </w:pPr>
            <w:r>
              <w:rPr>
                <w:b/>
                <w:bCs/>
                <w:color w:val="auto"/>
                <w:szCs w:val="21"/>
              </w:rPr>
              <w:t>建筑用石加工工业排污单位废气污染防治可行技术</w:t>
            </w:r>
          </w:p>
          <w:p w14:paraId="2BC2560D">
            <w:pPr>
              <w:widowControl/>
              <w:spacing w:line="360" w:lineRule="auto"/>
              <w:ind w:firstLine="0" w:firstLineChars="0"/>
              <w:jc w:val="center"/>
              <w:rPr>
                <w:color w:val="auto"/>
                <w:szCs w:val="21"/>
              </w:rPr>
            </w:pPr>
            <w:r>
              <w:rPr>
                <w:color w:val="auto"/>
              </w:rPr>
              <w:drawing>
                <wp:inline distT="0" distB="0" distL="114300" distR="114300">
                  <wp:extent cx="5649595" cy="815975"/>
                  <wp:effectExtent l="0" t="0" r="8255" b="317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1"/>
                          <a:stretch>
                            <a:fillRect/>
                          </a:stretch>
                        </pic:blipFill>
                        <pic:spPr>
                          <a:xfrm>
                            <a:off x="0" y="0"/>
                            <a:ext cx="5649595" cy="815975"/>
                          </a:xfrm>
                          <a:prstGeom prst="rect">
                            <a:avLst/>
                          </a:prstGeom>
                          <a:noFill/>
                          <a:ln>
                            <a:noFill/>
                          </a:ln>
                        </pic:spPr>
                      </pic:pic>
                    </a:graphicData>
                  </a:graphic>
                </wp:inline>
              </w:drawing>
            </w:r>
          </w:p>
          <w:p w14:paraId="15569B03">
            <w:pPr>
              <w:widowControl/>
              <w:spacing w:line="360" w:lineRule="auto"/>
              <w:ind w:firstLine="422"/>
              <w:jc w:val="center"/>
              <w:rPr>
                <w:b/>
                <w:bCs/>
                <w:color w:val="auto"/>
                <w:szCs w:val="21"/>
              </w:rPr>
            </w:pPr>
            <w:r>
              <w:rPr>
                <w:rFonts w:hint="eastAsia"/>
                <w:b/>
                <w:bCs/>
                <w:color w:val="auto"/>
                <w:szCs w:val="21"/>
              </w:rPr>
              <w:t>其他制品类工业排污单位</w:t>
            </w:r>
            <w:r>
              <w:rPr>
                <w:b/>
                <w:bCs/>
                <w:color w:val="auto"/>
                <w:szCs w:val="21"/>
              </w:rPr>
              <w:t>污染防治可行技术</w:t>
            </w:r>
          </w:p>
          <w:p w14:paraId="7D995D53">
            <w:pPr>
              <w:widowControl/>
              <w:spacing w:line="360" w:lineRule="auto"/>
              <w:ind w:firstLine="0" w:firstLineChars="0"/>
              <w:jc w:val="center"/>
              <w:rPr>
                <w:color w:val="auto"/>
                <w:szCs w:val="21"/>
              </w:rPr>
            </w:pPr>
            <w:r>
              <w:rPr>
                <w:color w:val="auto"/>
              </w:rPr>
              <w:drawing>
                <wp:inline distT="0" distB="0" distL="114300" distR="114300">
                  <wp:extent cx="5648325" cy="638175"/>
                  <wp:effectExtent l="0" t="0" r="9525"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2"/>
                          <a:stretch>
                            <a:fillRect/>
                          </a:stretch>
                        </pic:blipFill>
                        <pic:spPr>
                          <a:xfrm>
                            <a:off x="0" y="0"/>
                            <a:ext cx="5648325" cy="638175"/>
                          </a:xfrm>
                          <a:prstGeom prst="rect">
                            <a:avLst/>
                          </a:prstGeom>
                          <a:noFill/>
                          <a:ln>
                            <a:noFill/>
                          </a:ln>
                        </pic:spPr>
                      </pic:pic>
                    </a:graphicData>
                  </a:graphic>
                </wp:inline>
              </w:drawing>
            </w:r>
          </w:p>
          <w:p w14:paraId="7050803D">
            <w:pPr>
              <w:widowControl/>
              <w:spacing w:line="360" w:lineRule="auto"/>
              <w:ind w:firstLine="480"/>
              <w:rPr>
                <w:color w:val="auto"/>
                <w:sz w:val="24"/>
              </w:rPr>
            </w:pPr>
            <w:r>
              <w:rPr>
                <w:color w:val="auto"/>
                <w:sz w:val="24"/>
              </w:rPr>
              <w:t>项目水泥筒仓、粉煤灰筒仓</w:t>
            </w:r>
            <w:r>
              <w:rPr>
                <w:rFonts w:hint="eastAsia"/>
                <w:color w:val="auto"/>
                <w:sz w:val="24"/>
              </w:rPr>
              <w:t>、矿粉筒仓产生</w:t>
            </w:r>
            <w:r>
              <w:rPr>
                <w:color w:val="auto"/>
                <w:sz w:val="24"/>
              </w:rPr>
              <w:t>的颗粒物，分别收集后采用</w:t>
            </w:r>
            <w:r>
              <w:rPr>
                <w:rFonts w:hint="eastAsia"/>
                <w:color w:val="auto"/>
                <w:sz w:val="24"/>
              </w:rPr>
              <w:t>“</w:t>
            </w:r>
            <w:r>
              <w:rPr>
                <w:color w:val="auto"/>
                <w:sz w:val="24"/>
              </w:rPr>
              <w:t>布袋除尘器</w:t>
            </w:r>
            <w:r>
              <w:rPr>
                <w:rFonts w:hint="eastAsia"/>
                <w:color w:val="auto"/>
                <w:sz w:val="24"/>
              </w:rPr>
              <w:t>”</w:t>
            </w:r>
            <w:r>
              <w:rPr>
                <w:color w:val="auto"/>
                <w:sz w:val="24"/>
              </w:rPr>
              <w:t>处理后通过排气筒排放</w:t>
            </w:r>
            <w:r>
              <w:rPr>
                <w:rFonts w:hint="eastAsia"/>
                <w:color w:val="auto"/>
                <w:sz w:val="24"/>
              </w:rPr>
              <w:t>；制砂车间产生的颗粒物经设备</w:t>
            </w:r>
            <w:r>
              <w:rPr>
                <w:rFonts w:hint="eastAsia"/>
                <w:color w:val="auto"/>
                <w:sz w:val="24"/>
                <w:lang w:val="en-US" w:eastAsia="zh-CN"/>
              </w:rPr>
              <w:t>密闭措施隔离</w:t>
            </w:r>
            <w:r>
              <w:rPr>
                <w:rFonts w:hint="eastAsia"/>
                <w:color w:val="auto"/>
                <w:sz w:val="24"/>
              </w:rPr>
              <w:t>并在车间内设置喷雾降尘设施，同时制砂车间全密闭设置；</w:t>
            </w:r>
            <w:r>
              <w:rPr>
                <w:color w:val="auto"/>
                <w:sz w:val="24"/>
              </w:rPr>
              <w:t>搅拌机产生</w:t>
            </w:r>
            <w:r>
              <w:rPr>
                <w:rFonts w:hint="eastAsia"/>
                <w:color w:val="auto"/>
                <w:sz w:val="24"/>
              </w:rPr>
              <w:t>的颗粒物经布袋除尘器处理后呈无组织排放。</w:t>
            </w:r>
          </w:p>
          <w:p w14:paraId="7B3A0C28">
            <w:pPr>
              <w:widowControl/>
              <w:spacing w:line="360" w:lineRule="auto"/>
              <w:ind w:firstLine="480"/>
              <w:rPr>
                <w:color w:val="auto"/>
                <w:sz w:val="24"/>
              </w:rPr>
            </w:pPr>
            <w:r>
              <w:rPr>
                <w:rFonts w:hint="eastAsia"/>
                <w:color w:val="auto"/>
                <w:sz w:val="24"/>
              </w:rPr>
              <w:t>综上，</w:t>
            </w:r>
            <w:r>
              <w:rPr>
                <w:color w:val="auto"/>
                <w:spacing w:val="-4"/>
                <w:sz w:val="24"/>
              </w:rPr>
              <w:t>本项目废气治理采用的工艺属于可行性技术。</w:t>
            </w:r>
          </w:p>
          <w:p w14:paraId="1DEE4B44">
            <w:pPr>
              <w:widowControl/>
              <w:numPr>
                <w:ilvl w:val="0"/>
                <w:numId w:val="7"/>
              </w:numPr>
              <w:spacing w:line="360" w:lineRule="auto"/>
              <w:ind w:firstLine="482"/>
              <w:jc w:val="left"/>
              <w:rPr>
                <w:rStyle w:val="124"/>
                <w:rFonts w:hint="default" w:ascii="Times New Roman" w:hAnsi="Times New Roman"/>
                <w:b/>
                <w:color w:val="auto"/>
              </w:rPr>
            </w:pPr>
            <w:r>
              <w:rPr>
                <w:rStyle w:val="124"/>
                <w:rFonts w:hint="default" w:ascii="Times New Roman" w:hAnsi="Times New Roman"/>
                <w:b/>
                <w:color w:val="auto"/>
              </w:rPr>
              <w:t>监测要求</w:t>
            </w:r>
          </w:p>
          <w:p w14:paraId="671EE72D">
            <w:pPr>
              <w:widowControl/>
              <w:spacing w:line="360" w:lineRule="auto"/>
              <w:ind w:firstLine="480"/>
              <w:rPr>
                <w:rFonts w:hint="default" w:ascii="Times New Roman" w:hAnsi="Times New Roman" w:eastAsia="宋体" w:cs="Times New Roman"/>
                <w:color w:val="auto"/>
                <w:spacing w:val="-4"/>
                <w:sz w:val="24"/>
                <w:lang w:val="en-US" w:eastAsia="zh-CN"/>
              </w:rPr>
            </w:pPr>
            <w:r>
              <w:rPr>
                <w:rFonts w:hint="eastAsia" w:ascii="Times New Roman" w:hAnsi="Times New Roman" w:eastAsia="宋体" w:cs="Times New Roman"/>
                <w:color w:val="auto"/>
                <w:spacing w:val="-4"/>
                <w:sz w:val="24"/>
                <w:lang w:val="en-US" w:eastAsia="zh-CN"/>
              </w:rPr>
              <w:t>项目有组织监测频次参照《排污单位自行监测技术指南水泥工业》（HJ848-2017）表1中“破碎机、磨机、包装机排气筒”颗粒物的监测频次；</w:t>
            </w:r>
          </w:p>
          <w:p w14:paraId="37BC9DE8">
            <w:pPr>
              <w:ind w:firstLine="480"/>
              <w:jc w:val="center"/>
              <w:rPr>
                <w:rStyle w:val="124"/>
                <w:rFonts w:hint="default" w:ascii="Times New Roman" w:hAnsi="Times New Roman"/>
                <w:b/>
                <w:color w:val="auto"/>
                <w:sz w:val="21"/>
                <w:szCs w:val="21"/>
              </w:rPr>
            </w:pPr>
            <w:r>
              <w:rPr>
                <w:rFonts w:hint="eastAsia"/>
                <w:color w:val="auto"/>
                <w:sz w:val="24"/>
              </w:rPr>
              <w:t xml:space="preserve">  </w:t>
            </w:r>
            <w:r>
              <w:rPr>
                <w:b/>
                <w:color w:val="auto"/>
                <w:szCs w:val="21"/>
              </w:rPr>
              <w:t>表4-</w:t>
            </w:r>
            <w:r>
              <w:rPr>
                <w:rFonts w:hint="eastAsia"/>
                <w:b/>
                <w:color w:val="auto"/>
                <w:szCs w:val="21"/>
                <w:lang w:val="en-US" w:eastAsia="zh-CN"/>
              </w:rPr>
              <w:t>13</w:t>
            </w:r>
            <w:r>
              <w:rPr>
                <w:b/>
                <w:color w:val="auto"/>
                <w:szCs w:val="21"/>
              </w:rPr>
              <w:t xml:space="preserve"> </w:t>
            </w:r>
            <w:r>
              <w:rPr>
                <w:rFonts w:hint="eastAsia"/>
                <w:b/>
                <w:color w:val="auto"/>
                <w:szCs w:val="21"/>
              </w:rPr>
              <w:t xml:space="preserve">  </w:t>
            </w:r>
            <w:r>
              <w:rPr>
                <w:b/>
                <w:color w:val="auto"/>
                <w:szCs w:val="21"/>
              </w:rPr>
              <w:t>废气</w:t>
            </w:r>
            <w:r>
              <w:rPr>
                <w:rStyle w:val="124"/>
                <w:rFonts w:hint="default" w:ascii="Times New Roman" w:hAnsi="Times New Roman"/>
                <w:b/>
                <w:color w:val="auto"/>
                <w:sz w:val="21"/>
                <w:szCs w:val="21"/>
              </w:rPr>
              <w:t>监测要求</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7"/>
              <w:gridCol w:w="2642"/>
              <w:gridCol w:w="889"/>
              <w:gridCol w:w="1019"/>
              <w:gridCol w:w="3624"/>
            </w:tblGrid>
            <w:tr w14:paraId="1CFEAF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03" w:type="pct"/>
                  <w:vAlign w:val="center"/>
                </w:tcPr>
                <w:p w14:paraId="641ED20D">
                  <w:pPr>
                    <w:snapToGrid w:val="0"/>
                    <w:ind w:firstLine="0" w:firstLineChars="0"/>
                    <w:jc w:val="center"/>
                    <w:rPr>
                      <w:b/>
                      <w:bCs/>
                      <w:color w:val="auto"/>
                      <w:szCs w:val="21"/>
                    </w:rPr>
                  </w:pPr>
                  <w:r>
                    <w:rPr>
                      <w:b/>
                      <w:bCs/>
                      <w:color w:val="auto"/>
                      <w:szCs w:val="21"/>
                    </w:rPr>
                    <w:t>污染</w:t>
                  </w:r>
                </w:p>
                <w:p w14:paraId="14BFCAA0">
                  <w:pPr>
                    <w:snapToGrid w:val="0"/>
                    <w:ind w:firstLine="0" w:firstLineChars="0"/>
                    <w:jc w:val="center"/>
                    <w:rPr>
                      <w:b/>
                      <w:bCs/>
                      <w:color w:val="auto"/>
                      <w:szCs w:val="21"/>
                    </w:rPr>
                  </w:pPr>
                  <w:r>
                    <w:rPr>
                      <w:b/>
                      <w:bCs/>
                      <w:color w:val="auto"/>
                      <w:szCs w:val="21"/>
                    </w:rPr>
                    <w:t>类别</w:t>
                  </w:r>
                </w:p>
              </w:tc>
              <w:tc>
                <w:tcPr>
                  <w:tcW w:w="1485" w:type="pct"/>
                  <w:vAlign w:val="center"/>
                </w:tcPr>
                <w:p w14:paraId="0E285BDF">
                  <w:pPr>
                    <w:snapToGrid w:val="0"/>
                    <w:ind w:firstLine="0" w:firstLineChars="0"/>
                    <w:jc w:val="center"/>
                    <w:rPr>
                      <w:b/>
                      <w:bCs/>
                      <w:color w:val="auto"/>
                      <w:szCs w:val="21"/>
                    </w:rPr>
                  </w:pPr>
                  <w:r>
                    <w:rPr>
                      <w:b/>
                      <w:bCs/>
                      <w:color w:val="auto"/>
                      <w:szCs w:val="21"/>
                    </w:rPr>
                    <w:t>监测点位</w:t>
                  </w:r>
                </w:p>
              </w:tc>
              <w:tc>
                <w:tcPr>
                  <w:tcW w:w="499" w:type="pct"/>
                  <w:vAlign w:val="center"/>
                </w:tcPr>
                <w:p w14:paraId="7152F0A3">
                  <w:pPr>
                    <w:snapToGrid w:val="0"/>
                    <w:ind w:firstLine="0" w:firstLineChars="0"/>
                    <w:jc w:val="center"/>
                    <w:rPr>
                      <w:b/>
                      <w:bCs/>
                      <w:color w:val="auto"/>
                      <w:szCs w:val="21"/>
                    </w:rPr>
                  </w:pPr>
                  <w:r>
                    <w:rPr>
                      <w:b/>
                      <w:bCs/>
                      <w:color w:val="auto"/>
                      <w:szCs w:val="21"/>
                    </w:rPr>
                    <w:t>监测</w:t>
                  </w:r>
                </w:p>
                <w:p w14:paraId="7C0A3BB2">
                  <w:pPr>
                    <w:snapToGrid w:val="0"/>
                    <w:ind w:firstLine="0" w:firstLineChars="0"/>
                    <w:jc w:val="center"/>
                    <w:rPr>
                      <w:b/>
                      <w:bCs/>
                      <w:color w:val="auto"/>
                      <w:szCs w:val="21"/>
                    </w:rPr>
                  </w:pPr>
                  <w:r>
                    <w:rPr>
                      <w:b/>
                      <w:bCs/>
                      <w:color w:val="auto"/>
                      <w:szCs w:val="21"/>
                    </w:rPr>
                    <w:t>项目</w:t>
                  </w:r>
                </w:p>
              </w:tc>
              <w:tc>
                <w:tcPr>
                  <w:tcW w:w="573" w:type="pct"/>
                  <w:vAlign w:val="center"/>
                </w:tcPr>
                <w:p w14:paraId="15CE5703">
                  <w:pPr>
                    <w:snapToGrid w:val="0"/>
                    <w:ind w:firstLine="0" w:firstLineChars="0"/>
                    <w:jc w:val="center"/>
                    <w:rPr>
                      <w:b/>
                      <w:bCs/>
                      <w:color w:val="auto"/>
                      <w:szCs w:val="21"/>
                    </w:rPr>
                  </w:pPr>
                  <w:r>
                    <w:rPr>
                      <w:b/>
                      <w:bCs/>
                      <w:color w:val="auto"/>
                      <w:szCs w:val="21"/>
                    </w:rPr>
                    <w:t>监测</w:t>
                  </w:r>
                </w:p>
                <w:p w14:paraId="287A7B17">
                  <w:pPr>
                    <w:snapToGrid w:val="0"/>
                    <w:ind w:firstLine="0" w:firstLineChars="0"/>
                    <w:jc w:val="center"/>
                    <w:rPr>
                      <w:b/>
                      <w:bCs/>
                      <w:color w:val="auto"/>
                      <w:szCs w:val="21"/>
                    </w:rPr>
                  </w:pPr>
                  <w:r>
                    <w:rPr>
                      <w:b/>
                      <w:bCs/>
                      <w:color w:val="auto"/>
                      <w:szCs w:val="21"/>
                    </w:rPr>
                    <w:t>频次</w:t>
                  </w:r>
                </w:p>
              </w:tc>
              <w:tc>
                <w:tcPr>
                  <w:tcW w:w="2038" w:type="pct"/>
                  <w:vAlign w:val="center"/>
                </w:tcPr>
                <w:p w14:paraId="3299D33D">
                  <w:pPr>
                    <w:snapToGrid w:val="0"/>
                    <w:ind w:firstLine="0" w:firstLineChars="0"/>
                    <w:jc w:val="center"/>
                    <w:rPr>
                      <w:b/>
                      <w:bCs/>
                      <w:color w:val="auto"/>
                      <w:szCs w:val="21"/>
                    </w:rPr>
                  </w:pPr>
                  <w:r>
                    <w:rPr>
                      <w:b/>
                      <w:bCs/>
                      <w:color w:val="auto"/>
                      <w:szCs w:val="21"/>
                    </w:rPr>
                    <w:t>控制指标</w:t>
                  </w:r>
                </w:p>
              </w:tc>
            </w:tr>
            <w:tr w14:paraId="1495CF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0" w:hRule="atLeast"/>
                <w:jc w:val="center"/>
              </w:trPr>
              <w:tc>
                <w:tcPr>
                  <w:tcW w:w="403" w:type="pct"/>
                  <w:vMerge w:val="restart"/>
                  <w:tcBorders>
                    <w:top w:val="single" w:color="auto" w:sz="4" w:space="0"/>
                  </w:tcBorders>
                  <w:vAlign w:val="center"/>
                </w:tcPr>
                <w:p w14:paraId="313736CB">
                  <w:pPr>
                    <w:snapToGrid w:val="0"/>
                    <w:ind w:firstLine="0" w:firstLineChars="0"/>
                    <w:jc w:val="center"/>
                    <w:rPr>
                      <w:color w:val="auto"/>
                      <w:szCs w:val="21"/>
                    </w:rPr>
                  </w:pPr>
                  <w:r>
                    <w:rPr>
                      <w:color w:val="auto"/>
                      <w:szCs w:val="21"/>
                    </w:rPr>
                    <w:t>废气</w:t>
                  </w:r>
                </w:p>
              </w:tc>
              <w:tc>
                <w:tcPr>
                  <w:tcW w:w="1485" w:type="pct"/>
                  <w:tcBorders>
                    <w:top w:val="single" w:color="auto" w:sz="4" w:space="0"/>
                  </w:tcBorders>
                  <w:vAlign w:val="center"/>
                </w:tcPr>
                <w:p w14:paraId="5E7E79EA">
                  <w:pPr>
                    <w:snapToGrid w:val="0"/>
                    <w:ind w:firstLine="0" w:firstLineChars="0"/>
                    <w:jc w:val="center"/>
                    <w:rPr>
                      <w:color w:val="auto"/>
                      <w:szCs w:val="21"/>
                    </w:rPr>
                  </w:pPr>
                  <w:r>
                    <w:rPr>
                      <w:color w:val="auto"/>
                      <w:szCs w:val="21"/>
                    </w:rPr>
                    <w:t>DA00</w:t>
                  </w:r>
                  <w:r>
                    <w:rPr>
                      <w:rFonts w:hint="eastAsia"/>
                      <w:color w:val="auto"/>
                      <w:szCs w:val="21"/>
                    </w:rPr>
                    <w:t>1、</w:t>
                  </w:r>
                  <w:r>
                    <w:rPr>
                      <w:color w:val="auto"/>
                      <w:szCs w:val="21"/>
                    </w:rPr>
                    <w:t>DA00</w:t>
                  </w:r>
                  <w:r>
                    <w:rPr>
                      <w:rFonts w:hint="eastAsia"/>
                      <w:color w:val="auto"/>
                      <w:szCs w:val="21"/>
                    </w:rPr>
                    <w:t>2、</w:t>
                  </w:r>
                  <w:r>
                    <w:rPr>
                      <w:color w:val="auto"/>
                      <w:szCs w:val="21"/>
                    </w:rPr>
                    <w:t>DA00</w:t>
                  </w:r>
                  <w:r>
                    <w:rPr>
                      <w:rFonts w:hint="eastAsia"/>
                      <w:color w:val="auto"/>
                      <w:szCs w:val="21"/>
                    </w:rPr>
                    <w:t>3、</w:t>
                  </w:r>
                  <w:r>
                    <w:rPr>
                      <w:color w:val="auto"/>
                      <w:szCs w:val="21"/>
                    </w:rPr>
                    <w:t>DA00</w:t>
                  </w:r>
                  <w:r>
                    <w:rPr>
                      <w:rFonts w:hint="eastAsia"/>
                      <w:color w:val="auto"/>
                      <w:szCs w:val="21"/>
                    </w:rPr>
                    <w:t>4、DA005、</w:t>
                  </w:r>
                  <w:r>
                    <w:rPr>
                      <w:color w:val="auto"/>
                      <w:szCs w:val="21"/>
                    </w:rPr>
                    <w:t>DA00</w:t>
                  </w:r>
                  <w:r>
                    <w:rPr>
                      <w:rFonts w:hint="eastAsia"/>
                      <w:color w:val="auto"/>
                      <w:szCs w:val="21"/>
                    </w:rPr>
                    <w:t>6、排气筒</w:t>
                  </w:r>
                </w:p>
              </w:tc>
              <w:tc>
                <w:tcPr>
                  <w:tcW w:w="499" w:type="pct"/>
                  <w:vMerge w:val="restart"/>
                  <w:tcBorders>
                    <w:top w:val="single" w:color="auto" w:sz="4" w:space="0"/>
                  </w:tcBorders>
                  <w:vAlign w:val="center"/>
                </w:tcPr>
                <w:p w14:paraId="61AD98D8">
                  <w:pPr>
                    <w:snapToGrid w:val="0"/>
                    <w:ind w:firstLine="0" w:firstLineChars="0"/>
                    <w:jc w:val="center"/>
                    <w:rPr>
                      <w:color w:val="auto"/>
                      <w:kern w:val="24"/>
                      <w:szCs w:val="21"/>
                    </w:rPr>
                  </w:pPr>
                  <w:r>
                    <w:rPr>
                      <w:color w:val="auto"/>
                      <w:kern w:val="24"/>
                      <w:szCs w:val="21"/>
                    </w:rPr>
                    <w:t>颗粒物</w:t>
                  </w:r>
                </w:p>
              </w:tc>
              <w:tc>
                <w:tcPr>
                  <w:tcW w:w="573" w:type="pct"/>
                  <w:tcBorders>
                    <w:top w:val="single" w:color="auto" w:sz="4" w:space="0"/>
                  </w:tcBorders>
                  <w:vAlign w:val="center"/>
                </w:tcPr>
                <w:p w14:paraId="25422B4D">
                  <w:pPr>
                    <w:snapToGrid w:val="0"/>
                    <w:ind w:firstLine="0" w:firstLineChars="0"/>
                    <w:jc w:val="center"/>
                    <w:rPr>
                      <w:color w:val="auto"/>
                      <w:szCs w:val="21"/>
                    </w:rPr>
                  </w:pPr>
                  <w:r>
                    <w:rPr>
                      <w:rFonts w:hint="eastAsia"/>
                      <w:color w:val="auto"/>
                      <w:szCs w:val="21"/>
                    </w:rPr>
                    <w:t>1次/</w:t>
                  </w:r>
                  <w:r>
                    <w:rPr>
                      <w:rFonts w:hint="eastAsia"/>
                      <w:color w:val="auto"/>
                      <w:szCs w:val="21"/>
                      <w:lang w:val="en-US" w:eastAsia="zh-CN"/>
                    </w:rPr>
                    <w:t>半年</w:t>
                  </w:r>
                </w:p>
              </w:tc>
              <w:tc>
                <w:tcPr>
                  <w:tcW w:w="2038" w:type="pct"/>
                  <w:tcBorders>
                    <w:top w:val="single" w:color="auto" w:sz="4" w:space="0"/>
                  </w:tcBorders>
                  <w:vAlign w:val="center"/>
                </w:tcPr>
                <w:p w14:paraId="23D5826F">
                  <w:pPr>
                    <w:autoSpaceDE w:val="0"/>
                    <w:autoSpaceDN w:val="0"/>
                    <w:snapToGrid w:val="0"/>
                    <w:ind w:firstLine="0" w:firstLineChars="0"/>
                    <w:jc w:val="center"/>
                    <w:rPr>
                      <w:bCs/>
                      <w:color w:val="auto"/>
                      <w:szCs w:val="21"/>
                    </w:rPr>
                  </w:pPr>
                  <w:r>
                    <w:rPr>
                      <w:rFonts w:hint="eastAsia"/>
                      <w:bCs/>
                      <w:color w:val="auto"/>
                      <w:szCs w:val="21"/>
                    </w:rPr>
                    <w:t>《水泥工业大气污染物排放标准》（GB4915-2013）表1中颗粒物排放浓度限值</w:t>
                  </w:r>
                </w:p>
              </w:tc>
            </w:tr>
            <w:tr w14:paraId="0C79E3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0" w:hRule="atLeast"/>
                <w:jc w:val="center"/>
              </w:trPr>
              <w:tc>
                <w:tcPr>
                  <w:tcW w:w="403" w:type="pct"/>
                  <w:vMerge w:val="continue"/>
                  <w:vAlign w:val="center"/>
                </w:tcPr>
                <w:p w14:paraId="55B0FED4">
                  <w:pPr>
                    <w:snapToGrid w:val="0"/>
                    <w:ind w:firstLine="0" w:firstLineChars="0"/>
                    <w:jc w:val="center"/>
                    <w:rPr>
                      <w:color w:val="auto"/>
                      <w:szCs w:val="21"/>
                    </w:rPr>
                  </w:pPr>
                </w:p>
              </w:tc>
              <w:tc>
                <w:tcPr>
                  <w:tcW w:w="1485" w:type="pct"/>
                  <w:tcBorders>
                    <w:top w:val="single" w:color="auto" w:sz="4" w:space="0"/>
                  </w:tcBorders>
                  <w:vAlign w:val="center"/>
                </w:tcPr>
                <w:p w14:paraId="43EE262B">
                  <w:pPr>
                    <w:snapToGrid w:val="0"/>
                    <w:ind w:firstLine="0" w:firstLineChars="0"/>
                    <w:jc w:val="center"/>
                    <w:rPr>
                      <w:color w:val="auto"/>
                      <w:szCs w:val="21"/>
                    </w:rPr>
                  </w:pPr>
                  <w:r>
                    <w:rPr>
                      <w:color w:val="auto"/>
                      <w:szCs w:val="21"/>
                    </w:rPr>
                    <w:t>厂界上风向2~50m设1个参照点、厂界下风向2~50m设3个监测点</w:t>
                  </w:r>
                </w:p>
              </w:tc>
              <w:tc>
                <w:tcPr>
                  <w:tcW w:w="499" w:type="pct"/>
                  <w:vMerge w:val="continue"/>
                  <w:vAlign w:val="center"/>
                </w:tcPr>
                <w:p w14:paraId="33017E10">
                  <w:pPr>
                    <w:snapToGrid w:val="0"/>
                    <w:ind w:firstLine="0" w:firstLineChars="0"/>
                    <w:jc w:val="center"/>
                    <w:rPr>
                      <w:color w:val="auto"/>
                      <w:kern w:val="24"/>
                      <w:szCs w:val="21"/>
                    </w:rPr>
                  </w:pPr>
                </w:p>
              </w:tc>
              <w:tc>
                <w:tcPr>
                  <w:tcW w:w="573" w:type="pct"/>
                  <w:vAlign w:val="center"/>
                </w:tcPr>
                <w:p w14:paraId="595B2B9D">
                  <w:pPr>
                    <w:snapToGrid w:val="0"/>
                    <w:ind w:firstLine="0" w:firstLineChars="0"/>
                    <w:jc w:val="center"/>
                    <w:rPr>
                      <w:rFonts w:hint="eastAsia" w:eastAsia="宋体"/>
                      <w:color w:val="auto"/>
                      <w:szCs w:val="21"/>
                      <w:lang w:val="en-US" w:eastAsia="zh-CN"/>
                    </w:rPr>
                  </w:pPr>
                  <w:r>
                    <w:rPr>
                      <w:rFonts w:hint="eastAsia"/>
                      <w:color w:val="auto"/>
                      <w:szCs w:val="21"/>
                      <w:lang w:val="en-US" w:eastAsia="zh-CN"/>
                    </w:rPr>
                    <w:t>1次/季度</w:t>
                  </w:r>
                </w:p>
              </w:tc>
              <w:tc>
                <w:tcPr>
                  <w:tcW w:w="2038" w:type="pct"/>
                  <w:tcBorders>
                    <w:top w:val="single" w:color="auto" w:sz="4" w:space="0"/>
                  </w:tcBorders>
                  <w:vAlign w:val="center"/>
                </w:tcPr>
                <w:p w14:paraId="6E8C9271">
                  <w:pPr>
                    <w:autoSpaceDE w:val="0"/>
                    <w:autoSpaceDN w:val="0"/>
                    <w:snapToGrid w:val="0"/>
                    <w:ind w:firstLine="0" w:firstLineChars="0"/>
                    <w:jc w:val="center"/>
                    <w:rPr>
                      <w:bCs/>
                      <w:color w:val="auto"/>
                      <w:szCs w:val="21"/>
                    </w:rPr>
                  </w:pPr>
                  <w:r>
                    <w:rPr>
                      <w:bCs/>
                      <w:color w:val="auto"/>
                      <w:szCs w:val="21"/>
                    </w:rPr>
                    <w:t>《水泥工业大气污染物排放标准》（GB4915-2013）表3无组织排放限值</w:t>
                  </w:r>
                </w:p>
              </w:tc>
            </w:tr>
          </w:tbl>
          <w:p w14:paraId="363BBE13">
            <w:pPr>
              <w:widowControl/>
              <w:spacing w:line="360" w:lineRule="auto"/>
              <w:ind w:firstLine="482"/>
              <w:rPr>
                <w:b/>
                <w:bCs/>
                <w:color w:val="auto"/>
                <w:sz w:val="24"/>
              </w:rPr>
            </w:pPr>
            <w:r>
              <w:rPr>
                <w:b/>
                <w:bCs/>
                <w:color w:val="auto"/>
                <w:sz w:val="24"/>
              </w:rPr>
              <w:t>2、废水环境影响及治理措施</w:t>
            </w:r>
          </w:p>
          <w:p w14:paraId="3D4CBCB1">
            <w:pPr>
              <w:widowControl/>
              <w:spacing w:line="360" w:lineRule="auto"/>
              <w:ind w:firstLine="480"/>
              <w:rPr>
                <w:color w:val="auto"/>
                <w:sz w:val="24"/>
              </w:rPr>
            </w:pPr>
            <w:r>
              <w:rPr>
                <w:color w:val="auto"/>
                <w:sz w:val="24"/>
              </w:rPr>
              <w:t>（1）废水污染源源强</w:t>
            </w:r>
          </w:p>
          <w:p w14:paraId="3476FDA3">
            <w:pPr>
              <w:spacing w:line="360" w:lineRule="auto"/>
              <w:ind w:firstLine="480"/>
              <w:rPr>
                <w:color w:val="auto"/>
                <w:sz w:val="24"/>
              </w:rPr>
            </w:pPr>
            <w:r>
              <w:rPr>
                <w:rFonts w:hint="eastAsia"/>
                <w:color w:val="auto"/>
                <w:sz w:val="24"/>
                <w:lang w:val="en-US" w:eastAsia="zh-CN"/>
              </w:rPr>
              <w:t>扩建</w:t>
            </w:r>
            <w:r>
              <w:rPr>
                <w:color w:val="auto"/>
                <w:sz w:val="24"/>
              </w:rPr>
              <w:t>项目年总用水量为</w:t>
            </w:r>
            <w:r>
              <w:rPr>
                <w:rFonts w:hint="eastAsia"/>
                <w:color w:val="auto"/>
                <w:sz w:val="24"/>
                <w:lang w:val="en-US" w:eastAsia="zh-CN"/>
              </w:rPr>
              <w:t>20523</w:t>
            </w:r>
            <w:r>
              <w:rPr>
                <w:color w:val="auto"/>
                <w:sz w:val="24"/>
              </w:rPr>
              <w:t>m</w:t>
            </w:r>
            <w:r>
              <w:rPr>
                <w:color w:val="auto"/>
                <w:sz w:val="24"/>
                <w:vertAlign w:val="superscript"/>
              </w:rPr>
              <w:t>3</w:t>
            </w:r>
            <w:r>
              <w:rPr>
                <w:color w:val="auto"/>
                <w:sz w:val="24"/>
              </w:rPr>
              <w:t>/a，</w:t>
            </w:r>
            <w:r>
              <w:rPr>
                <w:rFonts w:hint="eastAsia"/>
                <w:color w:val="auto"/>
                <w:sz w:val="24"/>
              </w:rPr>
              <w:t>总废水产生量为</w:t>
            </w:r>
            <w:r>
              <w:rPr>
                <w:rFonts w:hint="eastAsia"/>
                <w:color w:val="auto"/>
                <w:sz w:val="24"/>
                <w:lang w:val="en-US" w:eastAsia="zh-CN"/>
              </w:rPr>
              <w:t>1200</w:t>
            </w:r>
            <w:r>
              <w:rPr>
                <w:color w:val="auto"/>
                <w:sz w:val="24"/>
              </w:rPr>
              <w:t>m</w:t>
            </w:r>
            <w:r>
              <w:rPr>
                <w:color w:val="auto"/>
                <w:sz w:val="24"/>
                <w:vertAlign w:val="superscript"/>
              </w:rPr>
              <w:t>3</w:t>
            </w:r>
            <w:r>
              <w:rPr>
                <w:color w:val="auto"/>
                <w:sz w:val="24"/>
              </w:rPr>
              <w:t>/a</w:t>
            </w:r>
            <w:r>
              <w:rPr>
                <w:rFonts w:hint="eastAsia"/>
                <w:color w:val="auto"/>
                <w:sz w:val="24"/>
              </w:rPr>
              <w:t>，</w:t>
            </w:r>
            <w:r>
              <w:rPr>
                <w:color w:val="auto"/>
                <w:sz w:val="24"/>
              </w:rPr>
              <w:t>其中搅拌机清洗</w:t>
            </w:r>
            <w:r>
              <w:rPr>
                <w:rFonts w:hint="eastAsia"/>
                <w:color w:val="auto"/>
                <w:sz w:val="24"/>
              </w:rPr>
              <w:t>废水</w:t>
            </w:r>
            <w:r>
              <w:rPr>
                <w:rFonts w:hint="eastAsia"/>
                <w:color w:val="auto"/>
                <w:sz w:val="24"/>
                <w:lang w:val="en-US" w:eastAsia="zh-CN"/>
              </w:rPr>
              <w:t>240</w:t>
            </w:r>
            <w:r>
              <w:rPr>
                <w:color w:val="auto"/>
                <w:sz w:val="24"/>
              </w:rPr>
              <w:t>m</w:t>
            </w:r>
            <w:r>
              <w:rPr>
                <w:color w:val="auto"/>
                <w:sz w:val="24"/>
                <w:vertAlign w:val="superscript"/>
              </w:rPr>
              <w:t>3</w:t>
            </w:r>
            <w:r>
              <w:rPr>
                <w:color w:val="auto"/>
                <w:sz w:val="24"/>
              </w:rPr>
              <w:t>/a，车辆清洗</w:t>
            </w:r>
            <w:r>
              <w:rPr>
                <w:rFonts w:hint="eastAsia"/>
                <w:color w:val="auto"/>
                <w:sz w:val="24"/>
              </w:rPr>
              <w:t>废水</w:t>
            </w:r>
            <w:r>
              <w:rPr>
                <w:rFonts w:hint="eastAsia"/>
                <w:color w:val="auto"/>
                <w:sz w:val="24"/>
                <w:lang w:val="en-US" w:eastAsia="zh-CN"/>
              </w:rPr>
              <w:t>912</w:t>
            </w:r>
            <w:r>
              <w:rPr>
                <w:color w:val="auto"/>
                <w:sz w:val="24"/>
              </w:rPr>
              <w:t>m</w:t>
            </w:r>
            <w:r>
              <w:rPr>
                <w:color w:val="auto"/>
                <w:sz w:val="24"/>
                <w:vertAlign w:val="superscript"/>
              </w:rPr>
              <w:t>3</w:t>
            </w:r>
            <w:r>
              <w:rPr>
                <w:color w:val="auto"/>
                <w:sz w:val="24"/>
              </w:rPr>
              <w:t>/a，</w:t>
            </w:r>
            <w:r>
              <w:rPr>
                <w:rFonts w:hint="eastAsia"/>
                <w:color w:val="auto"/>
                <w:sz w:val="24"/>
                <w:lang w:val="en-US" w:eastAsia="zh-CN"/>
              </w:rPr>
              <w:t>检验设备</w:t>
            </w:r>
            <w:r>
              <w:rPr>
                <w:rFonts w:hint="eastAsia"/>
                <w:color w:val="auto"/>
                <w:sz w:val="24"/>
              </w:rPr>
              <w:t>废水48</w:t>
            </w:r>
            <w:r>
              <w:rPr>
                <w:color w:val="auto"/>
                <w:sz w:val="24"/>
              </w:rPr>
              <w:t>m</w:t>
            </w:r>
            <w:r>
              <w:rPr>
                <w:color w:val="auto"/>
                <w:sz w:val="24"/>
                <w:vertAlign w:val="superscript"/>
              </w:rPr>
              <w:t>3</w:t>
            </w:r>
            <w:r>
              <w:rPr>
                <w:color w:val="auto"/>
                <w:sz w:val="24"/>
              </w:rPr>
              <w:t>/a</w:t>
            </w:r>
            <w:r>
              <w:rPr>
                <w:rFonts w:hint="eastAsia"/>
                <w:color w:val="auto"/>
                <w:sz w:val="24"/>
              </w:rPr>
              <w:t>，</w:t>
            </w:r>
            <w:r>
              <w:rPr>
                <w:color w:val="auto"/>
                <w:sz w:val="24"/>
              </w:rPr>
              <w:t>项目搅拌机清洗废水、车辆清洗废水和</w:t>
            </w:r>
            <w:r>
              <w:rPr>
                <w:rFonts w:hint="eastAsia"/>
                <w:color w:val="auto"/>
                <w:sz w:val="24"/>
                <w:lang w:val="en-US" w:eastAsia="zh-CN"/>
              </w:rPr>
              <w:t>检验设备</w:t>
            </w:r>
            <w:r>
              <w:rPr>
                <w:color w:val="auto"/>
                <w:sz w:val="24"/>
              </w:rPr>
              <w:t>废水经150m</w:t>
            </w:r>
            <w:r>
              <w:rPr>
                <w:color w:val="auto"/>
                <w:sz w:val="24"/>
                <w:vertAlign w:val="superscript"/>
              </w:rPr>
              <w:t>3</w:t>
            </w:r>
            <w:r>
              <w:rPr>
                <w:color w:val="auto"/>
                <w:sz w:val="24"/>
              </w:rPr>
              <w:t>沉淀池沉淀后回用于生产工序，不外排，生产废水主要污染因子为SS。</w:t>
            </w:r>
          </w:p>
          <w:p w14:paraId="50524919">
            <w:pPr>
              <w:spacing w:line="360" w:lineRule="auto"/>
              <w:ind w:firstLine="480"/>
              <w:rPr>
                <w:color w:val="auto"/>
                <w:sz w:val="24"/>
              </w:rPr>
            </w:pPr>
            <w:r>
              <w:rPr>
                <w:color w:val="auto"/>
                <w:sz w:val="24"/>
              </w:rPr>
              <w:t>（2）依托原项目污水处理设施的可行性</w:t>
            </w:r>
          </w:p>
          <w:p w14:paraId="0A2AD7D3">
            <w:pPr>
              <w:spacing w:line="360" w:lineRule="auto"/>
              <w:ind w:firstLine="480"/>
              <w:rPr>
                <w:color w:val="auto"/>
                <w:sz w:val="24"/>
                <w:lang w:val="zh-CN"/>
              </w:rPr>
            </w:pPr>
            <w:r>
              <w:rPr>
                <w:color w:val="auto"/>
                <w:sz w:val="24"/>
              </w:rPr>
              <w:t>①</w:t>
            </w:r>
            <w:r>
              <w:rPr>
                <w:color w:val="auto"/>
                <w:sz w:val="24"/>
                <w:lang w:val="zh-CN"/>
              </w:rPr>
              <w:t>隔油池</w:t>
            </w:r>
          </w:p>
          <w:p w14:paraId="7DBC8F48">
            <w:pPr>
              <w:spacing w:line="360" w:lineRule="auto"/>
              <w:ind w:firstLine="480"/>
              <w:rPr>
                <w:color w:val="auto"/>
                <w:sz w:val="24"/>
              </w:rPr>
            </w:pPr>
            <w:r>
              <w:rPr>
                <w:color w:val="auto"/>
                <w:sz w:val="24"/>
              </w:rPr>
              <w:t>根据工程分析可知，本次扩建项目无新增工作人员，食堂废水产生量和原项目一致为0.24m</w:t>
            </w:r>
            <w:r>
              <w:rPr>
                <w:color w:val="auto"/>
                <w:sz w:val="24"/>
                <w:vertAlign w:val="superscript"/>
              </w:rPr>
              <w:t>3</w:t>
            </w:r>
            <w:r>
              <w:rPr>
                <w:color w:val="auto"/>
                <w:sz w:val="24"/>
              </w:rPr>
              <w:t>/d；根据中华人民共和国国家环境保护标准《饮食业环境保护技术规范》（HJ554-2010），隔油池设计符合下列规定：</w:t>
            </w:r>
          </w:p>
          <w:p w14:paraId="6ADDC7C5">
            <w:pPr>
              <w:spacing w:line="360" w:lineRule="auto"/>
              <w:ind w:firstLine="480"/>
              <w:rPr>
                <w:color w:val="auto"/>
                <w:sz w:val="24"/>
              </w:rPr>
            </w:pPr>
            <w:r>
              <w:rPr>
                <w:color w:val="auto"/>
                <w:sz w:val="24"/>
              </w:rPr>
              <w:t>a、含油污水的水力停留时间不宜小于0.5h；</w:t>
            </w:r>
          </w:p>
          <w:p w14:paraId="3036BDFE">
            <w:pPr>
              <w:spacing w:line="360" w:lineRule="auto"/>
              <w:ind w:firstLine="480"/>
              <w:rPr>
                <w:color w:val="auto"/>
                <w:sz w:val="24"/>
              </w:rPr>
            </w:pPr>
            <w:r>
              <w:rPr>
                <w:color w:val="auto"/>
                <w:sz w:val="24"/>
              </w:rPr>
              <w:t>b、池内水流流速不宜大于0.005m/s；</w:t>
            </w:r>
          </w:p>
          <w:p w14:paraId="319AFB5D">
            <w:pPr>
              <w:spacing w:line="360" w:lineRule="auto"/>
              <w:ind w:firstLine="480"/>
              <w:rPr>
                <w:color w:val="auto"/>
                <w:sz w:val="24"/>
              </w:rPr>
            </w:pPr>
            <w:r>
              <w:rPr>
                <w:color w:val="auto"/>
                <w:sz w:val="24"/>
              </w:rPr>
              <w:t>c、池内分格宜取两档三格；</w:t>
            </w:r>
          </w:p>
          <w:p w14:paraId="0F9DC7D8">
            <w:pPr>
              <w:spacing w:line="360" w:lineRule="auto"/>
              <w:ind w:firstLine="480"/>
              <w:rPr>
                <w:color w:val="auto"/>
                <w:sz w:val="24"/>
              </w:rPr>
            </w:pPr>
            <w:r>
              <w:rPr>
                <w:color w:val="auto"/>
                <w:sz w:val="24"/>
              </w:rPr>
              <w:t>d、人工除油的隔油池内存油部分的容积不得小于该池有效容积的25%，隔油池出水管管底至池底的深度，不得小于0.6m。</w:t>
            </w:r>
          </w:p>
          <w:p w14:paraId="5DAFAABA">
            <w:pPr>
              <w:spacing w:line="360" w:lineRule="auto"/>
              <w:ind w:firstLine="480"/>
              <w:rPr>
                <w:color w:val="auto"/>
                <w:sz w:val="24"/>
              </w:rPr>
            </w:pPr>
            <w:r>
              <w:rPr>
                <w:color w:val="auto"/>
                <w:sz w:val="24"/>
              </w:rPr>
              <w:t>原项目食堂已配套设置了1个容积约为2m</w:t>
            </w:r>
            <w:r>
              <w:rPr>
                <w:color w:val="auto"/>
                <w:sz w:val="24"/>
                <w:vertAlign w:val="superscript"/>
              </w:rPr>
              <w:t>3</w:t>
            </w:r>
            <w:r>
              <w:rPr>
                <w:color w:val="auto"/>
                <w:sz w:val="24"/>
              </w:rPr>
              <w:t>的隔油池进行使用，用于接纳厨房餐饮含油废水。根据上文分析，本次扩建项目建成后整个食堂厨房含油废水产生量为0.24m</w:t>
            </w:r>
            <w:r>
              <w:rPr>
                <w:color w:val="auto"/>
                <w:sz w:val="24"/>
                <w:vertAlign w:val="superscript"/>
              </w:rPr>
              <w:t>3</w:t>
            </w:r>
            <w:r>
              <w:rPr>
                <w:color w:val="auto"/>
                <w:sz w:val="24"/>
              </w:rPr>
              <w:t>/d（原项目与扩建职工全部在厂内用餐），按炊事时间4小时计算，则隔油池容积大于0.12m</w:t>
            </w:r>
            <w:r>
              <w:rPr>
                <w:color w:val="auto"/>
                <w:sz w:val="24"/>
                <w:vertAlign w:val="superscript"/>
              </w:rPr>
              <w:t>3</w:t>
            </w:r>
            <w:r>
              <w:rPr>
                <w:color w:val="auto"/>
                <w:sz w:val="24"/>
              </w:rPr>
              <w:t>即可满足项目扩建完成后整个项目区水量停留时间要求，本项目已设置的隔油池容积为2m</w:t>
            </w:r>
            <w:r>
              <w:rPr>
                <w:color w:val="auto"/>
                <w:sz w:val="24"/>
                <w:vertAlign w:val="superscript"/>
              </w:rPr>
              <w:t>3</w:t>
            </w:r>
            <w:r>
              <w:rPr>
                <w:color w:val="auto"/>
                <w:sz w:val="24"/>
              </w:rPr>
              <w:t>，隔油池容积能够满足扩建项目建设完成后整个项目区含油污水的水量停留时间不小于0.5h的要求，能够确保隔油池的隔油效果。</w:t>
            </w:r>
          </w:p>
          <w:p w14:paraId="66DCF27B">
            <w:pPr>
              <w:spacing w:line="360" w:lineRule="auto"/>
              <w:ind w:firstLine="480"/>
              <w:rPr>
                <w:color w:val="auto"/>
                <w:sz w:val="24"/>
                <w:lang w:val="zh-CN"/>
              </w:rPr>
            </w:pPr>
            <w:r>
              <w:rPr>
                <w:color w:val="auto"/>
                <w:sz w:val="24"/>
                <w:lang w:val="zh-CN"/>
              </w:rPr>
              <w:t>②化粪池</w:t>
            </w:r>
          </w:p>
          <w:p w14:paraId="1A385757">
            <w:pPr>
              <w:spacing w:line="360" w:lineRule="auto"/>
              <w:ind w:firstLine="480"/>
              <w:rPr>
                <w:color w:val="auto"/>
                <w:sz w:val="24"/>
              </w:rPr>
            </w:pPr>
            <w:r>
              <w:rPr>
                <w:color w:val="auto"/>
                <w:sz w:val="24"/>
              </w:rPr>
              <w:t>本次扩建工作人员保留原项目工作人员无人员新增，原项目厂房已设置了1个的</w:t>
            </w:r>
            <w:r>
              <w:rPr>
                <w:rFonts w:hint="eastAsia"/>
                <w:color w:val="auto"/>
                <w:sz w:val="24"/>
              </w:rPr>
              <w:t>5m</w:t>
            </w:r>
            <w:r>
              <w:rPr>
                <w:rFonts w:hint="eastAsia"/>
                <w:color w:val="auto"/>
                <w:sz w:val="24"/>
                <w:vertAlign w:val="superscript"/>
              </w:rPr>
              <w:t>3</w:t>
            </w:r>
            <w:r>
              <w:rPr>
                <w:color w:val="auto"/>
                <w:sz w:val="24"/>
              </w:rPr>
              <w:t>化粪池，并且定期委托周边农户用于周边农田施肥，满足《化粪池设计规范》中提出的污水在池中停留时间为12~24h要求。因此，本项目依托原项目已设置的化粪池可行。</w:t>
            </w:r>
          </w:p>
          <w:p w14:paraId="096C2F24">
            <w:pPr>
              <w:spacing w:line="360" w:lineRule="auto"/>
              <w:ind w:firstLine="480"/>
              <w:rPr>
                <w:color w:val="auto"/>
                <w:sz w:val="24"/>
                <w:lang w:val="zh-CN"/>
              </w:rPr>
            </w:pPr>
            <w:r>
              <w:rPr>
                <w:color w:val="auto"/>
                <w:sz w:val="24"/>
                <w:lang w:val="zh-CN"/>
              </w:rPr>
              <w:t>③</w:t>
            </w:r>
            <w:r>
              <w:rPr>
                <w:color w:val="auto"/>
                <w:sz w:val="24"/>
              </w:rPr>
              <w:t>沉淀</w:t>
            </w:r>
            <w:r>
              <w:rPr>
                <w:color w:val="auto"/>
                <w:sz w:val="24"/>
                <w:lang w:val="zh-CN"/>
              </w:rPr>
              <w:t>池</w:t>
            </w:r>
          </w:p>
          <w:p w14:paraId="65577A87">
            <w:pPr>
              <w:spacing w:line="348" w:lineRule="auto"/>
              <w:ind w:firstLine="488"/>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t>原项目</w:t>
            </w:r>
            <w:r>
              <w:rPr>
                <w:rFonts w:ascii="Times New Roman" w:hAnsi="Times New Roman" w:eastAsia="宋体" w:cs="Times New Roman"/>
                <w:color w:val="auto"/>
                <w:sz w:val="24"/>
                <w:lang w:val="zh-CN"/>
              </w:rPr>
              <w:t>在</w:t>
            </w:r>
            <w:r>
              <w:rPr>
                <w:rFonts w:ascii="Times New Roman" w:hAnsi="Times New Roman" w:eastAsia="宋体" w:cs="Times New Roman"/>
                <w:color w:val="auto"/>
                <w:sz w:val="24"/>
              </w:rPr>
              <w:t>厂区</w:t>
            </w:r>
            <w:r>
              <w:rPr>
                <w:rFonts w:ascii="Times New Roman" w:hAnsi="Times New Roman" w:eastAsia="宋体" w:cs="Times New Roman"/>
                <w:color w:val="auto"/>
                <w:sz w:val="24"/>
                <w:lang w:val="zh-CN"/>
              </w:rPr>
              <w:t>平台南侧</w:t>
            </w:r>
            <w:r>
              <w:rPr>
                <w:rFonts w:ascii="Times New Roman" w:hAnsi="Times New Roman" w:eastAsia="宋体" w:cs="Times New Roman"/>
                <w:color w:val="auto"/>
                <w:sz w:val="24"/>
              </w:rPr>
              <w:t>已建</w:t>
            </w:r>
            <w:r>
              <w:rPr>
                <w:rFonts w:ascii="Times New Roman" w:hAnsi="Times New Roman" w:eastAsia="宋体" w:cs="Times New Roman"/>
                <w:color w:val="auto"/>
                <w:sz w:val="24"/>
                <w:lang w:val="zh-CN"/>
              </w:rPr>
              <w:t>设1座容积</w:t>
            </w:r>
            <w:r>
              <w:rPr>
                <w:rFonts w:ascii="Times New Roman" w:hAnsi="Times New Roman" w:eastAsia="宋体" w:cs="Times New Roman"/>
                <w:color w:val="auto"/>
                <w:sz w:val="24"/>
              </w:rPr>
              <w:t>约</w:t>
            </w:r>
            <w:r>
              <w:rPr>
                <w:rFonts w:ascii="Times New Roman" w:hAnsi="Times New Roman" w:eastAsia="宋体" w:cs="Times New Roman"/>
                <w:color w:val="auto"/>
                <w:sz w:val="24"/>
                <w:lang w:val="zh-CN"/>
              </w:rPr>
              <w:t>为</w:t>
            </w:r>
            <w:r>
              <w:rPr>
                <w:rFonts w:ascii="Times New Roman" w:hAnsi="Times New Roman" w:eastAsia="宋体" w:cs="Times New Roman"/>
                <w:color w:val="auto"/>
                <w:sz w:val="24"/>
              </w:rPr>
              <w:t>150m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的</w:t>
            </w:r>
            <w:r>
              <w:rPr>
                <w:rFonts w:ascii="Times New Roman" w:hAnsi="Times New Roman" w:eastAsia="宋体" w:cs="Times New Roman"/>
                <w:color w:val="auto"/>
                <w:sz w:val="24"/>
                <w:lang w:val="zh-CN"/>
              </w:rPr>
              <w:t>沉淀池，</w:t>
            </w:r>
            <w:r>
              <w:rPr>
                <w:rFonts w:ascii="Times New Roman" w:hAnsi="Times New Roman" w:eastAsia="宋体" w:cs="Times New Roman"/>
                <w:color w:val="auto"/>
                <w:sz w:val="24"/>
              </w:rPr>
              <w:t>沉淀池</w:t>
            </w:r>
            <w:r>
              <w:rPr>
                <w:rFonts w:ascii="Times New Roman" w:hAnsi="Times New Roman" w:eastAsia="宋体" w:cs="Times New Roman"/>
                <w:color w:val="auto"/>
                <w:sz w:val="24"/>
                <w:lang w:val="zh-CN"/>
              </w:rPr>
              <w:t>用于处理项目搅拌机清洗废水、混凝土运输车辆清洗废水</w:t>
            </w:r>
            <w:r>
              <w:rPr>
                <w:rFonts w:ascii="Times New Roman" w:hAnsi="Times New Roman" w:eastAsia="宋体" w:cs="Times New Roman"/>
                <w:color w:val="auto"/>
                <w:sz w:val="24"/>
              </w:rPr>
              <w:t>和收集</w:t>
            </w:r>
            <w:r>
              <w:rPr>
                <w:rFonts w:hint="eastAsia" w:ascii="Times New Roman" w:hAnsi="Times New Roman" w:eastAsia="宋体" w:cs="Times New Roman"/>
                <w:color w:val="auto"/>
                <w:sz w:val="24"/>
                <w:lang w:val="en-US" w:eastAsia="zh-CN"/>
              </w:rPr>
              <w:t>初期</w:t>
            </w:r>
            <w:r>
              <w:rPr>
                <w:rFonts w:ascii="Times New Roman" w:hAnsi="Times New Roman" w:eastAsia="宋体" w:cs="Times New Roman"/>
                <w:color w:val="auto"/>
                <w:sz w:val="24"/>
              </w:rPr>
              <w:t>雨水</w:t>
            </w:r>
            <w:r>
              <w:rPr>
                <w:rFonts w:ascii="Times New Roman" w:hAnsi="Times New Roman" w:eastAsia="宋体" w:cs="Times New Roman"/>
                <w:color w:val="auto"/>
                <w:sz w:val="24"/>
                <w:lang w:val="zh-CN"/>
              </w:rPr>
              <w:t>，废水通过</w:t>
            </w:r>
            <w:r>
              <w:rPr>
                <w:rFonts w:ascii="Times New Roman" w:hAnsi="Times New Roman" w:eastAsia="宋体" w:cs="Times New Roman"/>
                <w:color w:val="auto"/>
                <w:sz w:val="24"/>
              </w:rPr>
              <w:t>地势引导</w:t>
            </w:r>
            <w:r>
              <w:rPr>
                <w:rFonts w:ascii="Times New Roman" w:hAnsi="Times New Roman" w:eastAsia="宋体" w:cs="Times New Roman"/>
                <w:color w:val="auto"/>
                <w:sz w:val="24"/>
                <w:lang w:val="zh-CN"/>
              </w:rPr>
              <w:t>排至沉淀</w:t>
            </w:r>
            <w:r>
              <w:rPr>
                <w:rFonts w:ascii="Times New Roman" w:hAnsi="Times New Roman" w:eastAsia="宋体" w:cs="Times New Roman"/>
                <w:color w:val="auto"/>
                <w:sz w:val="24"/>
              </w:rPr>
              <w:t>池</w:t>
            </w:r>
            <w:r>
              <w:rPr>
                <w:rFonts w:ascii="Times New Roman" w:hAnsi="Times New Roman" w:eastAsia="宋体" w:cs="Times New Roman"/>
                <w:color w:val="auto"/>
                <w:sz w:val="24"/>
                <w:lang w:val="zh-CN"/>
              </w:rPr>
              <w:t>处理后回用于生产。</w:t>
            </w:r>
            <w:r>
              <w:rPr>
                <w:rFonts w:ascii="Times New Roman" w:hAnsi="Times New Roman" w:eastAsia="宋体" w:cs="Times New Roman"/>
                <w:color w:val="auto"/>
                <w:sz w:val="24"/>
              </w:rPr>
              <w:t>根据分析计算，</w:t>
            </w:r>
            <w:r>
              <w:rPr>
                <w:rFonts w:hint="eastAsia" w:cs="Times New Roman"/>
                <w:color w:val="auto"/>
                <w:sz w:val="24"/>
                <w:lang w:val="en-US" w:eastAsia="zh-CN"/>
              </w:rPr>
              <w:t>扩建后整个场区搅拌机</w:t>
            </w:r>
            <w:r>
              <w:rPr>
                <w:rFonts w:ascii="Times New Roman" w:hAnsi="Times New Roman" w:eastAsia="宋体" w:cs="Times New Roman"/>
                <w:color w:val="auto"/>
                <w:sz w:val="24"/>
              </w:rPr>
              <w:t>清洗废水</w:t>
            </w:r>
            <w:r>
              <w:rPr>
                <w:rFonts w:hint="eastAsia" w:cs="Times New Roman"/>
                <w:color w:val="auto"/>
                <w:sz w:val="24"/>
                <w:lang w:eastAsia="zh-CN"/>
              </w:rPr>
              <w:t>、</w:t>
            </w:r>
            <w:r>
              <w:rPr>
                <w:rFonts w:hint="eastAsia" w:cs="Times New Roman"/>
                <w:color w:val="auto"/>
                <w:sz w:val="24"/>
                <w:lang w:val="en-US" w:eastAsia="zh-CN"/>
              </w:rPr>
              <w:t>车辆清洗废水、设备检验废水</w:t>
            </w:r>
            <w:r>
              <w:rPr>
                <w:rFonts w:ascii="Times New Roman" w:hAnsi="Times New Roman" w:eastAsia="宋体" w:cs="Times New Roman"/>
                <w:color w:val="auto"/>
                <w:sz w:val="24"/>
              </w:rPr>
              <w:t>排放量共计</w:t>
            </w:r>
            <w:r>
              <w:rPr>
                <w:rFonts w:hint="eastAsia" w:ascii="Times New Roman" w:hAnsi="Times New Roman" w:eastAsia="宋体" w:cs="Times New Roman"/>
                <w:color w:val="auto"/>
                <w:sz w:val="24"/>
                <w:lang w:val="en-US" w:eastAsia="zh-CN"/>
              </w:rPr>
              <w:t>13.</w:t>
            </w:r>
            <w:r>
              <w:rPr>
                <w:rFonts w:hint="eastAsia" w:cs="Times New Roman"/>
                <w:color w:val="auto"/>
                <w:sz w:val="24"/>
                <w:lang w:val="en-US" w:eastAsia="zh-CN"/>
              </w:rPr>
              <w:t>2</w:t>
            </w:r>
            <w:r>
              <w:rPr>
                <w:rFonts w:ascii="Times New Roman" w:hAnsi="Times New Roman" w:eastAsia="宋体" w:cs="Times New Roman"/>
                <w:color w:val="auto"/>
                <w:sz w:val="24"/>
              </w:rPr>
              <w:t>m³/d，</w:t>
            </w:r>
            <w:r>
              <w:rPr>
                <w:rFonts w:hint="eastAsia" w:cs="Times New Roman"/>
                <w:color w:val="auto"/>
                <w:sz w:val="24"/>
                <w:lang w:val="en-US" w:eastAsia="zh-CN"/>
              </w:rPr>
              <w:t>3960</w:t>
            </w:r>
            <w:r>
              <w:rPr>
                <w:rFonts w:ascii="Times New Roman" w:hAnsi="Times New Roman" w:eastAsia="宋体" w:cs="Times New Roman"/>
                <w:color w:val="auto"/>
                <w:sz w:val="24"/>
              </w:rPr>
              <w:t>m³/a。</w:t>
            </w:r>
            <w:r>
              <w:rPr>
                <w:rFonts w:ascii="Times New Roman" w:hAnsi="Times New Roman" w:eastAsia="宋体" w:cs="Times New Roman"/>
                <w:color w:val="auto"/>
                <w:sz w:val="24"/>
                <w:lang w:val="zh-CN"/>
              </w:rPr>
              <w:t>沉淀池</w:t>
            </w:r>
            <w:r>
              <w:rPr>
                <w:rFonts w:ascii="Times New Roman" w:hAnsi="Times New Roman" w:eastAsia="宋体" w:cs="Times New Roman"/>
                <w:color w:val="auto"/>
                <w:sz w:val="24"/>
              </w:rPr>
              <w:t>用于收集</w:t>
            </w:r>
            <w:r>
              <w:rPr>
                <w:rFonts w:hint="eastAsia" w:cs="Times New Roman"/>
                <w:color w:val="auto"/>
                <w:sz w:val="24"/>
                <w:lang w:val="en-US" w:eastAsia="zh-CN"/>
              </w:rPr>
              <w:t>生产废水</w:t>
            </w:r>
            <w:r>
              <w:rPr>
                <w:rFonts w:ascii="Times New Roman" w:hAnsi="Times New Roman" w:eastAsia="宋体" w:cs="Times New Roman"/>
                <w:color w:val="auto"/>
                <w:sz w:val="24"/>
              </w:rPr>
              <w:t>，沉淀池能收集150m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废水，</w:t>
            </w:r>
            <w:r>
              <w:rPr>
                <w:rFonts w:hint="eastAsia" w:ascii="Times New Roman" w:hAnsi="Times New Roman" w:eastAsia="宋体" w:cs="Times New Roman"/>
                <w:color w:val="auto"/>
                <w:sz w:val="24"/>
                <w:lang w:val="en-US" w:eastAsia="zh-CN"/>
              </w:rPr>
              <w:t>同时，</w:t>
            </w:r>
            <w:r>
              <w:rPr>
                <w:rFonts w:hint="eastAsia" w:cs="Times New Roman"/>
                <w:color w:val="auto"/>
                <w:sz w:val="24"/>
                <w:lang w:val="en-US" w:eastAsia="zh-CN"/>
              </w:rPr>
              <w:t>整个场区</w:t>
            </w:r>
            <w:r>
              <w:rPr>
                <w:rFonts w:hint="eastAsia" w:ascii="Times New Roman" w:hAnsi="Times New Roman" w:eastAsia="宋体" w:cs="Times New Roman"/>
                <w:color w:val="auto"/>
                <w:sz w:val="24"/>
              </w:rPr>
              <w:t>项目初期雨水仅收集前15min的雨水量，为</w:t>
            </w:r>
            <w:r>
              <w:rPr>
                <w:rFonts w:hint="eastAsia" w:ascii="Times New Roman" w:hAnsi="Times New Roman" w:eastAsia="宋体" w:cs="Times New Roman"/>
                <w:color w:val="auto"/>
                <w:sz w:val="24"/>
                <w:lang w:val="en-US" w:eastAsia="zh-CN"/>
              </w:rPr>
              <w:t>7.983</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/次，</w:t>
            </w:r>
            <w:r>
              <w:rPr>
                <w:rFonts w:hint="eastAsia" w:cs="Times New Roman"/>
                <w:color w:val="auto"/>
                <w:sz w:val="24"/>
                <w:lang w:val="en-US" w:eastAsia="zh-CN"/>
              </w:rPr>
              <w:t>雨天需收集的水量：初期雨水+生产废水，共计：21.183</w:t>
            </w:r>
            <w:r>
              <w:rPr>
                <w:rFonts w:ascii="Times New Roman" w:hAnsi="Times New Roman" w:eastAsia="宋体" w:cs="Times New Roman"/>
                <w:color w:val="auto"/>
                <w:sz w:val="24"/>
              </w:rPr>
              <w:t>m³/d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可保障连续一周下雨的情况初期雨水不外排，雨天</w:t>
            </w:r>
            <w:r>
              <w:rPr>
                <w:rFonts w:hint="eastAsia" w:ascii="Times New Roman" w:hAnsi="Times New Roman" w:eastAsia="宋体" w:cs="Times New Roman"/>
                <w:color w:val="auto"/>
                <w:sz w:val="24"/>
                <w:lang w:eastAsia="zh-CN"/>
              </w:rPr>
              <w:t>初期雨水在沉淀池沉淀后抽至集水池位于厂区东侧容积300m</w:t>
            </w:r>
            <w:r>
              <w:rPr>
                <w:rFonts w:hint="eastAsia" w:ascii="Times New Roman" w:hAnsi="Times New Roman" w:eastAsia="宋体" w:cs="Times New Roman"/>
                <w:color w:val="auto"/>
                <w:sz w:val="24"/>
                <w:vertAlign w:val="superscript"/>
                <w:lang w:eastAsia="zh-CN"/>
              </w:rPr>
              <w:t>3</w:t>
            </w:r>
            <w:r>
              <w:rPr>
                <w:rFonts w:hint="eastAsia" w:ascii="Times New Roman" w:hAnsi="Times New Roman" w:eastAsia="宋体" w:cs="Times New Roman"/>
                <w:color w:val="auto"/>
                <w:sz w:val="24"/>
                <w:vertAlign w:val="baseline"/>
                <w:lang w:val="en-US" w:eastAsia="zh-CN"/>
              </w:rPr>
              <w:t>备用</w:t>
            </w:r>
            <w:r>
              <w:rPr>
                <w:rFonts w:hint="eastAsia" w:ascii="Times New Roman" w:hAnsi="Times New Roman" w:eastAsia="宋体" w:cs="Times New Roman"/>
                <w:color w:val="auto"/>
                <w:sz w:val="24"/>
                <w:lang w:eastAsia="zh-CN"/>
              </w:rPr>
              <w:t>。</w:t>
            </w:r>
          </w:p>
          <w:p w14:paraId="6CD62410">
            <w:pPr>
              <w:spacing w:line="348" w:lineRule="auto"/>
              <w:ind w:firstLine="488"/>
              <w:rPr>
                <w:rFonts w:ascii="Times New Roman" w:hAnsi="Times New Roman" w:eastAsia="宋体" w:cs="Times New Roman"/>
                <w:color w:val="auto"/>
                <w:sz w:val="24"/>
              </w:rPr>
            </w:pPr>
            <w:r>
              <w:rPr>
                <w:rFonts w:ascii="Times New Roman" w:hAnsi="Times New Roman" w:eastAsia="宋体" w:cs="Times New Roman"/>
                <w:color w:val="auto"/>
                <w:sz w:val="24"/>
              </w:rPr>
              <w:t>因此本项目依托原项目已设置的沉淀</w:t>
            </w:r>
            <w:r>
              <w:rPr>
                <w:rFonts w:ascii="Times New Roman" w:hAnsi="Times New Roman" w:eastAsia="宋体" w:cs="Times New Roman"/>
                <w:color w:val="auto"/>
                <w:sz w:val="24"/>
                <w:lang w:val="zh-CN"/>
              </w:rPr>
              <w:t>池</w:t>
            </w:r>
            <w:r>
              <w:rPr>
                <w:rFonts w:ascii="Times New Roman" w:hAnsi="Times New Roman" w:eastAsia="宋体" w:cs="Times New Roman"/>
                <w:color w:val="auto"/>
                <w:sz w:val="24"/>
              </w:rPr>
              <w:t>可行。</w:t>
            </w:r>
          </w:p>
          <w:p w14:paraId="0930A7F3">
            <w:pPr>
              <w:spacing w:line="348" w:lineRule="auto"/>
              <w:ind w:firstLine="480"/>
              <w:rPr>
                <w:color w:val="auto"/>
                <w:spacing w:val="2"/>
                <w:sz w:val="24"/>
              </w:rPr>
            </w:pPr>
            <w:r>
              <w:rPr>
                <w:color w:val="auto"/>
                <w:sz w:val="24"/>
              </w:rPr>
              <w:t>（</w:t>
            </w:r>
            <w:r>
              <w:rPr>
                <w:rFonts w:hint="eastAsia"/>
                <w:color w:val="auto"/>
                <w:sz w:val="24"/>
              </w:rPr>
              <w:t>3</w:t>
            </w:r>
            <w:r>
              <w:rPr>
                <w:color w:val="auto"/>
                <w:sz w:val="24"/>
              </w:rPr>
              <w:t>）</w:t>
            </w:r>
            <w:r>
              <w:rPr>
                <w:color w:val="auto"/>
                <w:spacing w:val="2"/>
                <w:sz w:val="24"/>
              </w:rPr>
              <w:t>生产废水不外排的可行性和可靠性</w:t>
            </w:r>
          </w:p>
          <w:p w14:paraId="7C5A872E">
            <w:pPr>
              <w:spacing w:line="348" w:lineRule="auto"/>
              <w:ind w:firstLine="488"/>
              <w:rPr>
                <w:color w:val="auto"/>
                <w:spacing w:val="2"/>
                <w:sz w:val="24"/>
              </w:rPr>
            </w:pPr>
            <w:r>
              <w:rPr>
                <w:color w:val="auto"/>
                <w:spacing w:val="2"/>
                <w:sz w:val="24"/>
              </w:rPr>
              <w:t>经统计，</w:t>
            </w:r>
            <w:r>
              <w:rPr>
                <w:rFonts w:hint="eastAsia"/>
                <w:color w:val="auto"/>
                <w:spacing w:val="2"/>
                <w:sz w:val="24"/>
                <w:lang w:val="en-US" w:eastAsia="zh-CN"/>
              </w:rPr>
              <w:t>扩建后整个场区的</w:t>
            </w:r>
            <w:r>
              <w:rPr>
                <w:color w:val="auto"/>
                <w:spacing w:val="2"/>
                <w:sz w:val="24"/>
              </w:rPr>
              <w:t>搅拌机清洗废水、</w:t>
            </w:r>
            <w:r>
              <w:rPr>
                <w:rFonts w:hint="eastAsia"/>
                <w:color w:val="auto"/>
                <w:spacing w:val="2"/>
                <w:sz w:val="24"/>
                <w:lang w:val="en-US" w:eastAsia="zh-CN"/>
              </w:rPr>
              <w:t>车辆</w:t>
            </w:r>
            <w:r>
              <w:rPr>
                <w:color w:val="auto"/>
                <w:spacing w:val="2"/>
                <w:sz w:val="24"/>
              </w:rPr>
              <w:t>清洗废水、</w:t>
            </w:r>
            <w:r>
              <w:rPr>
                <w:rFonts w:hint="eastAsia"/>
                <w:color w:val="auto"/>
                <w:sz w:val="24"/>
                <w:lang w:val="en-US" w:eastAsia="zh-CN"/>
              </w:rPr>
              <w:t>检验设备</w:t>
            </w:r>
            <w:r>
              <w:rPr>
                <w:color w:val="auto"/>
                <w:spacing w:val="2"/>
                <w:sz w:val="24"/>
              </w:rPr>
              <w:t>废水主要污染物为SS，每天产生的清洗废水量为</w:t>
            </w:r>
            <w:r>
              <w:rPr>
                <w:rFonts w:hint="eastAsia"/>
                <w:color w:val="auto"/>
                <w:sz w:val="24"/>
                <w:lang w:val="en-US" w:eastAsia="zh-CN"/>
              </w:rPr>
              <w:t>13.2</w:t>
            </w:r>
            <w:r>
              <w:rPr>
                <w:color w:val="auto"/>
                <w:sz w:val="24"/>
              </w:rPr>
              <w:t>m³/d，</w:t>
            </w:r>
            <w:r>
              <w:rPr>
                <w:rFonts w:hint="eastAsia"/>
                <w:color w:val="auto"/>
                <w:sz w:val="24"/>
                <w:lang w:val="en-US" w:eastAsia="zh-CN"/>
              </w:rPr>
              <w:t>3960</w:t>
            </w:r>
            <w:r>
              <w:rPr>
                <w:color w:val="auto"/>
                <w:sz w:val="24"/>
              </w:rPr>
              <w:t>m³/a，</w:t>
            </w:r>
            <w:r>
              <w:rPr>
                <w:color w:val="auto"/>
                <w:spacing w:val="2"/>
                <w:sz w:val="24"/>
              </w:rPr>
              <w:t>经项目设置的沉淀池沉淀后回用于搅拌生产用水，</w:t>
            </w:r>
            <w:r>
              <w:rPr>
                <w:rFonts w:hint="eastAsia"/>
                <w:color w:val="auto"/>
                <w:spacing w:val="2"/>
                <w:sz w:val="24"/>
                <w:lang w:val="en-US" w:eastAsia="zh-CN"/>
              </w:rPr>
              <w:t>整个场区</w:t>
            </w:r>
            <w:r>
              <w:rPr>
                <w:color w:val="auto"/>
                <w:spacing w:val="2"/>
                <w:sz w:val="24"/>
              </w:rPr>
              <w:t>搅拌用水每天需水量为</w:t>
            </w:r>
            <w:r>
              <w:rPr>
                <w:rFonts w:hint="eastAsia"/>
                <w:color w:val="auto"/>
                <w:spacing w:val="2"/>
                <w:sz w:val="24"/>
                <w:lang w:val="en-US" w:eastAsia="zh-CN"/>
              </w:rPr>
              <w:t>214.67</w:t>
            </w:r>
            <w:r>
              <w:rPr>
                <w:color w:val="auto"/>
                <w:spacing w:val="2"/>
                <w:sz w:val="24"/>
              </w:rPr>
              <w:t>m</w:t>
            </w:r>
            <w:r>
              <w:rPr>
                <w:color w:val="auto"/>
                <w:spacing w:val="2"/>
                <w:sz w:val="24"/>
                <w:vertAlign w:val="superscript"/>
              </w:rPr>
              <w:t>3</w:t>
            </w:r>
            <w:r>
              <w:rPr>
                <w:color w:val="auto"/>
                <w:spacing w:val="2"/>
                <w:sz w:val="24"/>
              </w:rPr>
              <w:t>/d，</w:t>
            </w:r>
            <w:r>
              <w:rPr>
                <w:rFonts w:hint="eastAsia"/>
                <w:color w:val="auto"/>
                <w:spacing w:val="2"/>
                <w:sz w:val="24"/>
                <w:lang w:val="en-US" w:eastAsia="zh-CN"/>
              </w:rPr>
              <w:t>64400</w:t>
            </w:r>
            <w:r>
              <w:rPr>
                <w:color w:val="auto"/>
                <w:sz w:val="24"/>
              </w:rPr>
              <w:t>m³/a，</w:t>
            </w:r>
            <w:r>
              <w:rPr>
                <w:color w:val="auto"/>
                <w:spacing w:val="2"/>
                <w:sz w:val="24"/>
              </w:rPr>
              <w:t>沉淀池</w:t>
            </w:r>
            <w:r>
              <w:rPr>
                <w:rFonts w:hint="eastAsia"/>
                <w:color w:val="auto"/>
                <w:spacing w:val="2"/>
                <w:sz w:val="24"/>
              </w:rPr>
              <w:t>回用水不能</w:t>
            </w:r>
            <w:r>
              <w:rPr>
                <w:color w:val="auto"/>
                <w:spacing w:val="2"/>
                <w:sz w:val="24"/>
              </w:rPr>
              <w:t>完全容纳项目所有生产废水</w:t>
            </w:r>
            <w:r>
              <w:rPr>
                <w:rFonts w:hint="eastAsia"/>
                <w:color w:val="auto"/>
                <w:spacing w:val="2"/>
                <w:sz w:val="24"/>
              </w:rPr>
              <w:t>，还需新鲜水</w:t>
            </w:r>
            <w:r>
              <w:rPr>
                <w:rFonts w:hint="eastAsia"/>
                <w:color w:val="auto"/>
                <w:spacing w:val="2"/>
                <w:sz w:val="24"/>
                <w:lang w:val="en-US" w:eastAsia="zh-CN"/>
              </w:rPr>
              <w:t>201.47</w:t>
            </w:r>
            <w:r>
              <w:rPr>
                <w:color w:val="auto"/>
                <w:spacing w:val="2"/>
                <w:sz w:val="24"/>
              </w:rPr>
              <w:t>m</w:t>
            </w:r>
            <w:r>
              <w:rPr>
                <w:color w:val="auto"/>
                <w:spacing w:val="2"/>
                <w:sz w:val="24"/>
                <w:vertAlign w:val="superscript"/>
              </w:rPr>
              <w:t>3</w:t>
            </w:r>
            <w:r>
              <w:rPr>
                <w:color w:val="auto"/>
                <w:spacing w:val="2"/>
                <w:sz w:val="24"/>
              </w:rPr>
              <w:t>/d，</w:t>
            </w:r>
            <w:r>
              <w:rPr>
                <w:rFonts w:hint="eastAsia"/>
                <w:color w:val="auto"/>
                <w:spacing w:val="2"/>
                <w:sz w:val="24"/>
                <w:lang w:val="en-US" w:eastAsia="zh-CN"/>
              </w:rPr>
              <w:t>60441</w:t>
            </w:r>
            <w:r>
              <w:rPr>
                <w:color w:val="auto"/>
                <w:sz w:val="24"/>
              </w:rPr>
              <w:t>m³/a</w:t>
            </w:r>
            <w:r>
              <w:rPr>
                <w:color w:val="auto"/>
                <w:spacing w:val="2"/>
                <w:sz w:val="24"/>
              </w:rPr>
              <w:t>。原项目已对沉淀池进行硬化，不会出现下渗情况，容积为150m</w:t>
            </w:r>
            <w:r>
              <w:rPr>
                <w:color w:val="auto"/>
                <w:spacing w:val="2"/>
                <w:sz w:val="24"/>
                <w:vertAlign w:val="superscript"/>
              </w:rPr>
              <w:t>3</w:t>
            </w:r>
            <w:r>
              <w:rPr>
                <w:color w:val="auto"/>
                <w:spacing w:val="2"/>
                <w:sz w:val="24"/>
              </w:rPr>
              <w:t>，可保证收集的清洗废水全部用于生产，不外排；项目除尘用水采用人工洒水、加强打扫和软水管配合使用的方式，除尘用水主要用于道路除尘、厂区除尘，为短时用水，且除尘用水很快蒸发消耗，不会产生外排的情况。因此，在切实保证沉淀池正常使用，并按照环评要求采取相关措施后，项目生活及生产废水不外排是可行的。</w:t>
            </w:r>
          </w:p>
          <w:p w14:paraId="34896CE9">
            <w:pPr>
              <w:spacing w:line="348" w:lineRule="auto"/>
              <w:ind w:firstLine="488"/>
              <w:rPr>
                <w:color w:val="auto"/>
                <w:spacing w:val="2"/>
                <w:sz w:val="24"/>
              </w:rPr>
            </w:pPr>
            <w:r>
              <w:rPr>
                <w:color w:val="auto"/>
                <w:spacing w:val="2"/>
                <w:sz w:val="24"/>
              </w:rPr>
              <w:t>（5）监测计划</w:t>
            </w:r>
          </w:p>
          <w:p w14:paraId="382348F2">
            <w:pPr>
              <w:widowControl/>
              <w:ind w:firstLine="0" w:firstLineChars="0"/>
              <w:jc w:val="center"/>
              <w:rPr>
                <w:b/>
                <w:bCs/>
                <w:color w:val="auto"/>
                <w:kern w:val="0"/>
                <w:szCs w:val="21"/>
                <w:lang w:bidi="ar"/>
              </w:rPr>
            </w:pPr>
            <w:r>
              <w:rPr>
                <w:b/>
                <w:bCs/>
                <w:color w:val="auto"/>
                <w:kern w:val="0"/>
                <w:szCs w:val="21"/>
                <w:lang w:bidi="ar"/>
              </w:rPr>
              <w:t>表4-</w:t>
            </w:r>
            <w:r>
              <w:rPr>
                <w:rFonts w:hint="eastAsia"/>
                <w:b/>
                <w:bCs/>
                <w:color w:val="auto"/>
                <w:kern w:val="0"/>
                <w:szCs w:val="21"/>
                <w:lang w:val="en-US" w:eastAsia="zh-CN" w:bidi="ar"/>
              </w:rPr>
              <w:t>14</w:t>
            </w:r>
            <w:r>
              <w:rPr>
                <w:rFonts w:hint="eastAsia"/>
                <w:b/>
                <w:bCs/>
                <w:color w:val="auto"/>
                <w:kern w:val="0"/>
                <w:szCs w:val="21"/>
                <w:lang w:bidi="ar"/>
              </w:rPr>
              <w:t xml:space="preserve">  </w:t>
            </w:r>
            <w:r>
              <w:rPr>
                <w:b/>
                <w:bCs/>
                <w:color w:val="auto"/>
                <w:kern w:val="0"/>
                <w:szCs w:val="21"/>
                <w:lang w:bidi="ar"/>
              </w:rPr>
              <w:t>废水监测计划表</w:t>
            </w:r>
          </w:p>
          <w:tbl>
            <w:tblPr>
              <w:tblStyle w:val="3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6"/>
              <w:gridCol w:w="897"/>
              <w:gridCol w:w="2410"/>
              <w:gridCol w:w="3311"/>
              <w:gridCol w:w="1357"/>
            </w:tblGrid>
            <w:tr w14:paraId="47FCC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510" w:type="pct"/>
                  <w:vAlign w:val="center"/>
                </w:tcPr>
                <w:p w14:paraId="2903443A">
                  <w:pPr>
                    <w:pStyle w:val="113"/>
                    <w:spacing w:line="240" w:lineRule="auto"/>
                    <w:ind w:firstLine="0" w:firstLineChars="0"/>
                    <w:rPr>
                      <w:rFonts w:ascii="Times New Roman" w:hAnsi="Times New Roman"/>
                      <w:b/>
                      <w:bCs w:val="0"/>
                      <w:color w:val="auto"/>
                      <w:sz w:val="21"/>
                      <w:szCs w:val="21"/>
                    </w:rPr>
                  </w:pPr>
                  <w:r>
                    <w:rPr>
                      <w:rFonts w:ascii="Times New Roman" w:hAnsi="Times New Roman"/>
                      <w:b/>
                      <w:bCs w:val="0"/>
                      <w:color w:val="auto"/>
                      <w:sz w:val="21"/>
                      <w:szCs w:val="21"/>
                    </w:rPr>
                    <w:t>监测类别</w:t>
                  </w:r>
                </w:p>
              </w:tc>
              <w:tc>
                <w:tcPr>
                  <w:tcW w:w="505" w:type="pct"/>
                  <w:vAlign w:val="center"/>
                </w:tcPr>
                <w:p w14:paraId="248C794A">
                  <w:pPr>
                    <w:pStyle w:val="113"/>
                    <w:spacing w:line="240" w:lineRule="auto"/>
                    <w:ind w:firstLine="0" w:firstLineChars="0"/>
                    <w:rPr>
                      <w:rFonts w:ascii="Times New Roman" w:hAnsi="Times New Roman"/>
                      <w:b/>
                      <w:bCs w:val="0"/>
                      <w:color w:val="auto"/>
                      <w:sz w:val="21"/>
                      <w:szCs w:val="21"/>
                    </w:rPr>
                  </w:pPr>
                  <w:r>
                    <w:rPr>
                      <w:rFonts w:ascii="Times New Roman" w:hAnsi="Times New Roman"/>
                      <w:b/>
                      <w:bCs w:val="0"/>
                      <w:color w:val="auto"/>
                      <w:sz w:val="21"/>
                      <w:szCs w:val="21"/>
                    </w:rPr>
                    <w:t>监测点位</w:t>
                  </w:r>
                </w:p>
              </w:tc>
              <w:tc>
                <w:tcPr>
                  <w:tcW w:w="1356" w:type="pct"/>
                  <w:vAlign w:val="center"/>
                </w:tcPr>
                <w:p w14:paraId="2E50859E">
                  <w:pPr>
                    <w:pStyle w:val="113"/>
                    <w:spacing w:line="240" w:lineRule="auto"/>
                    <w:ind w:firstLine="0" w:firstLineChars="0"/>
                    <w:rPr>
                      <w:rFonts w:ascii="Times New Roman" w:hAnsi="Times New Roman"/>
                      <w:b/>
                      <w:bCs w:val="0"/>
                      <w:color w:val="auto"/>
                      <w:sz w:val="21"/>
                      <w:szCs w:val="21"/>
                    </w:rPr>
                  </w:pPr>
                  <w:r>
                    <w:rPr>
                      <w:rFonts w:ascii="Times New Roman" w:hAnsi="Times New Roman"/>
                      <w:b/>
                      <w:bCs w:val="0"/>
                      <w:color w:val="auto"/>
                      <w:sz w:val="21"/>
                      <w:szCs w:val="21"/>
                    </w:rPr>
                    <w:t>监测因子</w:t>
                  </w:r>
                </w:p>
              </w:tc>
              <w:tc>
                <w:tcPr>
                  <w:tcW w:w="1863" w:type="pct"/>
                  <w:vAlign w:val="center"/>
                </w:tcPr>
                <w:p w14:paraId="7EEA2B26">
                  <w:pPr>
                    <w:pStyle w:val="113"/>
                    <w:spacing w:line="240" w:lineRule="auto"/>
                    <w:ind w:firstLine="0" w:firstLineChars="0"/>
                    <w:rPr>
                      <w:rFonts w:ascii="Times New Roman" w:hAnsi="Times New Roman"/>
                      <w:b/>
                      <w:bCs w:val="0"/>
                      <w:color w:val="auto"/>
                      <w:sz w:val="21"/>
                      <w:szCs w:val="21"/>
                    </w:rPr>
                  </w:pPr>
                  <w:r>
                    <w:rPr>
                      <w:rFonts w:ascii="Times New Roman" w:hAnsi="Times New Roman"/>
                      <w:b/>
                      <w:bCs w:val="0"/>
                      <w:color w:val="auto"/>
                      <w:sz w:val="21"/>
                      <w:szCs w:val="21"/>
                    </w:rPr>
                    <w:t>标准</w:t>
                  </w:r>
                </w:p>
              </w:tc>
              <w:tc>
                <w:tcPr>
                  <w:tcW w:w="764" w:type="pct"/>
                  <w:vAlign w:val="center"/>
                </w:tcPr>
                <w:p w14:paraId="303D8499">
                  <w:pPr>
                    <w:pStyle w:val="113"/>
                    <w:spacing w:line="240" w:lineRule="auto"/>
                    <w:ind w:firstLine="0" w:firstLineChars="0"/>
                    <w:rPr>
                      <w:rFonts w:ascii="Times New Roman" w:hAnsi="Times New Roman"/>
                      <w:b/>
                      <w:bCs w:val="0"/>
                      <w:color w:val="auto"/>
                      <w:sz w:val="21"/>
                      <w:szCs w:val="21"/>
                    </w:rPr>
                  </w:pPr>
                  <w:r>
                    <w:rPr>
                      <w:rFonts w:ascii="Times New Roman" w:hAnsi="Times New Roman"/>
                      <w:b/>
                      <w:bCs w:val="0"/>
                      <w:color w:val="auto"/>
                      <w:sz w:val="21"/>
                      <w:szCs w:val="21"/>
                    </w:rPr>
                    <w:t>监测时间及频率</w:t>
                  </w:r>
                </w:p>
              </w:tc>
            </w:tr>
            <w:tr w14:paraId="2180D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10" w:type="pct"/>
                  <w:vAlign w:val="center"/>
                </w:tcPr>
                <w:p w14:paraId="7D803BBF">
                  <w:pPr>
                    <w:pStyle w:val="113"/>
                    <w:spacing w:line="240" w:lineRule="auto"/>
                    <w:ind w:firstLine="0" w:firstLineChars="0"/>
                    <w:rPr>
                      <w:rFonts w:ascii="Times New Roman" w:hAnsi="Times New Roman"/>
                      <w:color w:val="auto"/>
                      <w:sz w:val="21"/>
                      <w:szCs w:val="21"/>
                    </w:rPr>
                  </w:pPr>
                  <w:r>
                    <w:rPr>
                      <w:rFonts w:ascii="Times New Roman" w:hAnsi="Times New Roman"/>
                      <w:color w:val="auto"/>
                      <w:sz w:val="21"/>
                      <w:szCs w:val="21"/>
                    </w:rPr>
                    <w:t>废水</w:t>
                  </w:r>
                </w:p>
              </w:tc>
              <w:tc>
                <w:tcPr>
                  <w:tcW w:w="505" w:type="pct"/>
                  <w:vAlign w:val="center"/>
                </w:tcPr>
                <w:p w14:paraId="5616064F">
                  <w:pPr>
                    <w:pStyle w:val="113"/>
                    <w:spacing w:line="240" w:lineRule="auto"/>
                    <w:ind w:firstLine="0" w:firstLineChars="0"/>
                    <w:rPr>
                      <w:rFonts w:ascii="Times New Roman" w:hAnsi="Times New Roman"/>
                      <w:color w:val="auto"/>
                      <w:sz w:val="21"/>
                      <w:szCs w:val="21"/>
                    </w:rPr>
                  </w:pPr>
                  <w:r>
                    <w:rPr>
                      <w:rFonts w:ascii="Times New Roman" w:hAnsi="Times New Roman"/>
                      <w:color w:val="auto"/>
                      <w:sz w:val="21"/>
                      <w:szCs w:val="21"/>
                    </w:rPr>
                    <w:t>综合沉淀池</w:t>
                  </w:r>
                </w:p>
              </w:tc>
              <w:tc>
                <w:tcPr>
                  <w:tcW w:w="1356" w:type="pct"/>
                  <w:vAlign w:val="center"/>
                </w:tcPr>
                <w:p w14:paraId="73962D64">
                  <w:pPr>
                    <w:pStyle w:val="113"/>
                    <w:spacing w:line="240" w:lineRule="auto"/>
                    <w:ind w:firstLine="0" w:firstLineChars="0"/>
                    <w:rPr>
                      <w:rFonts w:ascii="Times New Roman" w:hAnsi="Times New Roman"/>
                      <w:color w:val="auto"/>
                      <w:sz w:val="21"/>
                      <w:szCs w:val="21"/>
                    </w:rPr>
                  </w:pPr>
                  <w:r>
                    <w:rPr>
                      <w:rFonts w:ascii="Times New Roman" w:hAnsi="Times New Roman"/>
                      <w:color w:val="auto"/>
                      <w:sz w:val="21"/>
                      <w:szCs w:val="21"/>
                    </w:rPr>
                    <w:t>pH值、总余氯、色度、嗅、浊度、溶解性总固体、生化需氧量（BOD</w:t>
                  </w:r>
                  <w:r>
                    <w:rPr>
                      <w:rFonts w:ascii="Times New Roman" w:hAnsi="Times New Roman"/>
                      <w:color w:val="auto"/>
                      <w:sz w:val="21"/>
                      <w:szCs w:val="21"/>
                      <w:vertAlign w:val="subscript"/>
                    </w:rPr>
                    <w:t>5</w:t>
                  </w:r>
                  <w:r>
                    <w:rPr>
                      <w:rFonts w:ascii="Times New Roman" w:hAnsi="Times New Roman"/>
                      <w:color w:val="auto"/>
                      <w:sz w:val="21"/>
                      <w:szCs w:val="21"/>
                    </w:rPr>
                    <w:t>）、氨氮、阴离子表面活性剂、溶解氧、总余氯、粪大肠菌群数</w:t>
                  </w:r>
                </w:p>
              </w:tc>
              <w:tc>
                <w:tcPr>
                  <w:tcW w:w="1863" w:type="pct"/>
                  <w:vAlign w:val="center"/>
                </w:tcPr>
                <w:p w14:paraId="6DFDEB2F">
                  <w:pPr>
                    <w:pStyle w:val="89"/>
                    <w:spacing w:before="50"/>
                    <w:ind w:firstLine="0" w:firstLineChars="0"/>
                    <w:jc w:val="center"/>
                    <w:rPr>
                      <w:bCs/>
                      <w:color w:val="auto"/>
                      <w:sz w:val="21"/>
                      <w:szCs w:val="21"/>
                    </w:rPr>
                  </w:pPr>
                  <w:r>
                    <w:rPr>
                      <w:bCs/>
                      <w:color w:val="auto"/>
                      <w:sz w:val="21"/>
                      <w:szCs w:val="21"/>
                    </w:rPr>
                    <w:t>《城市污水再生利用、城市杂用水水质》（GB/T18920-2020）标准，建筑施工杂用水指建筑施工现场的土壤压实、灰尘抑制、混凝土冲洗、混凝土拌合的用水。</w:t>
                  </w:r>
                </w:p>
              </w:tc>
              <w:tc>
                <w:tcPr>
                  <w:tcW w:w="764" w:type="pct"/>
                  <w:vAlign w:val="center"/>
                </w:tcPr>
                <w:p w14:paraId="314FF1A6">
                  <w:pPr>
                    <w:ind w:firstLine="0" w:firstLineChars="0"/>
                    <w:jc w:val="center"/>
                    <w:rPr>
                      <w:bCs/>
                      <w:color w:val="auto"/>
                      <w:szCs w:val="21"/>
                    </w:rPr>
                  </w:pPr>
                  <w:r>
                    <w:rPr>
                      <w:bCs/>
                      <w:color w:val="auto"/>
                      <w:szCs w:val="21"/>
                    </w:rPr>
                    <w:t>验收时监测一次，后期根据相关要求进行</w:t>
                  </w:r>
                </w:p>
              </w:tc>
            </w:tr>
          </w:tbl>
          <w:p w14:paraId="702B9414">
            <w:pPr>
              <w:adjustRightInd w:val="0"/>
              <w:snapToGrid w:val="0"/>
              <w:ind w:firstLine="482"/>
              <w:rPr>
                <w:b/>
                <w:color w:val="auto"/>
                <w:sz w:val="24"/>
              </w:rPr>
            </w:pPr>
          </w:p>
          <w:p w14:paraId="40F0020B">
            <w:pPr>
              <w:pStyle w:val="3"/>
              <w:ind w:firstLine="482"/>
              <w:rPr>
                <w:color w:val="auto"/>
              </w:rPr>
            </w:pPr>
            <w:r>
              <w:rPr>
                <w:color w:val="auto"/>
              </w:rPr>
              <w:t>3、噪声影响分析</w:t>
            </w:r>
          </w:p>
          <w:p w14:paraId="706BB14A">
            <w:pPr>
              <w:pStyle w:val="26"/>
              <w:adjustRightInd w:val="0"/>
              <w:snapToGrid w:val="0"/>
              <w:spacing w:line="348" w:lineRule="auto"/>
              <w:ind w:firstLine="480"/>
              <w:rPr>
                <w:rFonts w:ascii="Times New Roman" w:hAnsi="Times New Roman"/>
                <w:color w:val="auto"/>
                <w:sz w:val="24"/>
              </w:rPr>
            </w:pPr>
            <w:r>
              <w:rPr>
                <w:rFonts w:ascii="Times New Roman" w:hAnsi="Times New Roman"/>
                <w:color w:val="auto"/>
                <w:sz w:val="24"/>
              </w:rPr>
              <w:t>（1）设备噪声影响分析</w:t>
            </w:r>
          </w:p>
          <w:p w14:paraId="38E25AB0">
            <w:pPr>
              <w:pStyle w:val="26"/>
              <w:adjustRightInd w:val="0"/>
              <w:snapToGrid w:val="0"/>
              <w:spacing w:line="348" w:lineRule="auto"/>
              <w:ind w:firstLine="480"/>
              <w:rPr>
                <w:rFonts w:ascii="Times New Roman" w:hAnsi="Times New Roman"/>
                <w:color w:val="auto"/>
                <w:sz w:val="24"/>
              </w:rPr>
            </w:pPr>
            <w:r>
              <w:rPr>
                <w:rFonts w:ascii="Times New Roman" w:hAnsi="Times New Roman"/>
                <w:color w:val="auto"/>
                <w:sz w:val="24"/>
              </w:rPr>
              <w:t>根据项目工程分析，本项目运营过程中主要噪声源为搅拌机、水泵、螺旋输送机、皮带输送机、装载机和运输车辆，噪声源强为65~90dB（A）之间，由于运输车辆为间断性移动噪声源，车辆出入具有不确定性，车辆运输噪声暂不列入下表进行核算。项目噪声源强见下表。</w:t>
            </w:r>
          </w:p>
          <w:p w14:paraId="0DF9CD4A">
            <w:pPr>
              <w:widowControl/>
              <w:ind w:firstLine="0" w:firstLineChars="0"/>
              <w:jc w:val="center"/>
              <w:rPr>
                <w:color w:val="auto"/>
                <w:szCs w:val="21"/>
              </w:rPr>
            </w:pPr>
            <w:r>
              <w:rPr>
                <w:b/>
                <w:bCs/>
                <w:color w:val="auto"/>
                <w:kern w:val="0"/>
                <w:szCs w:val="21"/>
                <w:lang w:bidi="ar"/>
              </w:rPr>
              <w:t>表4-</w:t>
            </w:r>
            <w:r>
              <w:rPr>
                <w:rFonts w:hint="eastAsia"/>
                <w:b/>
                <w:bCs/>
                <w:color w:val="auto"/>
                <w:kern w:val="0"/>
                <w:szCs w:val="21"/>
                <w:lang w:val="en-US" w:eastAsia="zh-CN" w:bidi="ar"/>
              </w:rPr>
              <w:t>15</w:t>
            </w:r>
            <w:r>
              <w:rPr>
                <w:rFonts w:hint="eastAsia"/>
                <w:b/>
                <w:bCs/>
                <w:color w:val="auto"/>
                <w:kern w:val="0"/>
                <w:szCs w:val="21"/>
                <w:lang w:bidi="ar"/>
              </w:rPr>
              <w:t xml:space="preserve">   </w:t>
            </w:r>
            <w:r>
              <w:rPr>
                <w:b/>
                <w:bCs/>
                <w:color w:val="auto"/>
                <w:kern w:val="0"/>
                <w:szCs w:val="21"/>
                <w:lang w:bidi="ar"/>
              </w:rPr>
              <w:t>项目主要设备噪声源强调查清单（室外声源）</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835"/>
              <w:gridCol w:w="1116"/>
              <w:gridCol w:w="858"/>
              <w:gridCol w:w="759"/>
              <w:gridCol w:w="759"/>
              <w:gridCol w:w="517"/>
              <w:gridCol w:w="722"/>
              <w:gridCol w:w="857"/>
              <w:gridCol w:w="761"/>
              <w:gridCol w:w="777"/>
            </w:tblGrid>
            <w:tr w14:paraId="6F43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Merge w:val="restart"/>
                  <w:vAlign w:val="center"/>
                </w:tcPr>
                <w:p w14:paraId="06A3A952">
                  <w:pPr>
                    <w:pStyle w:val="14"/>
                    <w:ind w:firstLine="0" w:firstLineChars="0"/>
                    <w:jc w:val="center"/>
                    <w:rPr>
                      <w:b/>
                      <w:bCs/>
                      <w:color w:val="auto"/>
                      <w:sz w:val="21"/>
                      <w:szCs w:val="21"/>
                    </w:rPr>
                  </w:pPr>
                  <w:r>
                    <w:rPr>
                      <w:b/>
                      <w:bCs/>
                      <w:color w:val="auto"/>
                      <w:sz w:val="21"/>
                      <w:szCs w:val="21"/>
                    </w:rPr>
                    <w:t>声源名称</w:t>
                  </w:r>
                </w:p>
              </w:tc>
              <w:tc>
                <w:tcPr>
                  <w:tcW w:w="470" w:type="pct"/>
                  <w:vMerge w:val="restart"/>
                  <w:vAlign w:val="center"/>
                </w:tcPr>
                <w:p w14:paraId="72FB0FAB">
                  <w:pPr>
                    <w:pStyle w:val="14"/>
                    <w:ind w:firstLine="0" w:firstLineChars="0"/>
                    <w:jc w:val="center"/>
                    <w:rPr>
                      <w:b/>
                      <w:bCs/>
                      <w:color w:val="auto"/>
                      <w:sz w:val="21"/>
                      <w:szCs w:val="21"/>
                    </w:rPr>
                  </w:pPr>
                  <w:r>
                    <w:rPr>
                      <w:rFonts w:hint="eastAsia"/>
                      <w:b/>
                      <w:bCs/>
                      <w:color w:val="auto"/>
                      <w:sz w:val="21"/>
                      <w:szCs w:val="21"/>
                    </w:rPr>
                    <w:t>设备数量</w:t>
                  </w:r>
                </w:p>
              </w:tc>
              <w:tc>
                <w:tcPr>
                  <w:tcW w:w="628" w:type="pct"/>
                  <w:vAlign w:val="center"/>
                </w:tcPr>
                <w:p w14:paraId="53D7415B">
                  <w:pPr>
                    <w:pStyle w:val="14"/>
                    <w:ind w:firstLine="0" w:firstLineChars="0"/>
                    <w:jc w:val="center"/>
                    <w:rPr>
                      <w:b/>
                      <w:bCs/>
                      <w:color w:val="auto"/>
                      <w:sz w:val="21"/>
                      <w:szCs w:val="21"/>
                    </w:rPr>
                  </w:pPr>
                  <w:r>
                    <w:rPr>
                      <w:b/>
                      <w:bCs/>
                      <w:color w:val="auto"/>
                      <w:sz w:val="21"/>
                      <w:szCs w:val="21"/>
                    </w:rPr>
                    <w:t>声源源强</w:t>
                  </w:r>
                </w:p>
              </w:tc>
              <w:tc>
                <w:tcPr>
                  <w:tcW w:w="483" w:type="pct"/>
                  <w:vMerge w:val="restart"/>
                  <w:vAlign w:val="center"/>
                </w:tcPr>
                <w:p w14:paraId="5CB91B99">
                  <w:pPr>
                    <w:pStyle w:val="14"/>
                    <w:ind w:firstLine="0" w:firstLineChars="0"/>
                    <w:jc w:val="center"/>
                    <w:rPr>
                      <w:b/>
                      <w:bCs/>
                      <w:color w:val="auto"/>
                      <w:sz w:val="21"/>
                      <w:szCs w:val="21"/>
                    </w:rPr>
                  </w:pPr>
                  <w:r>
                    <w:rPr>
                      <w:b/>
                      <w:bCs/>
                      <w:color w:val="auto"/>
                      <w:sz w:val="21"/>
                      <w:szCs w:val="21"/>
                    </w:rPr>
                    <w:t>声源控制措施</w:t>
                  </w:r>
                </w:p>
              </w:tc>
              <w:tc>
                <w:tcPr>
                  <w:tcW w:w="1145" w:type="pct"/>
                  <w:gridSpan w:val="3"/>
                  <w:vAlign w:val="center"/>
                </w:tcPr>
                <w:p w14:paraId="2FC3B5A4">
                  <w:pPr>
                    <w:pStyle w:val="14"/>
                    <w:ind w:firstLine="0" w:firstLineChars="0"/>
                    <w:jc w:val="center"/>
                    <w:rPr>
                      <w:b/>
                      <w:bCs/>
                      <w:color w:val="auto"/>
                      <w:sz w:val="21"/>
                      <w:szCs w:val="21"/>
                    </w:rPr>
                  </w:pPr>
                  <w:r>
                    <w:rPr>
                      <w:b/>
                      <w:bCs/>
                      <w:color w:val="auto"/>
                      <w:sz w:val="21"/>
                      <w:szCs w:val="21"/>
                    </w:rPr>
                    <w:t>空间相对位置/m</w:t>
                  </w:r>
                </w:p>
              </w:tc>
              <w:tc>
                <w:tcPr>
                  <w:tcW w:w="406" w:type="pct"/>
                  <w:vMerge w:val="restart"/>
                  <w:vAlign w:val="center"/>
                </w:tcPr>
                <w:p w14:paraId="661EF231">
                  <w:pPr>
                    <w:pStyle w:val="14"/>
                    <w:ind w:firstLine="0" w:firstLineChars="0"/>
                    <w:jc w:val="center"/>
                    <w:rPr>
                      <w:b/>
                      <w:bCs/>
                      <w:color w:val="auto"/>
                      <w:sz w:val="21"/>
                      <w:szCs w:val="21"/>
                    </w:rPr>
                  </w:pPr>
                  <w:r>
                    <w:rPr>
                      <w:b/>
                      <w:bCs/>
                      <w:color w:val="auto"/>
                      <w:sz w:val="21"/>
                      <w:szCs w:val="21"/>
                    </w:rPr>
                    <w:t>运行时段</w:t>
                  </w:r>
                </w:p>
              </w:tc>
              <w:tc>
                <w:tcPr>
                  <w:tcW w:w="482" w:type="pct"/>
                  <w:vMerge w:val="restart"/>
                  <w:vAlign w:val="center"/>
                </w:tcPr>
                <w:p w14:paraId="53669A71">
                  <w:pPr>
                    <w:pStyle w:val="14"/>
                    <w:ind w:firstLine="0" w:firstLineChars="0"/>
                    <w:jc w:val="center"/>
                    <w:rPr>
                      <w:b/>
                      <w:bCs/>
                      <w:color w:val="auto"/>
                      <w:sz w:val="21"/>
                      <w:szCs w:val="21"/>
                    </w:rPr>
                  </w:pPr>
                  <w:r>
                    <w:rPr>
                      <w:b/>
                      <w:bCs/>
                      <w:color w:val="auto"/>
                      <w:sz w:val="21"/>
                      <w:szCs w:val="21"/>
                    </w:rPr>
                    <w:t>建筑物插入损失值/dB（A）</w:t>
                  </w:r>
                </w:p>
              </w:tc>
              <w:tc>
                <w:tcPr>
                  <w:tcW w:w="862" w:type="pct"/>
                  <w:gridSpan w:val="2"/>
                  <w:vAlign w:val="center"/>
                </w:tcPr>
                <w:p w14:paraId="7796B96C">
                  <w:pPr>
                    <w:pStyle w:val="14"/>
                    <w:ind w:firstLine="0" w:firstLineChars="0"/>
                    <w:jc w:val="center"/>
                    <w:rPr>
                      <w:b/>
                      <w:bCs/>
                      <w:color w:val="auto"/>
                      <w:sz w:val="21"/>
                      <w:szCs w:val="21"/>
                    </w:rPr>
                  </w:pPr>
                  <w:r>
                    <w:rPr>
                      <w:b/>
                      <w:bCs/>
                      <w:color w:val="auto"/>
                      <w:sz w:val="21"/>
                      <w:szCs w:val="21"/>
                    </w:rPr>
                    <w:t>建筑物外噪声</w:t>
                  </w:r>
                </w:p>
              </w:tc>
            </w:tr>
            <w:tr w14:paraId="4EDA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Merge w:val="continue"/>
                  <w:vAlign w:val="center"/>
                </w:tcPr>
                <w:p w14:paraId="3A9D70E1">
                  <w:pPr>
                    <w:pStyle w:val="14"/>
                    <w:ind w:firstLine="0" w:firstLineChars="0"/>
                    <w:jc w:val="center"/>
                    <w:rPr>
                      <w:b/>
                      <w:bCs/>
                      <w:color w:val="auto"/>
                      <w:sz w:val="21"/>
                      <w:szCs w:val="21"/>
                    </w:rPr>
                  </w:pPr>
                </w:p>
              </w:tc>
              <w:tc>
                <w:tcPr>
                  <w:tcW w:w="470" w:type="pct"/>
                  <w:vMerge w:val="continue"/>
                  <w:vAlign w:val="center"/>
                </w:tcPr>
                <w:p w14:paraId="04D78CDE">
                  <w:pPr>
                    <w:pStyle w:val="14"/>
                    <w:ind w:firstLine="0" w:firstLineChars="0"/>
                    <w:jc w:val="center"/>
                    <w:rPr>
                      <w:b/>
                      <w:bCs/>
                      <w:color w:val="auto"/>
                      <w:sz w:val="21"/>
                      <w:szCs w:val="21"/>
                    </w:rPr>
                  </w:pPr>
                </w:p>
              </w:tc>
              <w:tc>
                <w:tcPr>
                  <w:tcW w:w="628" w:type="pct"/>
                  <w:vAlign w:val="center"/>
                </w:tcPr>
                <w:p w14:paraId="0EDDAF91">
                  <w:pPr>
                    <w:pStyle w:val="14"/>
                    <w:ind w:firstLine="0" w:firstLineChars="0"/>
                    <w:jc w:val="center"/>
                    <w:rPr>
                      <w:b/>
                      <w:bCs/>
                      <w:color w:val="auto"/>
                      <w:sz w:val="21"/>
                      <w:szCs w:val="21"/>
                    </w:rPr>
                  </w:pPr>
                  <w:r>
                    <w:rPr>
                      <w:b/>
                      <w:bCs/>
                      <w:color w:val="auto"/>
                      <w:sz w:val="21"/>
                      <w:szCs w:val="21"/>
                    </w:rPr>
                    <w:t>声压级/距声源距离/（dB(A）/1m）</w:t>
                  </w:r>
                </w:p>
              </w:tc>
              <w:tc>
                <w:tcPr>
                  <w:tcW w:w="483" w:type="pct"/>
                  <w:vMerge w:val="continue"/>
                  <w:vAlign w:val="center"/>
                </w:tcPr>
                <w:p w14:paraId="54C28876">
                  <w:pPr>
                    <w:pStyle w:val="14"/>
                    <w:ind w:firstLine="0" w:firstLineChars="0"/>
                    <w:jc w:val="center"/>
                    <w:rPr>
                      <w:b/>
                      <w:bCs/>
                      <w:color w:val="auto"/>
                      <w:sz w:val="21"/>
                      <w:szCs w:val="21"/>
                    </w:rPr>
                  </w:pPr>
                </w:p>
              </w:tc>
              <w:tc>
                <w:tcPr>
                  <w:tcW w:w="427" w:type="pct"/>
                  <w:vAlign w:val="center"/>
                </w:tcPr>
                <w:p w14:paraId="0AF982CB">
                  <w:pPr>
                    <w:pStyle w:val="14"/>
                    <w:ind w:firstLine="0" w:firstLineChars="0"/>
                    <w:jc w:val="center"/>
                    <w:rPr>
                      <w:b/>
                      <w:bCs/>
                      <w:color w:val="auto"/>
                      <w:sz w:val="21"/>
                      <w:szCs w:val="21"/>
                    </w:rPr>
                  </w:pPr>
                  <w:r>
                    <w:rPr>
                      <w:b/>
                      <w:bCs/>
                      <w:color w:val="auto"/>
                      <w:sz w:val="21"/>
                      <w:szCs w:val="21"/>
                    </w:rPr>
                    <w:t>X</w:t>
                  </w:r>
                </w:p>
              </w:tc>
              <w:tc>
                <w:tcPr>
                  <w:tcW w:w="427" w:type="pct"/>
                  <w:vAlign w:val="center"/>
                </w:tcPr>
                <w:p w14:paraId="22E94B95">
                  <w:pPr>
                    <w:pStyle w:val="14"/>
                    <w:ind w:firstLine="0" w:firstLineChars="0"/>
                    <w:jc w:val="center"/>
                    <w:rPr>
                      <w:b/>
                      <w:bCs/>
                      <w:color w:val="auto"/>
                      <w:sz w:val="21"/>
                      <w:szCs w:val="21"/>
                    </w:rPr>
                  </w:pPr>
                  <w:r>
                    <w:rPr>
                      <w:b/>
                      <w:bCs/>
                      <w:color w:val="auto"/>
                      <w:sz w:val="21"/>
                      <w:szCs w:val="21"/>
                    </w:rPr>
                    <w:t>Y</w:t>
                  </w:r>
                </w:p>
              </w:tc>
              <w:tc>
                <w:tcPr>
                  <w:tcW w:w="291" w:type="pct"/>
                  <w:vAlign w:val="center"/>
                </w:tcPr>
                <w:p w14:paraId="38066E3B">
                  <w:pPr>
                    <w:pStyle w:val="14"/>
                    <w:ind w:firstLine="0" w:firstLineChars="0"/>
                    <w:jc w:val="center"/>
                    <w:rPr>
                      <w:b/>
                      <w:bCs/>
                      <w:color w:val="auto"/>
                      <w:sz w:val="21"/>
                      <w:szCs w:val="21"/>
                    </w:rPr>
                  </w:pPr>
                  <w:r>
                    <w:rPr>
                      <w:b/>
                      <w:bCs/>
                      <w:color w:val="auto"/>
                      <w:sz w:val="21"/>
                      <w:szCs w:val="21"/>
                    </w:rPr>
                    <w:t>Z</w:t>
                  </w:r>
                </w:p>
              </w:tc>
              <w:tc>
                <w:tcPr>
                  <w:tcW w:w="406" w:type="pct"/>
                  <w:vMerge w:val="continue"/>
                  <w:vAlign w:val="center"/>
                </w:tcPr>
                <w:p w14:paraId="23585D42">
                  <w:pPr>
                    <w:pStyle w:val="14"/>
                    <w:ind w:firstLine="0" w:firstLineChars="0"/>
                    <w:jc w:val="center"/>
                    <w:rPr>
                      <w:b/>
                      <w:bCs/>
                      <w:color w:val="auto"/>
                      <w:sz w:val="21"/>
                      <w:szCs w:val="21"/>
                    </w:rPr>
                  </w:pPr>
                </w:p>
              </w:tc>
              <w:tc>
                <w:tcPr>
                  <w:tcW w:w="482" w:type="pct"/>
                  <w:vMerge w:val="continue"/>
                  <w:vAlign w:val="center"/>
                </w:tcPr>
                <w:p w14:paraId="26F929D7">
                  <w:pPr>
                    <w:pStyle w:val="14"/>
                    <w:ind w:firstLine="0" w:firstLineChars="0"/>
                    <w:jc w:val="center"/>
                    <w:rPr>
                      <w:b/>
                      <w:bCs/>
                      <w:color w:val="auto"/>
                      <w:sz w:val="21"/>
                      <w:szCs w:val="21"/>
                    </w:rPr>
                  </w:pPr>
                </w:p>
              </w:tc>
              <w:tc>
                <w:tcPr>
                  <w:tcW w:w="428" w:type="pct"/>
                  <w:vAlign w:val="center"/>
                </w:tcPr>
                <w:p w14:paraId="24C82595">
                  <w:pPr>
                    <w:widowControl/>
                    <w:ind w:firstLine="0" w:firstLineChars="0"/>
                    <w:jc w:val="center"/>
                    <w:rPr>
                      <w:b/>
                      <w:bCs/>
                      <w:color w:val="auto"/>
                      <w:szCs w:val="21"/>
                    </w:rPr>
                  </w:pPr>
                  <w:r>
                    <w:rPr>
                      <w:b/>
                      <w:bCs/>
                      <w:color w:val="auto"/>
                      <w:szCs w:val="21"/>
                    </w:rPr>
                    <w:t>声压级</w:t>
                  </w:r>
                  <w:r>
                    <w:rPr>
                      <w:b/>
                      <w:bCs/>
                      <w:color w:val="auto"/>
                      <w:kern w:val="0"/>
                      <w:sz w:val="20"/>
                      <w:szCs w:val="20"/>
                      <w:lang w:bidi="ar"/>
                    </w:rPr>
                    <w:t>dB（A）</w:t>
                  </w:r>
                </w:p>
              </w:tc>
              <w:tc>
                <w:tcPr>
                  <w:tcW w:w="433" w:type="pct"/>
                  <w:vAlign w:val="center"/>
                </w:tcPr>
                <w:p w14:paraId="04E9B831">
                  <w:pPr>
                    <w:pStyle w:val="14"/>
                    <w:ind w:firstLine="0" w:firstLineChars="0"/>
                    <w:jc w:val="center"/>
                    <w:rPr>
                      <w:b/>
                      <w:bCs/>
                      <w:color w:val="auto"/>
                      <w:sz w:val="21"/>
                      <w:szCs w:val="21"/>
                    </w:rPr>
                  </w:pPr>
                  <w:r>
                    <w:rPr>
                      <w:b/>
                      <w:bCs/>
                      <w:color w:val="auto"/>
                      <w:sz w:val="21"/>
                      <w:szCs w:val="21"/>
                    </w:rPr>
                    <w:t>建筑物外距离/1m</w:t>
                  </w:r>
                </w:p>
              </w:tc>
            </w:tr>
            <w:tr w14:paraId="78FE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2D5D7616">
                  <w:pPr>
                    <w:pStyle w:val="14"/>
                    <w:ind w:firstLine="0" w:firstLineChars="0"/>
                    <w:jc w:val="center"/>
                    <w:rPr>
                      <w:color w:val="auto"/>
                      <w:sz w:val="21"/>
                      <w:szCs w:val="21"/>
                    </w:rPr>
                  </w:pPr>
                  <w:r>
                    <w:rPr>
                      <w:color w:val="auto"/>
                      <w:sz w:val="21"/>
                      <w:szCs w:val="21"/>
                    </w:rPr>
                    <w:t>打砂机</w:t>
                  </w:r>
                </w:p>
              </w:tc>
              <w:tc>
                <w:tcPr>
                  <w:tcW w:w="470" w:type="pct"/>
                  <w:vAlign w:val="center"/>
                </w:tcPr>
                <w:p w14:paraId="5EF8CB9F">
                  <w:pPr>
                    <w:pStyle w:val="14"/>
                    <w:ind w:firstLine="0" w:firstLineChars="0"/>
                    <w:jc w:val="center"/>
                    <w:rPr>
                      <w:color w:val="auto"/>
                      <w:sz w:val="21"/>
                      <w:szCs w:val="21"/>
                    </w:rPr>
                  </w:pPr>
                  <w:r>
                    <w:rPr>
                      <w:rFonts w:hint="eastAsia"/>
                      <w:color w:val="auto"/>
                      <w:sz w:val="21"/>
                      <w:szCs w:val="21"/>
                    </w:rPr>
                    <w:t>1台</w:t>
                  </w:r>
                </w:p>
              </w:tc>
              <w:tc>
                <w:tcPr>
                  <w:tcW w:w="628" w:type="pct"/>
                  <w:vAlign w:val="center"/>
                </w:tcPr>
                <w:p w14:paraId="356622E7">
                  <w:pPr>
                    <w:pStyle w:val="14"/>
                    <w:ind w:firstLine="0" w:firstLineChars="0"/>
                    <w:jc w:val="center"/>
                    <w:rPr>
                      <w:color w:val="auto"/>
                      <w:sz w:val="21"/>
                      <w:szCs w:val="21"/>
                    </w:rPr>
                  </w:pPr>
                  <w:r>
                    <w:rPr>
                      <w:color w:val="auto"/>
                      <w:sz w:val="21"/>
                      <w:szCs w:val="21"/>
                    </w:rPr>
                    <w:t>95</w:t>
                  </w:r>
                </w:p>
              </w:tc>
              <w:tc>
                <w:tcPr>
                  <w:tcW w:w="483" w:type="pct"/>
                  <w:vMerge w:val="restart"/>
                  <w:vAlign w:val="center"/>
                </w:tcPr>
                <w:p w14:paraId="1EF316A0">
                  <w:pPr>
                    <w:pStyle w:val="14"/>
                    <w:ind w:firstLine="0" w:firstLineChars="0"/>
                    <w:jc w:val="center"/>
                    <w:rPr>
                      <w:color w:val="auto"/>
                      <w:sz w:val="21"/>
                      <w:szCs w:val="21"/>
                    </w:rPr>
                  </w:pPr>
                  <w:r>
                    <w:rPr>
                      <w:color w:val="auto"/>
                      <w:sz w:val="21"/>
                      <w:szCs w:val="21"/>
                    </w:rPr>
                    <w:t>搅拌机采用封闭处理，距离衰减，基座安装减振基础</w:t>
                  </w:r>
                </w:p>
              </w:tc>
              <w:tc>
                <w:tcPr>
                  <w:tcW w:w="427" w:type="pct"/>
                  <w:vAlign w:val="center"/>
                </w:tcPr>
                <w:p w14:paraId="6D79025A">
                  <w:pPr>
                    <w:pStyle w:val="14"/>
                    <w:ind w:firstLine="0" w:firstLineChars="0"/>
                    <w:jc w:val="center"/>
                    <w:rPr>
                      <w:color w:val="auto"/>
                      <w:sz w:val="21"/>
                      <w:szCs w:val="21"/>
                    </w:rPr>
                  </w:pPr>
                  <w:r>
                    <w:rPr>
                      <w:color w:val="auto"/>
                      <w:sz w:val="21"/>
                      <w:szCs w:val="21"/>
                    </w:rPr>
                    <w:t>78.53</w:t>
                  </w:r>
                </w:p>
              </w:tc>
              <w:tc>
                <w:tcPr>
                  <w:tcW w:w="427" w:type="pct"/>
                  <w:vAlign w:val="center"/>
                </w:tcPr>
                <w:p w14:paraId="459FE13F">
                  <w:pPr>
                    <w:pStyle w:val="14"/>
                    <w:ind w:firstLine="0" w:firstLineChars="0"/>
                    <w:jc w:val="center"/>
                    <w:rPr>
                      <w:color w:val="auto"/>
                      <w:sz w:val="21"/>
                      <w:szCs w:val="21"/>
                    </w:rPr>
                  </w:pPr>
                  <w:r>
                    <w:rPr>
                      <w:color w:val="auto"/>
                      <w:sz w:val="21"/>
                      <w:szCs w:val="21"/>
                    </w:rPr>
                    <w:t>24.73</w:t>
                  </w:r>
                </w:p>
              </w:tc>
              <w:tc>
                <w:tcPr>
                  <w:tcW w:w="291" w:type="pct"/>
                  <w:vAlign w:val="center"/>
                </w:tcPr>
                <w:p w14:paraId="11E75A7C">
                  <w:pPr>
                    <w:pStyle w:val="14"/>
                    <w:ind w:firstLine="0" w:firstLineChars="0"/>
                    <w:jc w:val="center"/>
                    <w:rPr>
                      <w:color w:val="auto"/>
                      <w:sz w:val="21"/>
                      <w:szCs w:val="21"/>
                    </w:rPr>
                  </w:pPr>
                  <w:r>
                    <w:rPr>
                      <w:color w:val="auto"/>
                      <w:sz w:val="21"/>
                      <w:szCs w:val="21"/>
                    </w:rPr>
                    <w:t>1</w:t>
                  </w:r>
                </w:p>
              </w:tc>
              <w:tc>
                <w:tcPr>
                  <w:tcW w:w="406" w:type="pct"/>
                  <w:vAlign w:val="center"/>
                </w:tcPr>
                <w:p w14:paraId="56EEAAE1">
                  <w:pPr>
                    <w:pStyle w:val="14"/>
                    <w:ind w:firstLine="0" w:firstLineChars="0"/>
                    <w:jc w:val="center"/>
                    <w:rPr>
                      <w:color w:val="auto"/>
                      <w:sz w:val="21"/>
                      <w:szCs w:val="21"/>
                    </w:rPr>
                  </w:pPr>
                  <w:r>
                    <w:rPr>
                      <w:color w:val="auto"/>
                      <w:sz w:val="21"/>
                      <w:szCs w:val="21"/>
                    </w:rPr>
                    <w:t>昼</w:t>
                  </w:r>
                </w:p>
              </w:tc>
              <w:tc>
                <w:tcPr>
                  <w:tcW w:w="482" w:type="pct"/>
                  <w:vAlign w:val="center"/>
                </w:tcPr>
                <w:p w14:paraId="015A8421">
                  <w:pPr>
                    <w:pStyle w:val="14"/>
                    <w:ind w:firstLine="0" w:firstLineChars="0"/>
                    <w:jc w:val="center"/>
                    <w:rPr>
                      <w:rFonts w:hint="default" w:eastAsia="宋体"/>
                      <w:color w:val="auto"/>
                      <w:sz w:val="21"/>
                      <w:szCs w:val="21"/>
                      <w:lang w:val="en-US" w:eastAsia="zh-CN"/>
                    </w:rPr>
                  </w:pPr>
                  <w:r>
                    <w:rPr>
                      <w:rFonts w:hint="eastAsia"/>
                      <w:color w:val="auto"/>
                      <w:sz w:val="21"/>
                      <w:szCs w:val="21"/>
                      <w:lang w:val="en-US" w:eastAsia="zh-CN"/>
                    </w:rPr>
                    <w:t>16</w:t>
                  </w:r>
                </w:p>
              </w:tc>
              <w:tc>
                <w:tcPr>
                  <w:tcW w:w="428" w:type="pct"/>
                  <w:vAlign w:val="center"/>
                </w:tcPr>
                <w:p w14:paraId="523598CA">
                  <w:pPr>
                    <w:pStyle w:val="14"/>
                    <w:ind w:firstLine="0" w:firstLineChars="0"/>
                    <w:jc w:val="center"/>
                    <w:rPr>
                      <w:color w:val="auto"/>
                      <w:sz w:val="21"/>
                      <w:szCs w:val="21"/>
                    </w:rPr>
                  </w:pPr>
                  <w:r>
                    <w:rPr>
                      <w:color w:val="auto"/>
                      <w:sz w:val="21"/>
                      <w:szCs w:val="21"/>
                    </w:rPr>
                    <w:t>80</w:t>
                  </w:r>
                </w:p>
              </w:tc>
              <w:tc>
                <w:tcPr>
                  <w:tcW w:w="433" w:type="pct"/>
                  <w:vAlign w:val="center"/>
                </w:tcPr>
                <w:p w14:paraId="121DEB66">
                  <w:pPr>
                    <w:pStyle w:val="14"/>
                    <w:ind w:firstLine="0" w:firstLineChars="0"/>
                    <w:jc w:val="center"/>
                    <w:rPr>
                      <w:color w:val="auto"/>
                      <w:sz w:val="21"/>
                      <w:szCs w:val="21"/>
                    </w:rPr>
                  </w:pPr>
                  <w:r>
                    <w:rPr>
                      <w:color w:val="auto"/>
                      <w:sz w:val="21"/>
                      <w:szCs w:val="21"/>
                    </w:rPr>
                    <w:t>1</w:t>
                  </w:r>
                </w:p>
              </w:tc>
            </w:tr>
            <w:tr w14:paraId="7CDD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131001E1">
                  <w:pPr>
                    <w:pStyle w:val="14"/>
                    <w:ind w:firstLine="0" w:firstLineChars="0"/>
                    <w:jc w:val="center"/>
                    <w:rPr>
                      <w:color w:val="auto"/>
                      <w:sz w:val="21"/>
                      <w:szCs w:val="21"/>
                    </w:rPr>
                  </w:pPr>
                  <w:r>
                    <w:rPr>
                      <w:color w:val="auto"/>
                      <w:sz w:val="21"/>
                      <w:szCs w:val="21"/>
                    </w:rPr>
                    <w:t>振动筛</w:t>
                  </w:r>
                </w:p>
              </w:tc>
              <w:tc>
                <w:tcPr>
                  <w:tcW w:w="470" w:type="pct"/>
                  <w:vAlign w:val="center"/>
                </w:tcPr>
                <w:p w14:paraId="0BE92828">
                  <w:pPr>
                    <w:pStyle w:val="14"/>
                    <w:ind w:firstLine="0" w:firstLineChars="0"/>
                    <w:jc w:val="center"/>
                    <w:rPr>
                      <w:color w:val="auto"/>
                      <w:sz w:val="21"/>
                      <w:szCs w:val="21"/>
                    </w:rPr>
                  </w:pPr>
                  <w:r>
                    <w:rPr>
                      <w:color w:val="auto"/>
                      <w:sz w:val="21"/>
                      <w:szCs w:val="21"/>
                    </w:rPr>
                    <w:t>1台</w:t>
                  </w:r>
                </w:p>
              </w:tc>
              <w:tc>
                <w:tcPr>
                  <w:tcW w:w="628" w:type="pct"/>
                  <w:vAlign w:val="center"/>
                </w:tcPr>
                <w:p w14:paraId="540F7ADC">
                  <w:pPr>
                    <w:pStyle w:val="14"/>
                    <w:ind w:firstLine="0" w:firstLineChars="0"/>
                    <w:jc w:val="center"/>
                    <w:rPr>
                      <w:color w:val="auto"/>
                      <w:sz w:val="21"/>
                      <w:szCs w:val="21"/>
                    </w:rPr>
                  </w:pPr>
                  <w:r>
                    <w:rPr>
                      <w:color w:val="auto"/>
                      <w:sz w:val="21"/>
                      <w:szCs w:val="21"/>
                    </w:rPr>
                    <w:t>90</w:t>
                  </w:r>
                </w:p>
              </w:tc>
              <w:tc>
                <w:tcPr>
                  <w:tcW w:w="483" w:type="pct"/>
                  <w:vMerge w:val="continue"/>
                  <w:vAlign w:val="center"/>
                </w:tcPr>
                <w:p w14:paraId="64B121FE">
                  <w:pPr>
                    <w:pStyle w:val="14"/>
                    <w:ind w:firstLine="0" w:firstLineChars="0"/>
                    <w:jc w:val="center"/>
                    <w:rPr>
                      <w:color w:val="auto"/>
                      <w:sz w:val="21"/>
                      <w:szCs w:val="21"/>
                    </w:rPr>
                  </w:pPr>
                </w:p>
              </w:tc>
              <w:tc>
                <w:tcPr>
                  <w:tcW w:w="427" w:type="pct"/>
                  <w:vAlign w:val="center"/>
                </w:tcPr>
                <w:p w14:paraId="08480CD6">
                  <w:pPr>
                    <w:pStyle w:val="14"/>
                    <w:ind w:firstLine="0" w:firstLineChars="0"/>
                    <w:jc w:val="center"/>
                    <w:rPr>
                      <w:color w:val="auto"/>
                      <w:sz w:val="21"/>
                      <w:szCs w:val="21"/>
                    </w:rPr>
                  </w:pPr>
                  <w:r>
                    <w:rPr>
                      <w:color w:val="auto"/>
                      <w:sz w:val="21"/>
                      <w:szCs w:val="21"/>
                    </w:rPr>
                    <w:t>80.86</w:t>
                  </w:r>
                </w:p>
              </w:tc>
              <w:tc>
                <w:tcPr>
                  <w:tcW w:w="427" w:type="pct"/>
                  <w:vAlign w:val="center"/>
                </w:tcPr>
                <w:p w14:paraId="7969330B">
                  <w:pPr>
                    <w:pStyle w:val="14"/>
                    <w:ind w:firstLine="0" w:firstLineChars="0"/>
                    <w:jc w:val="center"/>
                    <w:rPr>
                      <w:color w:val="auto"/>
                      <w:sz w:val="21"/>
                      <w:szCs w:val="21"/>
                    </w:rPr>
                  </w:pPr>
                  <w:r>
                    <w:rPr>
                      <w:color w:val="auto"/>
                      <w:sz w:val="21"/>
                      <w:szCs w:val="21"/>
                    </w:rPr>
                    <w:t>14.92</w:t>
                  </w:r>
                </w:p>
              </w:tc>
              <w:tc>
                <w:tcPr>
                  <w:tcW w:w="291" w:type="pct"/>
                  <w:vAlign w:val="center"/>
                </w:tcPr>
                <w:p w14:paraId="29FDD849">
                  <w:pPr>
                    <w:pStyle w:val="14"/>
                    <w:ind w:firstLine="0" w:firstLineChars="0"/>
                    <w:jc w:val="center"/>
                    <w:rPr>
                      <w:color w:val="auto"/>
                      <w:sz w:val="21"/>
                      <w:szCs w:val="21"/>
                    </w:rPr>
                  </w:pPr>
                  <w:r>
                    <w:rPr>
                      <w:color w:val="auto"/>
                      <w:sz w:val="21"/>
                      <w:szCs w:val="21"/>
                    </w:rPr>
                    <w:t>1</w:t>
                  </w:r>
                </w:p>
              </w:tc>
              <w:tc>
                <w:tcPr>
                  <w:tcW w:w="406" w:type="pct"/>
                  <w:vAlign w:val="center"/>
                </w:tcPr>
                <w:p w14:paraId="42F26378">
                  <w:pPr>
                    <w:pStyle w:val="14"/>
                    <w:ind w:firstLine="0" w:firstLineChars="0"/>
                    <w:jc w:val="center"/>
                    <w:rPr>
                      <w:color w:val="auto"/>
                      <w:sz w:val="21"/>
                      <w:szCs w:val="21"/>
                    </w:rPr>
                  </w:pPr>
                  <w:r>
                    <w:rPr>
                      <w:color w:val="auto"/>
                      <w:sz w:val="21"/>
                      <w:szCs w:val="21"/>
                    </w:rPr>
                    <w:t>昼</w:t>
                  </w:r>
                </w:p>
              </w:tc>
              <w:tc>
                <w:tcPr>
                  <w:tcW w:w="482" w:type="pct"/>
                  <w:vAlign w:val="center"/>
                </w:tcPr>
                <w:p w14:paraId="09D0621E">
                  <w:pPr>
                    <w:pStyle w:val="14"/>
                    <w:ind w:firstLine="0" w:firstLineChars="0"/>
                    <w:jc w:val="center"/>
                    <w:rPr>
                      <w:rFonts w:hint="default" w:eastAsia="宋体"/>
                      <w:color w:val="auto"/>
                      <w:sz w:val="21"/>
                      <w:szCs w:val="21"/>
                      <w:lang w:val="en-US" w:eastAsia="zh-CN"/>
                    </w:rPr>
                  </w:pPr>
                  <w:r>
                    <w:rPr>
                      <w:rFonts w:hint="eastAsia"/>
                      <w:color w:val="auto"/>
                      <w:sz w:val="21"/>
                      <w:szCs w:val="21"/>
                      <w:lang w:val="en-US" w:eastAsia="zh-CN"/>
                    </w:rPr>
                    <w:t>16</w:t>
                  </w:r>
                </w:p>
              </w:tc>
              <w:tc>
                <w:tcPr>
                  <w:tcW w:w="428" w:type="pct"/>
                  <w:vAlign w:val="center"/>
                </w:tcPr>
                <w:p w14:paraId="7BBE1AEF">
                  <w:pPr>
                    <w:pStyle w:val="14"/>
                    <w:ind w:firstLine="0" w:firstLineChars="0"/>
                    <w:jc w:val="center"/>
                    <w:rPr>
                      <w:color w:val="auto"/>
                      <w:sz w:val="21"/>
                      <w:szCs w:val="21"/>
                    </w:rPr>
                  </w:pPr>
                  <w:r>
                    <w:rPr>
                      <w:color w:val="auto"/>
                      <w:sz w:val="21"/>
                      <w:szCs w:val="21"/>
                    </w:rPr>
                    <w:t>75</w:t>
                  </w:r>
                </w:p>
              </w:tc>
              <w:tc>
                <w:tcPr>
                  <w:tcW w:w="433" w:type="pct"/>
                  <w:vAlign w:val="center"/>
                </w:tcPr>
                <w:p w14:paraId="7107897B">
                  <w:pPr>
                    <w:pStyle w:val="14"/>
                    <w:ind w:firstLine="0" w:firstLineChars="0"/>
                    <w:jc w:val="center"/>
                    <w:rPr>
                      <w:color w:val="auto"/>
                      <w:sz w:val="21"/>
                      <w:szCs w:val="21"/>
                    </w:rPr>
                  </w:pPr>
                  <w:r>
                    <w:rPr>
                      <w:color w:val="auto"/>
                      <w:sz w:val="21"/>
                      <w:szCs w:val="21"/>
                    </w:rPr>
                    <w:t>1</w:t>
                  </w:r>
                </w:p>
              </w:tc>
            </w:tr>
            <w:tr w14:paraId="6306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1954284F">
                  <w:pPr>
                    <w:pStyle w:val="14"/>
                    <w:ind w:firstLine="0" w:firstLineChars="0"/>
                    <w:jc w:val="center"/>
                    <w:rPr>
                      <w:color w:val="auto"/>
                      <w:sz w:val="21"/>
                      <w:szCs w:val="21"/>
                    </w:rPr>
                  </w:pPr>
                  <w:r>
                    <w:rPr>
                      <w:color w:val="auto"/>
                      <w:sz w:val="21"/>
                      <w:szCs w:val="21"/>
                    </w:rPr>
                    <w:t>搅拌机</w:t>
                  </w:r>
                </w:p>
              </w:tc>
              <w:tc>
                <w:tcPr>
                  <w:tcW w:w="470" w:type="pct"/>
                  <w:vAlign w:val="center"/>
                </w:tcPr>
                <w:p w14:paraId="08FDBB29">
                  <w:pPr>
                    <w:pStyle w:val="14"/>
                    <w:ind w:firstLine="0" w:firstLineChars="0"/>
                    <w:jc w:val="center"/>
                    <w:rPr>
                      <w:color w:val="auto"/>
                      <w:sz w:val="21"/>
                      <w:szCs w:val="21"/>
                    </w:rPr>
                  </w:pPr>
                  <w:r>
                    <w:rPr>
                      <w:color w:val="auto"/>
                      <w:sz w:val="21"/>
                      <w:szCs w:val="21"/>
                    </w:rPr>
                    <w:t>1台</w:t>
                  </w:r>
                </w:p>
              </w:tc>
              <w:tc>
                <w:tcPr>
                  <w:tcW w:w="628" w:type="pct"/>
                  <w:vAlign w:val="center"/>
                </w:tcPr>
                <w:p w14:paraId="76D99CFA">
                  <w:pPr>
                    <w:pStyle w:val="14"/>
                    <w:ind w:firstLine="0" w:firstLineChars="0"/>
                    <w:jc w:val="center"/>
                    <w:rPr>
                      <w:color w:val="auto"/>
                      <w:sz w:val="21"/>
                      <w:szCs w:val="21"/>
                    </w:rPr>
                  </w:pPr>
                  <w:r>
                    <w:rPr>
                      <w:color w:val="auto"/>
                      <w:sz w:val="21"/>
                      <w:szCs w:val="21"/>
                    </w:rPr>
                    <w:t>85</w:t>
                  </w:r>
                </w:p>
              </w:tc>
              <w:tc>
                <w:tcPr>
                  <w:tcW w:w="483" w:type="pct"/>
                  <w:vMerge w:val="continue"/>
                  <w:vAlign w:val="center"/>
                </w:tcPr>
                <w:p w14:paraId="14B00905">
                  <w:pPr>
                    <w:pStyle w:val="14"/>
                    <w:ind w:firstLine="0" w:firstLineChars="0"/>
                    <w:jc w:val="center"/>
                    <w:rPr>
                      <w:color w:val="auto"/>
                      <w:sz w:val="21"/>
                      <w:szCs w:val="21"/>
                    </w:rPr>
                  </w:pPr>
                </w:p>
              </w:tc>
              <w:tc>
                <w:tcPr>
                  <w:tcW w:w="427" w:type="pct"/>
                  <w:vAlign w:val="center"/>
                </w:tcPr>
                <w:p w14:paraId="530EB09B">
                  <w:pPr>
                    <w:pStyle w:val="14"/>
                    <w:ind w:firstLine="0" w:firstLineChars="0"/>
                    <w:jc w:val="center"/>
                    <w:rPr>
                      <w:color w:val="auto"/>
                      <w:sz w:val="21"/>
                      <w:szCs w:val="21"/>
                    </w:rPr>
                  </w:pPr>
                  <w:r>
                    <w:rPr>
                      <w:color w:val="auto"/>
                      <w:sz w:val="21"/>
                      <w:szCs w:val="21"/>
                    </w:rPr>
                    <w:t>-31.26</w:t>
                  </w:r>
                </w:p>
              </w:tc>
              <w:tc>
                <w:tcPr>
                  <w:tcW w:w="427" w:type="pct"/>
                  <w:vAlign w:val="center"/>
                </w:tcPr>
                <w:p w14:paraId="06A6C033">
                  <w:pPr>
                    <w:pStyle w:val="14"/>
                    <w:ind w:firstLine="0" w:firstLineChars="0"/>
                    <w:jc w:val="center"/>
                    <w:rPr>
                      <w:color w:val="auto"/>
                      <w:sz w:val="21"/>
                      <w:szCs w:val="21"/>
                    </w:rPr>
                  </w:pPr>
                  <w:r>
                    <w:rPr>
                      <w:color w:val="auto"/>
                      <w:sz w:val="21"/>
                      <w:szCs w:val="21"/>
                    </w:rPr>
                    <w:t>-12.18</w:t>
                  </w:r>
                </w:p>
              </w:tc>
              <w:tc>
                <w:tcPr>
                  <w:tcW w:w="291" w:type="pct"/>
                  <w:vAlign w:val="center"/>
                </w:tcPr>
                <w:p w14:paraId="361DCC06">
                  <w:pPr>
                    <w:pStyle w:val="14"/>
                    <w:ind w:firstLine="0" w:firstLineChars="0"/>
                    <w:jc w:val="center"/>
                    <w:rPr>
                      <w:color w:val="auto"/>
                      <w:sz w:val="21"/>
                      <w:szCs w:val="21"/>
                    </w:rPr>
                  </w:pPr>
                  <w:r>
                    <w:rPr>
                      <w:color w:val="auto"/>
                      <w:sz w:val="21"/>
                      <w:szCs w:val="21"/>
                    </w:rPr>
                    <w:t>1</w:t>
                  </w:r>
                </w:p>
              </w:tc>
              <w:tc>
                <w:tcPr>
                  <w:tcW w:w="406" w:type="pct"/>
                  <w:vAlign w:val="center"/>
                </w:tcPr>
                <w:p w14:paraId="771AB88A">
                  <w:pPr>
                    <w:pStyle w:val="14"/>
                    <w:ind w:firstLine="0" w:firstLineChars="0"/>
                    <w:jc w:val="center"/>
                    <w:rPr>
                      <w:color w:val="auto"/>
                      <w:sz w:val="21"/>
                      <w:szCs w:val="21"/>
                    </w:rPr>
                  </w:pPr>
                  <w:r>
                    <w:rPr>
                      <w:color w:val="auto"/>
                      <w:sz w:val="21"/>
                      <w:szCs w:val="21"/>
                    </w:rPr>
                    <w:t>昼</w:t>
                  </w:r>
                </w:p>
              </w:tc>
              <w:tc>
                <w:tcPr>
                  <w:tcW w:w="482" w:type="pct"/>
                  <w:vAlign w:val="center"/>
                </w:tcPr>
                <w:p w14:paraId="52D17B80">
                  <w:pPr>
                    <w:pStyle w:val="14"/>
                    <w:ind w:firstLine="0" w:firstLineChars="0"/>
                    <w:jc w:val="center"/>
                    <w:rPr>
                      <w:rFonts w:hint="default" w:eastAsia="宋体"/>
                      <w:color w:val="auto"/>
                      <w:sz w:val="21"/>
                      <w:szCs w:val="21"/>
                      <w:lang w:val="en-US" w:eastAsia="zh-CN"/>
                    </w:rPr>
                  </w:pPr>
                  <w:r>
                    <w:rPr>
                      <w:rFonts w:hint="eastAsia"/>
                      <w:color w:val="auto"/>
                      <w:sz w:val="21"/>
                      <w:szCs w:val="21"/>
                      <w:lang w:val="en-US" w:eastAsia="zh-CN"/>
                    </w:rPr>
                    <w:t>16</w:t>
                  </w:r>
                </w:p>
              </w:tc>
              <w:tc>
                <w:tcPr>
                  <w:tcW w:w="428" w:type="pct"/>
                  <w:vAlign w:val="center"/>
                </w:tcPr>
                <w:p w14:paraId="32905F8E">
                  <w:pPr>
                    <w:pStyle w:val="14"/>
                    <w:ind w:firstLine="0" w:firstLineChars="0"/>
                    <w:jc w:val="center"/>
                    <w:rPr>
                      <w:color w:val="auto"/>
                      <w:sz w:val="21"/>
                      <w:szCs w:val="21"/>
                    </w:rPr>
                  </w:pPr>
                  <w:r>
                    <w:rPr>
                      <w:color w:val="auto"/>
                      <w:sz w:val="21"/>
                      <w:szCs w:val="21"/>
                    </w:rPr>
                    <w:t>70</w:t>
                  </w:r>
                </w:p>
              </w:tc>
              <w:tc>
                <w:tcPr>
                  <w:tcW w:w="433" w:type="pct"/>
                  <w:vAlign w:val="center"/>
                </w:tcPr>
                <w:p w14:paraId="3999557E">
                  <w:pPr>
                    <w:pStyle w:val="14"/>
                    <w:ind w:firstLine="0" w:firstLineChars="0"/>
                    <w:jc w:val="center"/>
                    <w:rPr>
                      <w:color w:val="auto"/>
                      <w:sz w:val="21"/>
                      <w:szCs w:val="21"/>
                    </w:rPr>
                  </w:pPr>
                  <w:r>
                    <w:rPr>
                      <w:color w:val="auto"/>
                      <w:sz w:val="21"/>
                      <w:szCs w:val="21"/>
                    </w:rPr>
                    <w:t>1</w:t>
                  </w:r>
                </w:p>
              </w:tc>
            </w:tr>
            <w:tr w14:paraId="6A38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521EF29E">
                  <w:pPr>
                    <w:pStyle w:val="14"/>
                    <w:ind w:firstLine="0" w:firstLineChars="0"/>
                    <w:jc w:val="center"/>
                    <w:rPr>
                      <w:color w:val="auto"/>
                      <w:sz w:val="21"/>
                      <w:szCs w:val="21"/>
                    </w:rPr>
                  </w:pPr>
                  <w:r>
                    <w:rPr>
                      <w:color w:val="auto"/>
                      <w:sz w:val="21"/>
                      <w:szCs w:val="21"/>
                    </w:rPr>
                    <w:t>皮带输送机</w:t>
                  </w:r>
                </w:p>
              </w:tc>
              <w:tc>
                <w:tcPr>
                  <w:tcW w:w="470" w:type="pct"/>
                  <w:vAlign w:val="center"/>
                </w:tcPr>
                <w:p w14:paraId="70311FB0">
                  <w:pPr>
                    <w:pStyle w:val="14"/>
                    <w:ind w:firstLine="0" w:firstLineChars="0"/>
                    <w:jc w:val="center"/>
                    <w:rPr>
                      <w:color w:val="auto"/>
                      <w:sz w:val="21"/>
                      <w:szCs w:val="21"/>
                    </w:rPr>
                  </w:pPr>
                  <w:r>
                    <w:rPr>
                      <w:rFonts w:hint="eastAsia"/>
                      <w:color w:val="auto"/>
                      <w:sz w:val="21"/>
                      <w:szCs w:val="21"/>
                    </w:rPr>
                    <w:t>2</w:t>
                  </w:r>
                  <w:r>
                    <w:rPr>
                      <w:color w:val="auto"/>
                      <w:sz w:val="21"/>
                      <w:szCs w:val="21"/>
                    </w:rPr>
                    <w:t>套</w:t>
                  </w:r>
                </w:p>
              </w:tc>
              <w:tc>
                <w:tcPr>
                  <w:tcW w:w="628" w:type="pct"/>
                  <w:vAlign w:val="center"/>
                </w:tcPr>
                <w:p w14:paraId="4276D100">
                  <w:pPr>
                    <w:pStyle w:val="14"/>
                    <w:ind w:firstLine="0" w:firstLineChars="0"/>
                    <w:jc w:val="center"/>
                    <w:rPr>
                      <w:color w:val="auto"/>
                      <w:sz w:val="21"/>
                      <w:szCs w:val="21"/>
                    </w:rPr>
                  </w:pPr>
                  <w:r>
                    <w:rPr>
                      <w:color w:val="auto"/>
                      <w:sz w:val="21"/>
                      <w:szCs w:val="21"/>
                    </w:rPr>
                    <w:t>70</w:t>
                  </w:r>
                </w:p>
              </w:tc>
              <w:tc>
                <w:tcPr>
                  <w:tcW w:w="483" w:type="pct"/>
                  <w:vMerge w:val="continue"/>
                  <w:vAlign w:val="center"/>
                </w:tcPr>
                <w:p w14:paraId="102125CE">
                  <w:pPr>
                    <w:pStyle w:val="14"/>
                    <w:ind w:firstLine="0" w:firstLineChars="0"/>
                    <w:jc w:val="center"/>
                    <w:rPr>
                      <w:color w:val="auto"/>
                      <w:sz w:val="21"/>
                      <w:szCs w:val="21"/>
                    </w:rPr>
                  </w:pPr>
                </w:p>
              </w:tc>
              <w:tc>
                <w:tcPr>
                  <w:tcW w:w="427" w:type="pct"/>
                  <w:vAlign w:val="center"/>
                </w:tcPr>
                <w:p w14:paraId="4139BAFA">
                  <w:pPr>
                    <w:pStyle w:val="14"/>
                    <w:ind w:firstLine="0" w:firstLineChars="0"/>
                    <w:jc w:val="center"/>
                    <w:rPr>
                      <w:color w:val="auto"/>
                      <w:sz w:val="21"/>
                      <w:szCs w:val="21"/>
                    </w:rPr>
                  </w:pPr>
                  <w:r>
                    <w:rPr>
                      <w:color w:val="auto"/>
                      <w:sz w:val="21"/>
                      <w:szCs w:val="21"/>
                    </w:rPr>
                    <w:t>-26.12</w:t>
                  </w:r>
                </w:p>
              </w:tc>
              <w:tc>
                <w:tcPr>
                  <w:tcW w:w="427" w:type="pct"/>
                  <w:vAlign w:val="center"/>
                </w:tcPr>
                <w:p w14:paraId="4850B416">
                  <w:pPr>
                    <w:pStyle w:val="14"/>
                    <w:ind w:firstLine="0" w:firstLineChars="0"/>
                    <w:jc w:val="center"/>
                    <w:rPr>
                      <w:color w:val="auto"/>
                      <w:sz w:val="21"/>
                      <w:szCs w:val="21"/>
                    </w:rPr>
                  </w:pPr>
                  <w:r>
                    <w:rPr>
                      <w:color w:val="auto"/>
                      <w:sz w:val="21"/>
                      <w:szCs w:val="21"/>
                    </w:rPr>
                    <w:t>3.24</w:t>
                  </w:r>
                </w:p>
              </w:tc>
              <w:tc>
                <w:tcPr>
                  <w:tcW w:w="291" w:type="pct"/>
                  <w:vAlign w:val="center"/>
                </w:tcPr>
                <w:p w14:paraId="38435D60">
                  <w:pPr>
                    <w:pStyle w:val="14"/>
                    <w:ind w:firstLine="0" w:firstLineChars="0"/>
                    <w:jc w:val="center"/>
                    <w:rPr>
                      <w:color w:val="auto"/>
                      <w:sz w:val="21"/>
                      <w:szCs w:val="21"/>
                    </w:rPr>
                  </w:pPr>
                  <w:r>
                    <w:rPr>
                      <w:color w:val="auto"/>
                      <w:sz w:val="21"/>
                      <w:szCs w:val="21"/>
                    </w:rPr>
                    <w:t>1</w:t>
                  </w:r>
                </w:p>
              </w:tc>
              <w:tc>
                <w:tcPr>
                  <w:tcW w:w="406" w:type="pct"/>
                  <w:vAlign w:val="center"/>
                </w:tcPr>
                <w:p w14:paraId="31F68936">
                  <w:pPr>
                    <w:pStyle w:val="14"/>
                    <w:ind w:firstLine="0" w:firstLineChars="0"/>
                    <w:jc w:val="center"/>
                    <w:rPr>
                      <w:color w:val="auto"/>
                      <w:sz w:val="21"/>
                      <w:szCs w:val="21"/>
                    </w:rPr>
                  </w:pPr>
                  <w:r>
                    <w:rPr>
                      <w:color w:val="auto"/>
                      <w:sz w:val="21"/>
                      <w:szCs w:val="21"/>
                    </w:rPr>
                    <w:t>昼</w:t>
                  </w:r>
                </w:p>
              </w:tc>
              <w:tc>
                <w:tcPr>
                  <w:tcW w:w="482" w:type="pct"/>
                  <w:vAlign w:val="center"/>
                </w:tcPr>
                <w:p w14:paraId="581F2105">
                  <w:pPr>
                    <w:pStyle w:val="14"/>
                    <w:ind w:firstLine="0" w:firstLineChars="0"/>
                    <w:jc w:val="center"/>
                    <w:rPr>
                      <w:rFonts w:hint="default" w:eastAsia="宋体"/>
                      <w:color w:val="auto"/>
                      <w:sz w:val="21"/>
                      <w:szCs w:val="21"/>
                      <w:lang w:val="en-US" w:eastAsia="zh-CN"/>
                    </w:rPr>
                  </w:pPr>
                  <w:r>
                    <w:rPr>
                      <w:rFonts w:hint="eastAsia"/>
                      <w:color w:val="auto"/>
                      <w:sz w:val="21"/>
                      <w:szCs w:val="21"/>
                      <w:lang w:val="en-US" w:eastAsia="zh-CN"/>
                    </w:rPr>
                    <w:t>16</w:t>
                  </w:r>
                </w:p>
              </w:tc>
              <w:tc>
                <w:tcPr>
                  <w:tcW w:w="428" w:type="pct"/>
                  <w:vAlign w:val="center"/>
                </w:tcPr>
                <w:p w14:paraId="45E1106D">
                  <w:pPr>
                    <w:pStyle w:val="14"/>
                    <w:ind w:firstLine="0" w:firstLineChars="0"/>
                    <w:jc w:val="center"/>
                    <w:rPr>
                      <w:color w:val="auto"/>
                      <w:sz w:val="21"/>
                      <w:szCs w:val="21"/>
                    </w:rPr>
                  </w:pPr>
                  <w:r>
                    <w:rPr>
                      <w:color w:val="auto"/>
                      <w:sz w:val="21"/>
                      <w:szCs w:val="21"/>
                    </w:rPr>
                    <w:t>55</w:t>
                  </w:r>
                </w:p>
              </w:tc>
              <w:tc>
                <w:tcPr>
                  <w:tcW w:w="433" w:type="pct"/>
                  <w:vAlign w:val="center"/>
                </w:tcPr>
                <w:p w14:paraId="3FD51F5E">
                  <w:pPr>
                    <w:pStyle w:val="14"/>
                    <w:ind w:firstLine="0" w:firstLineChars="0"/>
                    <w:jc w:val="center"/>
                    <w:rPr>
                      <w:color w:val="auto"/>
                      <w:sz w:val="21"/>
                      <w:szCs w:val="21"/>
                    </w:rPr>
                  </w:pPr>
                  <w:r>
                    <w:rPr>
                      <w:color w:val="auto"/>
                      <w:sz w:val="21"/>
                      <w:szCs w:val="21"/>
                    </w:rPr>
                    <w:t>1</w:t>
                  </w:r>
                </w:p>
              </w:tc>
            </w:tr>
            <w:tr w14:paraId="3E65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04E51312">
                  <w:pPr>
                    <w:pStyle w:val="14"/>
                    <w:ind w:firstLine="0" w:firstLineChars="0"/>
                    <w:jc w:val="center"/>
                    <w:rPr>
                      <w:color w:val="auto"/>
                      <w:sz w:val="21"/>
                      <w:szCs w:val="21"/>
                    </w:rPr>
                  </w:pPr>
                  <w:r>
                    <w:rPr>
                      <w:color w:val="auto"/>
                      <w:sz w:val="21"/>
                      <w:szCs w:val="21"/>
                    </w:rPr>
                    <w:t>三仓混凝土配料机</w:t>
                  </w:r>
                </w:p>
              </w:tc>
              <w:tc>
                <w:tcPr>
                  <w:tcW w:w="470" w:type="pct"/>
                  <w:vAlign w:val="center"/>
                </w:tcPr>
                <w:p w14:paraId="3FF74F9F">
                  <w:pPr>
                    <w:pStyle w:val="14"/>
                    <w:ind w:firstLine="0" w:firstLineChars="0"/>
                    <w:jc w:val="center"/>
                    <w:rPr>
                      <w:color w:val="auto"/>
                      <w:sz w:val="21"/>
                      <w:szCs w:val="21"/>
                    </w:rPr>
                  </w:pPr>
                  <w:r>
                    <w:rPr>
                      <w:color w:val="auto"/>
                      <w:sz w:val="21"/>
                      <w:szCs w:val="21"/>
                    </w:rPr>
                    <w:t>1台</w:t>
                  </w:r>
                </w:p>
              </w:tc>
              <w:tc>
                <w:tcPr>
                  <w:tcW w:w="628" w:type="pct"/>
                  <w:vAlign w:val="center"/>
                </w:tcPr>
                <w:p w14:paraId="6D33971D">
                  <w:pPr>
                    <w:pStyle w:val="14"/>
                    <w:ind w:firstLine="0" w:firstLineChars="0"/>
                    <w:jc w:val="center"/>
                    <w:rPr>
                      <w:color w:val="auto"/>
                      <w:sz w:val="21"/>
                      <w:szCs w:val="21"/>
                    </w:rPr>
                  </w:pPr>
                  <w:r>
                    <w:rPr>
                      <w:color w:val="auto"/>
                      <w:sz w:val="21"/>
                      <w:szCs w:val="21"/>
                    </w:rPr>
                    <w:t>85</w:t>
                  </w:r>
                </w:p>
              </w:tc>
              <w:tc>
                <w:tcPr>
                  <w:tcW w:w="483" w:type="pct"/>
                  <w:vMerge w:val="continue"/>
                  <w:vAlign w:val="center"/>
                </w:tcPr>
                <w:p w14:paraId="40D250C8">
                  <w:pPr>
                    <w:pStyle w:val="14"/>
                    <w:ind w:firstLine="0" w:firstLineChars="0"/>
                    <w:jc w:val="center"/>
                    <w:rPr>
                      <w:color w:val="auto"/>
                      <w:sz w:val="21"/>
                      <w:szCs w:val="21"/>
                    </w:rPr>
                  </w:pPr>
                </w:p>
              </w:tc>
              <w:tc>
                <w:tcPr>
                  <w:tcW w:w="427" w:type="pct"/>
                  <w:vAlign w:val="center"/>
                </w:tcPr>
                <w:p w14:paraId="1BFC3EB5">
                  <w:pPr>
                    <w:pStyle w:val="14"/>
                    <w:ind w:firstLine="0" w:firstLineChars="0"/>
                    <w:jc w:val="center"/>
                    <w:rPr>
                      <w:color w:val="auto"/>
                      <w:sz w:val="21"/>
                      <w:szCs w:val="21"/>
                    </w:rPr>
                  </w:pPr>
                  <w:r>
                    <w:rPr>
                      <w:color w:val="auto"/>
                      <w:sz w:val="21"/>
                      <w:szCs w:val="21"/>
                    </w:rPr>
                    <w:t>-34.53</w:t>
                  </w:r>
                </w:p>
              </w:tc>
              <w:tc>
                <w:tcPr>
                  <w:tcW w:w="427" w:type="pct"/>
                  <w:vAlign w:val="center"/>
                </w:tcPr>
                <w:p w14:paraId="11754A9E">
                  <w:pPr>
                    <w:pStyle w:val="14"/>
                    <w:ind w:firstLine="0" w:firstLineChars="0"/>
                    <w:jc w:val="center"/>
                    <w:rPr>
                      <w:color w:val="auto"/>
                      <w:sz w:val="21"/>
                      <w:szCs w:val="21"/>
                    </w:rPr>
                  </w:pPr>
                  <w:r>
                    <w:rPr>
                      <w:color w:val="auto"/>
                      <w:sz w:val="21"/>
                      <w:szCs w:val="21"/>
                    </w:rPr>
                    <w:t>-3.77</w:t>
                  </w:r>
                </w:p>
              </w:tc>
              <w:tc>
                <w:tcPr>
                  <w:tcW w:w="291" w:type="pct"/>
                  <w:vAlign w:val="center"/>
                </w:tcPr>
                <w:p w14:paraId="7D2457DB">
                  <w:pPr>
                    <w:pStyle w:val="14"/>
                    <w:ind w:firstLine="0" w:firstLineChars="0"/>
                    <w:jc w:val="center"/>
                    <w:rPr>
                      <w:color w:val="auto"/>
                      <w:sz w:val="21"/>
                      <w:szCs w:val="21"/>
                    </w:rPr>
                  </w:pPr>
                  <w:r>
                    <w:rPr>
                      <w:color w:val="auto"/>
                      <w:sz w:val="21"/>
                      <w:szCs w:val="21"/>
                    </w:rPr>
                    <w:t>1</w:t>
                  </w:r>
                </w:p>
              </w:tc>
              <w:tc>
                <w:tcPr>
                  <w:tcW w:w="406" w:type="pct"/>
                  <w:vAlign w:val="center"/>
                </w:tcPr>
                <w:p w14:paraId="126EFF32">
                  <w:pPr>
                    <w:pStyle w:val="14"/>
                    <w:ind w:firstLine="0" w:firstLineChars="0"/>
                    <w:jc w:val="center"/>
                    <w:rPr>
                      <w:color w:val="auto"/>
                      <w:sz w:val="21"/>
                      <w:szCs w:val="21"/>
                    </w:rPr>
                  </w:pPr>
                  <w:r>
                    <w:rPr>
                      <w:color w:val="auto"/>
                      <w:sz w:val="21"/>
                      <w:szCs w:val="21"/>
                    </w:rPr>
                    <w:t>昼</w:t>
                  </w:r>
                </w:p>
              </w:tc>
              <w:tc>
                <w:tcPr>
                  <w:tcW w:w="482" w:type="pct"/>
                  <w:vAlign w:val="center"/>
                </w:tcPr>
                <w:p w14:paraId="55A6F9EF">
                  <w:pPr>
                    <w:pStyle w:val="14"/>
                    <w:ind w:firstLine="0" w:firstLineChars="0"/>
                    <w:jc w:val="center"/>
                    <w:rPr>
                      <w:rFonts w:hint="default" w:eastAsia="宋体"/>
                      <w:color w:val="auto"/>
                      <w:sz w:val="21"/>
                      <w:szCs w:val="21"/>
                      <w:lang w:val="en-US" w:eastAsia="zh-CN"/>
                    </w:rPr>
                  </w:pPr>
                  <w:r>
                    <w:rPr>
                      <w:rFonts w:hint="eastAsia"/>
                      <w:color w:val="auto"/>
                      <w:sz w:val="21"/>
                      <w:szCs w:val="21"/>
                      <w:lang w:val="en-US" w:eastAsia="zh-CN"/>
                    </w:rPr>
                    <w:t>16</w:t>
                  </w:r>
                </w:p>
              </w:tc>
              <w:tc>
                <w:tcPr>
                  <w:tcW w:w="428" w:type="pct"/>
                  <w:vAlign w:val="center"/>
                </w:tcPr>
                <w:p w14:paraId="34AA8556">
                  <w:pPr>
                    <w:pStyle w:val="14"/>
                    <w:ind w:firstLine="0" w:firstLineChars="0"/>
                    <w:jc w:val="center"/>
                    <w:rPr>
                      <w:rFonts w:hint="default" w:eastAsia="宋体"/>
                      <w:color w:val="auto"/>
                      <w:sz w:val="21"/>
                      <w:szCs w:val="21"/>
                      <w:lang w:val="en-US" w:eastAsia="zh-CN"/>
                    </w:rPr>
                  </w:pPr>
                  <w:r>
                    <w:rPr>
                      <w:rFonts w:hint="eastAsia"/>
                      <w:color w:val="auto"/>
                      <w:sz w:val="21"/>
                      <w:szCs w:val="21"/>
                      <w:lang w:val="en-US" w:eastAsia="zh-CN"/>
                    </w:rPr>
                    <w:t>60</w:t>
                  </w:r>
                </w:p>
              </w:tc>
              <w:tc>
                <w:tcPr>
                  <w:tcW w:w="433" w:type="pct"/>
                  <w:vAlign w:val="center"/>
                </w:tcPr>
                <w:p w14:paraId="581E7FFF">
                  <w:pPr>
                    <w:pStyle w:val="14"/>
                    <w:ind w:firstLine="0" w:firstLineChars="0"/>
                    <w:jc w:val="center"/>
                    <w:rPr>
                      <w:color w:val="auto"/>
                      <w:sz w:val="21"/>
                      <w:szCs w:val="21"/>
                    </w:rPr>
                  </w:pPr>
                  <w:r>
                    <w:rPr>
                      <w:color w:val="auto"/>
                      <w:sz w:val="21"/>
                      <w:szCs w:val="21"/>
                    </w:rPr>
                    <w:t>1</w:t>
                  </w:r>
                </w:p>
              </w:tc>
            </w:tr>
            <w:tr w14:paraId="4AC7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1"/>
                  <w:vAlign w:val="center"/>
                </w:tcPr>
                <w:p w14:paraId="1EAF3B0A">
                  <w:pPr>
                    <w:autoSpaceDE w:val="0"/>
                    <w:autoSpaceDN w:val="0"/>
                    <w:adjustRightInd w:val="0"/>
                    <w:ind w:firstLine="0" w:firstLineChars="0"/>
                    <w:jc w:val="center"/>
                    <w:textAlignment w:val="baseline"/>
                    <w:rPr>
                      <w:bCs/>
                      <w:color w:val="auto"/>
                      <w:szCs w:val="21"/>
                    </w:rPr>
                  </w:pPr>
                  <w:r>
                    <w:rPr>
                      <w:bCs/>
                      <w:color w:val="auto"/>
                      <w:szCs w:val="21"/>
                    </w:rPr>
                    <w:t>注：表中坐标以厂界中心（E103°13′16.32825″,N25°32′59.17080″）为坐标原点，正东向为X轴正方向，正北向为Y轴正方向。</w:t>
                  </w:r>
                </w:p>
              </w:tc>
            </w:tr>
          </w:tbl>
          <w:p w14:paraId="6A3749E2">
            <w:pPr>
              <w:spacing w:line="360" w:lineRule="auto"/>
              <w:ind w:firstLine="480"/>
              <w:rPr>
                <w:color w:val="auto"/>
                <w:sz w:val="24"/>
              </w:rPr>
            </w:pPr>
            <w:r>
              <w:rPr>
                <w:color w:val="auto"/>
                <w:sz w:val="24"/>
              </w:rPr>
              <w:t>表中坐标以厂界中心（103度12分46.303秒，25度35分15.503秒）为坐标原点，正东向为X轴正方向，正北向为Y轴正方向。</w:t>
            </w:r>
          </w:p>
          <w:p w14:paraId="6005FFE4">
            <w:pPr>
              <w:spacing w:line="360" w:lineRule="auto"/>
              <w:ind w:firstLine="480"/>
              <w:rPr>
                <w:color w:val="auto"/>
                <w:sz w:val="24"/>
              </w:rPr>
            </w:pPr>
            <w:r>
              <w:rPr>
                <w:color w:val="auto"/>
                <w:sz w:val="24"/>
              </w:rPr>
              <w:t>（2）预测范围、点位与评价因子</w:t>
            </w:r>
          </w:p>
          <w:p w14:paraId="63A677C6">
            <w:pPr>
              <w:spacing w:line="360" w:lineRule="auto"/>
              <w:ind w:firstLine="480"/>
              <w:rPr>
                <w:color w:val="auto"/>
                <w:sz w:val="24"/>
              </w:rPr>
            </w:pPr>
            <w:r>
              <w:rPr>
                <w:color w:val="auto"/>
                <w:sz w:val="24"/>
              </w:rPr>
              <w:t>①噪声预测范围为：厂界外1m。</w:t>
            </w:r>
          </w:p>
          <w:p w14:paraId="477E128D">
            <w:pPr>
              <w:spacing w:line="360" w:lineRule="auto"/>
              <w:ind w:firstLine="480"/>
              <w:rPr>
                <w:color w:val="auto"/>
                <w:sz w:val="24"/>
              </w:rPr>
            </w:pPr>
            <w:r>
              <w:rPr>
                <w:color w:val="auto"/>
                <w:sz w:val="24"/>
              </w:rPr>
              <w:t>②预测点位：厂界噪声，在东、南、西、北厂界各设置一个。</w:t>
            </w:r>
          </w:p>
          <w:p w14:paraId="6EBBD8A8">
            <w:pPr>
              <w:spacing w:line="360" w:lineRule="auto"/>
              <w:ind w:firstLine="480"/>
              <w:rPr>
                <w:color w:val="auto"/>
                <w:sz w:val="24"/>
              </w:rPr>
            </w:pPr>
            <w:r>
              <w:rPr>
                <w:color w:val="auto"/>
                <w:sz w:val="24"/>
              </w:rPr>
              <w:t>③厂界噪声预测因子：昼夜等效连续A声级。</w:t>
            </w:r>
          </w:p>
          <w:p w14:paraId="7E1C136B">
            <w:pPr>
              <w:spacing w:line="360" w:lineRule="auto"/>
              <w:ind w:firstLine="480"/>
              <w:rPr>
                <w:color w:val="auto"/>
                <w:sz w:val="24"/>
              </w:rPr>
            </w:pPr>
            <w:r>
              <w:rPr>
                <w:color w:val="auto"/>
                <w:sz w:val="24"/>
              </w:rPr>
              <w:t>④基础数据</w:t>
            </w:r>
          </w:p>
          <w:p w14:paraId="0E7AB49D">
            <w:pPr>
              <w:spacing w:line="360" w:lineRule="auto"/>
              <w:ind w:firstLine="480"/>
              <w:rPr>
                <w:color w:val="auto"/>
                <w:sz w:val="24"/>
              </w:rPr>
            </w:pPr>
            <w:r>
              <w:rPr>
                <w:color w:val="auto"/>
                <w:sz w:val="24"/>
              </w:rPr>
              <w:t>项目噪声环境影响预测基础数据见表4-1</w:t>
            </w:r>
            <w:r>
              <w:rPr>
                <w:rFonts w:hint="eastAsia"/>
                <w:color w:val="auto"/>
                <w:sz w:val="24"/>
                <w:lang w:val="en-US" w:eastAsia="zh-CN"/>
              </w:rPr>
              <w:t>6</w:t>
            </w:r>
            <w:r>
              <w:rPr>
                <w:color w:val="auto"/>
                <w:sz w:val="24"/>
              </w:rPr>
              <w:t>。</w:t>
            </w:r>
          </w:p>
          <w:p w14:paraId="46A7A66D">
            <w:pPr>
              <w:widowControl/>
              <w:ind w:firstLine="422"/>
              <w:jc w:val="center"/>
              <w:rPr>
                <w:b/>
                <w:bCs/>
                <w:color w:val="auto"/>
                <w:szCs w:val="21"/>
              </w:rPr>
            </w:pPr>
            <w:r>
              <w:rPr>
                <w:b/>
                <w:bCs/>
                <w:color w:val="auto"/>
                <w:szCs w:val="21"/>
              </w:rPr>
              <w:t>表4-1</w:t>
            </w:r>
            <w:r>
              <w:rPr>
                <w:rFonts w:hint="eastAsia"/>
                <w:b/>
                <w:bCs/>
                <w:color w:val="auto"/>
                <w:szCs w:val="21"/>
                <w:lang w:val="en-US" w:eastAsia="zh-CN"/>
              </w:rPr>
              <w:t>6</w:t>
            </w:r>
            <w:r>
              <w:rPr>
                <w:b/>
                <w:bCs/>
                <w:color w:val="auto"/>
                <w:szCs w:val="21"/>
              </w:rPr>
              <w:t xml:space="preserve">  </w:t>
            </w:r>
            <w:r>
              <w:rPr>
                <w:rFonts w:hint="eastAsia"/>
                <w:b/>
                <w:bCs/>
                <w:color w:val="auto"/>
                <w:szCs w:val="21"/>
              </w:rPr>
              <w:t xml:space="preserve"> </w:t>
            </w:r>
            <w:r>
              <w:rPr>
                <w:b/>
                <w:bCs/>
                <w:color w:val="auto"/>
                <w:szCs w:val="21"/>
              </w:rPr>
              <w:t xml:space="preserve"> 项目噪声环境影响预测基础数据表</w:t>
            </w:r>
          </w:p>
          <w:tbl>
            <w:tblPr>
              <w:tblStyle w:val="37"/>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27"/>
              <w:gridCol w:w="2916"/>
              <w:gridCol w:w="2225"/>
              <w:gridCol w:w="2225"/>
            </w:tblGrid>
            <w:tr w14:paraId="2AC159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14:paraId="76F36D1A">
                  <w:pPr>
                    <w:ind w:firstLine="0" w:firstLineChars="0"/>
                    <w:jc w:val="center"/>
                    <w:rPr>
                      <w:b/>
                      <w:color w:val="auto"/>
                      <w:szCs w:val="21"/>
                    </w:rPr>
                  </w:pPr>
                  <w:r>
                    <w:rPr>
                      <w:b/>
                      <w:color w:val="auto"/>
                      <w:szCs w:val="21"/>
                    </w:rPr>
                    <w:t>序号</w:t>
                  </w:r>
                </w:p>
              </w:tc>
              <w:tc>
                <w:tcPr>
                  <w:tcW w:w="1639" w:type="pct"/>
                  <w:vAlign w:val="center"/>
                </w:tcPr>
                <w:p w14:paraId="305ACBA1">
                  <w:pPr>
                    <w:ind w:firstLine="0" w:firstLineChars="0"/>
                    <w:jc w:val="center"/>
                    <w:rPr>
                      <w:b/>
                      <w:color w:val="auto"/>
                      <w:szCs w:val="21"/>
                    </w:rPr>
                  </w:pPr>
                  <w:r>
                    <w:rPr>
                      <w:b/>
                      <w:color w:val="auto"/>
                      <w:szCs w:val="21"/>
                    </w:rPr>
                    <w:t>名称</w:t>
                  </w:r>
                </w:p>
              </w:tc>
              <w:tc>
                <w:tcPr>
                  <w:tcW w:w="1251" w:type="pct"/>
                  <w:vAlign w:val="center"/>
                </w:tcPr>
                <w:p w14:paraId="5D9A148D">
                  <w:pPr>
                    <w:ind w:firstLine="0" w:firstLineChars="0"/>
                    <w:jc w:val="center"/>
                    <w:rPr>
                      <w:b/>
                      <w:color w:val="auto"/>
                      <w:szCs w:val="21"/>
                    </w:rPr>
                  </w:pPr>
                  <w:r>
                    <w:rPr>
                      <w:b/>
                      <w:color w:val="auto"/>
                      <w:szCs w:val="21"/>
                    </w:rPr>
                    <w:t>单位</w:t>
                  </w:r>
                </w:p>
              </w:tc>
              <w:tc>
                <w:tcPr>
                  <w:tcW w:w="1251" w:type="pct"/>
                  <w:vAlign w:val="center"/>
                </w:tcPr>
                <w:p w14:paraId="68007174">
                  <w:pPr>
                    <w:ind w:firstLine="0" w:firstLineChars="0"/>
                    <w:jc w:val="center"/>
                    <w:rPr>
                      <w:b/>
                      <w:color w:val="auto"/>
                      <w:szCs w:val="21"/>
                    </w:rPr>
                  </w:pPr>
                  <w:r>
                    <w:rPr>
                      <w:b/>
                      <w:color w:val="auto"/>
                      <w:szCs w:val="21"/>
                    </w:rPr>
                    <w:t>数据</w:t>
                  </w:r>
                </w:p>
              </w:tc>
            </w:tr>
            <w:tr w14:paraId="1FFFC0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14:paraId="2C5A78BD">
                  <w:pPr>
                    <w:ind w:firstLine="0" w:firstLineChars="0"/>
                    <w:jc w:val="center"/>
                    <w:rPr>
                      <w:bCs/>
                      <w:color w:val="auto"/>
                      <w:szCs w:val="21"/>
                    </w:rPr>
                  </w:pPr>
                  <w:r>
                    <w:rPr>
                      <w:bCs/>
                      <w:color w:val="auto"/>
                      <w:szCs w:val="21"/>
                    </w:rPr>
                    <w:t>1</w:t>
                  </w:r>
                </w:p>
              </w:tc>
              <w:tc>
                <w:tcPr>
                  <w:tcW w:w="1639" w:type="pct"/>
                  <w:vAlign w:val="center"/>
                </w:tcPr>
                <w:p w14:paraId="7F6C362E">
                  <w:pPr>
                    <w:ind w:firstLine="0" w:firstLineChars="0"/>
                    <w:jc w:val="center"/>
                    <w:rPr>
                      <w:bCs/>
                      <w:color w:val="auto"/>
                      <w:szCs w:val="21"/>
                    </w:rPr>
                  </w:pPr>
                  <w:r>
                    <w:rPr>
                      <w:bCs/>
                      <w:color w:val="auto"/>
                      <w:szCs w:val="21"/>
                    </w:rPr>
                    <w:t>年平均风速</w:t>
                  </w:r>
                </w:p>
              </w:tc>
              <w:tc>
                <w:tcPr>
                  <w:tcW w:w="1251" w:type="pct"/>
                  <w:vAlign w:val="center"/>
                </w:tcPr>
                <w:p w14:paraId="236DEE2B">
                  <w:pPr>
                    <w:ind w:firstLine="0" w:firstLineChars="0"/>
                    <w:jc w:val="center"/>
                    <w:rPr>
                      <w:bCs/>
                      <w:color w:val="auto"/>
                      <w:szCs w:val="21"/>
                    </w:rPr>
                  </w:pPr>
                  <w:r>
                    <w:rPr>
                      <w:bCs/>
                      <w:color w:val="auto"/>
                      <w:szCs w:val="21"/>
                    </w:rPr>
                    <w:t>m/s</w:t>
                  </w:r>
                </w:p>
              </w:tc>
              <w:tc>
                <w:tcPr>
                  <w:tcW w:w="1251" w:type="pct"/>
                  <w:vAlign w:val="center"/>
                </w:tcPr>
                <w:p w14:paraId="55F61BFD">
                  <w:pPr>
                    <w:ind w:firstLine="0" w:firstLineChars="0"/>
                    <w:jc w:val="center"/>
                    <w:rPr>
                      <w:bCs/>
                      <w:color w:val="auto"/>
                      <w:szCs w:val="21"/>
                    </w:rPr>
                  </w:pPr>
                  <w:r>
                    <w:rPr>
                      <w:bCs/>
                      <w:color w:val="auto"/>
                      <w:szCs w:val="21"/>
                    </w:rPr>
                    <w:t>3.0</w:t>
                  </w:r>
                </w:p>
              </w:tc>
            </w:tr>
            <w:tr w14:paraId="0AEFD7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14:paraId="4B15057E">
                  <w:pPr>
                    <w:ind w:firstLine="0" w:firstLineChars="0"/>
                    <w:jc w:val="center"/>
                    <w:rPr>
                      <w:bCs/>
                      <w:color w:val="auto"/>
                      <w:szCs w:val="21"/>
                    </w:rPr>
                  </w:pPr>
                  <w:r>
                    <w:rPr>
                      <w:bCs/>
                      <w:color w:val="auto"/>
                      <w:szCs w:val="21"/>
                    </w:rPr>
                    <w:t>2</w:t>
                  </w:r>
                </w:p>
              </w:tc>
              <w:tc>
                <w:tcPr>
                  <w:tcW w:w="1639" w:type="pct"/>
                  <w:vAlign w:val="center"/>
                </w:tcPr>
                <w:p w14:paraId="68B79081">
                  <w:pPr>
                    <w:ind w:firstLine="0" w:firstLineChars="0"/>
                    <w:jc w:val="center"/>
                    <w:rPr>
                      <w:bCs/>
                      <w:color w:val="auto"/>
                      <w:szCs w:val="21"/>
                    </w:rPr>
                  </w:pPr>
                  <w:r>
                    <w:rPr>
                      <w:bCs/>
                      <w:color w:val="auto"/>
                      <w:szCs w:val="21"/>
                    </w:rPr>
                    <w:t>主导风向</w:t>
                  </w:r>
                </w:p>
              </w:tc>
              <w:tc>
                <w:tcPr>
                  <w:tcW w:w="1251" w:type="pct"/>
                  <w:vAlign w:val="center"/>
                </w:tcPr>
                <w:p w14:paraId="5CC82480">
                  <w:pPr>
                    <w:ind w:firstLine="0" w:firstLineChars="0"/>
                    <w:jc w:val="center"/>
                    <w:rPr>
                      <w:bCs/>
                      <w:color w:val="auto"/>
                      <w:szCs w:val="21"/>
                    </w:rPr>
                  </w:pPr>
                  <w:r>
                    <w:rPr>
                      <w:bCs/>
                      <w:color w:val="auto"/>
                      <w:szCs w:val="21"/>
                    </w:rPr>
                    <w:t>/</w:t>
                  </w:r>
                </w:p>
              </w:tc>
              <w:tc>
                <w:tcPr>
                  <w:tcW w:w="1251" w:type="pct"/>
                  <w:vAlign w:val="center"/>
                </w:tcPr>
                <w:p w14:paraId="688A40FD">
                  <w:pPr>
                    <w:ind w:firstLine="0" w:firstLineChars="0"/>
                    <w:jc w:val="center"/>
                    <w:rPr>
                      <w:bCs/>
                      <w:color w:val="auto"/>
                      <w:szCs w:val="21"/>
                    </w:rPr>
                  </w:pPr>
                  <w:r>
                    <w:rPr>
                      <w:bCs/>
                      <w:color w:val="auto"/>
                      <w:szCs w:val="21"/>
                    </w:rPr>
                    <w:t>西南风</w:t>
                  </w:r>
                </w:p>
              </w:tc>
            </w:tr>
            <w:tr w14:paraId="29BE63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14:paraId="4BC145A2">
                  <w:pPr>
                    <w:ind w:firstLine="0" w:firstLineChars="0"/>
                    <w:jc w:val="center"/>
                    <w:rPr>
                      <w:bCs/>
                      <w:color w:val="auto"/>
                      <w:szCs w:val="21"/>
                    </w:rPr>
                  </w:pPr>
                  <w:r>
                    <w:rPr>
                      <w:bCs/>
                      <w:color w:val="auto"/>
                      <w:szCs w:val="21"/>
                    </w:rPr>
                    <w:t>3</w:t>
                  </w:r>
                </w:p>
              </w:tc>
              <w:tc>
                <w:tcPr>
                  <w:tcW w:w="1639" w:type="pct"/>
                  <w:vAlign w:val="center"/>
                </w:tcPr>
                <w:p w14:paraId="27760261">
                  <w:pPr>
                    <w:ind w:firstLine="0" w:firstLineChars="0"/>
                    <w:jc w:val="center"/>
                    <w:rPr>
                      <w:bCs/>
                      <w:color w:val="auto"/>
                      <w:szCs w:val="21"/>
                    </w:rPr>
                  </w:pPr>
                  <w:r>
                    <w:rPr>
                      <w:bCs/>
                      <w:color w:val="auto"/>
                      <w:szCs w:val="21"/>
                    </w:rPr>
                    <w:t>年平均气温</w:t>
                  </w:r>
                </w:p>
              </w:tc>
              <w:tc>
                <w:tcPr>
                  <w:tcW w:w="1251" w:type="pct"/>
                  <w:vAlign w:val="center"/>
                </w:tcPr>
                <w:p w14:paraId="0D08F292">
                  <w:pPr>
                    <w:ind w:firstLine="0" w:firstLineChars="0"/>
                    <w:jc w:val="center"/>
                    <w:rPr>
                      <w:bCs/>
                      <w:color w:val="auto"/>
                      <w:szCs w:val="21"/>
                    </w:rPr>
                  </w:pPr>
                  <w:r>
                    <w:rPr>
                      <w:bCs/>
                      <w:color w:val="auto"/>
                      <w:szCs w:val="21"/>
                    </w:rPr>
                    <w:t>℃</w:t>
                  </w:r>
                </w:p>
              </w:tc>
              <w:tc>
                <w:tcPr>
                  <w:tcW w:w="1251" w:type="pct"/>
                  <w:vAlign w:val="center"/>
                </w:tcPr>
                <w:p w14:paraId="1FA1CFE6">
                  <w:pPr>
                    <w:ind w:firstLine="0" w:firstLineChars="0"/>
                    <w:jc w:val="center"/>
                    <w:rPr>
                      <w:bCs/>
                      <w:color w:val="auto"/>
                      <w:szCs w:val="21"/>
                    </w:rPr>
                  </w:pPr>
                  <w:r>
                    <w:rPr>
                      <w:bCs/>
                      <w:color w:val="auto"/>
                      <w:szCs w:val="21"/>
                    </w:rPr>
                    <w:t>14.</w:t>
                  </w:r>
                  <w:r>
                    <w:rPr>
                      <w:rFonts w:hint="eastAsia"/>
                      <w:bCs/>
                      <w:color w:val="auto"/>
                      <w:szCs w:val="21"/>
                    </w:rPr>
                    <w:t>9</w:t>
                  </w:r>
                </w:p>
              </w:tc>
            </w:tr>
            <w:tr w14:paraId="6CD070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14:paraId="4FA5E4EA">
                  <w:pPr>
                    <w:ind w:firstLine="0" w:firstLineChars="0"/>
                    <w:jc w:val="center"/>
                    <w:rPr>
                      <w:bCs/>
                      <w:color w:val="auto"/>
                      <w:szCs w:val="21"/>
                    </w:rPr>
                  </w:pPr>
                  <w:r>
                    <w:rPr>
                      <w:bCs/>
                      <w:color w:val="auto"/>
                      <w:szCs w:val="21"/>
                    </w:rPr>
                    <w:t>4</w:t>
                  </w:r>
                </w:p>
              </w:tc>
              <w:tc>
                <w:tcPr>
                  <w:tcW w:w="1639" w:type="pct"/>
                  <w:vAlign w:val="center"/>
                </w:tcPr>
                <w:p w14:paraId="7A1EC32B">
                  <w:pPr>
                    <w:ind w:firstLine="0" w:firstLineChars="0"/>
                    <w:jc w:val="center"/>
                    <w:rPr>
                      <w:bCs/>
                      <w:color w:val="auto"/>
                      <w:szCs w:val="21"/>
                    </w:rPr>
                  </w:pPr>
                  <w:r>
                    <w:rPr>
                      <w:bCs/>
                      <w:color w:val="auto"/>
                      <w:szCs w:val="21"/>
                    </w:rPr>
                    <w:t>年平均相对湿度</w:t>
                  </w:r>
                </w:p>
              </w:tc>
              <w:tc>
                <w:tcPr>
                  <w:tcW w:w="1251" w:type="pct"/>
                  <w:vAlign w:val="center"/>
                </w:tcPr>
                <w:p w14:paraId="7780BE8C">
                  <w:pPr>
                    <w:ind w:firstLine="0" w:firstLineChars="0"/>
                    <w:jc w:val="center"/>
                    <w:rPr>
                      <w:bCs/>
                      <w:color w:val="auto"/>
                      <w:szCs w:val="21"/>
                    </w:rPr>
                  </w:pPr>
                  <w:r>
                    <w:rPr>
                      <w:bCs/>
                      <w:color w:val="auto"/>
                      <w:szCs w:val="21"/>
                    </w:rPr>
                    <w:t>%</w:t>
                  </w:r>
                </w:p>
              </w:tc>
              <w:tc>
                <w:tcPr>
                  <w:tcW w:w="1251" w:type="pct"/>
                  <w:vAlign w:val="center"/>
                </w:tcPr>
                <w:p w14:paraId="7F03B219">
                  <w:pPr>
                    <w:ind w:firstLine="0" w:firstLineChars="0"/>
                    <w:jc w:val="center"/>
                    <w:rPr>
                      <w:bCs/>
                      <w:color w:val="auto"/>
                      <w:szCs w:val="21"/>
                    </w:rPr>
                  </w:pPr>
                  <w:r>
                    <w:rPr>
                      <w:bCs/>
                      <w:color w:val="auto"/>
                      <w:szCs w:val="21"/>
                    </w:rPr>
                    <w:t>50</w:t>
                  </w:r>
                </w:p>
              </w:tc>
            </w:tr>
            <w:tr w14:paraId="3B2D5F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14:paraId="576175CF">
                  <w:pPr>
                    <w:ind w:firstLine="0" w:firstLineChars="0"/>
                    <w:jc w:val="center"/>
                    <w:rPr>
                      <w:bCs/>
                      <w:color w:val="auto"/>
                      <w:szCs w:val="21"/>
                    </w:rPr>
                  </w:pPr>
                  <w:r>
                    <w:rPr>
                      <w:bCs/>
                      <w:color w:val="auto"/>
                      <w:szCs w:val="21"/>
                    </w:rPr>
                    <w:t>5</w:t>
                  </w:r>
                </w:p>
              </w:tc>
              <w:tc>
                <w:tcPr>
                  <w:tcW w:w="1639" w:type="pct"/>
                  <w:vAlign w:val="center"/>
                </w:tcPr>
                <w:p w14:paraId="2CB4CA98">
                  <w:pPr>
                    <w:ind w:firstLine="0" w:firstLineChars="0"/>
                    <w:jc w:val="center"/>
                    <w:rPr>
                      <w:bCs/>
                      <w:color w:val="auto"/>
                      <w:szCs w:val="21"/>
                    </w:rPr>
                  </w:pPr>
                  <w:r>
                    <w:rPr>
                      <w:bCs/>
                      <w:color w:val="auto"/>
                      <w:szCs w:val="21"/>
                    </w:rPr>
                    <w:t>大气压强</w:t>
                  </w:r>
                </w:p>
              </w:tc>
              <w:tc>
                <w:tcPr>
                  <w:tcW w:w="1251" w:type="pct"/>
                  <w:vAlign w:val="center"/>
                </w:tcPr>
                <w:p w14:paraId="6B8F580A">
                  <w:pPr>
                    <w:ind w:firstLine="0" w:firstLineChars="0"/>
                    <w:jc w:val="center"/>
                    <w:rPr>
                      <w:bCs/>
                      <w:color w:val="auto"/>
                      <w:szCs w:val="21"/>
                    </w:rPr>
                  </w:pPr>
                  <w:r>
                    <w:rPr>
                      <w:bCs/>
                      <w:color w:val="auto"/>
                      <w:szCs w:val="21"/>
                    </w:rPr>
                    <w:t>atm</w:t>
                  </w:r>
                </w:p>
              </w:tc>
              <w:tc>
                <w:tcPr>
                  <w:tcW w:w="1251" w:type="pct"/>
                  <w:vAlign w:val="center"/>
                </w:tcPr>
                <w:p w14:paraId="6BCE0D39">
                  <w:pPr>
                    <w:ind w:firstLine="0" w:firstLineChars="0"/>
                    <w:jc w:val="center"/>
                    <w:rPr>
                      <w:bCs/>
                      <w:color w:val="auto"/>
                      <w:szCs w:val="21"/>
                    </w:rPr>
                  </w:pPr>
                  <w:r>
                    <w:rPr>
                      <w:bCs/>
                      <w:color w:val="auto"/>
                      <w:szCs w:val="21"/>
                    </w:rPr>
                    <w:t>1</w:t>
                  </w:r>
                </w:p>
              </w:tc>
            </w:tr>
          </w:tbl>
          <w:p w14:paraId="0D205232">
            <w:pPr>
              <w:spacing w:line="360" w:lineRule="auto"/>
              <w:ind w:firstLine="480"/>
              <w:rPr>
                <w:color w:val="auto"/>
                <w:sz w:val="24"/>
              </w:rPr>
            </w:pPr>
            <w:r>
              <w:rPr>
                <w:color w:val="auto"/>
                <w:sz w:val="24"/>
              </w:rPr>
              <w:t>声源和预测点间的地形、高差、障碍物、树林、灌木等的分布情况以及地面覆盖情况（如草地、水面、水泥地面、土质地面等）根据现场踏勘、项目总平图等，并结合卫星图片地理信息数据确定，数据精度为10m。</w:t>
            </w:r>
          </w:p>
          <w:p w14:paraId="0CD6F2C2">
            <w:pPr>
              <w:spacing w:line="360" w:lineRule="auto"/>
              <w:ind w:firstLine="480"/>
              <w:rPr>
                <w:color w:val="auto"/>
                <w:sz w:val="24"/>
              </w:rPr>
            </w:pPr>
            <w:r>
              <w:rPr>
                <w:color w:val="auto"/>
                <w:sz w:val="24"/>
              </w:rPr>
              <w:t>（3）声环境影响预测</w:t>
            </w:r>
          </w:p>
          <w:p w14:paraId="4F7698D9">
            <w:pPr>
              <w:spacing w:line="360" w:lineRule="auto"/>
              <w:ind w:firstLine="480"/>
              <w:rPr>
                <w:color w:val="auto"/>
                <w:sz w:val="24"/>
              </w:rPr>
            </w:pPr>
            <w:r>
              <w:rPr>
                <w:color w:val="auto"/>
                <w:sz w:val="24"/>
              </w:rPr>
              <w:t>①预测方法</w:t>
            </w:r>
          </w:p>
          <w:p w14:paraId="02E6E279">
            <w:pPr>
              <w:widowControl/>
              <w:spacing w:line="360" w:lineRule="auto"/>
              <w:ind w:firstLine="480"/>
              <w:rPr>
                <w:color w:val="auto"/>
                <w:sz w:val="24"/>
              </w:rPr>
            </w:pPr>
            <w:r>
              <w:rPr>
                <w:color w:val="auto"/>
                <w:kern w:val="0"/>
                <w:sz w:val="24"/>
                <w:lang w:bidi="ar"/>
              </w:rPr>
              <w:t>噪声传播过程中有三个要素：即声源、传播途径和接受者。根据项目采取的治理措施及降噪效果，采用《环境影响评价技术导则 声环境》（HJ2.4-2021）推荐的工业噪声预测模式，本评价只考虑几何发散引起的衰减量来预测项目对厂界的贡献点的影响。</w:t>
            </w:r>
          </w:p>
          <w:p w14:paraId="64F9E147">
            <w:pPr>
              <w:spacing w:line="360" w:lineRule="auto"/>
              <w:ind w:firstLine="480"/>
              <w:rPr>
                <w:color w:val="auto"/>
                <w:sz w:val="24"/>
              </w:rPr>
            </w:pPr>
            <w:r>
              <w:rPr>
                <w:color w:val="auto"/>
                <w:kern w:val="0"/>
                <w:sz w:val="24"/>
                <w:lang w:bidi="ar"/>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14:paraId="39FAE9DC">
            <w:pPr>
              <w:spacing w:line="360" w:lineRule="auto"/>
              <w:ind w:firstLine="480"/>
              <w:rPr>
                <w:color w:val="auto"/>
                <w:sz w:val="24"/>
              </w:rPr>
            </w:pPr>
            <w:r>
              <w:rPr>
                <w:color w:val="auto"/>
                <w:sz w:val="24"/>
              </w:rPr>
              <w:t>②预测模式</w:t>
            </w:r>
          </w:p>
          <w:p w14:paraId="06225951">
            <w:pPr>
              <w:widowControl/>
              <w:spacing w:line="360" w:lineRule="auto"/>
              <w:ind w:firstLine="480"/>
              <w:jc w:val="left"/>
              <w:rPr>
                <w:color w:val="auto"/>
                <w:kern w:val="0"/>
                <w:sz w:val="24"/>
                <w:lang w:bidi="ar"/>
              </w:rPr>
            </w:pPr>
            <w:r>
              <w:rPr>
                <w:color w:val="auto"/>
                <w:kern w:val="0"/>
                <w:sz w:val="24"/>
                <w:lang w:bidi="ar"/>
              </w:rPr>
              <w:t>采用《环境影响评价技术 声环境》（HJ2.4-2021）中的噪声预测模式预测本项目的主要噪声设备对周围声环境的影响。预测模式如下：</w:t>
            </w:r>
          </w:p>
          <w:p w14:paraId="5AB4E859">
            <w:pPr>
              <w:pStyle w:val="63"/>
              <w:tabs>
                <w:tab w:val="bar" w:pos="9540"/>
              </w:tabs>
              <w:adjustRightInd/>
              <w:ind w:firstLine="480" w:firstLineChars="200"/>
              <w:jc w:val="left"/>
              <w:rPr>
                <w:color w:val="auto"/>
              </w:rPr>
            </w:pPr>
            <w:r>
              <w:rPr>
                <w:color w:val="auto"/>
                <w:kern w:val="0"/>
                <w:lang w:bidi="ar"/>
              </w:rPr>
              <w:t>A、</w:t>
            </w:r>
            <w:r>
              <w:rPr>
                <w:color w:val="auto"/>
              </w:rPr>
              <w:t>本项目只考虑几何发散衰减，公式按照：</w:t>
            </w:r>
          </w:p>
          <w:p w14:paraId="1AA92822">
            <w:pPr>
              <w:pStyle w:val="63"/>
              <w:tabs>
                <w:tab w:val="bar" w:pos="9540"/>
              </w:tabs>
              <w:snapToGrid w:val="0"/>
              <w:ind w:firstLine="0" w:firstLineChars="0"/>
              <w:jc w:val="center"/>
              <w:rPr>
                <w:color w:val="auto"/>
              </w:rPr>
            </w:pPr>
            <w:r>
              <w:rPr>
                <w:color w:val="auto"/>
              </w:rPr>
              <w:t>L</w:t>
            </w:r>
            <w:r>
              <w:rPr>
                <w:color w:val="auto"/>
                <w:vertAlign w:val="subscript"/>
              </w:rPr>
              <w:t>A</w:t>
            </w:r>
            <w:r>
              <w:rPr>
                <w:color w:val="auto"/>
              </w:rPr>
              <w:t>（r）=L</w:t>
            </w:r>
            <w:r>
              <w:rPr>
                <w:color w:val="auto"/>
                <w:vertAlign w:val="subscript"/>
              </w:rPr>
              <w:t>A</w:t>
            </w:r>
            <w:r>
              <w:rPr>
                <w:color w:val="auto"/>
              </w:rPr>
              <w:t>（r</w:t>
            </w:r>
            <w:r>
              <w:rPr>
                <w:color w:val="auto"/>
                <w:vertAlign w:val="subscript"/>
              </w:rPr>
              <w:t>0</w:t>
            </w:r>
            <w:r>
              <w:rPr>
                <w:color w:val="auto"/>
              </w:rPr>
              <w:t>）－A</w:t>
            </w:r>
            <w:r>
              <w:rPr>
                <w:color w:val="auto"/>
                <w:vertAlign w:val="subscript"/>
              </w:rPr>
              <w:t>div</w:t>
            </w:r>
          </w:p>
          <w:p w14:paraId="3F5F003D">
            <w:pPr>
              <w:pStyle w:val="25"/>
              <w:adjustRightInd w:val="0"/>
              <w:snapToGrid w:val="0"/>
              <w:spacing w:after="0" w:line="360" w:lineRule="auto"/>
              <w:ind w:left="0" w:leftChars="0" w:right="0" w:rightChars="0" w:firstLine="480"/>
              <w:rPr>
                <w:color w:val="auto"/>
                <w:sz w:val="24"/>
              </w:rPr>
            </w:pPr>
            <w:r>
              <w:rPr>
                <w:color w:val="auto"/>
                <w:sz w:val="24"/>
              </w:rPr>
              <w:t>式中：L</w:t>
            </w:r>
            <w:r>
              <w:rPr>
                <w:color w:val="auto"/>
                <w:sz w:val="24"/>
                <w:vertAlign w:val="subscript"/>
              </w:rPr>
              <w:t>A</w:t>
            </w:r>
            <w:r>
              <w:rPr>
                <w:color w:val="auto"/>
                <w:sz w:val="24"/>
              </w:rPr>
              <w:t>（r）——距声源r处的A声级，dB（A）；</w:t>
            </w:r>
          </w:p>
          <w:p w14:paraId="1E1B5BB3">
            <w:pPr>
              <w:pStyle w:val="25"/>
              <w:adjustRightInd w:val="0"/>
              <w:snapToGrid w:val="0"/>
              <w:spacing w:after="0" w:line="360" w:lineRule="auto"/>
              <w:ind w:left="0" w:leftChars="0" w:right="0" w:rightChars="0" w:firstLine="1200" w:firstLineChars="500"/>
              <w:rPr>
                <w:color w:val="auto"/>
                <w:sz w:val="24"/>
              </w:rPr>
            </w:pPr>
            <w:r>
              <w:rPr>
                <w:color w:val="auto"/>
                <w:sz w:val="24"/>
              </w:rPr>
              <w:t>L</w:t>
            </w:r>
            <w:r>
              <w:rPr>
                <w:color w:val="auto"/>
                <w:sz w:val="24"/>
                <w:vertAlign w:val="subscript"/>
              </w:rPr>
              <w:t>A</w:t>
            </w:r>
            <w:r>
              <w:rPr>
                <w:color w:val="auto"/>
                <w:sz w:val="24"/>
              </w:rPr>
              <w:t>（r</w:t>
            </w:r>
            <w:r>
              <w:rPr>
                <w:color w:val="auto"/>
                <w:sz w:val="24"/>
                <w:vertAlign w:val="subscript"/>
              </w:rPr>
              <w:t>0</w:t>
            </w:r>
            <w:r>
              <w:rPr>
                <w:color w:val="auto"/>
                <w:sz w:val="24"/>
              </w:rPr>
              <w:t>）——参考位置r</w:t>
            </w:r>
            <w:r>
              <w:rPr>
                <w:color w:val="auto"/>
                <w:sz w:val="24"/>
                <w:vertAlign w:val="subscript"/>
              </w:rPr>
              <w:t>0</w:t>
            </w:r>
            <w:r>
              <w:rPr>
                <w:color w:val="auto"/>
                <w:sz w:val="24"/>
              </w:rPr>
              <w:t>处的A声级，dB（A）；</w:t>
            </w:r>
          </w:p>
          <w:p w14:paraId="7B672C0B">
            <w:pPr>
              <w:pStyle w:val="63"/>
              <w:tabs>
                <w:tab w:val="bar" w:pos="9540"/>
              </w:tabs>
              <w:snapToGrid w:val="0"/>
              <w:ind w:firstLine="1200" w:firstLineChars="500"/>
              <w:rPr>
                <w:color w:val="auto"/>
              </w:rPr>
            </w:pPr>
            <w:r>
              <w:rPr>
                <w:color w:val="auto"/>
              </w:rPr>
              <w:t>A</w:t>
            </w:r>
            <w:r>
              <w:rPr>
                <w:color w:val="auto"/>
                <w:vertAlign w:val="subscript"/>
              </w:rPr>
              <w:t>div</w:t>
            </w:r>
            <w:r>
              <w:rPr>
                <w:color w:val="auto"/>
              </w:rPr>
              <w:t>——几何发散引起的衰减，dB；</w:t>
            </w:r>
          </w:p>
          <w:p w14:paraId="1959347C">
            <w:pPr>
              <w:pStyle w:val="63"/>
              <w:tabs>
                <w:tab w:val="bar" w:pos="9540"/>
              </w:tabs>
              <w:snapToGrid w:val="0"/>
              <w:ind w:firstLine="480" w:firstLineChars="200"/>
              <w:rPr>
                <w:color w:val="auto"/>
              </w:rPr>
            </w:pPr>
            <w:r>
              <w:rPr>
                <w:color w:val="auto"/>
                <w:kern w:val="0"/>
                <w:lang w:bidi="ar"/>
              </w:rPr>
              <w:t>B、</w:t>
            </w:r>
            <w:r>
              <w:rPr>
                <w:color w:val="auto"/>
              </w:rPr>
              <w:t>声源的几何发散衰减公式：</w:t>
            </w:r>
          </w:p>
          <w:p w14:paraId="2799AACC">
            <w:pPr>
              <w:pStyle w:val="25"/>
              <w:spacing w:after="0" w:line="360" w:lineRule="auto"/>
              <w:ind w:left="0" w:leftChars="0" w:right="0" w:rightChars="0" w:firstLine="480"/>
              <w:jc w:val="center"/>
              <w:rPr>
                <w:color w:val="auto"/>
                <w:sz w:val="24"/>
              </w:rPr>
            </w:pPr>
            <w:r>
              <w:rPr>
                <w:color w:val="auto"/>
                <w:sz w:val="24"/>
              </w:rPr>
              <w:t>A</w:t>
            </w:r>
            <w:r>
              <w:rPr>
                <w:color w:val="auto"/>
                <w:sz w:val="24"/>
                <w:vertAlign w:val="subscript"/>
              </w:rPr>
              <w:t>div</w:t>
            </w:r>
            <w:r>
              <w:rPr>
                <w:color w:val="auto"/>
                <w:sz w:val="24"/>
              </w:rPr>
              <w:t>=20lg（r/r</w:t>
            </w:r>
            <w:r>
              <w:rPr>
                <w:color w:val="auto"/>
                <w:sz w:val="24"/>
                <w:vertAlign w:val="subscript"/>
              </w:rPr>
              <w:t>0</w:t>
            </w:r>
            <w:r>
              <w:rPr>
                <w:color w:val="auto"/>
                <w:sz w:val="24"/>
              </w:rPr>
              <w:t>）</w:t>
            </w:r>
          </w:p>
          <w:p w14:paraId="719567C4">
            <w:pPr>
              <w:pStyle w:val="25"/>
              <w:adjustRightInd w:val="0"/>
              <w:snapToGrid w:val="0"/>
              <w:spacing w:after="0" w:line="360" w:lineRule="auto"/>
              <w:ind w:left="0" w:leftChars="0" w:right="0" w:rightChars="0" w:firstLine="480"/>
              <w:rPr>
                <w:color w:val="auto"/>
                <w:sz w:val="24"/>
              </w:rPr>
            </w:pPr>
            <w:r>
              <w:rPr>
                <w:color w:val="auto"/>
                <w:sz w:val="24"/>
              </w:rPr>
              <w:t>式中：A</w:t>
            </w:r>
            <w:r>
              <w:rPr>
                <w:color w:val="auto"/>
                <w:sz w:val="24"/>
                <w:vertAlign w:val="subscript"/>
              </w:rPr>
              <w:t>div</w:t>
            </w:r>
            <w:r>
              <w:rPr>
                <w:color w:val="auto"/>
                <w:sz w:val="24"/>
              </w:rPr>
              <w:t>——几何发散引起的衰减，dB；</w:t>
            </w:r>
          </w:p>
          <w:p w14:paraId="1B6BC2F1">
            <w:pPr>
              <w:pStyle w:val="63"/>
              <w:tabs>
                <w:tab w:val="bar" w:pos="9540"/>
              </w:tabs>
              <w:snapToGrid w:val="0"/>
              <w:ind w:firstLine="1200" w:firstLineChars="500"/>
              <w:rPr>
                <w:color w:val="auto"/>
              </w:rPr>
            </w:pPr>
            <w:r>
              <w:rPr>
                <w:color w:val="auto"/>
              </w:rPr>
              <w:t>r——预测点距声源的距离；</w:t>
            </w:r>
          </w:p>
          <w:p w14:paraId="7103A251">
            <w:pPr>
              <w:pStyle w:val="25"/>
              <w:adjustRightInd w:val="0"/>
              <w:snapToGrid w:val="0"/>
              <w:spacing w:after="0" w:line="360" w:lineRule="auto"/>
              <w:ind w:left="0" w:leftChars="0" w:right="0" w:rightChars="0" w:firstLine="1200" w:firstLineChars="500"/>
              <w:rPr>
                <w:color w:val="auto"/>
                <w:sz w:val="24"/>
              </w:rPr>
            </w:pPr>
            <w:r>
              <w:rPr>
                <w:color w:val="auto"/>
                <w:sz w:val="24"/>
              </w:rPr>
              <w:t>r</w:t>
            </w:r>
            <w:r>
              <w:rPr>
                <w:color w:val="auto"/>
                <w:sz w:val="24"/>
                <w:vertAlign w:val="subscript"/>
              </w:rPr>
              <w:t>0</w:t>
            </w:r>
            <w:r>
              <w:rPr>
                <w:color w:val="auto"/>
                <w:sz w:val="24"/>
              </w:rPr>
              <w:t>——参考位置距声源的距离；</w:t>
            </w:r>
          </w:p>
          <w:p w14:paraId="1CF57F3B">
            <w:pPr>
              <w:pStyle w:val="63"/>
              <w:tabs>
                <w:tab w:val="bar" w:pos="9540"/>
              </w:tabs>
              <w:snapToGrid w:val="0"/>
              <w:ind w:firstLine="480" w:firstLineChars="200"/>
              <w:rPr>
                <w:color w:val="auto"/>
              </w:rPr>
            </w:pPr>
            <w:r>
              <w:rPr>
                <w:color w:val="auto"/>
                <w:kern w:val="0"/>
                <w:lang w:bidi="ar"/>
              </w:rPr>
              <w:t>C、</w:t>
            </w:r>
            <w:r>
              <w:rPr>
                <w:color w:val="auto"/>
              </w:rPr>
              <w:t>工业企业噪声计算公式：</w:t>
            </w:r>
          </w:p>
          <w:p w14:paraId="2E5CF00C">
            <w:pPr>
              <w:pStyle w:val="25"/>
              <w:adjustRightInd w:val="0"/>
              <w:snapToGrid w:val="0"/>
              <w:spacing w:after="0" w:line="360" w:lineRule="auto"/>
              <w:ind w:left="0" w:leftChars="0" w:right="0" w:rightChars="0" w:firstLine="480"/>
              <w:jc w:val="center"/>
              <w:rPr>
                <w:color w:val="auto"/>
                <w:sz w:val="24"/>
              </w:rPr>
            </w:pPr>
            <w:r>
              <w:rPr>
                <w:color w:val="auto"/>
                <w:position w:val="-34"/>
                <w:sz w:val="24"/>
              </w:rPr>
              <w:object>
                <v:shape id="_x0000_i1031" o:spt="75" type="#_x0000_t75" style="height:40.15pt;width:203.1pt;" o:ole="t" filled="f" o:preferrelative="t" stroked="f" coordsize="21600,21600">
                  <v:path/>
                  <v:fill on="f" focussize="0,0"/>
                  <v:stroke on="f" joinstyle="miter"/>
                  <v:imagedata r:id="rId34" o:title=""/>
                  <o:lock v:ext="edit" aspectratio="t"/>
                  <w10:wrap type="none"/>
                  <w10:anchorlock/>
                </v:shape>
                <o:OLEObject Type="Embed" ProgID="Equation.KSEE3" ShapeID="_x0000_i1031" DrawAspect="Content" ObjectID="_1468075731" r:id="rId33">
                  <o:LockedField>false</o:LockedField>
                </o:OLEObject>
              </w:object>
            </w:r>
          </w:p>
          <w:p w14:paraId="1C0B2AE9">
            <w:pPr>
              <w:pStyle w:val="25"/>
              <w:adjustRightInd w:val="0"/>
              <w:snapToGrid w:val="0"/>
              <w:spacing w:after="0" w:line="360" w:lineRule="auto"/>
              <w:ind w:left="0" w:leftChars="0" w:right="0" w:rightChars="0" w:firstLine="480"/>
              <w:rPr>
                <w:color w:val="auto"/>
                <w:sz w:val="24"/>
              </w:rPr>
            </w:pPr>
            <w:r>
              <w:rPr>
                <w:color w:val="auto"/>
                <w:sz w:val="24"/>
              </w:rPr>
              <w:t>式中：L</w:t>
            </w:r>
            <w:r>
              <w:rPr>
                <w:color w:val="auto"/>
                <w:sz w:val="24"/>
                <w:vertAlign w:val="subscript"/>
              </w:rPr>
              <w:t>eqg</w:t>
            </w:r>
            <w:r>
              <w:rPr>
                <w:color w:val="auto"/>
                <w:sz w:val="24"/>
              </w:rPr>
              <w:t>——建设项目声源在预测点产生的噪声贡献值，dB；</w:t>
            </w:r>
          </w:p>
          <w:p w14:paraId="28A73B1A">
            <w:pPr>
              <w:pStyle w:val="25"/>
              <w:adjustRightInd w:val="0"/>
              <w:snapToGrid w:val="0"/>
              <w:spacing w:after="0" w:line="360" w:lineRule="auto"/>
              <w:ind w:left="0" w:leftChars="0" w:right="0" w:rightChars="0" w:firstLine="1200" w:firstLineChars="500"/>
              <w:rPr>
                <w:color w:val="auto"/>
                <w:sz w:val="24"/>
              </w:rPr>
            </w:pPr>
            <w:r>
              <w:rPr>
                <w:color w:val="auto"/>
                <w:sz w:val="24"/>
              </w:rPr>
              <w:t>T——用于计算等效声级的时间，s；</w:t>
            </w:r>
          </w:p>
          <w:p w14:paraId="2A9EB973">
            <w:pPr>
              <w:pStyle w:val="63"/>
              <w:tabs>
                <w:tab w:val="bar" w:pos="9540"/>
              </w:tabs>
              <w:snapToGrid w:val="0"/>
              <w:ind w:firstLine="1200" w:firstLineChars="500"/>
              <w:rPr>
                <w:color w:val="auto"/>
              </w:rPr>
            </w:pPr>
            <w:r>
              <w:rPr>
                <w:color w:val="auto"/>
              </w:rPr>
              <w:t>N——室外声源个数；</w:t>
            </w:r>
          </w:p>
          <w:p w14:paraId="71341653">
            <w:pPr>
              <w:pStyle w:val="63"/>
              <w:tabs>
                <w:tab w:val="bar" w:pos="9540"/>
              </w:tabs>
              <w:snapToGrid w:val="0"/>
              <w:ind w:firstLine="1200" w:firstLineChars="500"/>
              <w:rPr>
                <w:color w:val="auto"/>
              </w:rPr>
            </w:pPr>
            <w:r>
              <w:rPr>
                <w:color w:val="auto"/>
              </w:rPr>
              <w:t>t</w:t>
            </w:r>
            <w:r>
              <w:rPr>
                <w:color w:val="auto"/>
                <w:vertAlign w:val="subscript"/>
              </w:rPr>
              <w:t>i</w:t>
            </w:r>
            <w:r>
              <w:rPr>
                <w:color w:val="auto"/>
              </w:rPr>
              <w:t>——在T时间内i声源工作时间，s；</w:t>
            </w:r>
          </w:p>
          <w:p w14:paraId="5B06FDC5">
            <w:pPr>
              <w:pStyle w:val="63"/>
              <w:tabs>
                <w:tab w:val="bar" w:pos="9540"/>
              </w:tabs>
              <w:snapToGrid w:val="0"/>
              <w:ind w:firstLine="1200" w:firstLineChars="500"/>
              <w:rPr>
                <w:color w:val="auto"/>
              </w:rPr>
            </w:pPr>
            <w:r>
              <w:rPr>
                <w:color w:val="auto"/>
              </w:rPr>
              <w:t>M——等效室外声源个数；</w:t>
            </w:r>
          </w:p>
          <w:p w14:paraId="414DF9AC">
            <w:pPr>
              <w:pStyle w:val="63"/>
              <w:tabs>
                <w:tab w:val="bar" w:pos="9540"/>
              </w:tabs>
              <w:snapToGrid w:val="0"/>
              <w:ind w:firstLine="1200" w:firstLineChars="500"/>
              <w:rPr>
                <w:color w:val="auto"/>
                <w:kern w:val="0"/>
                <w:lang w:bidi="ar"/>
              </w:rPr>
            </w:pPr>
            <w:r>
              <w:rPr>
                <w:color w:val="auto"/>
              </w:rPr>
              <w:t>tj——在T时间内j声源工作时间，s。</w:t>
            </w:r>
          </w:p>
          <w:p w14:paraId="2B9BCA2E">
            <w:pPr>
              <w:widowControl/>
              <w:spacing w:line="360" w:lineRule="auto"/>
              <w:ind w:firstLine="480"/>
              <w:rPr>
                <w:color w:val="auto"/>
                <w:kern w:val="0"/>
                <w:sz w:val="24"/>
                <w:lang w:bidi="ar"/>
              </w:rPr>
            </w:pPr>
            <w:r>
              <w:rPr>
                <w:color w:val="auto"/>
                <w:kern w:val="0"/>
                <w:sz w:val="24"/>
                <w:lang w:bidi="ar"/>
              </w:rPr>
              <w:t>③预测结果</w:t>
            </w:r>
          </w:p>
          <w:p w14:paraId="330C3A56">
            <w:pPr>
              <w:widowControl/>
              <w:spacing w:line="360" w:lineRule="auto"/>
              <w:ind w:firstLine="480"/>
              <w:rPr>
                <w:color w:val="auto"/>
                <w:kern w:val="0"/>
                <w:sz w:val="24"/>
                <w:lang w:bidi="ar"/>
              </w:rPr>
            </w:pPr>
            <w:r>
              <w:rPr>
                <w:color w:val="auto"/>
                <w:kern w:val="0"/>
                <w:sz w:val="24"/>
                <w:lang w:bidi="ar"/>
              </w:rPr>
              <w:t>本次环评厂界噪声预测采用环保小智噪声助手预测软件预测，通过预测模型计算，项目厂界噪声预测结果与达标分析见表4-1</w:t>
            </w:r>
            <w:r>
              <w:rPr>
                <w:rFonts w:hint="eastAsia"/>
                <w:color w:val="auto"/>
                <w:kern w:val="0"/>
                <w:sz w:val="24"/>
                <w:lang w:val="en-US" w:eastAsia="zh-CN" w:bidi="ar"/>
              </w:rPr>
              <w:t>7</w:t>
            </w:r>
            <w:r>
              <w:rPr>
                <w:color w:val="auto"/>
                <w:kern w:val="0"/>
                <w:sz w:val="24"/>
                <w:lang w:bidi="ar"/>
              </w:rPr>
              <w:t>。</w:t>
            </w:r>
          </w:p>
          <w:p w14:paraId="4FB17981">
            <w:pPr>
              <w:ind w:firstLine="0" w:firstLineChars="0"/>
              <w:jc w:val="center"/>
              <w:rPr>
                <w:b/>
                <w:bCs/>
                <w:color w:val="auto"/>
                <w:sz w:val="24"/>
              </w:rPr>
            </w:pPr>
            <w:r>
              <w:rPr>
                <w:b/>
                <w:bCs/>
                <w:color w:val="auto"/>
              </w:rPr>
              <w:t>表4-1</w:t>
            </w:r>
            <w:r>
              <w:rPr>
                <w:rFonts w:hint="eastAsia"/>
                <w:b/>
                <w:bCs/>
                <w:color w:val="auto"/>
                <w:lang w:val="en-US" w:eastAsia="zh-CN"/>
              </w:rPr>
              <w:t>7</w:t>
            </w:r>
            <w:r>
              <w:rPr>
                <w:b/>
                <w:bCs/>
                <w:color w:val="auto"/>
              </w:rPr>
              <w:t xml:space="preserve"> </w:t>
            </w:r>
            <w:r>
              <w:rPr>
                <w:rFonts w:hint="eastAsia"/>
                <w:b/>
                <w:bCs/>
                <w:color w:val="auto"/>
              </w:rPr>
              <w:t xml:space="preserve">  </w:t>
            </w:r>
            <w:r>
              <w:rPr>
                <w:b/>
                <w:bCs/>
                <w:color w:val="auto"/>
              </w:rPr>
              <w:t>项目厂界噪声最终预测结果一览表单位：dB(A)</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836"/>
              <w:gridCol w:w="835"/>
              <w:gridCol w:w="841"/>
              <w:gridCol w:w="1034"/>
              <w:gridCol w:w="1475"/>
              <w:gridCol w:w="1477"/>
              <w:gridCol w:w="1242"/>
            </w:tblGrid>
            <w:tr w14:paraId="378C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auto"/>
                  <w:vAlign w:val="center"/>
                </w:tcPr>
                <w:p w14:paraId="01382B90">
                  <w:pPr>
                    <w:ind w:firstLine="0" w:firstLineChars="0"/>
                    <w:jc w:val="center"/>
                    <w:rPr>
                      <w:color w:val="auto"/>
                      <w:szCs w:val="21"/>
                    </w:rPr>
                  </w:pPr>
                  <w:r>
                    <w:rPr>
                      <w:b/>
                      <w:color w:val="auto"/>
                      <w:szCs w:val="21"/>
                    </w:rPr>
                    <w:t>预测方位</w:t>
                  </w:r>
                </w:p>
              </w:tc>
              <w:tc>
                <w:tcPr>
                  <w:tcW w:w="1413" w:type="pct"/>
                  <w:gridSpan w:val="3"/>
                  <w:shd w:val="clear" w:color="auto" w:fill="auto"/>
                  <w:vAlign w:val="center"/>
                </w:tcPr>
                <w:p w14:paraId="7912AD49">
                  <w:pPr>
                    <w:ind w:firstLine="0" w:firstLineChars="0"/>
                    <w:jc w:val="center"/>
                    <w:rPr>
                      <w:color w:val="auto"/>
                      <w:szCs w:val="21"/>
                    </w:rPr>
                  </w:pPr>
                  <w:r>
                    <w:rPr>
                      <w:b/>
                      <w:color w:val="auto"/>
                      <w:szCs w:val="21"/>
                    </w:rPr>
                    <w:t>最大值点空间相对位置/m</w:t>
                  </w:r>
                </w:p>
              </w:tc>
              <w:tc>
                <w:tcPr>
                  <w:tcW w:w="581" w:type="pct"/>
                  <w:vMerge w:val="restart"/>
                  <w:shd w:val="clear" w:color="auto" w:fill="auto"/>
                  <w:vAlign w:val="center"/>
                </w:tcPr>
                <w:p w14:paraId="54AD2B25">
                  <w:pPr>
                    <w:ind w:firstLine="0" w:firstLineChars="0"/>
                    <w:jc w:val="center"/>
                    <w:rPr>
                      <w:color w:val="auto"/>
                      <w:szCs w:val="21"/>
                    </w:rPr>
                  </w:pPr>
                  <w:r>
                    <w:rPr>
                      <w:b/>
                      <w:color w:val="auto"/>
                      <w:szCs w:val="21"/>
                    </w:rPr>
                    <w:t>时段</w:t>
                  </w:r>
                </w:p>
              </w:tc>
              <w:tc>
                <w:tcPr>
                  <w:tcW w:w="829" w:type="pct"/>
                  <w:vMerge w:val="restart"/>
                  <w:shd w:val="clear" w:color="auto" w:fill="auto"/>
                  <w:vAlign w:val="center"/>
                </w:tcPr>
                <w:p w14:paraId="64F5C0FC">
                  <w:pPr>
                    <w:ind w:firstLine="0" w:firstLineChars="0"/>
                    <w:jc w:val="center"/>
                    <w:rPr>
                      <w:color w:val="auto"/>
                      <w:szCs w:val="21"/>
                    </w:rPr>
                  </w:pPr>
                  <w:r>
                    <w:rPr>
                      <w:b/>
                      <w:color w:val="auto"/>
                      <w:szCs w:val="21"/>
                    </w:rPr>
                    <w:t>贡献值（dB（A））</w:t>
                  </w:r>
                </w:p>
              </w:tc>
              <w:tc>
                <w:tcPr>
                  <w:tcW w:w="830" w:type="pct"/>
                  <w:shd w:val="clear" w:color="auto" w:fill="auto"/>
                  <w:vAlign w:val="center"/>
                </w:tcPr>
                <w:p w14:paraId="2BEE0351">
                  <w:pPr>
                    <w:ind w:firstLine="0" w:firstLineChars="0"/>
                    <w:jc w:val="center"/>
                    <w:rPr>
                      <w:b/>
                      <w:color w:val="auto"/>
                      <w:szCs w:val="21"/>
                    </w:rPr>
                  </w:pPr>
                  <w:r>
                    <w:rPr>
                      <w:b/>
                      <w:color w:val="auto"/>
                      <w:szCs w:val="21"/>
                    </w:rPr>
                    <w:t>标准限值（dB（A））</w:t>
                  </w:r>
                </w:p>
              </w:tc>
              <w:tc>
                <w:tcPr>
                  <w:tcW w:w="698" w:type="pct"/>
                  <w:vMerge w:val="restart"/>
                  <w:shd w:val="clear" w:color="auto" w:fill="auto"/>
                  <w:vAlign w:val="center"/>
                </w:tcPr>
                <w:p w14:paraId="38A628BA">
                  <w:pPr>
                    <w:ind w:firstLine="0" w:firstLineChars="0"/>
                    <w:jc w:val="center"/>
                    <w:rPr>
                      <w:color w:val="auto"/>
                      <w:szCs w:val="21"/>
                    </w:rPr>
                  </w:pPr>
                  <w:r>
                    <w:rPr>
                      <w:b/>
                      <w:color w:val="auto"/>
                      <w:szCs w:val="21"/>
                    </w:rPr>
                    <w:t>达标情况</w:t>
                  </w:r>
                </w:p>
              </w:tc>
            </w:tr>
            <w:tr w14:paraId="614E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auto"/>
                  <w:vAlign w:val="center"/>
                </w:tcPr>
                <w:p w14:paraId="375A49C0">
                  <w:pPr>
                    <w:ind w:firstLine="0" w:firstLineChars="0"/>
                    <w:jc w:val="center"/>
                    <w:rPr>
                      <w:color w:val="auto"/>
                      <w:szCs w:val="21"/>
                    </w:rPr>
                  </w:pPr>
                </w:p>
              </w:tc>
              <w:tc>
                <w:tcPr>
                  <w:tcW w:w="470" w:type="pct"/>
                  <w:shd w:val="clear" w:color="auto" w:fill="auto"/>
                  <w:vAlign w:val="center"/>
                </w:tcPr>
                <w:p w14:paraId="6CFA4AAE">
                  <w:pPr>
                    <w:ind w:firstLine="0" w:firstLineChars="0"/>
                    <w:jc w:val="center"/>
                    <w:rPr>
                      <w:color w:val="auto"/>
                      <w:szCs w:val="21"/>
                    </w:rPr>
                  </w:pPr>
                  <w:r>
                    <w:rPr>
                      <w:color w:val="auto"/>
                      <w:szCs w:val="21"/>
                    </w:rPr>
                    <w:t>X</w:t>
                  </w:r>
                </w:p>
              </w:tc>
              <w:tc>
                <w:tcPr>
                  <w:tcW w:w="469" w:type="pct"/>
                  <w:shd w:val="clear" w:color="auto" w:fill="auto"/>
                  <w:vAlign w:val="center"/>
                </w:tcPr>
                <w:p w14:paraId="01C5A3CF">
                  <w:pPr>
                    <w:ind w:firstLine="0" w:firstLineChars="0"/>
                    <w:jc w:val="center"/>
                    <w:rPr>
                      <w:color w:val="auto"/>
                      <w:szCs w:val="21"/>
                    </w:rPr>
                  </w:pPr>
                  <w:r>
                    <w:rPr>
                      <w:color w:val="auto"/>
                      <w:szCs w:val="21"/>
                    </w:rPr>
                    <w:t>Y</w:t>
                  </w:r>
                </w:p>
              </w:tc>
              <w:tc>
                <w:tcPr>
                  <w:tcW w:w="473" w:type="pct"/>
                  <w:shd w:val="clear" w:color="auto" w:fill="auto"/>
                  <w:vAlign w:val="center"/>
                </w:tcPr>
                <w:p w14:paraId="5DA9A203">
                  <w:pPr>
                    <w:ind w:firstLine="0" w:firstLineChars="0"/>
                    <w:jc w:val="center"/>
                    <w:rPr>
                      <w:color w:val="auto"/>
                      <w:szCs w:val="21"/>
                    </w:rPr>
                  </w:pPr>
                  <w:r>
                    <w:rPr>
                      <w:color w:val="auto"/>
                      <w:szCs w:val="21"/>
                    </w:rPr>
                    <w:t>Z</w:t>
                  </w:r>
                </w:p>
              </w:tc>
              <w:tc>
                <w:tcPr>
                  <w:tcW w:w="581" w:type="pct"/>
                  <w:vMerge w:val="continue"/>
                  <w:shd w:val="clear" w:color="auto" w:fill="auto"/>
                  <w:vAlign w:val="center"/>
                </w:tcPr>
                <w:p w14:paraId="31C21D41">
                  <w:pPr>
                    <w:ind w:firstLine="0" w:firstLineChars="0"/>
                    <w:jc w:val="center"/>
                    <w:rPr>
                      <w:color w:val="auto"/>
                      <w:szCs w:val="21"/>
                    </w:rPr>
                  </w:pPr>
                </w:p>
              </w:tc>
              <w:tc>
                <w:tcPr>
                  <w:tcW w:w="829" w:type="pct"/>
                  <w:vMerge w:val="continue"/>
                  <w:shd w:val="clear" w:color="auto" w:fill="auto"/>
                  <w:vAlign w:val="center"/>
                </w:tcPr>
                <w:p w14:paraId="6DCAD8A3">
                  <w:pPr>
                    <w:ind w:firstLine="0" w:firstLineChars="0"/>
                    <w:jc w:val="center"/>
                    <w:rPr>
                      <w:color w:val="auto"/>
                      <w:szCs w:val="21"/>
                    </w:rPr>
                  </w:pPr>
                </w:p>
              </w:tc>
              <w:tc>
                <w:tcPr>
                  <w:tcW w:w="830" w:type="pct"/>
                  <w:shd w:val="clear" w:color="auto" w:fill="auto"/>
                  <w:vAlign w:val="center"/>
                </w:tcPr>
                <w:p w14:paraId="37C20BE4">
                  <w:pPr>
                    <w:ind w:firstLine="0" w:firstLineChars="0"/>
                    <w:jc w:val="center"/>
                    <w:rPr>
                      <w:color w:val="auto"/>
                      <w:szCs w:val="21"/>
                    </w:rPr>
                  </w:pPr>
                  <w:r>
                    <w:rPr>
                      <w:color w:val="auto"/>
                      <w:szCs w:val="21"/>
                    </w:rPr>
                    <w:t>昼间</w:t>
                  </w:r>
                </w:p>
              </w:tc>
              <w:tc>
                <w:tcPr>
                  <w:tcW w:w="698" w:type="pct"/>
                  <w:vMerge w:val="continue"/>
                  <w:shd w:val="clear" w:color="auto" w:fill="auto"/>
                  <w:vAlign w:val="center"/>
                </w:tcPr>
                <w:p w14:paraId="175EBD1C">
                  <w:pPr>
                    <w:ind w:firstLine="0" w:firstLineChars="0"/>
                    <w:jc w:val="center"/>
                    <w:rPr>
                      <w:color w:val="auto"/>
                      <w:szCs w:val="21"/>
                    </w:rPr>
                  </w:pPr>
                </w:p>
              </w:tc>
            </w:tr>
            <w:tr w14:paraId="3143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pct"/>
                  <w:shd w:val="clear" w:color="auto" w:fill="auto"/>
                  <w:vAlign w:val="center"/>
                </w:tcPr>
                <w:p w14:paraId="1D7112F6">
                  <w:pPr>
                    <w:ind w:firstLine="0" w:firstLineChars="0"/>
                    <w:jc w:val="center"/>
                    <w:rPr>
                      <w:color w:val="auto"/>
                      <w:szCs w:val="21"/>
                    </w:rPr>
                  </w:pPr>
                  <w:r>
                    <w:rPr>
                      <w:color w:val="auto"/>
                      <w:szCs w:val="21"/>
                    </w:rPr>
                    <w:t>东侧</w:t>
                  </w:r>
                </w:p>
              </w:tc>
              <w:tc>
                <w:tcPr>
                  <w:tcW w:w="470" w:type="pct"/>
                  <w:shd w:val="clear" w:color="auto" w:fill="auto"/>
                  <w:vAlign w:val="center"/>
                </w:tcPr>
                <w:p w14:paraId="465EB75E">
                  <w:pPr>
                    <w:ind w:firstLine="0" w:firstLineChars="0"/>
                    <w:jc w:val="center"/>
                    <w:rPr>
                      <w:color w:val="auto"/>
                      <w:szCs w:val="21"/>
                    </w:rPr>
                  </w:pPr>
                  <w:r>
                    <w:rPr>
                      <w:color w:val="auto"/>
                      <w:szCs w:val="21"/>
                    </w:rPr>
                    <w:t>105.16</w:t>
                  </w:r>
                </w:p>
              </w:tc>
              <w:tc>
                <w:tcPr>
                  <w:tcW w:w="469" w:type="pct"/>
                  <w:shd w:val="clear" w:color="auto" w:fill="auto"/>
                  <w:vAlign w:val="center"/>
                </w:tcPr>
                <w:p w14:paraId="2F64091C">
                  <w:pPr>
                    <w:ind w:firstLine="0" w:firstLineChars="0"/>
                    <w:jc w:val="center"/>
                    <w:rPr>
                      <w:color w:val="auto"/>
                      <w:szCs w:val="21"/>
                    </w:rPr>
                  </w:pPr>
                  <w:r>
                    <w:rPr>
                      <w:color w:val="auto"/>
                      <w:szCs w:val="21"/>
                    </w:rPr>
                    <w:t>6.04</w:t>
                  </w:r>
                </w:p>
              </w:tc>
              <w:tc>
                <w:tcPr>
                  <w:tcW w:w="473" w:type="pct"/>
                  <w:shd w:val="clear" w:color="auto" w:fill="auto"/>
                  <w:vAlign w:val="center"/>
                </w:tcPr>
                <w:p w14:paraId="154CAD89">
                  <w:pPr>
                    <w:ind w:firstLine="0" w:firstLineChars="0"/>
                    <w:jc w:val="center"/>
                    <w:rPr>
                      <w:color w:val="auto"/>
                      <w:szCs w:val="21"/>
                    </w:rPr>
                  </w:pPr>
                  <w:r>
                    <w:rPr>
                      <w:color w:val="auto"/>
                      <w:szCs w:val="21"/>
                    </w:rPr>
                    <w:t>1.0</w:t>
                  </w:r>
                </w:p>
              </w:tc>
              <w:tc>
                <w:tcPr>
                  <w:tcW w:w="581" w:type="pct"/>
                  <w:shd w:val="clear" w:color="auto" w:fill="auto"/>
                  <w:vAlign w:val="center"/>
                </w:tcPr>
                <w:p w14:paraId="5D1192CE">
                  <w:pPr>
                    <w:ind w:firstLine="0" w:firstLineChars="0"/>
                    <w:jc w:val="center"/>
                    <w:rPr>
                      <w:color w:val="auto"/>
                      <w:szCs w:val="21"/>
                    </w:rPr>
                  </w:pPr>
                  <w:r>
                    <w:rPr>
                      <w:color w:val="auto"/>
                      <w:szCs w:val="21"/>
                    </w:rPr>
                    <w:t>昼</w:t>
                  </w:r>
                </w:p>
              </w:tc>
              <w:tc>
                <w:tcPr>
                  <w:tcW w:w="829" w:type="pct"/>
                  <w:shd w:val="clear" w:color="auto" w:fill="auto"/>
                  <w:vAlign w:val="center"/>
                </w:tcPr>
                <w:p w14:paraId="3FDA0A6E">
                  <w:pPr>
                    <w:ind w:firstLine="0" w:firstLineChars="0"/>
                    <w:jc w:val="center"/>
                    <w:rPr>
                      <w:color w:val="auto"/>
                      <w:szCs w:val="21"/>
                    </w:rPr>
                  </w:pPr>
                  <w:r>
                    <w:rPr>
                      <w:rFonts w:hint="eastAsia"/>
                      <w:color w:val="auto"/>
                      <w:szCs w:val="21"/>
                    </w:rPr>
                    <w:t>48.54</w:t>
                  </w:r>
                </w:p>
              </w:tc>
              <w:tc>
                <w:tcPr>
                  <w:tcW w:w="830" w:type="pct"/>
                  <w:shd w:val="clear" w:color="auto" w:fill="auto"/>
                  <w:vAlign w:val="center"/>
                </w:tcPr>
                <w:p w14:paraId="7EA71B5C">
                  <w:pPr>
                    <w:ind w:firstLine="0" w:firstLineChars="0"/>
                    <w:jc w:val="center"/>
                    <w:rPr>
                      <w:color w:val="auto"/>
                      <w:szCs w:val="21"/>
                    </w:rPr>
                  </w:pPr>
                  <w:r>
                    <w:rPr>
                      <w:rFonts w:hint="eastAsia"/>
                      <w:color w:val="auto"/>
                      <w:szCs w:val="21"/>
                    </w:rPr>
                    <w:t>60</w:t>
                  </w:r>
                </w:p>
              </w:tc>
              <w:tc>
                <w:tcPr>
                  <w:tcW w:w="698" w:type="pct"/>
                  <w:shd w:val="clear" w:color="auto" w:fill="auto"/>
                  <w:vAlign w:val="center"/>
                </w:tcPr>
                <w:p w14:paraId="129D1DF5">
                  <w:pPr>
                    <w:ind w:firstLine="0" w:firstLineChars="0"/>
                    <w:jc w:val="center"/>
                    <w:rPr>
                      <w:color w:val="auto"/>
                      <w:szCs w:val="21"/>
                    </w:rPr>
                  </w:pPr>
                  <w:r>
                    <w:rPr>
                      <w:color w:val="auto"/>
                      <w:szCs w:val="21"/>
                    </w:rPr>
                    <w:t>达标</w:t>
                  </w:r>
                </w:p>
              </w:tc>
            </w:tr>
            <w:tr w14:paraId="009D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shd w:val="clear" w:color="auto" w:fill="auto"/>
                  <w:vAlign w:val="center"/>
                </w:tcPr>
                <w:p w14:paraId="19A030FE">
                  <w:pPr>
                    <w:ind w:firstLine="0" w:firstLineChars="0"/>
                    <w:jc w:val="center"/>
                    <w:rPr>
                      <w:color w:val="auto"/>
                      <w:szCs w:val="21"/>
                    </w:rPr>
                  </w:pPr>
                  <w:r>
                    <w:rPr>
                      <w:color w:val="auto"/>
                      <w:szCs w:val="21"/>
                    </w:rPr>
                    <w:t>南侧</w:t>
                  </w:r>
                </w:p>
              </w:tc>
              <w:tc>
                <w:tcPr>
                  <w:tcW w:w="470" w:type="pct"/>
                  <w:shd w:val="clear" w:color="auto" w:fill="auto"/>
                  <w:vAlign w:val="center"/>
                </w:tcPr>
                <w:p w14:paraId="4633246D">
                  <w:pPr>
                    <w:ind w:firstLine="0" w:firstLineChars="0"/>
                    <w:jc w:val="center"/>
                    <w:rPr>
                      <w:color w:val="auto"/>
                      <w:szCs w:val="21"/>
                    </w:rPr>
                  </w:pPr>
                  <w:r>
                    <w:rPr>
                      <w:color w:val="auto"/>
                      <w:szCs w:val="21"/>
                    </w:rPr>
                    <w:t>-3.31</w:t>
                  </w:r>
                </w:p>
              </w:tc>
              <w:tc>
                <w:tcPr>
                  <w:tcW w:w="469" w:type="pct"/>
                  <w:shd w:val="clear" w:color="auto" w:fill="auto"/>
                  <w:vAlign w:val="center"/>
                </w:tcPr>
                <w:p w14:paraId="3124976F">
                  <w:pPr>
                    <w:ind w:firstLine="0" w:firstLineChars="0"/>
                    <w:jc w:val="center"/>
                    <w:rPr>
                      <w:color w:val="auto"/>
                      <w:szCs w:val="21"/>
                    </w:rPr>
                  </w:pPr>
                  <w:r>
                    <w:rPr>
                      <w:color w:val="auto"/>
                      <w:szCs w:val="21"/>
                    </w:rPr>
                    <w:t>-46.59</w:t>
                  </w:r>
                </w:p>
              </w:tc>
              <w:tc>
                <w:tcPr>
                  <w:tcW w:w="473" w:type="pct"/>
                  <w:shd w:val="clear" w:color="auto" w:fill="auto"/>
                  <w:vAlign w:val="center"/>
                </w:tcPr>
                <w:p w14:paraId="5A790F82">
                  <w:pPr>
                    <w:ind w:firstLine="0" w:firstLineChars="0"/>
                    <w:jc w:val="center"/>
                    <w:rPr>
                      <w:color w:val="auto"/>
                      <w:szCs w:val="21"/>
                    </w:rPr>
                  </w:pPr>
                  <w:r>
                    <w:rPr>
                      <w:color w:val="auto"/>
                      <w:szCs w:val="21"/>
                    </w:rPr>
                    <w:t>1.0</w:t>
                  </w:r>
                </w:p>
              </w:tc>
              <w:tc>
                <w:tcPr>
                  <w:tcW w:w="581" w:type="pct"/>
                  <w:shd w:val="clear" w:color="auto" w:fill="auto"/>
                  <w:vAlign w:val="center"/>
                </w:tcPr>
                <w:p w14:paraId="7F46CC04">
                  <w:pPr>
                    <w:ind w:firstLine="0" w:firstLineChars="0"/>
                    <w:jc w:val="center"/>
                    <w:rPr>
                      <w:color w:val="auto"/>
                      <w:szCs w:val="21"/>
                    </w:rPr>
                  </w:pPr>
                  <w:r>
                    <w:rPr>
                      <w:color w:val="auto"/>
                      <w:szCs w:val="21"/>
                    </w:rPr>
                    <w:t>昼</w:t>
                  </w:r>
                </w:p>
              </w:tc>
              <w:tc>
                <w:tcPr>
                  <w:tcW w:w="829" w:type="pct"/>
                  <w:shd w:val="clear" w:color="auto" w:fill="auto"/>
                  <w:vAlign w:val="center"/>
                </w:tcPr>
                <w:p w14:paraId="66017569">
                  <w:pPr>
                    <w:ind w:firstLine="0" w:firstLineChars="0"/>
                    <w:jc w:val="center"/>
                    <w:rPr>
                      <w:color w:val="auto"/>
                      <w:szCs w:val="21"/>
                    </w:rPr>
                  </w:pPr>
                  <w:r>
                    <w:rPr>
                      <w:rFonts w:hint="eastAsia"/>
                      <w:color w:val="auto"/>
                      <w:szCs w:val="21"/>
                    </w:rPr>
                    <w:t>45.92</w:t>
                  </w:r>
                </w:p>
              </w:tc>
              <w:tc>
                <w:tcPr>
                  <w:tcW w:w="830" w:type="pct"/>
                  <w:shd w:val="clear" w:color="auto" w:fill="auto"/>
                  <w:vAlign w:val="center"/>
                </w:tcPr>
                <w:p w14:paraId="6450DFD5">
                  <w:pPr>
                    <w:ind w:firstLine="0" w:firstLineChars="0"/>
                    <w:jc w:val="center"/>
                    <w:rPr>
                      <w:color w:val="auto"/>
                      <w:szCs w:val="21"/>
                    </w:rPr>
                  </w:pPr>
                  <w:r>
                    <w:rPr>
                      <w:rFonts w:hint="eastAsia"/>
                      <w:color w:val="auto"/>
                      <w:szCs w:val="21"/>
                    </w:rPr>
                    <w:t>60</w:t>
                  </w:r>
                </w:p>
              </w:tc>
              <w:tc>
                <w:tcPr>
                  <w:tcW w:w="698" w:type="pct"/>
                  <w:shd w:val="clear" w:color="auto" w:fill="auto"/>
                  <w:vAlign w:val="center"/>
                </w:tcPr>
                <w:p w14:paraId="7CA905ED">
                  <w:pPr>
                    <w:ind w:firstLine="0" w:firstLineChars="0"/>
                    <w:jc w:val="center"/>
                    <w:rPr>
                      <w:color w:val="auto"/>
                      <w:szCs w:val="21"/>
                    </w:rPr>
                  </w:pPr>
                  <w:r>
                    <w:rPr>
                      <w:color w:val="auto"/>
                      <w:szCs w:val="21"/>
                    </w:rPr>
                    <w:t>达标</w:t>
                  </w:r>
                </w:p>
              </w:tc>
            </w:tr>
            <w:tr w14:paraId="127B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shd w:val="clear" w:color="auto" w:fill="auto"/>
                  <w:vAlign w:val="center"/>
                </w:tcPr>
                <w:p w14:paraId="7F94942E">
                  <w:pPr>
                    <w:ind w:firstLine="0" w:firstLineChars="0"/>
                    <w:jc w:val="center"/>
                    <w:rPr>
                      <w:color w:val="auto"/>
                      <w:szCs w:val="21"/>
                    </w:rPr>
                  </w:pPr>
                  <w:r>
                    <w:rPr>
                      <w:color w:val="auto"/>
                      <w:szCs w:val="21"/>
                    </w:rPr>
                    <w:t>西侧</w:t>
                  </w:r>
                </w:p>
              </w:tc>
              <w:tc>
                <w:tcPr>
                  <w:tcW w:w="470" w:type="pct"/>
                  <w:shd w:val="clear" w:color="auto" w:fill="auto"/>
                  <w:vAlign w:val="center"/>
                </w:tcPr>
                <w:p w14:paraId="76A8244B">
                  <w:pPr>
                    <w:ind w:firstLine="0" w:firstLineChars="0"/>
                    <w:jc w:val="center"/>
                    <w:rPr>
                      <w:color w:val="auto"/>
                      <w:szCs w:val="21"/>
                    </w:rPr>
                  </w:pPr>
                  <w:r>
                    <w:rPr>
                      <w:color w:val="auto"/>
                      <w:szCs w:val="21"/>
                    </w:rPr>
                    <w:t>-96.33</w:t>
                  </w:r>
                </w:p>
              </w:tc>
              <w:tc>
                <w:tcPr>
                  <w:tcW w:w="469" w:type="pct"/>
                  <w:shd w:val="clear" w:color="auto" w:fill="auto"/>
                  <w:vAlign w:val="center"/>
                </w:tcPr>
                <w:p w14:paraId="73371839">
                  <w:pPr>
                    <w:ind w:firstLine="0" w:firstLineChars="0"/>
                    <w:jc w:val="center"/>
                    <w:rPr>
                      <w:color w:val="auto"/>
                      <w:szCs w:val="21"/>
                    </w:rPr>
                  </w:pPr>
                  <w:r>
                    <w:rPr>
                      <w:color w:val="auto"/>
                      <w:szCs w:val="21"/>
                    </w:rPr>
                    <w:t>7.35</w:t>
                  </w:r>
                </w:p>
              </w:tc>
              <w:tc>
                <w:tcPr>
                  <w:tcW w:w="473" w:type="pct"/>
                  <w:shd w:val="clear" w:color="auto" w:fill="auto"/>
                  <w:vAlign w:val="center"/>
                </w:tcPr>
                <w:p w14:paraId="108B9FA7">
                  <w:pPr>
                    <w:ind w:firstLine="0" w:firstLineChars="0"/>
                    <w:jc w:val="center"/>
                    <w:rPr>
                      <w:color w:val="auto"/>
                      <w:szCs w:val="21"/>
                    </w:rPr>
                  </w:pPr>
                  <w:r>
                    <w:rPr>
                      <w:color w:val="auto"/>
                      <w:szCs w:val="21"/>
                    </w:rPr>
                    <w:t>1.0</w:t>
                  </w:r>
                </w:p>
              </w:tc>
              <w:tc>
                <w:tcPr>
                  <w:tcW w:w="581" w:type="pct"/>
                  <w:shd w:val="clear" w:color="auto" w:fill="auto"/>
                  <w:vAlign w:val="center"/>
                </w:tcPr>
                <w:p w14:paraId="2351532C">
                  <w:pPr>
                    <w:ind w:firstLine="0" w:firstLineChars="0"/>
                    <w:jc w:val="center"/>
                    <w:rPr>
                      <w:color w:val="auto"/>
                      <w:szCs w:val="21"/>
                    </w:rPr>
                  </w:pPr>
                  <w:r>
                    <w:rPr>
                      <w:color w:val="auto"/>
                      <w:szCs w:val="21"/>
                    </w:rPr>
                    <w:t>昼</w:t>
                  </w:r>
                </w:p>
              </w:tc>
              <w:tc>
                <w:tcPr>
                  <w:tcW w:w="829" w:type="pct"/>
                  <w:shd w:val="clear" w:color="auto" w:fill="auto"/>
                  <w:vAlign w:val="center"/>
                </w:tcPr>
                <w:p w14:paraId="1703E161">
                  <w:pPr>
                    <w:ind w:firstLine="0" w:firstLineChars="0"/>
                    <w:jc w:val="center"/>
                    <w:rPr>
                      <w:color w:val="auto"/>
                      <w:szCs w:val="21"/>
                    </w:rPr>
                  </w:pPr>
                  <w:r>
                    <w:rPr>
                      <w:color w:val="auto"/>
                      <w:szCs w:val="21"/>
                    </w:rPr>
                    <w:t>42.</w:t>
                  </w:r>
                  <w:r>
                    <w:rPr>
                      <w:rFonts w:hint="eastAsia"/>
                      <w:color w:val="auto"/>
                      <w:szCs w:val="21"/>
                    </w:rPr>
                    <w:t>76</w:t>
                  </w:r>
                </w:p>
              </w:tc>
              <w:tc>
                <w:tcPr>
                  <w:tcW w:w="830" w:type="pct"/>
                  <w:shd w:val="clear" w:color="auto" w:fill="auto"/>
                  <w:vAlign w:val="center"/>
                </w:tcPr>
                <w:p w14:paraId="586ED143">
                  <w:pPr>
                    <w:ind w:firstLine="0" w:firstLineChars="0"/>
                    <w:jc w:val="center"/>
                    <w:rPr>
                      <w:color w:val="auto"/>
                      <w:szCs w:val="21"/>
                    </w:rPr>
                  </w:pPr>
                  <w:r>
                    <w:rPr>
                      <w:rFonts w:hint="eastAsia"/>
                      <w:color w:val="auto"/>
                      <w:szCs w:val="21"/>
                    </w:rPr>
                    <w:t>60</w:t>
                  </w:r>
                </w:p>
              </w:tc>
              <w:tc>
                <w:tcPr>
                  <w:tcW w:w="698" w:type="pct"/>
                  <w:shd w:val="clear" w:color="auto" w:fill="auto"/>
                  <w:vAlign w:val="center"/>
                </w:tcPr>
                <w:p w14:paraId="182C5EF0">
                  <w:pPr>
                    <w:ind w:firstLine="0" w:firstLineChars="0"/>
                    <w:jc w:val="center"/>
                    <w:rPr>
                      <w:color w:val="auto"/>
                      <w:szCs w:val="21"/>
                    </w:rPr>
                  </w:pPr>
                  <w:r>
                    <w:rPr>
                      <w:color w:val="auto"/>
                      <w:szCs w:val="21"/>
                    </w:rPr>
                    <w:t>达标</w:t>
                  </w:r>
                </w:p>
              </w:tc>
            </w:tr>
            <w:tr w14:paraId="71C8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shd w:val="clear" w:color="auto" w:fill="auto"/>
                  <w:vAlign w:val="center"/>
                </w:tcPr>
                <w:p w14:paraId="15EDF89F">
                  <w:pPr>
                    <w:ind w:firstLine="0" w:firstLineChars="0"/>
                    <w:jc w:val="center"/>
                    <w:rPr>
                      <w:color w:val="auto"/>
                      <w:szCs w:val="21"/>
                    </w:rPr>
                  </w:pPr>
                  <w:r>
                    <w:rPr>
                      <w:color w:val="auto"/>
                      <w:szCs w:val="21"/>
                    </w:rPr>
                    <w:t>北侧</w:t>
                  </w:r>
                </w:p>
              </w:tc>
              <w:tc>
                <w:tcPr>
                  <w:tcW w:w="470" w:type="pct"/>
                  <w:shd w:val="clear" w:color="auto" w:fill="auto"/>
                  <w:vAlign w:val="center"/>
                </w:tcPr>
                <w:p w14:paraId="570B171C">
                  <w:pPr>
                    <w:ind w:firstLine="0" w:firstLineChars="0"/>
                    <w:jc w:val="center"/>
                    <w:rPr>
                      <w:color w:val="auto"/>
                      <w:szCs w:val="21"/>
                    </w:rPr>
                  </w:pPr>
                  <w:r>
                    <w:rPr>
                      <w:color w:val="auto"/>
                      <w:szCs w:val="21"/>
                    </w:rPr>
                    <w:t>7.64</w:t>
                  </w:r>
                </w:p>
              </w:tc>
              <w:tc>
                <w:tcPr>
                  <w:tcW w:w="469" w:type="pct"/>
                  <w:shd w:val="clear" w:color="auto" w:fill="auto"/>
                  <w:vAlign w:val="center"/>
                </w:tcPr>
                <w:p w14:paraId="1270300C">
                  <w:pPr>
                    <w:ind w:firstLine="0" w:firstLineChars="0"/>
                    <w:jc w:val="center"/>
                    <w:rPr>
                      <w:color w:val="auto"/>
                      <w:szCs w:val="21"/>
                    </w:rPr>
                  </w:pPr>
                  <w:r>
                    <w:rPr>
                      <w:color w:val="auto"/>
                      <w:szCs w:val="21"/>
                    </w:rPr>
                    <w:t>79.27</w:t>
                  </w:r>
                </w:p>
              </w:tc>
              <w:tc>
                <w:tcPr>
                  <w:tcW w:w="473" w:type="pct"/>
                  <w:shd w:val="clear" w:color="auto" w:fill="auto"/>
                  <w:vAlign w:val="center"/>
                </w:tcPr>
                <w:p w14:paraId="6A47F747">
                  <w:pPr>
                    <w:ind w:firstLine="0" w:firstLineChars="0"/>
                    <w:jc w:val="center"/>
                    <w:rPr>
                      <w:color w:val="auto"/>
                      <w:szCs w:val="21"/>
                    </w:rPr>
                  </w:pPr>
                  <w:r>
                    <w:rPr>
                      <w:color w:val="auto"/>
                      <w:szCs w:val="21"/>
                    </w:rPr>
                    <w:t>1.0</w:t>
                  </w:r>
                </w:p>
              </w:tc>
              <w:tc>
                <w:tcPr>
                  <w:tcW w:w="581" w:type="pct"/>
                  <w:shd w:val="clear" w:color="auto" w:fill="auto"/>
                  <w:vAlign w:val="center"/>
                </w:tcPr>
                <w:p w14:paraId="11F69885">
                  <w:pPr>
                    <w:ind w:firstLine="0" w:firstLineChars="0"/>
                    <w:jc w:val="center"/>
                    <w:rPr>
                      <w:color w:val="auto"/>
                      <w:szCs w:val="21"/>
                    </w:rPr>
                  </w:pPr>
                  <w:r>
                    <w:rPr>
                      <w:color w:val="auto"/>
                      <w:szCs w:val="21"/>
                    </w:rPr>
                    <w:t>昼</w:t>
                  </w:r>
                </w:p>
              </w:tc>
              <w:tc>
                <w:tcPr>
                  <w:tcW w:w="829" w:type="pct"/>
                  <w:shd w:val="clear" w:color="auto" w:fill="auto"/>
                  <w:vAlign w:val="center"/>
                </w:tcPr>
                <w:p w14:paraId="742E655F">
                  <w:pPr>
                    <w:ind w:firstLine="0" w:firstLineChars="0"/>
                    <w:jc w:val="center"/>
                    <w:rPr>
                      <w:color w:val="auto"/>
                      <w:szCs w:val="21"/>
                    </w:rPr>
                  </w:pPr>
                  <w:r>
                    <w:rPr>
                      <w:color w:val="auto"/>
                      <w:szCs w:val="21"/>
                    </w:rPr>
                    <w:t>4</w:t>
                  </w:r>
                  <w:r>
                    <w:rPr>
                      <w:rFonts w:hint="eastAsia"/>
                      <w:color w:val="auto"/>
                      <w:szCs w:val="21"/>
                    </w:rPr>
                    <w:t>3.20</w:t>
                  </w:r>
                </w:p>
              </w:tc>
              <w:tc>
                <w:tcPr>
                  <w:tcW w:w="830" w:type="pct"/>
                  <w:shd w:val="clear" w:color="auto" w:fill="auto"/>
                  <w:vAlign w:val="center"/>
                </w:tcPr>
                <w:p w14:paraId="6C036E77">
                  <w:pPr>
                    <w:ind w:firstLine="0" w:firstLineChars="0"/>
                    <w:jc w:val="center"/>
                    <w:rPr>
                      <w:color w:val="auto"/>
                      <w:szCs w:val="21"/>
                    </w:rPr>
                  </w:pPr>
                  <w:r>
                    <w:rPr>
                      <w:rFonts w:hint="eastAsia"/>
                      <w:color w:val="auto"/>
                      <w:szCs w:val="21"/>
                    </w:rPr>
                    <w:t>60</w:t>
                  </w:r>
                </w:p>
              </w:tc>
              <w:tc>
                <w:tcPr>
                  <w:tcW w:w="698" w:type="pct"/>
                  <w:shd w:val="clear" w:color="auto" w:fill="auto"/>
                  <w:vAlign w:val="center"/>
                </w:tcPr>
                <w:p w14:paraId="345E0EF7">
                  <w:pPr>
                    <w:ind w:firstLine="0" w:firstLineChars="0"/>
                    <w:jc w:val="center"/>
                    <w:rPr>
                      <w:color w:val="auto"/>
                      <w:szCs w:val="21"/>
                    </w:rPr>
                  </w:pPr>
                  <w:r>
                    <w:rPr>
                      <w:color w:val="auto"/>
                      <w:szCs w:val="21"/>
                    </w:rPr>
                    <w:t>达标</w:t>
                  </w:r>
                </w:p>
              </w:tc>
            </w:tr>
            <w:tr w14:paraId="1190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shd w:val="clear" w:color="auto" w:fill="auto"/>
                  <w:vAlign w:val="center"/>
                </w:tcPr>
                <w:p w14:paraId="59278CCC">
                  <w:pPr>
                    <w:ind w:firstLine="0" w:firstLineChars="0"/>
                    <w:jc w:val="center"/>
                    <w:rPr>
                      <w:color w:val="auto"/>
                      <w:szCs w:val="21"/>
                    </w:rPr>
                  </w:pPr>
                  <w:r>
                    <w:rPr>
                      <w:bCs/>
                      <w:color w:val="auto"/>
                      <w:szCs w:val="21"/>
                    </w:rPr>
                    <w:t>注：表中坐标以厂界中心（E103°13′16.32825″</w:t>
                  </w:r>
                  <w:r>
                    <w:rPr>
                      <w:rFonts w:hint="eastAsia"/>
                      <w:bCs/>
                      <w:color w:val="auto"/>
                      <w:szCs w:val="21"/>
                    </w:rPr>
                    <w:t>，</w:t>
                  </w:r>
                  <w:r>
                    <w:rPr>
                      <w:bCs/>
                      <w:color w:val="auto"/>
                      <w:szCs w:val="21"/>
                    </w:rPr>
                    <w:t>N25°32′59.17080″）为坐标原点，正东向为X轴正方向，正北向为Y轴正方向。</w:t>
                  </w:r>
                </w:p>
              </w:tc>
            </w:tr>
          </w:tbl>
          <w:p w14:paraId="30390260">
            <w:pPr>
              <w:autoSpaceDE w:val="0"/>
              <w:autoSpaceDN w:val="0"/>
              <w:spacing w:line="360" w:lineRule="auto"/>
              <w:ind w:firstLine="0" w:firstLineChars="0"/>
              <w:jc w:val="center"/>
              <w:rPr>
                <w:color w:val="auto"/>
                <w:sz w:val="24"/>
                <w:lang w:val="zh-CN" w:bidi="ar"/>
              </w:rPr>
            </w:pPr>
            <w:r>
              <w:rPr>
                <w:color w:val="auto"/>
              </w:rPr>
              <mc:AlternateContent>
                <mc:Choice Requires="wps">
                  <w:drawing>
                    <wp:anchor distT="0" distB="0" distL="114300" distR="114300" simplePos="0" relativeHeight="251661312" behindDoc="0" locked="0" layoutInCell="1" allowOverlap="1">
                      <wp:simplePos x="0" y="0"/>
                      <wp:positionH relativeFrom="column">
                        <wp:posOffset>88900</wp:posOffset>
                      </wp:positionH>
                      <wp:positionV relativeFrom="paragraph">
                        <wp:posOffset>2874010</wp:posOffset>
                      </wp:positionV>
                      <wp:extent cx="952500" cy="276225"/>
                      <wp:effectExtent l="0" t="0" r="0" b="9525"/>
                      <wp:wrapNone/>
                      <wp:docPr id="40" name="文本框 40"/>
                      <wp:cNvGraphicFramePr/>
                      <a:graphic xmlns:a="http://schemas.openxmlformats.org/drawingml/2006/main">
                        <a:graphicData uri="http://schemas.microsoft.com/office/word/2010/wordprocessingShape">
                          <wps:wsp>
                            <wps:cNvSpPr txBox="1"/>
                            <wps:spPr>
                              <a:xfrm>
                                <a:off x="1146810" y="3766185"/>
                                <a:ext cx="95250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ACEAAD">
                                  <w:pPr>
                                    <w:ind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pt;margin-top:226.3pt;height:21.75pt;width:75pt;z-index:251661312;mso-width-relative:page;mso-height-relative:page;" fillcolor="#FFFFFF [3201]" filled="t" stroked="f" coordsize="21600,21600" o:gfxdata="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t57PdMA&#10;AAAKAQAADwAAAAAAAAABACAAAAAiAAAAZHJzL2Rvd25yZXYueG1sUEsBAhQAFAAAAAgAh07iQDyq&#10;6K9dAgAAnAQAAA4AAAAAAAAAAQAgAAAAIgEAAGRycy9lMm9Eb2MueG1sUEsFBgAAAAAGAAYAWQEA&#10;APEFAAAAAA==&#10;">
                      <v:fill on="t" focussize="0,0"/>
                      <v:stroke on="f" weight="0.5pt"/>
                      <v:imagedata o:title=""/>
                      <o:lock v:ext="edit" aspectratio="f"/>
                      <v:textbox>
                        <w:txbxContent>
                          <w:p w14:paraId="33ACEAAD">
                            <w:pPr>
                              <w:ind w:firstLine="420"/>
                            </w:pPr>
                          </w:p>
                        </w:txbxContent>
                      </v:textbox>
                    </v:shap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88900</wp:posOffset>
                      </wp:positionH>
                      <wp:positionV relativeFrom="paragraph">
                        <wp:posOffset>750570</wp:posOffset>
                      </wp:positionV>
                      <wp:extent cx="895350" cy="256540"/>
                      <wp:effectExtent l="0" t="0" r="0" b="10160"/>
                      <wp:wrapNone/>
                      <wp:docPr id="8" name="文本框 8"/>
                      <wp:cNvGraphicFramePr/>
                      <a:graphic xmlns:a="http://schemas.openxmlformats.org/drawingml/2006/main">
                        <a:graphicData uri="http://schemas.microsoft.com/office/word/2010/wordprocessingShape">
                          <wps:wsp>
                            <wps:cNvSpPr txBox="1"/>
                            <wps:spPr>
                              <a:xfrm>
                                <a:off x="1146810" y="1689735"/>
                                <a:ext cx="895350" cy="256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5DBD3D">
                                  <w:pPr>
                                    <w:ind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pt;margin-top:59.1pt;height:20.2pt;width:70.5pt;z-index:251660288;mso-width-relative:page;mso-height-relative:page;" fillcolor="#FFFFFF [3201]" filled="t" stroked="f" coordsize="21600,21600" o:gfxdata="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KwW7LSAAAACgEA&#10;AA8AAAAAAAAAAQAgAAAAIgAAAGRycy9kb3ducmV2LnhtbFBLAQIUABQAAAAIAIdO4kAsnUATWQIA&#10;AJoEAAAOAAAAAAAAAAEAIAAAACEBAABkcnMvZTJvRG9jLnhtbFBLBQYAAAAABgAGAFkBAADsBQAA&#10;AAA=&#10;">
                      <v:fill on="t" focussize="0,0"/>
                      <v:stroke on="f" weight="0.5pt"/>
                      <v:imagedata o:title=""/>
                      <o:lock v:ext="edit" aspectratio="f"/>
                      <v:textbox>
                        <w:txbxContent>
                          <w:p w14:paraId="325DBD3D">
                            <w:pPr>
                              <w:ind w:firstLine="420"/>
                            </w:pPr>
                          </w:p>
                        </w:txbxContent>
                      </v:textbox>
                    </v:shape>
                  </w:pict>
                </mc:Fallback>
              </mc:AlternateContent>
            </w:r>
            <w:r>
              <w:rPr>
                <w:color w:val="auto"/>
              </w:rPr>
              <w:drawing>
                <wp:inline distT="0" distB="0" distL="114300" distR="114300">
                  <wp:extent cx="5645150" cy="3575685"/>
                  <wp:effectExtent l="0" t="0" r="12700" b="571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5"/>
                          <a:stretch>
                            <a:fillRect/>
                          </a:stretch>
                        </pic:blipFill>
                        <pic:spPr>
                          <a:xfrm>
                            <a:off x="0" y="0"/>
                            <a:ext cx="5645150" cy="3575685"/>
                          </a:xfrm>
                          <a:prstGeom prst="rect">
                            <a:avLst/>
                          </a:prstGeom>
                          <a:noFill/>
                          <a:ln>
                            <a:noFill/>
                          </a:ln>
                        </pic:spPr>
                      </pic:pic>
                    </a:graphicData>
                  </a:graphic>
                </wp:inline>
              </w:drawing>
            </w:r>
          </w:p>
          <w:p w14:paraId="4FC0C774">
            <w:pPr>
              <w:pStyle w:val="57"/>
              <w:ind w:firstLine="422"/>
              <w:jc w:val="center"/>
              <w:rPr>
                <w:rFonts w:ascii="Times New Roman" w:hAnsi="Times New Roman"/>
                <w:b/>
                <w:bCs/>
                <w:color w:val="auto"/>
                <w:sz w:val="21"/>
                <w:szCs w:val="21"/>
              </w:rPr>
            </w:pPr>
            <w:r>
              <w:rPr>
                <w:rFonts w:ascii="Times New Roman" w:hAnsi="Times New Roman"/>
                <w:b/>
                <w:bCs/>
                <w:color w:val="auto"/>
                <w:sz w:val="21"/>
                <w:szCs w:val="21"/>
              </w:rPr>
              <w:t>图4-1 等声值线图</w:t>
            </w:r>
          </w:p>
          <w:p w14:paraId="38112B1B">
            <w:pPr>
              <w:pStyle w:val="57"/>
              <w:ind w:firstLine="422"/>
              <w:jc w:val="center"/>
              <w:rPr>
                <w:rFonts w:ascii="Times New Roman" w:hAnsi="Times New Roman"/>
                <w:b/>
                <w:bCs/>
                <w:color w:val="auto"/>
                <w:sz w:val="21"/>
                <w:szCs w:val="21"/>
              </w:rPr>
            </w:pPr>
            <w:r>
              <w:rPr>
                <w:rFonts w:ascii="Times New Roman" w:hAnsi="Times New Roman"/>
                <w:b/>
                <w:bCs/>
                <w:color w:val="auto"/>
                <w:sz w:val="21"/>
                <w:szCs w:val="21"/>
              </w:rPr>
              <w:t>表4-1</w:t>
            </w:r>
            <w:r>
              <w:rPr>
                <w:rFonts w:hint="eastAsia" w:ascii="Times New Roman" w:hAnsi="Times New Roman"/>
                <w:b/>
                <w:bCs/>
                <w:color w:val="auto"/>
                <w:sz w:val="21"/>
                <w:szCs w:val="21"/>
                <w:lang w:val="en-US" w:eastAsia="zh-CN"/>
              </w:rPr>
              <w:t>8</w:t>
            </w:r>
            <w:r>
              <w:rPr>
                <w:rFonts w:ascii="Times New Roman" w:hAnsi="Times New Roman"/>
                <w:b/>
                <w:bCs/>
                <w:color w:val="auto"/>
                <w:sz w:val="21"/>
                <w:szCs w:val="21"/>
              </w:rPr>
              <w:t xml:space="preserve"> 厂界噪声预测与背景值叠加分析</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60"/>
              <w:gridCol w:w="1295"/>
              <w:gridCol w:w="1260"/>
              <w:gridCol w:w="1295"/>
              <w:gridCol w:w="1260"/>
              <w:gridCol w:w="1261"/>
            </w:tblGrid>
            <w:tr w14:paraId="4F98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960" w:type="dxa"/>
                  <w:vAlign w:val="center"/>
                </w:tcPr>
                <w:p w14:paraId="5FBCEE23">
                  <w:pPr>
                    <w:pStyle w:val="57"/>
                    <w:widowControl/>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方位</w:t>
                  </w:r>
                </w:p>
              </w:tc>
              <w:tc>
                <w:tcPr>
                  <w:tcW w:w="1560" w:type="dxa"/>
                  <w:vAlign w:val="center"/>
                </w:tcPr>
                <w:p w14:paraId="39846482">
                  <w:pPr>
                    <w:pStyle w:val="57"/>
                    <w:widowControl/>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时段</w:t>
                  </w:r>
                </w:p>
              </w:tc>
              <w:tc>
                <w:tcPr>
                  <w:tcW w:w="1295" w:type="dxa"/>
                  <w:vAlign w:val="center"/>
                </w:tcPr>
                <w:p w14:paraId="6F8F0FB4">
                  <w:pPr>
                    <w:pStyle w:val="57"/>
                    <w:widowControl/>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预测值</w:t>
                  </w:r>
                </w:p>
              </w:tc>
              <w:tc>
                <w:tcPr>
                  <w:tcW w:w="1260" w:type="dxa"/>
                  <w:vAlign w:val="center"/>
                </w:tcPr>
                <w:p w14:paraId="52F113FC">
                  <w:pPr>
                    <w:pStyle w:val="57"/>
                    <w:widowControl/>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背景值</w:t>
                  </w:r>
                </w:p>
              </w:tc>
              <w:tc>
                <w:tcPr>
                  <w:tcW w:w="1295" w:type="dxa"/>
                  <w:vAlign w:val="center"/>
                </w:tcPr>
                <w:p w14:paraId="05828982">
                  <w:pPr>
                    <w:pStyle w:val="57"/>
                    <w:widowControl/>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叠加值</w:t>
                  </w:r>
                </w:p>
              </w:tc>
              <w:tc>
                <w:tcPr>
                  <w:tcW w:w="1260" w:type="dxa"/>
                  <w:vAlign w:val="center"/>
                </w:tcPr>
                <w:p w14:paraId="49F5A04E">
                  <w:pPr>
                    <w:pStyle w:val="57"/>
                    <w:widowControl/>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标准限制</w:t>
                  </w:r>
                </w:p>
              </w:tc>
              <w:tc>
                <w:tcPr>
                  <w:tcW w:w="1261" w:type="dxa"/>
                  <w:vAlign w:val="center"/>
                </w:tcPr>
                <w:p w14:paraId="50EB32A3">
                  <w:pPr>
                    <w:pStyle w:val="57"/>
                    <w:widowControl/>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达标情况</w:t>
                  </w:r>
                </w:p>
              </w:tc>
            </w:tr>
            <w:tr w14:paraId="35A7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960" w:type="dxa"/>
                  <w:vAlign w:val="center"/>
                </w:tcPr>
                <w:p w14:paraId="67765BF7">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东</w:t>
                  </w:r>
                </w:p>
              </w:tc>
              <w:tc>
                <w:tcPr>
                  <w:tcW w:w="1560" w:type="dxa"/>
                  <w:vAlign w:val="center"/>
                </w:tcPr>
                <w:p w14:paraId="7462F559">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昼</w:t>
                  </w:r>
                </w:p>
              </w:tc>
              <w:tc>
                <w:tcPr>
                  <w:tcW w:w="1295" w:type="dxa"/>
                  <w:vAlign w:val="center"/>
                </w:tcPr>
                <w:p w14:paraId="3DDCA48C">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48.54</w:t>
                  </w:r>
                </w:p>
              </w:tc>
              <w:tc>
                <w:tcPr>
                  <w:tcW w:w="1260" w:type="dxa"/>
                  <w:vAlign w:val="center"/>
                </w:tcPr>
                <w:p w14:paraId="1BC817B9">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56</w:t>
                  </w:r>
                </w:p>
              </w:tc>
              <w:tc>
                <w:tcPr>
                  <w:tcW w:w="1295" w:type="dxa"/>
                  <w:vAlign w:val="center"/>
                </w:tcPr>
                <w:p w14:paraId="4F8737B0">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56.</w:t>
                  </w:r>
                  <w:r>
                    <w:rPr>
                      <w:rFonts w:hint="eastAsia" w:ascii="Times New Roman" w:hAnsi="Times New Roman"/>
                      <w:color w:val="auto"/>
                      <w:sz w:val="21"/>
                      <w:szCs w:val="21"/>
                    </w:rPr>
                    <w:t>72</w:t>
                  </w:r>
                </w:p>
              </w:tc>
              <w:tc>
                <w:tcPr>
                  <w:tcW w:w="1260" w:type="dxa"/>
                  <w:vAlign w:val="center"/>
                </w:tcPr>
                <w:p w14:paraId="453A5BF1">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60</w:t>
                  </w:r>
                </w:p>
              </w:tc>
              <w:tc>
                <w:tcPr>
                  <w:tcW w:w="1261" w:type="dxa"/>
                  <w:vAlign w:val="center"/>
                </w:tcPr>
                <w:p w14:paraId="0A54AFED">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达标</w:t>
                  </w:r>
                </w:p>
              </w:tc>
            </w:tr>
            <w:tr w14:paraId="4EB9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14:paraId="38628AE2">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南</w:t>
                  </w:r>
                </w:p>
              </w:tc>
              <w:tc>
                <w:tcPr>
                  <w:tcW w:w="1560" w:type="dxa"/>
                  <w:vAlign w:val="center"/>
                </w:tcPr>
                <w:p w14:paraId="3F8D74AD">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昼</w:t>
                  </w:r>
                </w:p>
              </w:tc>
              <w:tc>
                <w:tcPr>
                  <w:tcW w:w="1295" w:type="dxa"/>
                  <w:vAlign w:val="center"/>
                </w:tcPr>
                <w:p w14:paraId="5663FD19">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45.92</w:t>
                  </w:r>
                </w:p>
              </w:tc>
              <w:tc>
                <w:tcPr>
                  <w:tcW w:w="1260" w:type="dxa"/>
                  <w:vAlign w:val="center"/>
                </w:tcPr>
                <w:p w14:paraId="428ADE84">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56</w:t>
                  </w:r>
                </w:p>
              </w:tc>
              <w:tc>
                <w:tcPr>
                  <w:tcW w:w="1295" w:type="dxa"/>
                  <w:vAlign w:val="center"/>
                </w:tcPr>
                <w:p w14:paraId="6789D3EC">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5</w:t>
                  </w:r>
                  <w:r>
                    <w:rPr>
                      <w:rFonts w:hint="eastAsia" w:ascii="Times New Roman" w:hAnsi="Times New Roman"/>
                      <w:color w:val="auto"/>
                      <w:sz w:val="21"/>
                      <w:szCs w:val="21"/>
                    </w:rPr>
                    <w:t>6.41</w:t>
                  </w:r>
                </w:p>
              </w:tc>
              <w:tc>
                <w:tcPr>
                  <w:tcW w:w="1260" w:type="dxa"/>
                  <w:vAlign w:val="center"/>
                </w:tcPr>
                <w:p w14:paraId="5E807F94">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60</w:t>
                  </w:r>
                </w:p>
              </w:tc>
              <w:tc>
                <w:tcPr>
                  <w:tcW w:w="1261" w:type="dxa"/>
                  <w:vAlign w:val="center"/>
                </w:tcPr>
                <w:p w14:paraId="3B4D7551">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达标</w:t>
                  </w:r>
                </w:p>
              </w:tc>
            </w:tr>
            <w:tr w14:paraId="7F6D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14:paraId="42B1017E">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西</w:t>
                  </w:r>
                </w:p>
              </w:tc>
              <w:tc>
                <w:tcPr>
                  <w:tcW w:w="1560" w:type="dxa"/>
                  <w:vAlign w:val="center"/>
                </w:tcPr>
                <w:p w14:paraId="6C9777D0">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昼</w:t>
                  </w:r>
                </w:p>
              </w:tc>
              <w:tc>
                <w:tcPr>
                  <w:tcW w:w="1295" w:type="dxa"/>
                  <w:vAlign w:val="center"/>
                </w:tcPr>
                <w:p w14:paraId="02802809">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42.76</w:t>
                  </w:r>
                </w:p>
              </w:tc>
              <w:tc>
                <w:tcPr>
                  <w:tcW w:w="1260" w:type="dxa"/>
                  <w:vAlign w:val="center"/>
                </w:tcPr>
                <w:p w14:paraId="3AEF8152">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56</w:t>
                  </w:r>
                </w:p>
              </w:tc>
              <w:tc>
                <w:tcPr>
                  <w:tcW w:w="1295" w:type="dxa"/>
                  <w:vAlign w:val="center"/>
                </w:tcPr>
                <w:p w14:paraId="65E0C683">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56.20</w:t>
                  </w:r>
                </w:p>
              </w:tc>
              <w:tc>
                <w:tcPr>
                  <w:tcW w:w="1260" w:type="dxa"/>
                  <w:vAlign w:val="center"/>
                </w:tcPr>
                <w:p w14:paraId="11C2D5E4">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60</w:t>
                  </w:r>
                </w:p>
              </w:tc>
              <w:tc>
                <w:tcPr>
                  <w:tcW w:w="1261" w:type="dxa"/>
                  <w:vAlign w:val="center"/>
                </w:tcPr>
                <w:p w14:paraId="0D05D9A8">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达标</w:t>
                  </w:r>
                </w:p>
              </w:tc>
            </w:tr>
            <w:tr w14:paraId="0130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14:paraId="040FA818">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北</w:t>
                  </w:r>
                </w:p>
              </w:tc>
              <w:tc>
                <w:tcPr>
                  <w:tcW w:w="1560" w:type="dxa"/>
                  <w:vAlign w:val="center"/>
                </w:tcPr>
                <w:p w14:paraId="27324B2B">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昼</w:t>
                  </w:r>
                </w:p>
              </w:tc>
              <w:tc>
                <w:tcPr>
                  <w:tcW w:w="1295" w:type="dxa"/>
                  <w:vAlign w:val="center"/>
                </w:tcPr>
                <w:p w14:paraId="6EE81904">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43.20</w:t>
                  </w:r>
                </w:p>
              </w:tc>
              <w:tc>
                <w:tcPr>
                  <w:tcW w:w="1260" w:type="dxa"/>
                  <w:vAlign w:val="center"/>
                </w:tcPr>
                <w:p w14:paraId="7181F93B">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56</w:t>
                  </w:r>
                </w:p>
              </w:tc>
              <w:tc>
                <w:tcPr>
                  <w:tcW w:w="1295" w:type="dxa"/>
                  <w:vAlign w:val="center"/>
                </w:tcPr>
                <w:p w14:paraId="2E242454">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56.22</w:t>
                  </w:r>
                </w:p>
              </w:tc>
              <w:tc>
                <w:tcPr>
                  <w:tcW w:w="1260" w:type="dxa"/>
                  <w:vAlign w:val="center"/>
                </w:tcPr>
                <w:p w14:paraId="0CB7FBBB">
                  <w:pPr>
                    <w:pStyle w:val="57"/>
                    <w:widowControl/>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60</w:t>
                  </w:r>
                </w:p>
              </w:tc>
              <w:tc>
                <w:tcPr>
                  <w:tcW w:w="1261" w:type="dxa"/>
                  <w:vAlign w:val="center"/>
                </w:tcPr>
                <w:p w14:paraId="345F2CFD">
                  <w:pPr>
                    <w:pStyle w:val="57"/>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达标</w:t>
                  </w:r>
                </w:p>
              </w:tc>
            </w:tr>
          </w:tbl>
          <w:p w14:paraId="02B7D7AF">
            <w:pPr>
              <w:autoSpaceDE w:val="0"/>
              <w:autoSpaceDN w:val="0"/>
              <w:spacing w:line="360" w:lineRule="auto"/>
              <w:ind w:firstLine="480"/>
              <w:rPr>
                <w:color w:val="auto"/>
                <w:sz w:val="24"/>
                <w:lang w:val="zh-CN"/>
              </w:rPr>
            </w:pPr>
            <w:r>
              <w:rPr>
                <w:color w:val="auto"/>
                <w:sz w:val="24"/>
                <w:lang w:val="zh-CN" w:bidi="ar"/>
              </w:rPr>
              <w:t>本项目装载机为间歇式工作运行时间短，本项目不涉及发电机，机械设备运转产生的噪声经减振、墙体隔声、距离衰减后，经预测本项目厂区设备噪声在</w:t>
            </w:r>
            <w:r>
              <w:rPr>
                <w:rFonts w:hint="eastAsia"/>
                <w:color w:val="auto"/>
                <w:sz w:val="24"/>
                <w:lang w:bidi="ar"/>
              </w:rPr>
              <w:t>原</w:t>
            </w:r>
            <w:r>
              <w:rPr>
                <w:color w:val="auto"/>
                <w:sz w:val="24"/>
                <w:lang w:val="zh-CN"/>
              </w:rPr>
              <w:t>厂界均可达到《工业企业厂界环境噪声排放标准》</w:t>
            </w:r>
            <w:r>
              <w:rPr>
                <w:rFonts w:hint="eastAsia"/>
                <w:color w:val="auto"/>
                <w:sz w:val="24"/>
                <w:lang w:val="zh-CN"/>
              </w:rPr>
              <w:t>（</w:t>
            </w:r>
            <w:r>
              <w:rPr>
                <w:color w:val="auto"/>
                <w:sz w:val="24"/>
                <w:lang w:val="zh-CN"/>
              </w:rPr>
              <w:t>GB12348-2008</w:t>
            </w:r>
            <w:r>
              <w:rPr>
                <w:rFonts w:hint="eastAsia"/>
                <w:color w:val="auto"/>
                <w:sz w:val="24"/>
                <w:lang w:val="zh-CN"/>
              </w:rPr>
              <w:t>）</w:t>
            </w:r>
            <w:r>
              <w:rPr>
                <w:rFonts w:hint="eastAsia"/>
                <w:color w:val="auto"/>
                <w:sz w:val="24"/>
              </w:rPr>
              <w:t>2</w:t>
            </w:r>
            <w:r>
              <w:rPr>
                <w:color w:val="auto"/>
                <w:sz w:val="24"/>
                <w:lang w:val="zh-CN"/>
              </w:rPr>
              <w:t>类标准，厂界噪声可实现达标排放。项目周围主要为工业企业和道路，</w:t>
            </w:r>
            <w:r>
              <w:rPr>
                <w:color w:val="auto"/>
                <w:sz w:val="24"/>
              </w:rPr>
              <w:t>50m内无</w:t>
            </w:r>
            <w:r>
              <w:rPr>
                <w:color w:val="auto"/>
                <w:sz w:val="24"/>
                <w:lang w:val="zh-CN"/>
              </w:rPr>
              <w:t>居民</w:t>
            </w:r>
            <w:r>
              <w:rPr>
                <w:color w:val="auto"/>
                <w:sz w:val="24"/>
              </w:rPr>
              <w:t>居住</w:t>
            </w:r>
            <w:r>
              <w:rPr>
                <w:color w:val="auto"/>
                <w:sz w:val="24"/>
                <w:lang w:val="zh-CN"/>
              </w:rPr>
              <w:t>，项目运营期产生的噪声对周围环境保护目标影响较小。</w:t>
            </w:r>
          </w:p>
          <w:p w14:paraId="5F520CCE">
            <w:pPr>
              <w:autoSpaceDE w:val="0"/>
              <w:autoSpaceDN w:val="0"/>
              <w:spacing w:line="360" w:lineRule="auto"/>
              <w:ind w:firstLine="480"/>
              <w:rPr>
                <w:color w:val="auto"/>
                <w:sz w:val="24"/>
              </w:rPr>
            </w:pPr>
            <w:r>
              <w:rPr>
                <w:color w:val="auto"/>
                <w:sz w:val="24"/>
              </w:rPr>
              <w:t>为了减小噪声对区域声环境的不利影响，本环评要求采取如下噪声防治措施：</w:t>
            </w:r>
          </w:p>
          <w:p w14:paraId="72CA6A71">
            <w:pPr>
              <w:autoSpaceDE w:val="0"/>
              <w:autoSpaceDN w:val="0"/>
              <w:spacing w:line="360" w:lineRule="auto"/>
              <w:ind w:firstLine="480"/>
              <w:rPr>
                <w:color w:val="auto"/>
                <w:sz w:val="24"/>
              </w:rPr>
            </w:pPr>
            <w:r>
              <w:rPr>
                <w:color w:val="auto"/>
                <w:sz w:val="24"/>
              </w:rPr>
              <w:t>①优化厂区布局，将产生噪声较高的</w:t>
            </w:r>
            <w:r>
              <w:rPr>
                <w:rFonts w:hint="eastAsia"/>
                <w:color w:val="auto"/>
                <w:sz w:val="24"/>
              </w:rPr>
              <w:t>拌合站</w:t>
            </w:r>
            <w:r>
              <w:rPr>
                <w:color w:val="auto"/>
                <w:sz w:val="24"/>
              </w:rPr>
              <w:t>布置于场地中部，在东侧应考虑增加项目围挡，并在厂界四周尽量种植高大乔木，以起到隔声降噪的作用；</w:t>
            </w:r>
          </w:p>
          <w:p w14:paraId="06F1FF56">
            <w:pPr>
              <w:autoSpaceDE w:val="0"/>
              <w:autoSpaceDN w:val="0"/>
              <w:adjustRightInd w:val="0"/>
              <w:spacing w:line="360" w:lineRule="auto"/>
              <w:ind w:firstLine="480"/>
              <w:jc w:val="left"/>
              <w:rPr>
                <w:color w:val="auto"/>
                <w:sz w:val="24"/>
              </w:rPr>
            </w:pPr>
            <w:r>
              <w:rPr>
                <w:color w:val="auto"/>
                <w:sz w:val="24"/>
              </w:rPr>
              <w:t>②对于空气动力性噪声的机械设备，出风口加装消声器，并将空压机布置在封闭机房内；</w:t>
            </w:r>
          </w:p>
          <w:p w14:paraId="25ECD3EA">
            <w:pPr>
              <w:autoSpaceDE w:val="0"/>
              <w:autoSpaceDN w:val="0"/>
              <w:adjustRightInd w:val="0"/>
              <w:spacing w:line="360" w:lineRule="auto"/>
              <w:ind w:firstLine="480"/>
              <w:jc w:val="left"/>
              <w:rPr>
                <w:color w:val="auto"/>
                <w:sz w:val="24"/>
              </w:rPr>
            </w:pPr>
            <w:r>
              <w:rPr>
                <w:color w:val="auto"/>
                <w:sz w:val="24"/>
              </w:rPr>
              <w:t>③皮带输送机采用封闭输送；</w:t>
            </w:r>
          </w:p>
          <w:p w14:paraId="72E52B53">
            <w:pPr>
              <w:autoSpaceDE w:val="0"/>
              <w:autoSpaceDN w:val="0"/>
              <w:adjustRightInd w:val="0"/>
              <w:spacing w:line="360" w:lineRule="auto"/>
              <w:ind w:firstLine="480"/>
              <w:jc w:val="left"/>
              <w:rPr>
                <w:color w:val="auto"/>
                <w:sz w:val="24"/>
              </w:rPr>
            </w:pPr>
            <w:r>
              <w:rPr>
                <w:color w:val="auto"/>
                <w:sz w:val="24"/>
              </w:rPr>
              <w:t>④强化行车管理制度，厂区内严禁鸣号，进入厂区低速行驶，最大限度减少流动噪声源；</w:t>
            </w:r>
          </w:p>
          <w:p w14:paraId="2125FDFB">
            <w:pPr>
              <w:autoSpaceDE w:val="0"/>
              <w:autoSpaceDN w:val="0"/>
              <w:adjustRightInd w:val="0"/>
              <w:spacing w:line="360" w:lineRule="auto"/>
              <w:ind w:firstLine="480"/>
              <w:jc w:val="left"/>
              <w:rPr>
                <w:color w:val="auto"/>
                <w:sz w:val="24"/>
              </w:rPr>
            </w:pPr>
            <w:r>
              <w:rPr>
                <w:color w:val="auto"/>
                <w:sz w:val="24"/>
              </w:rPr>
              <w:t>⑤</w:t>
            </w:r>
            <w:r>
              <w:rPr>
                <w:rFonts w:hint="eastAsia"/>
                <w:color w:val="auto"/>
                <w:sz w:val="24"/>
              </w:rPr>
              <w:t>科学</w:t>
            </w:r>
            <w:r>
              <w:rPr>
                <w:color w:val="auto"/>
                <w:sz w:val="24"/>
              </w:rPr>
              <w:t>合理安排生产时间，若因生产需要存在夜间连续生产，</w:t>
            </w:r>
            <w:r>
              <w:rPr>
                <w:rFonts w:hint="eastAsia"/>
                <w:color w:val="auto"/>
                <w:sz w:val="24"/>
              </w:rPr>
              <w:t>需降低生产设备负荷，夜间噪声接近</w:t>
            </w:r>
            <w:r>
              <w:rPr>
                <w:color w:val="auto"/>
                <w:sz w:val="24"/>
                <w:lang w:val="zh-CN"/>
              </w:rPr>
              <w:t>《工业企业厂界环境噪声排放标准》</w:t>
            </w:r>
            <w:r>
              <w:rPr>
                <w:rFonts w:hint="eastAsia"/>
                <w:color w:val="auto"/>
                <w:sz w:val="24"/>
                <w:lang w:val="zh-CN"/>
              </w:rPr>
              <w:t>（</w:t>
            </w:r>
            <w:r>
              <w:rPr>
                <w:color w:val="auto"/>
                <w:sz w:val="24"/>
                <w:lang w:val="zh-CN"/>
              </w:rPr>
              <w:t>GB12348-2008</w:t>
            </w:r>
            <w:r>
              <w:rPr>
                <w:rFonts w:hint="eastAsia"/>
                <w:color w:val="auto"/>
                <w:sz w:val="24"/>
                <w:lang w:val="zh-CN"/>
              </w:rPr>
              <w:t>）</w:t>
            </w:r>
            <w:r>
              <w:rPr>
                <w:rFonts w:hint="eastAsia"/>
                <w:color w:val="auto"/>
                <w:sz w:val="24"/>
              </w:rPr>
              <w:t>2</w:t>
            </w:r>
            <w:r>
              <w:rPr>
                <w:color w:val="auto"/>
                <w:sz w:val="24"/>
                <w:lang w:val="zh-CN"/>
              </w:rPr>
              <w:t>类标准</w:t>
            </w:r>
            <w:r>
              <w:rPr>
                <w:rFonts w:hint="eastAsia"/>
                <w:color w:val="auto"/>
                <w:sz w:val="24"/>
              </w:rPr>
              <w:t>限值</w:t>
            </w:r>
            <w:r>
              <w:rPr>
                <w:rFonts w:hint="eastAsia"/>
                <w:color w:val="auto"/>
                <w:sz w:val="24"/>
                <w:lang w:val="zh-CN"/>
              </w:rPr>
              <w:t>，</w:t>
            </w:r>
            <w:r>
              <w:rPr>
                <w:rFonts w:hint="eastAsia"/>
                <w:color w:val="auto"/>
                <w:sz w:val="24"/>
              </w:rPr>
              <w:t>夜间生产时保证降噪措施、设施正常运行，尽量安排远离居民区的生产设备生产，同时</w:t>
            </w:r>
            <w:r>
              <w:rPr>
                <w:color w:val="auto"/>
                <w:sz w:val="24"/>
              </w:rPr>
              <w:t>须报当地环保部门备案；</w:t>
            </w:r>
          </w:p>
          <w:p w14:paraId="534AE7E4">
            <w:pPr>
              <w:autoSpaceDE w:val="0"/>
              <w:autoSpaceDN w:val="0"/>
              <w:adjustRightInd w:val="0"/>
              <w:spacing w:line="360" w:lineRule="auto"/>
              <w:ind w:firstLine="480"/>
              <w:jc w:val="left"/>
              <w:rPr>
                <w:color w:val="auto"/>
                <w:sz w:val="24"/>
              </w:rPr>
            </w:pPr>
            <w:r>
              <w:rPr>
                <w:color w:val="auto"/>
                <w:sz w:val="24"/>
              </w:rPr>
              <w:t>⑥建立设备定期维护、保养的管理制度，避免设备运转非正常噪声。</w:t>
            </w:r>
          </w:p>
          <w:p w14:paraId="60EE0A75">
            <w:pPr>
              <w:autoSpaceDE w:val="0"/>
              <w:autoSpaceDN w:val="0"/>
              <w:adjustRightInd w:val="0"/>
              <w:spacing w:line="360" w:lineRule="auto"/>
              <w:ind w:firstLine="480"/>
              <w:jc w:val="left"/>
              <w:rPr>
                <w:color w:val="auto"/>
                <w:sz w:val="24"/>
              </w:rPr>
            </w:pPr>
            <w:r>
              <w:rPr>
                <w:color w:val="auto"/>
                <w:sz w:val="24"/>
              </w:rPr>
              <w:t>在严格采取上述对策防治措施后，项目厂界噪声可达GB12348-2008《工业企业厂界环境噪声排放标准》</w:t>
            </w:r>
            <w:r>
              <w:rPr>
                <w:rFonts w:hint="eastAsia"/>
                <w:color w:val="auto"/>
                <w:sz w:val="24"/>
                <w:lang w:val="en-US" w:eastAsia="zh-CN"/>
              </w:rPr>
              <w:t>2</w:t>
            </w:r>
            <w:r>
              <w:rPr>
                <w:color w:val="auto"/>
                <w:sz w:val="24"/>
              </w:rPr>
              <w:t>类标准，噪声对区域声环境影响不大。</w:t>
            </w:r>
          </w:p>
          <w:p w14:paraId="33D1956E">
            <w:pPr>
              <w:spacing w:line="360" w:lineRule="auto"/>
              <w:ind w:firstLine="480"/>
              <w:rPr>
                <w:color w:val="auto"/>
                <w:sz w:val="24"/>
              </w:rPr>
            </w:pPr>
            <w:r>
              <w:rPr>
                <w:color w:val="auto"/>
                <w:sz w:val="24"/>
              </w:rPr>
              <w:t>（4）监测要求</w:t>
            </w:r>
          </w:p>
          <w:p w14:paraId="6B8E792C">
            <w:pPr>
              <w:pStyle w:val="61"/>
              <w:adjustRightInd w:val="0"/>
              <w:snapToGrid w:val="0"/>
              <w:spacing w:line="360" w:lineRule="auto"/>
              <w:ind w:firstLine="480"/>
              <w:jc w:val="both"/>
              <w:rPr>
                <w:b/>
                <w:bCs/>
                <w:color w:val="auto"/>
                <w:szCs w:val="21"/>
              </w:rPr>
            </w:pPr>
            <w:r>
              <w:rPr>
                <w:color w:val="auto"/>
                <w:sz w:val="24"/>
                <w:szCs w:val="24"/>
              </w:rPr>
              <w:t>根据</w:t>
            </w:r>
            <w:r>
              <w:rPr>
                <w:color w:val="auto"/>
                <w:sz w:val="24"/>
              </w:rPr>
              <w:t>《排污单位自行监测技术指南 水泥工业》（HJ 848-2017）</w:t>
            </w:r>
            <w:r>
              <w:rPr>
                <w:color w:val="auto"/>
                <w:sz w:val="24"/>
                <w:szCs w:val="24"/>
              </w:rPr>
              <w:t>可知，本项目</w:t>
            </w:r>
            <w:r>
              <w:rPr>
                <w:color w:val="auto"/>
                <w:sz w:val="24"/>
              </w:rPr>
              <w:t>监测要求详见下表。</w:t>
            </w:r>
          </w:p>
          <w:p w14:paraId="3D21E386">
            <w:pPr>
              <w:pStyle w:val="61"/>
              <w:adjustRightInd w:val="0"/>
              <w:snapToGrid w:val="0"/>
              <w:ind w:firstLine="422"/>
              <w:rPr>
                <w:b/>
                <w:bCs/>
                <w:color w:val="auto"/>
                <w:szCs w:val="21"/>
              </w:rPr>
            </w:pPr>
            <w:r>
              <w:rPr>
                <w:b/>
                <w:bCs/>
                <w:color w:val="auto"/>
                <w:szCs w:val="21"/>
              </w:rPr>
              <w:t>表4-1</w:t>
            </w:r>
            <w:r>
              <w:rPr>
                <w:rFonts w:hint="eastAsia"/>
                <w:b/>
                <w:bCs/>
                <w:color w:val="auto"/>
                <w:szCs w:val="21"/>
                <w:lang w:val="en-US" w:eastAsia="zh-CN"/>
              </w:rPr>
              <w:t>9</w:t>
            </w:r>
            <w:r>
              <w:rPr>
                <w:b/>
                <w:bCs/>
                <w:color w:val="auto"/>
                <w:szCs w:val="21"/>
              </w:rPr>
              <w:t xml:space="preserve">  </w:t>
            </w:r>
            <w:r>
              <w:rPr>
                <w:rFonts w:hint="eastAsia"/>
                <w:b/>
                <w:bCs/>
                <w:color w:val="auto"/>
                <w:szCs w:val="21"/>
              </w:rPr>
              <w:t xml:space="preserve"> </w:t>
            </w:r>
            <w:r>
              <w:rPr>
                <w:b/>
                <w:bCs/>
                <w:color w:val="auto"/>
                <w:szCs w:val="21"/>
              </w:rPr>
              <w:t xml:space="preserve"> 噪声监测计划一览表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315"/>
              <w:gridCol w:w="1733"/>
              <w:gridCol w:w="1697"/>
              <w:gridCol w:w="2055"/>
            </w:tblGrid>
            <w:tr w14:paraId="4CBD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tcPr>
                <w:p w14:paraId="0ED9CDFF">
                  <w:pPr>
                    <w:pStyle w:val="61"/>
                    <w:adjustRightInd w:val="0"/>
                    <w:snapToGrid w:val="0"/>
                    <w:ind w:firstLine="0" w:firstLineChars="0"/>
                    <w:rPr>
                      <w:b/>
                      <w:bCs/>
                      <w:color w:val="auto"/>
                      <w:szCs w:val="21"/>
                    </w:rPr>
                  </w:pPr>
                  <w:r>
                    <w:rPr>
                      <w:b/>
                      <w:bCs/>
                      <w:color w:val="auto"/>
                      <w:szCs w:val="21"/>
                    </w:rPr>
                    <w:t>监测类型</w:t>
                  </w:r>
                </w:p>
              </w:tc>
              <w:tc>
                <w:tcPr>
                  <w:tcW w:w="1302" w:type="pct"/>
                </w:tcPr>
                <w:p w14:paraId="09756E5D">
                  <w:pPr>
                    <w:pStyle w:val="61"/>
                    <w:adjustRightInd w:val="0"/>
                    <w:snapToGrid w:val="0"/>
                    <w:ind w:firstLine="0" w:firstLineChars="0"/>
                    <w:rPr>
                      <w:b/>
                      <w:bCs/>
                      <w:color w:val="auto"/>
                      <w:szCs w:val="21"/>
                    </w:rPr>
                  </w:pPr>
                  <w:r>
                    <w:rPr>
                      <w:b/>
                      <w:bCs/>
                      <w:color w:val="auto"/>
                      <w:szCs w:val="21"/>
                    </w:rPr>
                    <w:t>监测点位</w:t>
                  </w:r>
                </w:p>
              </w:tc>
              <w:tc>
                <w:tcPr>
                  <w:tcW w:w="974" w:type="pct"/>
                </w:tcPr>
                <w:p w14:paraId="44514A15">
                  <w:pPr>
                    <w:pStyle w:val="61"/>
                    <w:adjustRightInd w:val="0"/>
                    <w:snapToGrid w:val="0"/>
                    <w:ind w:firstLine="0" w:firstLineChars="0"/>
                    <w:rPr>
                      <w:b/>
                      <w:bCs/>
                      <w:color w:val="auto"/>
                      <w:szCs w:val="21"/>
                    </w:rPr>
                  </w:pPr>
                  <w:r>
                    <w:rPr>
                      <w:b/>
                      <w:bCs/>
                      <w:color w:val="auto"/>
                      <w:szCs w:val="21"/>
                    </w:rPr>
                    <w:t>监测因子</w:t>
                  </w:r>
                </w:p>
              </w:tc>
              <w:tc>
                <w:tcPr>
                  <w:tcW w:w="954" w:type="pct"/>
                </w:tcPr>
                <w:p w14:paraId="28D885D2">
                  <w:pPr>
                    <w:pStyle w:val="61"/>
                    <w:adjustRightInd w:val="0"/>
                    <w:snapToGrid w:val="0"/>
                    <w:ind w:firstLine="0" w:firstLineChars="0"/>
                    <w:rPr>
                      <w:b/>
                      <w:bCs/>
                      <w:color w:val="auto"/>
                      <w:szCs w:val="21"/>
                    </w:rPr>
                  </w:pPr>
                  <w:r>
                    <w:rPr>
                      <w:b/>
                      <w:bCs/>
                      <w:color w:val="auto"/>
                      <w:szCs w:val="21"/>
                    </w:rPr>
                    <w:t>监测频次</w:t>
                  </w:r>
                </w:p>
              </w:tc>
              <w:tc>
                <w:tcPr>
                  <w:tcW w:w="1155" w:type="pct"/>
                </w:tcPr>
                <w:p w14:paraId="0F335B66">
                  <w:pPr>
                    <w:pStyle w:val="61"/>
                    <w:adjustRightInd w:val="0"/>
                    <w:snapToGrid w:val="0"/>
                    <w:ind w:firstLine="0" w:firstLineChars="0"/>
                    <w:rPr>
                      <w:b/>
                      <w:bCs/>
                      <w:color w:val="auto"/>
                      <w:szCs w:val="21"/>
                    </w:rPr>
                  </w:pPr>
                  <w:r>
                    <w:rPr>
                      <w:b/>
                      <w:bCs/>
                      <w:color w:val="auto"/>
                      <w:szCs w:val="21"/>
                    </w:rPr>
                    <w:t>执行标准</w:t>
                  </w:r>
                </w:p>
              </w:tc>
            </w:tr>
            <w:tr w14:paraId="2F00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vAlign w:val="center"/>
                </w:tcPr>
                <w:p w14:paraId="124C7ABA">
                  <w:pPr>
                    <w:pStyle w:val="61"/>
                    <w:adjustRightInd w:val="0"/>
                    <w:snapToGrid w:val="0"/>
                    <w:ind w:firstLine="0" w:firstLineChars="0"/>
                    <w:rPr>
                      <w:b/>
                      <w:bCs/>
                      <w:color w:val="auto"/>
                      <w:szCs w:val="21"/>
                    </w:rPr>
                  </w:pPr>
                  <w:r>
                    <w:rPr>
                      <w:b/>
                      <w:bCs/>
                      <w:color w:val="auto"/>
                      <w:szCs w:val="21"/>
                    </w:rPr>
                    <w:t>噪声</w:t>
                  </w:r>
                </w:p>
              </w:tc>
              <w:tc>
                <w:tcPr>
                  <w:tcW w:w="1302" w:type="pct"/>
                  <w:vAlign w:val="center"/>
                </w:tcPr>
                <w:p w14:paraId="18B7FBB3">
                  <w:pPr>
                    <w:pStyle w:val="61"/>
                    <w:adjustRightInd w:val="0"/>
                    <w:snapToGrid w:val="0"/>
                    <w:ind w:firstLine="0" w:firstLineChars="0"/>
                    <w:rPr>
                      <w:b/>
                      <w:bCs/>
                      <w:color w:val="auto"/>
                      <w:szCs w:val="21"/>
                    </w:rPr>
                  </w:pPr>
                  <w:r>
                    <w:rPr>
                      <w:color w:val="auto"/>
                      <w:szCs w:val="21"/>
                    </w:rPr>
                    <w:t>沿项目区厂界东、南、西、北界外1m处布点监测</w:t>
                  </w:r>
                </w:p>
              </w:tc>
              <w:tc>
                <w:tcPr>
                  <w:tcW w:w="974" w:type="pct"/>
                  <w:vAlign w:val="center"/>
                </w:tcPr>
                <w:p w14:paraId="0DC1D956">
                  <w:pPr>
                    <w:pStyle w:val="61"/>
                    <w:adjustRightInd w:val="0"/>
                    <w:snapToGrid w:val="0"/>
                    <w:ind w:firstLine="0" w:firstLineChars="0"/>
                    <w:rPr>
                      <w:b/>
                      <w:bCs/>
                      <w:color w:val="auto"/>
                      <w:szCs w:val="21"/>
                    </w:rPr>
                  </w:pPr>
                  <w:r>
                    <w:rPr>
                      <w:color w:val="auto"/>
                      <w:szCs w:val="21"/>
                    </w:rPr>
                    <w:t>等效声级Leq（dB（A））</w:t>
                  </w:r>
                </w:p>
              </w:tc>
              <w:tc>
                <w:tcPr>
                  <w:tcW w:w="954" w:type="pct"/>
                  <w:vAlign w:val="center"/>
                </w:tcPr>
                <w:p w14:paraId="713EB704">
                  <w:pPr>
                    <w:pStyle w:val="61"/>
                    <w:adjustRightInd w:val="0"/>
                    <w:snapToGrid w:val="0"/>
                    <w:ind w:firstLine="0" w:firstLineChars="0"/>
                    <w:rPr>
                      <w:b/>
                      <w:bCs/>
                      <w:color w:val="auto"/>
                      <w:szCs w:val="21"/>
                    </w:rPr>
                  </w:pPr>
                  <w:r>
                    <w:rPr>
                      <w:color w:val="auto"/>
                      <w:szCs w:val="21"/>
                    </w:rPr>
                    <w:t>1次/季度</w:t>
                  </w:r>
                </w:p>
              </w:tc>
              <w:tc>
                <w:tcPr>
                  <w:tcW w:w="1155" w:type="pct"/>
                  <w:vAlign w:val="center"/>
                </w:tcPr>
                <w:p w14:paraId="0747E860">
                  <w:pPr>
                    <w:pStyle w:val="61"/>
                    <w:adjustRightInd w:val="0"/>
                    <w:snapToGrid w:val="0"/>
                    <w:ind w:firstLine="0" w:firstLineChars="0"/>
                    <w:rPr>
                      <w:b/>
                      <w:bCs/>
                      <w:color w:val="auto"/>
                      <w:szCs w:val="21"/>
                    </w:rPr>
                  </w:pPr>
                  <w:r>
                    <w:rPr>
                      <w:color w:val="auto"/>
                      <w:szCs w:val="21"/>
                    </w:rPr>
                    <w:t>厂界执行《工业企业厂界环境噪声排放标准》（GB12348-2008）</w:t>
                  </w:r>
                  <w:r>
                    <w:rPr>
                      <w:rFonts w:hint="eastAsia"/>
                      <w:color w:val="auto"/>
                      <w:szCs w:val="21"/>
                    </w:rPr>
                    <w:t>2</w:t>
                  </w:r>
                  <w:r>
                    <w:rPr>
                      <w:color w:val="auto"/>
                      <w:szCs w:val="21"/>
                    </w:rPr>
                    <w:t>类标准</w:t>
                  </w:r>
                </w:p>
              </w:tc>
            </w:tr>
          </w:tbl>
          <w:p w14:paraId="10BEF46E">
            <w:pPr>
              <w:pStyle w:val="61"/>
              <w:adjustRightInd w:val="0"/>
              <w:snapToGrid w:val="0"/>
              <w:ind w:firstLine="422"/>
              <w:rPr>
                <w:b/>
                <w:bCs/>
                <w:color w:val="auto"/>
                <w:szCs w:val="21"/>
              </w:rPr>
            </w:pPr>
          </w:p>
          <w:p w14:paraId="4E500D76">
            <w:pPr>
              <w:adjustRightInd w:val="0"/>
              <w:snapToGrid w:val="0"/>
              <w:spacing w:line="360" w:lineRule="auto"/>
              <w:ind w:firstLine="482"/>
              <w:rPr>
                <w:b/>
                <w:color w:val="auto"/>
                <w:sz w:val="24"/>
              </w:rPr>
            </w:pPr>
            <w:r>
              <w:rPr>
                <w:b/>
                <w:color w:val="auto"/>
                <w:sz w:val="24"/>
              </w:rPr>
              <w:t>4、固体废物环境影响及治理措施</w:t>
            </w:r>
          </w:p>
          <w:p w14:paraId="4BC90DF5">
            <w:pPr>
              <w:spacing w:line="360" w:lineRule="auto"/>
              <w:ind w:firstLine="480"/>
              <w:rPr>
                <w:color w:val="auto"/>
                <w:sz w:val="24"/>
              </w:rPr>
            </w:pPr>
            <w:r>
              <w:rPr>
                <w:color w:val="auto"/>
                <w:sz w:val="24"/>
              </w:rPr>
              <w:t>本</w:t>
            </w:r>
            <w:r>
              <w:rPr>
                <w:rFonts w:hint="eastAsia"/>
                <w:color w:val="auto"/>
                <w:sz w:val="24"/>
              </w:rPr>
              <w:t>扩建</w:t>
            </w:r>
            <w:r>
              <w:rPr>
                <w:color w:val="auto"/>
                <w:sz w:val="24"/>
              </w:rPr>
              <w:t>项目运营产生的固体废物主要由沉淀池底泥、袋式除尘器收尘灰、生产废料、废机油及其包装桶等。</w:t>
            </w:r>
          </w:p>
          <w:p w14:paraId="0931EB6B">
            <w:pPr>
              <w:autoSpaceDE w:val="0"/>
              <w:autoSpaceDN w:val="0"/>
              <w:spacing w:line="360" w:lineRule="auto"/>
              <w:ind w:firstLine="480"/>
              <w:rPr>
                <w:color w:val="auto"/>
                <w:sz w:val="24"/>
              </w:rPr>
            </w:pPr>
            <w:r>
              <w:rPr>
                <w:color w:val="auto"/>
                <w:sz w:val="24"/>
              </w:rPr>
              <w:t>（</w:t>
            </w:r>
            <w:r>
              <w:rPr>
                <w:rFonts w:hint="eastAsia"/>
                <w:color w:val="auto"/>
                <w:sz w:val="24"/>
              </w:rPr>
              <w:t>1</w:t>
            </w:r>
            <w:r>
              <w:rPr>
                <w:color w:val="auto"/>
                <w:sz w:val="24"/>
              </w:rPr>
              <w:t>）沉淀池底泥</w:t>
            </w:r>
          </w:p>
          <w:p w14:paraId="0D61710C">
            <w:pPr>
              <w:autoSpaceDE w:val="0"/>
              <w:autoSpaceDN w:val="0"/>
              <w:spacing w:line="360" w:lineRule="auto"/>
              <w:ind w:firstLine="480"/>
              <w:rPr>
                <w:color w:val="auto"/>
                <w:sz w:val="24"/>
              </w:rPr>
            </w:pPr>
            <w:r>
              <w:rPr>
                <w:color w:val="auto"/>
                <w:sz w:val="24"/>
              </w:rPr>
              <w:t>根据工程分析，</w:t>
            </w:r>
            <w:r>
              <w:rPr>
                <w:rFonts w:hint="eastAsia"/>
                <w:color w:val="auto"/>
                <w:sz w:val="24"/>
                <w:lang w:val="en-US" w:eastAsia="zh-CN"/>
              </w:rPr>
              <w:t>扩建后整个场区</w:t>
            </w:r>
            <w:r>
              <w:rPr>
                <w:color w:val="auto"/>
                <w:sz w:val="24"/>
              </w:rPr>
              <w:t>沉淀池年处理清洗废水量为</w:t>
            </w:r>
            <w:r>
              <w:rPr>
                <w:rFonts w:hint="eastAsia"/>
                <w:color w:val="auto"/>
                <w:sz w:val="24"/>
                <w:lang w:val="en-US" w:eastAsia="zh-CN"/>
              </w:rPr>
              <w:t>13.2</w:t>
            </w:r>
            <w:r>
              <w:rPr>
                <w:color w:val="auto"/>
                <w:sz w:val="24"/>
              </w:rPr>
              <w:t>m³/d，</w:t>
            </w:r>
            <w:r>
              <w:rPr>
                <w:rFonts w:hint="eastAsia"/>
                <w:color w:val="auto"/>
                <w:sz w:val="24"/>
                <w:lang w:val="en-US" w:eastAsia="zh-CN"/>
              </w:rPr>
              <w:t>3960</w:t>
            </w:r>
            <w:r>
              <w:rPr>
                <w:color w:val="auto"/>
                <w:sz w:val="24"/>
              </w:rPr>
              <w:t>m³/a，底泥产生量约0.1%，</w:t>
            </w:r>
            <w:r>
              <w:rPr>
                <w:rFonts w:hint="eastAsia"/>
                <w:color w:val="auto"/>
                <w:sz w:val="24"/>
                <w:lang w:val="en-US" w:eastAsia="zh-CN"/>
              </w:rPr>
              <w:t>3.96</w:t>
            </w:r>
            <w:r>
              <w:rPr>
                <w:color w:val="auto"/>
                <w:sz w:val="24"/>
              </w:rPr>
              <w:t>t/a。产生的底泥定期清理后暂存于原料堆场，用作原料回用于搅拌生产。</w:t>
            </w:r>
          </w:p>
          <w:p w14:paraId="672CDD71">
            <w:pPr>
              <w:autoSpaceDE w:val="0"/>
              <w:autoSpaceDN w:val="0"/>
              <w:spacing w:line="360" w:lineRule="auto"/>
              <w:ind w:firstLine="480"/>
              <w:rPr>
                <w:color w:val="auto"/>
                <w:sz w:val="24"/>
              </w:rPr>
            </w:pPr>
            <w:r>
              <w:rPr>
                <w:color w:val="auto"/>
                <w:sz w:val="24"/>
              </w:rPr>
              <w:t>（</w:t>
            </w:r>
            <w:r>
              <w:rPr>
                <w:rFonts w:hint="eastAsia"/>
                <w:color w:val="auto"/>
                <w:sz w:val="24"/>
              </w:rPr>
              <w:t>2</w:t>
            </w:r>
            <w:r>
              <w:rPr>
                <w:color w:val="auto"/>
                <w:sz w:val="24"/>
              </w:rPr>
              <w:t>）袋式除尘器收尘灰</w:t>
            </w:r>
          </w:p>
          <w:p w14:paraId="2C8CCA40">
            <w:pPr>
              <w:autoSpaceDE w:val="0"/>
              <w:autoSpaceDN w:val="0"/>
              <w:spacing w:line="360" w:lineRule="auto"/>
              <w:ind w:firstLine="480"/>
              <w:rPr>
                <w:color w:val="auto"/>
                <w:sz w:val="24"/>
              </w:rPr>
            </w:pPr>
            <w:r>
              <w:rPr>
                <w:color w:val="auto"/>
                <w:sz w:val="24"/>
              </w:rPr>
              <w:t>运营期生产固废主要来源于</w:t>
            </w:r>
            <w:r>
              <w:rPr>
                <w:rFonts w:hint="eastAsia"/>
                <w:color w:val="auto"/>
                <w:sz w:val="24"/>
                <w:lang w:val="en-US" w:eastAsia="zh-CN"/>
              </w:rPr>
              <w:t>布袋</w:t>
            </w:r>
            <w:r>
              <w:rPr>
                <w:color w:val="auto"/>
                <w:sz w:val="24"/>
              </w:rPr>
              <w:t>除尘器的除尘灰，除尘灰为粉料储存至</w:t>
            </w:r>
            <w:r>
              <w:rPr>
                <w:rFonts w:hint="eastAsia"/>
                <w:color w:val="auto"/>
                <w:sz w:val="24"/>
                <w:lang w:val="en-US" w:eastAsia="zh-CN"/>
              </w:rPr>
              <w:t>布袋除尘器布袋内，定期清理可回用于生产</w:t>
            </w:r>
            <w:r>
              <w:rPr>
                <w:color w:val="auto"/>
                <w:sz w:val="24"/>
              </w:rPr>
              <w:t>，除尘器收集的粉尘产生量为</w:t>
            </w:r>
            <w:r>
              <w:rPr>
                <w:rFonts w:hint="eastAsia"/>
                <w:color w:val="auto"/>
                <w:sz w:val="24"/>
                <w:lang w:eastAsia="zh-CN"/>
              </w:rPr>
              <w:t>41.9328</w:t>
            </w:r>
            <w:r>
              <w:rPr>
                <w:color w:val="auto"/>
                <w:sz w:val="24"/>
              </w:rPr>
              <w:t>t/a</w:t>
            </w:r>
            <w:r>
              <w:rPr>
                <w:rFonts w:hint="eastAsia"/>
                <w:color w:val="auto"/>
                <w:sz w:val="24"/>
                <w:lang w:eastAsia="zh-CN"/>
              </w:rPr>
              <w:t>（</w:t>
            </w:r>
            <w:r>
              <w:rPr>
                <w:rFonts w:hint="eastAsia"/>
                <w:color w:val="auto"/>
                <w:sz w:val="24"/>
                <w:lang w:val="en-US" w:eastAsia="zh-CN"/>
              </w:rPr>
              <w:t>见表4-27</w:t>
            </w:r>
            <w:r>
              <w:rPr>
                <w:rFonts w:hint="eastAsia"/>
                <w:color w:val="auto"/>
                <w:sz w:val="24"/>
                <w:lang w:eastAsia="zh-CN"/>
              </w:rPr>
              <w:t>）</w:t>
            </w:r>
            <w:r>
              <w:rPr>
                <w:color w:val="auto"/>
                <w:sz w:val="24"/>
              </w:rPr>
              <w:t>，均可作为原料回用于混凝土生产，处置率100%。</w:t>
            </w:r>
          </w:p>
          <w:p w14:paraId="3E4C2400">
            <w:pPr>
              <w:autoSpaceDE w:val="0"/>
              <w:autoSpaceDN w:val="0"/>
              <w:spacing w:line="360" w:lineRule="auto"/>
              <w:ind w:firstLine="480"/>
              <w:rPr>
                <w:color w:val="auto"/>
                <w:sz w:val="24"/>
              </w:rPr>
            </w:pPr>
            <w:r>
              <w:rPr>
                <w:color w:val="auto"/>
                <w:sz w:val="24"/>
              </w:rPr>
              <w:t>（3）生产废料</w:t>
            </w:r>
          </w:p>
          <w:p w14:paraId="7B59608D">
            <w:pPr>
              <w:autoSpaceDE w:val="0"/>
              <w:autoSpaceDN w:val="0"/>
              <w:spacing w:line="360" w:lineRule="auto"/>
              <w:ind w:firstLine="480"/>
              <w:rPr>
                <w:color w:val="auto"/>
                <w:sz w:val="24"/>
              </w:rPr>
            </w:pPr>
            <w:r>
              <w:rPr>
                <w:color w:val="auto"/>
                <w:sz w:val="24"/>
              </w:rPr>
              <w:t>项目运营期生产固废主要有不合格的砂石料、剩余的混凝土、沉淀池沉淀渣等。通过</w:t>
            </w:r>
            <w:r>
              <w:rPr>
                <w:rFonts w:hint="eastAsia"/>
                <w:color w:val="auto"/>
                <w:sz w:val="24"/>
                <w:lang w:val="en-US" w:eastAsia="zh-CN"/>
              </w:rPr>
              <w:t>检验</w:t>
            </w:r>
            <w:r>
              <w:rPr>
                <w:color w:val="auto"/>
                <w:sz w:val="24"/>
              </w:rPr>
              <w:t>不合格的砂石料和剩余的</w:t>
            </w:r>
            <w:r>
              <w:rPr>
                <w:rFonts w:hint="eastAsia"/>
                <w:color w:val="auto"/>
                <w:sz w:val="24"/>
              </w:rPr>
              <w:t>混凝土</w:t>
            </w:r>
            <w:r>
              <w:rPr>
                <w:color w:val="auto"/>
                <w:sz w:val="24"/>
              </w:rPr>
              <w:t>年产生量在40t左右，可用于路面的铺垫料，或者路面的平整料。</w:t>
            </w:r>
          </w:p>
          <w:p w14:paraId="0D90E33B">
            <w:pPr>
              <w:autoSpaceDE w:val="0"/>
              <w:autoSpaceDN w:val="0"/>
              <w:spacing w:line="360" w:lineRule="auto"/>
              <w:ind w:firstLine="480"/>
              <w:rPr>
                <w:color w:val="auto"/>
                <w:sz w:val="24"/>
              </w:rPr>
            </w:pPr>
            <w:r>
              <w:rPr>
                <w:color w:val="auto"/>
                <w:sz w:val="24"/>
              </w:rPr>
              <w:t>（</w:t>
            </w:r>
            <w:r>
              <w:rPr>
                <w:rFonts w:hint="eastAsia"/>
                <w:color w:val="auto"/>
                <w:sz w:val="24"/>
              </w:rPr>
              <w:t>4</w:t>
            </w:r>
            <w:r>
              <w:rPr>
                <w:color w:val="auto"/>
                <w:sz w:val="24"/>
              </w:rPr>
              <w:t>）危险废物</w:t>
            </w:r>
          </w:p>
          <w:p w14:paraId="42578C8B">
            <w:pPr>
              <w:autoSpaceDE w:val="0"/>
              <w:autoSpaceDN w:val="0"/>
              <w:spacing w:line="360" w:lineRule="auto"/>
              <w:ind w:firstLine="480"/>
              <w:rPr>
                <w:color w:val="auto"/>
                <w:sz w:val="24"/>
              </w:rPr>
            </w:pPr>
            <w:r>
              <w:rPr>
                <w:color w:val="auto"/>
                <w:sz w:val="24"/>
              </w:rPr>
              <w:t>项目定期对生产设备、运输车辆进行维修、保养，维修过程产生的废机油及其包装桶属于危险废物，根据《国家危险废物名录》（202</w:t>
            </w:r>
            <w:r>
              <w:rPr>
                <w:rFonts w:hint="eastAsia"/>
                <w:color w:val="auto"/>
                <w:sz w:val="24"/>
                <w:lang w:val="en-US" w:eastAsia="zh-CN"/>
              </w:rPr>
              <w:t>5</w:t>
            </w:r>
            <w:r>
              <w:rPr>
                <w:color w:val="auto"/>
                <w:sz w:val="24"/>
              </w:rPr>
              <w:t>年版），属于HW08废矿物油与含矿物油废物，危险废物代码 900-249-08，危险特性T/I，废机油及其包装桶的产生量约0.</w:t>
            </w:r>
            <w:r>
              <w:rPr>
                <w:rFonts w:hint="eastAsia"/>
                <w:color w:val="auto"/>
                <w:sz w:val="24"/>
              </w:rPr>
              <w:t>1</w:t>
            </w:r>
            <w:r>
              <w:rPr>
                <w:color w:val="auto"/>
                <w:sz w:val="24"/>
              </w:rPr>
              <w:t>t/a，危险废物统一收集暂存于危废暂存间后，委托有资质单位处置。</w:t>
            </w:r>
          </w:p>
          <w:p w14:paraId="5D1336D0">
            <w:pPr>
              <w:autoSpaceDE w:val="0"/>
              <w:autoSpaceDN w:val="0"/>
              <w:spacing w:line="360" w:lineRule="auto"/>
              <w:ind w:firstLine="480"/>
              <w:rPr>
                <w:color w:val="auto"/>
                <w:sz w:val="24"/>
              </w:rPr>
            </w:pPr>
            <w:r>
              <w:rPr>
                <w:color w:val="auto"/>
                <w:sz w:val="24"/>
              </w:rPr>
              <w:t>项目固废产生情况一览表如下：</w:t>
            </w:r>
          </w:p>
          <w:p w14:paraId="37F357E2">
            <w:pPr>
              <w:widowControl/>
              <w:ind w:firstLine="0" w:firstLineChars="0"/>
              <w:jc w:val="center"/>
              <w:rPr>
                <w:b/>
                <w:bCs/>
                <w:color w:val="auto"/>
                <w:kern w:val="0"/>
                <w:szCs w:val="21"/>
                <w:lang w:bidi="ar"/>
              </w:rPr>
            </w:pPr>
            <w:r>
              <w:rPr>
                <w:b/>
                <w:bCs/>
                <w:color w:val="auto"/>
                <w:kern w:val="0"/>
                <w:szCs w:val="21"/>
                <w:lang w:bidi="ar"/>
              </w:rPr>
              <w:t>表4-</w:t>
            </w:r>
            <w:r>
              <w:rPr>
                <w:rFonts w:hint="eastAsia"/>
                <w:b/>
                <w:bCs/>
                <w:color w:val="auto"/>
                <w:kern w:val="0"/>
                <w:szCs w:val="21"/>
                <w:lang w:val="en-US" w:eastAsia="zh-CN" w:bidi="ar"/>
              </w:rPr>
              <w:t>20</w:t>
            </w:r>
            <w:r>
              <w:rPr>
                <w:b/>
                <w:bCs/>
                <w:color w:val="auto"/>
                <w:kern w:val="0"/>
                <w:szCs w:val="21"/>
                <w:lang w:bidi="ar"/>
              </w:rPr>
              <w:t xml:space="preserve"> </w:t>
            </w:r>
            <w:r>
              <w:rPr>
                <w:rFonts w:hint="eastAsia"/>
                <w:b/>
                <w:bCs/>
                <w:color w:val="auto"/>
                <w:kern w:val="0"/>
                <w:szCs w:val="21"/>
                <w:lang w:bidi="ar"/>
              </w:rPr>
              <w:t xml:space="preserve">  </w:t>
            </w:r>
            <w:r>
              <w:rPr>
                <w:b/>
                <w:bCs/>
                <w:color w:val="auto"/>
                <w:kern w:val="0"/>
                <w:szCs w:val="21"/>
                <w:lang w:bidi="ar"/>
              </w:rPr>
              <w:t>固体废物污染源源强核算结果及相关参数一览表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859"/>
              <w:gridCol w:w="597"/>
              <w:gridCol w:w="676"/>
              <w:gridCol w:w="1072"/>
              <w:gridCol w:w="982"/>
              <w:gridCol w:w="1894"/>
              <w:gridCol w:w="1006"/>
              <w:gridCol w:w="1143"/>
            </w:tblGrid>
            <w:tr w14:paraId="5B2A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Align w:val="center"/>
                </w:tcPr>
                <w:p w14:paraId="0C043D22">
                  <w:pPr>
                    <w:wordWrap w:val="0"/>
                    <w:topLinePunct/>
                    <w:ind w:firstLine="0" w:firstLineChars="0"/>
                    <w:jc w:val="center"/>
                    <w:rPr>
                      <w:color w:val="auto"/>
                      <w:szCs w:val="21"/>
                    </w:rPr>
                  </w:pPr>
                  <w:r>
                    <w:rPr>
                      <w:color w:val="auto"/>
                      <w:szCs w:val="21"/>
                    </w:rPr>
                    <w:t>污染物种类</w:t>
                  </w:r>
                </w:p>
              </w:tc>
              <w:tc>
                <w:tcPr>
                  <w:tcW w:w="483" w:type="pct"/>
                  <w:vAlign w:val="center"/>
                </w:tcPr>
                <w:p w14:paraId="291B81BA">
                  <w:pPr>
                    <w:wordWrap w:val="0"/>
                    <w:topLinePunct/>
                    <w:ind w:firstLine="0" w:firstLineChars="0"/>
                    <w:jc w:val="center"/>
                    <w:rPr>
                      <w:color w:val="auto"/>
                      <w:szCs w:val="21"/>
                    </w:rPr>
                  </w:pPr>
                  <w:r>
                    <w:rPr>
                      <w:color w:val="auto"/>
                      <w:szCs w:val="21"/>
                    </w:rPr>
                    <w:t>污染物名称</w:t>
                  </w:r>
                </w:p>
              </w:tc>
              <w:tc>
                <w:tcPr>
                  <w:tcW w:w="336" w:type="pct"/>
                  <w:vAlign w:val="center"/>
                </w:tcPr>
                <w:p w14:paraId="5F39CF88">
                  <w:pPr>
                    <w:wordWrap w:val="0"/>
                    <w:topLinePunct/>
                    <w:ind w:firstLine="0" w:firstLineChars="0"/>
                    <w:jc w:val="center"/>
                    <w:rPr>
                      <w:color w:val="auto"/>
                      <w:szCs w:val="21"/>
                    </w:rPr>
                  </w:pPr>
                  <w:r>
                    <w:rPr>
                      <w:color w:val="auto"/>
                      <w:szCs w:val="21"/>
                    </w:rPr>
                    <w:t>物理性状</w:t>
                  </w:r>
                </w:p>
              </w:tc>
              <w:tc>
                <w:tcPr>
                  <w:tcW w:w="380" w:type="pct"/>
                  <w:vAlign w:val="center"/>
                </w:tcPr>
                <w:p w14:paraId="2F013FB0">
                  <w:pPr>
                    <w:wordWrap w:val="0"/>
                    <w:topLinePunct/>
                    <w:ind w:firstLine="0" w:firstLineChars="0"/>
                    <w:jc w:val="center"/>
                    <w:rPr>
                      <w:color w:val="auto"/>
                      <w:szCs w:val="21"/>
                    </w:rPr>
                  </w:pPr>
                  <w:r>
                    <w:rPr>
                      <w:color w:val="auto"/>
                      <w:szCs w:val="21"/>
                    </w:rPr>
                    <w:t>危险特性</w:t>
                  </w:r>
                </w:p>
              </w:tc>
              <w:tc>
                <w:tcPr>
                  <w:tcW w:w="603" w:type="pct"/>
                  <w:vAlign w:val="center"/>
                </w:tcPr>
                <w:p w14:paraId="50E9FA9F">
                  <w:pPr>
                    <w:wordWrap w:val="0"/>
                    <w:topLinePunct/>
                    <w:ind w:firstLine="0" w:firstLineChars="0"/>
                    <w:jc w:val="center"/>
                    <w:rPr>
                      <w:color w:val="auto"/>
                      <w:szCs w:val="21"/>
                    </w:rPr>
                  </w:pPr>
                  <w:r>
                    <w:rPr>
                      <w:color w:val="auto"/>
                      <w:szCs w:val="21"/>
                    </w:rPr>
                    <w:t>年产生量（t/a）</w:t>
                  </w:r>
                </w:p>
              </w:tc>
              <w:tc>
                <w:tcPr>
                  <w:tcW w:w="552" w:type="pct"/>
                  <w:vAlign w:val="center"/>
                </w:tcPr>
                <w:p w14:paraId="38DA29F5">
                  <w:pPr>
                    <w:wordWrap w:val="0"/>
                    <w:topLinePunct/>
                    <w:ind w:firstLine="0" w:firstLineChars="0"/>
                    <w:jc w:val="center"/>
                    <w:rPr>
                      <w:color w:val="auto"/>
                      <w:szCs w:val="21"/>
                    </w:rPr>
                  </w:pPr>
                  <w:r>
                    <w:rPr>
                      <w:color w:val="auto"/>
                      <w:szCs w:val="21"/>
                    </w:rPr>
                    <w:t>贮存方式</w:t>
                  </w:r>
                </w:p>
              </w:tc>
              <w:tc>
                <w:tcPr>
                  <w:tcW w:w="1065" w:type="pct"/>
                  <w:vAlign w:val="center"/>
                </w:tcPr>
                <w:p w14:paraId="4F9FEE8E">
                  <w:pPr>
                    <w:wordWrap w:val="0"/>
                    <w:topLinePunct/>
                    <w:ind w:firstLine="0" w:firstLineChars="0"/>
                    <w:jc w:val="center"/>
                    <w:rPr>
                      <w:color w:val="auto"/>
                      <w:szCs w:val="21"/>
                    </w:rPr>
                  </w:pPr>
                  <w:r>
                    <w:rPr>
                      <w:color w:val="auto"/>
                      <w:szCs w:val="21"/>
                    </w:rPr>
                    <w:t>利用处置方式和去向</w:t>
                  </w:r>
                </w:p>
              </w:tc>
              <w:tc>
                <w:tcPr>
                  <w:tcW w:w="566" w:type="pct"/>
                  <w:vAlign w:val="center"/>
                </w:tcPr>
                <w:p w14:paraId="7A875E81">
                  <w:pPr>
                    <w:wordWrap w:val="0"/>
                    <w:topLinePunct/>
                    <w:ind w:firstLine="0" w:firstLineChars="0"/>
                    <w:jc w:val="center"/>
                    <w:rPr>
                      <w:color w:val="auto"/>
                      <w:szCs w:val="21"/>
                    </w:rPr>
                  </w:pPr>
                  <w:r>
                    <w:rPr>
                      <w:color w:val="auto"/>
                      <w:szCs w:val="21"/>
                    </w:rPr>
                    <w:t>处置量</w:t>
                  </w:r>
                </w:p>
                <w:p w14:paraId="06DACAE0">
                  <w:pPr>
                    <w:wordWrap w:val="0"/>
                    <w:topLinePunct/>
                    <w:ind w:firstLine="0" w:firstLineChars="0"/>
                    <w:jc w:val="center"/>
                    <w:rPr>
                      <w:color w:val="auto"/>
                      <w:szCs w:val="21"/>
                    </w:rPr>
                  </w:pPr>
                  <w:r>
                    <w:rPr>
                      <w:color w:val="auto"/>
                      <w:szCs w:val="21"/>
                    </w:rPr>
                    <w:t>（t/a）</w:t>
                  </w:r>
                </w:p>
              </w:tc>
              <w:tc>
                <w:tcPr>
                  <w:tcW w:w="638" w:type="pct"/>
                  <w:vAlign w:val="center"/>
                </w:tcPr>
                <w:p w14:paraId="1001B93B">
                  <w:pPr>
                    <w:wordWrap w:val="0"/>
                    <w:topLinePunct/>
                    <w:ind w:firstLine="0" w:firstLineChars="0"/>
                    <w:jc w:val="center"/>
                    <w:rPr>
                      <w:color w:val="auto"/>
                      <w:szCs w:val="21"/>
                    </w:rPr>
                  </w:pPr>
                  <w:r>
                    <w:rPr>
                      <w:color w:val="auto"/>
                      <w:szCs w:val="21"/>
                    </w:rPr>
                    <w:t>备注</w:t>
                  </w:r>
                </w:p>
              </w:tc>
            </w:tr>
            <w:tr w14:paraId="3CB3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restart"/>
                  <w:vAlign w:val="center"/>
                </w:tcPr>
                <w:p w14:paraId="69EBF31E">
                  <w:pPr>
                    <w:wordWrap w:val="0"/>
                    <w:topLinePunct/>
                    <w:ind w:firstLine="0" w:firstLineChars="0"/>
                    <w:jc w:val="center"/>
                    <w:rPr>
                      <w:color w:val="auto"/>
                      <w:szCs w:val="21"/>
                    </w:rPr>
                  </w:pPr>
                  <w:r>
                    <w:rPr>
                      <w:color w:val="auto"/>
                      <w:szCs w:val="21"/>
                    </w:rPr>
                    <w:t>一般固废</w:t>
                  </w:r>
                </w:p>
              </w:tc>
              <w:tc>
                <w:tcPr>
                  <w:tcW w:w="483" w:type="pct"/>
                  <w:vAlign w:val="center"/>
                </w:tcPr>
                <w:p w14:paraId="5B290395">
                  <w:pPr>
                    <w:wordWrap w:val="0"/>
                    <w:topLinePunct/>
                    <w:ind w:firstLine="0" w:firstLineChars="0"/>
                    <w:jc w:val="center"/>
                    <w:rPr>
                      <w:color w:val="auto"/>
                      <w:szCs w:val="21"/>
                    </w:rPr>
                  </w:pPr>
                  <w:r>
                    <w:rPr>
                      <w:color w:val="auto"/>
                      <w:szCs w:val="21"/>
                    </w:rPr>
                    <w:t>沉淀池底泥</w:t>
                  </w:r>
                </w:p>
              </w:tc>
              <w:tc>
                <w:tcPr>
                  <w:tcW w:w="336" w:type="pct"/>
                  <w:vAlign w:val="center"/>
                </w:tcPr>
                <w:p w14:paraId="35C05A13">
                  <w:pPr>
                    <w:wordWrap w:val="0"/>
                    <w:topLinePunct/>
                    <w:ind w:firstLine="0" w:firstLineChars="0"/>
                    <w:jc w:val="center"/>
                    <w:rPr>
                      <w:color w:val="auto"/>
                      <w:szCs w:val="21"/>
                    </w:rPr>
                  </w:pPr>
                  <w:r>
                    <w:rPr>
                      <w:color w:val="auto"/>
                      <w:szCs w:val="21"/>
                    </w:rPr>
                    <w:t>固态</w:t>
                  </w:r>
                </w:p>
              </w:tc>
              <w:tc>
                <w:tcPr>
                  <w:tcW w:w="380" w:type="pct"/>
                  <w:vAlign w:val="center"/>
                </w:tcPr>
                <w:p w14:paraId="12641526">
                  <w:pPr>
                    <w:wordWrap w:val="0"/>
                    <w:topLinePunct/>
                    <w:ind w:firstLine="0" w:firstLineChars="0"/>
                    <w:jc w:val="center"/>
                    <w:rPr>
                      <w:color w:val="auto"/>
                      <w:szCs w:val="21"/>
                    </w:rPr>
                  </w:pPr>
                  <w:r>
                    <w:rPr>
                      <w:color w:val="auto"/>
                      <w:szCs w:val="21"/>
                    </w:rPr>
                    <w:t>/</w:t>
                  </w:r>
                </w:p>
              </w:tc>
              <w:tc>
                <w:tcPr>
                  <w:tcW w:w="603" w:type="pct"/>
                  <w:vAlign w:val="center"/>
                </w:tcPr>
                <w:p w14:paraId="14B6D572">
                  <w:pPr>
                    <w:wordWrap w:val="0"/>
                    <w:topLinePunct/>
                    <w:ind w:firstLine="0" w:firstLineChars="0"/>
                    <w:jc w:val="center"/>
                    <w:rPr>
                      <w:rFonts w:hint="default" w:eastAsia="宋体"/>
                      <w:color w:val="auto"/>
                      <w:szCs w:val="21"/>
                      <w:lang w:val="en-US" w:eastAsia="zh-CN"/>
                    </w:rPr>
                  </w:pPr>
                  <w:r>
                    <w:rPr>
                      <w:rFonts w:hint="eastAsia"/>
                      <w:color w:val="auto"/>
                      <w:szCs w:val="21"/>
                      <w:lang w:val="en-US" w:eastAsia="zh-CN"/>
                    </w:rPr>
                    <w:t>3.96</w:t>
                  </w:r>
                </w:p>
              </w:tc>
              <w:tc>
                <w:tcPr>
                  <w:tcW w:w="552" w:type="pct"/>
                  <w:vAlign w:val="center"/>
                </w:tcPr>
                <w:p w14:paraId="2549B6CC">
                  <w:pPr>
                    <w:wordWrap w:val="0"/>
                    <w:topLinePunct/>
                    <w:ind w:firstLine="0" w:firstLineChars="0"/>
                    <w:jc w:val="center"/>
                    <w:rPr>
                      <w:color w:val="auto"/>
                      <w:szCs w:val="21"/>
                    </w:rPr>
                  </w:pPr>
                  <w:r>
                    <w:rPr>
                      <w:color w:val="auto"/>
                      <w:szCs w:val="21"/>
                    </w:rPr>
                    <w:t>原料堆场</w:t>
                  </w:r>
                </w:p>
              </w:tc>
              <w:tc>
                <w:tcPr>
                  <w:tcW w:w="1065" w:type="pct"/>
                  <w:vAlign w:val="center"/>
                </w:tcPr>
                <w:p w14:paraId="0EE31322">
                  <w:pPr>
                    <w:wordWrap w:val="0"/>
                    <w:topLinePunct/>
                    <w:ind w:firstLine="0" w:firstLineChars="0"/>
                    <w:jc w:val="center"/>
                    <w:rPr>
                      <w:color w:val="auto"/>
                      <w:szCs w:val="21"/>
                    </w:rPr>
                  </w:pPr>
                  <w:r>
                    <w:rPr>
                      <w:color w:val="auto"/>
                      <w:szCs w:val="21"/>
                    </w:rPr>
                    <w:t>回用于生产</w:t>
                  </w:r>
                </w:p>
              </w:tc>
              <w:tc>
                <w:tcPr>
                  <w:tcW w:w="566" w:type="pct"/>
                  <w:vAlign w:val="center"/>
                </w:tcPr>
                <w:p w14:paraId="0020E69A">
                  <w:pPr>
                    <w:wordWrap w:val="0"/>
                    <w:topLinePunct/>
                    <w:ind w:firstLine="0" w:firstLineChars="0"/>
                    <w:jc w:val="center"/>
                    <w:rPr>
                      <w:rFonts w:hint="default" w:eastAsia="宋体"/>
                      <w:color w:val="auto"/>
                      <w:szCs w:val="21"/>
                      <w:lang w:val="en-US" w:eastAsia="zh-CN"/>
                    </w:rPr>
                  </w:pPr>
                  <w:r>
                    <w:rPr>
                      <w:rFonts w:hint="eastAsia"/>
                      <w:color w:val="auto"/>
                      <w:szCs w:val="21"/>
                      <w:lang w:val="en-US" w:eastAsia="zh-CN"/>
                    </w:rPr>
                    <w:t>3.67</w:t>
                  </w:r>
                </w:p>
              </w:tc>
              <w:tc>
                <w:tcPr>
                  <w:tcW w:w="638" w:type="pct"/>
                  <w:vMerge w:val="restart"/>
                  <w:vAlign w:val="center"/>
                </w:tcPr>
                <w:p w14:paraId="12DF11D8">
                  <w:pPr>
                    <w:wordWrap w:val="0"/>
                    <w:topLinePunct/>
                    <w:ind w:firstLine="0" w:firstLineChars="0"/>
                    <w:jc w:val="center"/>
                    <w:rPr>
                      <w:color w:val="auto"/>
                      <w:szCs w:val="21"/>
                    </w:rPr>
                  </w:pPr>
                  <w:r>
                    <w:rPr>
                      <w:color w:val="auto"/>
                      <w:szCs w:val="21"/>
                    </w:rPr>
                    <w:t>固体废物处置率100%</w:t>
                  </w:r>
                </w:p>
              </w:tc>
            </w:tr>
            <w:tr w14:paraId="3389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14:paraId="36A573FF">
                  <w:pPr>
                    <w:wordWrap w:val="0"/>
                    <w:topLinePunct/>
                    <w:ind w:firstLine="0" w:firstLineChars="0"/>
                    <w:jc w:val="center"/>
                    <w:rPr>
                      <w:color w:val="auto"/>
                      <w:szCs w:val="21"/>
                    </w:rPr>
                  </w:pPr>
                </w:p>
              </w:tc>
              <w:tc>
                <w:tcPr>
                  <w:tcW w:w="483" w:type="pct"/>
                  <w:vAlign w:val="center"/>
                </w:tcPr>
                <w:p w14:paraId="33134F18">
                  <w:pPr>
                    <w:wordWrap w:val="0"/>
                    <w:topLinePunct/>
                    <w:ind w:firstLine="0" w:firstLineChars="0"/>
                    <w:jc w:val="center"/>
                    <w:rPr>
                      <w:color w:val="auto"/>
                      <w:szCs w:val="21"/>
                    </w:rPr>
                  </w:pPr>
                  <w:r>
                    <w:rPr>
                      <w:color w:val="auto"/>
                      <w:szCs w:val="21"/>
                    </w:rPr>
                    <w:t>袋式除尘器收尘灰</w:t>
                  </w:r>
                </w:p>
              </w:tc>
              <w:tc>
                <w:tcPr>
                  <w:tcW w:w="336" w:type="pct"/>
                  <w:vAlign w:val="center"/>
                </w:tcPr>
                <w:p w14:paraId="74B9AAD5">
                  <w:pPr>
                    <w:wordWrap w:val="0"/>
                    <w:topLinePunct/>
                    <w:ind w:firstLine="0" w:firstLineChars="0"/>
                    <w:jc w:val="center"/>
                    <w:rPr>
                      <w:color w:val="auto"/>
                      <w:szCs w:val="21"/>
                    </w:rPr>
                  </w:pPr>
                  <w:r>
                    <w:rPr>
                      <w:color w:val="auto"/>
                      <w:szCs w:val="21"/>
                    </w:rPr>
                    <w:t>固态</w:t>
                  </w:r>
                </w:p>
              </w:tc>
              <w:tc>
                <w:tcPr>
                  <w:tcW w:w="380" w:type="pct"/>
                  <w:vAlign w:val="center"/>
                </w:tcPr>
                <w:p w14:paraId="1391DE32">
                  <w:pPr>
                    <w:wordWrap w:val="0"/>
                    <w:topLinePunct/>
                    <w:ind w:firstLine="0" w:firstLineChars="0"/>
                    <w:jc w:val="center"/>
                    <w:rPr>
                      <w:color w:val="auto"/>
                      <w:szCs w:val="21"/>
                    </w:rPr>
                  </w:pPr>
                  <w:r>
                    <w:rPr>
                      <w:color w:val="auto"/>
                      <w:szCs w:val="21"/>
                    </w:rPr>
                    <w:t>/</w:t>
                  </w:r>
                </w:p>
              </w:tc>
              <w:tc>
                <w:tcPr>
                  <w:tcW w:w="603" w:type="pct"/>
                  <w:vAlign w:val="center"/>
                </w:tcPr>
                <w:p w14:paraId="0363C75F">
                  <w:pPr>
                    <w:wordWrap w:val="0"/>
                    <w:topLinePunct/>
                    <w:ind w:firstLine="0" w:firstLineChars="0"/>
                    <w:jc w:val="center"/>
                    <w:rPr>
                      <w:rFonts w:hint="eastAsia" w:eastAsia="宋体"/>
                      <w:color w:val="auto"/>
                      <w:szCs w:val="21"/>
                      <w:lang w:eastAsia="zh-CN"/>
                    </w:rPr>
                  </w:pPr>
                  <w:r>
                    <w:rPr>
                      <w:rFonts w:hint="eastAsia"/>
                      <w:color w:val="auto"/>
                      <w:kern w:val="0"/>
                      <w:szCs w:val="21"/>
                      <w:lang w:eastAsia="zh-CN" w:bidi="ar"/>
                    </w:rPr>
                    <w:t>41.9328</w:t>
                  </w:r>
                </w:p>
              </w:tc>
              <w:tc>
                <w:tcPr>
                  <w:tcW w:w="552" w:type="pct"/>
                  <w:vAlign w:val="center"/>
                </w:tcPr>
                <w:p w14:paraId="6D174354">
                  <w:pPr>
                    <w:wordWrap w:val="0"/>
                    <w:topLinePunct/>
                    <w:ind w:firstLine="0" w:firstLineChars="0"/>
                    <w:jc w:val="center"/>
                    <w:rPr>
                      <w:color w:val="auto"/>
                      <w:szCs w:val="21"/>
                    </w:rPr>
                  </w:pPr>
                  <w:r>
                    <w:rPr>
                      <w:color w:val="auto"/>
                      <w:szCs w:val="21"/>
                    </w:rPr>
                    <w:t>定期清理除尘灰，不贮存</w:t>
                  </w:r>
                </w:p>
              </w:tc>
              <w:tc>
                <w:tcPr>
                  <w:tcW w:w="1065" w:type="pct"/>
                  <w:vAlign w:val="center"/>
                </w:tcPr>
                <w:p w14:paraId="15E64D0B">
                  <w:pPr>
                    <w:wordWrap w:val="0"/>
                    <w:topLinePunct/>
                    <w:ind w:firstLine="0" w:firstLineChars="0"/>
                    <w:jc w:val="center"/>
                    <w:rPr>
                      <w:color w:val="auto"/>
                      <w:szCs w:val="21"/>
                    </w:rPr>
                  </w:pPr>
                  <w:r>
                    <w:rPr>
                      <w:color w:val="auto"/>
                      <w:szCs w:val="21"/>
                    </w:rPr>
                    <w:t>回用于生产</w:t>
                  </w:r>
                </w:p>
              </w:tc>
              <w:tc>
                <w:tcPr>
                  <w:tcW w:w="566" w:type="pct"/>
                  <w:vAlign w:val="center"/>
                </w:tcPr>
                <w:p w14:paraId="017AD601">
                  <w:pPr>
                    <w:wordWrap w:val="0"/>
                    <w:topLinePunct/>
                    <w:ind w:firstLine="0" w:firstLineChars="0"/>
                    <w:jc w:val="center"/>
                    <w:rPr>
                      <w:rFonts w:hint="eastAsia" w:eastAsia="宋体"/>
                      <w:color w:val="auto"/>
                      <w:szCs w:val="21"/>
                      <w:lang w:eastAsia="zh-CN"/>
                    </w:rPr>
                  </w:pPr>
                  <w:r>
                    <w:rPr>
                      <w:rFonts w:hint="eastAsia"/>
                      <w:color w:val="auto"/>
                      <w:kern w:val="0"/>
                      <w:szCs w:val="21"/>
                      <w:lang w:eastAsia="zh-CN" w:bidi="ar"/>
                    </w:rPr>
                    <w:t>41.9328</w:t>
                  </w:r>
                </w:p>
              </w:tc>
              <w:tc>
                <w:tcPr>
                  <w:tcW w:w="638" w:type="pct"/>
                  <w:vMerge w:val="continue"/>
                  <w:vAlign w:val="center"/>
                </w:tcPr>
                <w:p w14:paraId="160787B5">
                  <w:pPr>
                    <w:wordWrap w:val="0"/>
                    <w:topLinePunct/>
                    <w:ind w:firstLine="0" w:firstLineChars="0"/>
                    <w:jc w:val="center"/>
                    <w:rPr>
                      <w:color w:val="auto"/>
                      <w:szCs w:val="21"/>
                    </w:rPr>
                  </w:pPr>
                </w:p>
              </w:tc>
            </w:tr>
            <w:tr w14:paraId="3892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Merge w:val="continue"/>
                  <w:vAlign w:val="center"/>
                </w:tcPr>
                <w:p w14:paraId="052A9879">
                  <w:pPr>
                    <w:wordWrap w:val="0"/>
                    <w:topLinePunct/>
                    <w:ind w:firstLine="0" w:firstLineChars="0"/>
                    <w:jc w:val="center"/>
                    <w:rPr>
                      <w:color w:val="auto"/>
                      <w:szCs w:val="21"/>
                    </w:rPr>
                  </w:pPr>
                </w:p>
              </w:tc>
              <w:tc>
                <w:tcPr>
                  <w:tcW w:w="483" w:type="pct"/>
                  <w:vAlign w:val="center"/>
                </w:tcPr>
                <w:p w14:paraId="3125FFBD">
                  <w:pPr>
                    <w:wordWrap w:val="0"/>
                    <w:topLinePunct/>
                    <w:ind w:firstLine="0" w:firstLineChars="0"/>
                    <w:jc w:val="center"/>
                    <w:rPr>
                      <w:color w:val="auto"/>
                      <w:szCs w:val="21"/>
                    </w:rPr>
                  </w:pPr>
                  <w:r>
                    <w:rPr>
                      <w:color w:val="auto"/>
                      <w:szCs w:val="21"/>
                    </w:rPr>
                    <w:t>生产废料</w:t>
                  </w:r>
                </w:p>
              </w:tc>
              <w:tc>
                <w:tcPr>
                  <w:tcW w:w="597" w:type="dxa"/>
                  <w:vAlign w:val="center"/>
                </w:tcPr>
                <w:p w14:paraId="65456F9D">
                  <w:pPr>
                    <w:wordWrap w:val="0"/>
                    <w:topLinePunct/>
                    <w:ind w:firstLine="0" w:firstLineChars="0"/>
                    <w:jc w:val="center"/>
                    <w:rPr>
                      <w:color w:val="auto"/>
                      <w:szCs w:val="21"/>
                    </w:rPr>
                  </w:pPr>
                  <w:r>
                    <w:rPr>
                      <w:color w:val="auto"/>
                      <w:szCs w:val="21"/>
                    </w:rPr>
                    <w:t>固态</w:t>
                  </w:r>
                </w:p>
              </w:tc>
              <w:tc>
                <w:tcPr>
                  <w:tcW w:w="676" w:type="dxa"/>
                  <w:vAlign w:val="center"/>
                </w:tcPr>
                <w:p w14:paraId="0CF8C802">
                  <w:pPr>
                    <w:wordWrap w:val="0"/>
                    <w:topLinePunct/>
                    <w:ind w:firstLine="0" w:firstLineChars="0"/>
                    <w:jc w:val="center"/>
                    <w:rPr>
                      <w:color w:val="auto"/>
                      <w:szCs w:val="21"/>
                    </w:rPr>
                  </w:pPr>
                  <w:r>
                    <w:rPr>
                      <w:color w:val="auto"/>
                      <w:szCs w:val="21"/>
                    </w:rPr>
                    <w:t>/</w:t>
                  </w:r>
                </w:p>
              </w:tc>
              <w:tc>
                <w:tcPr>
                  <w:tcW w:w="603" w:type="pct"/>
                  <w:vAlign w:val="center"/>
                </w:tcPr>
                <w:p w14:paraId="605C4F69">
                  <w:pPr>
                    <w:wordWrap w:val="0"/>
                    <w:topLinePunct/>
                    <w:ind w:firstLine="0" w:firstLineChars="0"/>
                    <w:jc w:val="center"/>
                    <w:rPr>
                      <w:color w:val="auto"/>
                      <w:szCs w:val="21"/>
                    </w:rPr>
                  </w:pPr>
                  <w:r>
                    <w:rPr>
                      <w:color w:val="auto"/>
                      <w:szCs w:val="21"/>
                    </w:rPr>
                    <w:t>40</w:t>
                  </w:r>
                </w:p>
              </w:tc>
              <w:tc>
                <w:tcPr>
                  <w:tcW w:w="552" w:type="pct"/>
                  <w:vAlign w:val="center"/>
                </w:tcPr>
                <w:p w14:paraId="5B444518">
                  <w:pPr>
                    <w:wordWrap w:val="0"/>
                    <w:topLinePunct/>
                    <w:ind w:firstLine="0" w:firstLineChars="0"/>
                    <w:jc w:val="center"/>
                    <w:rPr>
                      <w:color w:val="auto"/>
                      <w:szCs w:val="21"/>
                    </w:rPr>
                  </w:pPr>
                  <w:r>
                    <w:rPr>
                      <w:color w:val="auto"/>
                      <w:szCs w:val="21"/>
                    </w:rPr>
                    <w:t>生产线</w:t>
                  </w:r>
                </w:p>
              </w:tc>
              <w:tc>
                <w:tcPr>
                  <w:tcW w:w="1065" w:type="pct"/>
                  <w:vAlign w:val="center"/>
                </w:tcPr>
                <w:p w14:paraId="039CB74F">
                  <w:pPr>
                    <w:wordWrap w:val="0"/>
                    <w:topLinePunct/>
                    <w:ind w:firstLine="0" w:firstLineChars="0"/>
                    <w:jc w:val="center"/>
                    <w:rPr>
                      <w:color w:val="auto"/>
                      <w:szCs w:val="21"/>
                    </w:rPr>
                  </w:pPr>
                  <w:r>
                    <w:rPr>
                      <w:color w:val="auto"/>
                      <w:szCs w:val="21"/>
                    </w:rPr>
                    <w:t>用于路面的铺垫料，或者路面的平整料。</w:t>
                  </w:r>
                </w:p>
              </w:tc>
              <w:tc>
                <w:tcPr>
                  <w:tcW w:w="566" w:type="pct"/>
                  <w:vAlign w:val="center"/>
                </w:tcPr>
                <w:p w14:paraId="20D79AD7">
                  <w:pPr>
                    <w:wordWrap w:val="0"/>
                    <w:topLinePunct/>
                    <w:ind w:firstLine="0" w:firstLineChars="0"/>
                    <w:jc w:val="center"/>
                    <w:rPr>
                      <w:color w:val="auto"/>
                      <w:szCs w:val="21"/>
                    </w:rPr>
                  </w:pPr>
                  <w:r>
                    <w:rPr>
                      <w:color w:val="auto"/>
                      <w:szCs w:val="21"/>
                    </w:rPr>
                    <w:t>40</w:t>
                  </w:r>
                </w:p>
              </w:tc>
              <w:tc>
                <w:tcPr>
                  <w:tcW w:w="638" w:type="pct"/>
                  <w:vMerge w:val="continue"/>
                  <w:vAlign w:val="center"/>
                </w:tcPr>
                <w:p w14:paraId="50CA5770">
                  <w:pPr>
                    <w:wordWrap w:val="0"/>
                    <w:topLinePunct/>
                    <w:ind w:firstLine="0" w:firstLineChars="0"/>
                    <w:jc w:val="center"/>
                    <w:rPr>
                      <w:color w:val="auto"/>
                      <w:szCs w:val="21"/>
                    </w:rPr>
                  </w:pPr>
                </w:p>
              </w:tc>
            </w:tr>
            <w:tr w14:paraId="5631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2" w:type="pct"/>
                  <w:vAlign w:val="center"/>
                </w:tcPr>
                <w:p w14:paraId="20A46A78">
                  <w:pPr>
                    <w:wordWrap w:val="0"/>
                    <w:topLinePunct/>
                    <w:ind w:firstLine="0" w:firstLineChars="0"/>
                    <w:jc w:val="center"/>
                    <w:rPr>
                      <w:color w:val="auto"/>
                      <w:szCs w:val="21"/>
                    </w:rPr>
                  </w:pPr>
                  <w:r>
                    <w:rPr>
                      <w:color w:val="auto"/>
                      <w:szCs w:val="21"/>
                    </w:rPr>
                    <w:t>危险废物</w:t>
                  </w:r>
                </w:p>
              </w:tc>
              <w:tc>
                <w:tcPr>
                  <w:tcW w:w="483" w:type="pct"/>
                  <w:vAlign w:val="center"/>
                </w:tcPr>
                <w:p w14:paraId="63E03A1F">
                  <w:pPr>
                    <w:wordWrap w:val="0"/>
                    <w:topLinePunct/>
                    <w:ind w:firstLine="0" w:firstLineChars="0"/>
                    <w:jc w:val="center"/>
                    <w:rPr>
                      <w:color w:val="auto"/>
                      <w:szCs w:val="21"/>
                    </w:rPr>
                  </w:pPr>
                  <w:r>
                    <w:rPr>
                      <w:color w:val="auto"/>
                      <w:szCs w:val="21"/>
                    </w:rPr>
                    <w:t>废机油及其包装桶</w:t>
                  </w:r>
                </w:p>
              </w:tc>
              <w:tc>
                <w:tcPr>
                  <w:tcW w:w="336" w:type="pct"/>
                  <w:vAlign w:val="center"/>
                </w:tcPr>
                <w:p w14:paraId="00E078A6">
                  <w:pPr>
                    <w:wordWrap w:val="0"/>
                    <w:topLinePunct/>
                    <w:ind w:firstLine="0" w:firstLineChars="0"/>
                    <w:jc w:val="center"/>
                    <w:rPr>
                      <w:color w:val="auto"/>
                      <w:szCs w:val="21"/>
                    </w:rPr>
                  </w:pPr>
                  <w:r>
                    <w:rPr>
                      <w:color w:val="auto"/>
                      <w:szCs w:val="21"/>
                    </w:rPr>
                    <w:t>液态</w:t>
                  </w:r>
                </w:p>
              </w:tc>
              <w:tc>
                <w:tcPr>
                  <w:tcW w:w="380" w:type="pct"/>
                  <w:vAlign w:val="center"/>
                </w:tcPr>
                <w:p w14:paraId="4CD2F8C7">
                  <w:pPr>
                    <w:wordWrap w:val="0"/>
                    <w:topLinePunct/>
                    <w:ind w:firstLine="0" w:firstLineChars="0"/>
                    <w:jc w:val="center"/>
                    <w:rPr>
                      <w:color w:val="auto"/>
                      <w:szCs w:val="21"/>
                    </w:rPr>
                  </w:pPr>
                  <w:r>
                    <w:rPr>
                      <w:color w:val="auto"/>
                      <w:szCs w:val="21"/>
                    </w:rPr>
                    <w:t>T、I</w:t>
                  </w:r>
                </w:p>
              </w:tc>
              <w:tc>
                <w:tcPr>
                  <w:tcW w:w="603" w:type="pct"/>
                  <w:vAlign w:val="center"/>
                </w:tcPr>
                <w:p w14:paraId="6212C351">
                  <w:pPr>
                    <w:wordWrap w:val="0"/>
                    <w:topLinePunct/>
                    <w:ind w:firstLine="0" w:firstLineChars="0"/>
                    <w:jc w:val="center"/>
                    <w:rPr>
                      <w:color w:val="auto"/>
                      <w:szCs w:val="21"/>
                    </w:rPr>
                  </w:pPr>
                  <w:r>
                    <w:rPr>
                      <w:color w:val="auto"/>
                      <w:szCs w:val="21"/>
                    </w:rPr>
                    <w:t>0.1</w:t>
                  </w:r>
                </w:p>
              </w:tc>
              <w:tc>
                <w:tcPr>
                  <w:tcW w:w="552" w:type="pct"/>
                  <w:vAlign w:val="center"/>
                </w:tcPr>
                <w:p w14:paraId="13E71D3F">
                  <w:pPr>
                    <w:wordWrap w:val="0"/>
                    <w:topLinePunct/>
                    <w:ind w:firstLine="0" w:firstLineChars="0"/>
                    <w:jc w:val="center"/>
                    <w:rPr>
                      <w:color w:val="auto"/>
                      <w:szCs w:val="21"/>
                    </w:rPr>
                  </w:pPr>
                  <w:r>
                    <w:rPr>
                      <w:color w:val="auto"/>
                      <w:szCs w:val="21"/>
                    </w:rPr>
                    <w:t>危废间废液桶暂存</w:t>
                  </w:r>
                </w:p>
              </w:tc>
              <w:tc>
                <w:tcPr>
                  <w:tcW w:w="1065" w:type="pct"/>
                  <w:vAlign w:val="center"/>
                </w:tcPr>
                <w:p w14:paraId="36A1E872">
                  <w:pPr>
                    <w:wordWrap w:val="0"/>
                    <w:topLinePunct/>
                    <w:ind w:firstLine="0" w:firstLineChars="0"/>
                    <w:jc w:val="center"/>
                    <w:rPr>
                      <w:color w:val="auto"/>
                      <w:szCs w:val="21"/>
                    </w:rPr>
                  </w:pPr>
                  <w:r>
                    <w:rPr>
                      <w:color w:val="auto"/>
                      <w:szCs w:val="21"/>
                    </w:rPr>
                    <w:t>集中收集至危废间暂存，交由有资质单位统一处置</w:t>
                  </w:r>
                </w:p>
              </w:tc>
              <w:tc>
                <w:tcPr>
                  <w:tcW w:w="566" w:type="pct"/>
                  <w:vAlign w:val="center"/>
                </w:tcPr>
                <w:p w14:paraId="265636EB">
                  <w:pPr>
                    <w:wordWrap w:val="0"/>
                    <w:topLinePunct/>
                    <w:ind w:firstLine="0" w:firstLineChars="0"/>
                    <w:jc w:val="center"/>
                    <w:rPr>
                      <w:color w:val="auto"/>
                      <w:szCs w:val="21"/>
                    </w:rPr>
                  </w:pPr>
                  <w:r>
                    <w:rPr>
                      <w:color w:val="auto"/>
                      <w:szCs w:val="21"/>
                    </w:rPr>
                    <w:t>0.1</w:t>
                  </w:r>
                </w:p>
              </w:tc>
              <w:tc>
                <w:tcPr>
                  <w:tcW w:w="638" w:type="pct"/>
                  <w:vMerge w:val="continue"/>
                  <w:vAlign w:val="center"/>
                </w:tcPr>
                <w:p w14:paraId="47A35518">
                  <w:pPr>
                    <w:wordWrap w:val="0"/>
                    <w:topLinePunct/>
                    <w:ind w:firstLine="0" w:firstLineChars="0"/>
                    <w:jc w:val="center"/>
                    <w:rPr>
                      <w:color w:val="auto"/>
                      <w:szCs w:val="21"/>
                    </w:rPr>
                  </w:pPr>
                </w:p>
              </w:tc>
            </w:tr>
            <w:tr w14:paraId="6219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9"/>
                  <w:vAlign w:val="center"/>
                </w:tcPr>
                <w:p w14:paraId="1189B0BA">
                  <w:pPr>
                    <w:wordWrap w:val="0"/>
                    <w:topLinePunct/>
                    <w:ind w:firstLine="0" w:firstLineChars="0"/>
                    <w:jc w:val="center"/>
                    <w:rPr>
                      <w:color w:val="auto"/>
                      <w:szCs w:val="21"/>
                    </w:rPr>
                  </w:pPr>
                  <w:r>
                    <w:rPr>
                      <w:color w:val="auto"/>
                      <w:szCs w:val="21"/>
                    </w:rPr>
                    <w:t>备注：危险特性，是指对生态环境和人体健康具有有害影响的毒性（Toxicity, T）、腐蚀性（Corrosivity, C）、易燃性（Ignitability, I）、反应性（Reactivity, R）和感染性（Infectivity, In）。</w:t>
                  </w:r>
                </w:p>
              </w:tc>
            </w:tr>
          </w:tbl>
          <w:p w14:paraId="39D2D8FB">
            <w:pPr>
              <w:autoSpaceDE w:val="0"/>
              <w:autoSpaceDN w:val="0"/>
              <w:spacing w:line="360" w:lineRule="auto"/>
              <w:ind w:firstLine="480"/>
              <w:rPr>
                <w:color w:val="auto"/>
                <w:sz w:val="24"/>
              </w:rPr>
            </w:pPr>
            <w:r>
              <w:rPr>
                <w:color w:val="auto"/>
                <w:sz w:val="24"/>
              </w:rPr>
              <w:t>1）危废暂存间环境管理要求：</w:t>
            </w:r>
          </w:p>
          <w:p w14:paraId="4B89C055">
            <w:pPr>
              <w:autoSpaceDE w:val="0"/>
              <w:autoSpaceDN w:val="0"/>
              <w:spacing w:line="360" w:lineRule="auto"/>
              <w:ind w:firstLine="480"/>
              <w:rPr>
                <w:color w:val="auto"/>
                <w:sz w:val="24"/>
              </w:rPr>
            </w:pPr>
            <w:r>
              <w:rPr>
                <w:rFonts w:hint="eastAsia"/>
                <w:bCs/>
                <w:color w:val="auto"/>
                <w:sz w:val="24"/>
              </w:rPr>
              <w:t>项目需新建一座危废暂存间并制定危险废物管理制度和管理程序，根据项目实际情况，危废暂存间拟建于综合楼1楼，本次环评根据《危险废物收集贮存运输技术规范》（</w:t>
            </w:r>
            <w:r>
              <w:rPr>
                <w:bCs/>
                <w:color w:val="auto"/>
                <w:sz w:val="24"/>
              </w:rPr>
              <w:t>HJ 2025-2012</w:t>
            </w:r>
            <w:r>
              <w:rPr>
                <w:rFonts w:hint="eastAsia"/>
                <w:bCs/>
                <w:color w:val="auto"/>
                <w:sz w:val="24"/>
              </w:rPr>
              <w:t>）及《危险废物贮存污染控制》（</w:t>
            </w:r>
            <w:r>
              <w:rPr>
                <w:bCs/>
                <w:color w:val="auto"/>
                <w:sz w:val="24"/>
              </w:rPr>
              <w:t>GB18597-2023</w:t>
            </w:r>
            <w:r>
              <w:rPr>
                <w:rFonts w:hint="eastAsia"/>
                <w:bCs/>
                <w:color w:val="auto"/>
                <w:sz w:val="24"/>
              </w:rPr>
              <w:t>）相关技术要求规定提出本项目危险废物的收集、贮存、运输、处置环节需要采取的各项污染防治措施。</w:t>
            </w:r>
          </w:p>
          <w:p w14:paraId="67076795">
            <w:pPr>
              <w:autoSpaceDE w:val="0"/>
              <w:autoSpaceDN w:val="0"/>
              <w:spacing w:line="360" w:lineRule="auto"/>
              <w:ind w:firstLine="480"/>
              <w:rPr>
                <w:color w:val="auto"/>
                <w:sz w:val="24"/>
              </w:rPr>
            </w:pPr>
            <w:r>
              <w:rPr>
                <w:color w:val="auto"/>
                <w:sz w:val="24"/>
              </w:rPr>
              <w:t>2）危废间建设：</w:t>
            </w:r>
          </w:p>
          <w:p w14:paraId="24D4C2CB">
            <w:pPr>
              <w:autoSpaceDE w:val="0"/>
              <w:autoSpaceDN w:val="0"/>
              <w:spacing w:line="360" w:lineRule="auto"/>
              <w:ind w:firstLine="480"/>
              <w:rPr>
                <w:color w:val="auto"/>
                <w:sz w:val="24"/>
              </w:rPr>
            </w:pPr>
            <w:r>
              <w:rPr>
                <w:color w:val="auto"/>
                <w:sz w:val="24"/>
              </w:rPr>
              <w:t>A</w:t>
            </w:r>
            <w:r>
              <w:rPr>
                <w:rFonts w:hint="eastAsia"/>
                <w:color w:val="auto"/>
                <w:sz w:val="24"/>
              </w:rPr>
              <w:t>.</w:t>
            </w:r>
            <w:r>
              <w:rPr>
                <w:color w:val="auto"/>
                <w:sz w:val="24"/>
              </w:rPr>
              <w:t>防渗标准及措施</w:t>
            </w:r>
          </w:p>
          <w:p w14:paraId="6673FB65">
            <w:pPr>
              <w:autoSpaceDE w:val="0"/>
              <w:autoSpaceDN w:val="0"/>
              <w:spacing w:line="360" w:lineRule="auto"/>
              <w:ind w:firstLine="480"/>
              <w:rPr>
                <w:color w:val="auto"/>
                <w:sz w:val="24"/>
              </w:rPr>
            </w:pPr>
            <w:r>
              <w:rPr>
                <w:color w:val="auto"/>
                <w:sz w:val="24"/>
              </w:rPr>
              <w:t>根据《危险废物贮存污染控制标准》（GB18597-2023），危险废物暂存间地面和四周墙裙脚</w:t>
            </w:r>
            <w:r>
              <w:rPr>
                <w:color w:val="auto"/>
                <w:sz w:val="24"/>
                <w:lang w:val="zh-CN"/>
              </w:rPr>
              <w:t>采用“</w:t>
            </w:r>
            <w:r>
              <w:rPr>
                <w:color w:val="auto"/>
                <w:sz w:val="24"/>
              </w:rPr>
              <w:t>抗渗混凝土</w:t>
            </w:r>
            <w:r>
              <w:rPr>
                <w:color w:val="auto"/>
                <w:sz w:val="24"/>
                <w:lang w:val="zh-CN"/>
              </w:rPr>
              <w:t>+2mm厚HDPE+环氧树脂”</w:t>
            </w:r>
            <w:r>
              <w:rPr>
                <w:color w:val="auto"/>
                <w:sz w:val="24"/>
              </w:rPr>
              <w:t>进行重点防渗处理</w:t>
            </w:r>
            <w:r>
              <w:rPr>
                <w:color w:val="auto"/>
                <w:sz w:val="24"/>
                <w:lang w:val="zh-CN"/>
              </w:rPr>
              <w:t>，渗透系数≤10</w:t>
            </w:r>
            <w:r>
              <w:rPr>
                <w:color w:val="auto"/>
                <w:sz w:val="24"/>
                <w:vertAlign w:val="superscript"/>
                <w:lang w:val="zh-CN"/>
              </w:rPr>
              <w:t>-10</w:t>
            </w:r>
            <w:r>
              <w:rPr>
                <w:color w:val="auto"/>
                <w:sz w:val="24"/>
                <w:lang w:val="zh-CN"/>
              </w:rPr>
              <w:t>cm/s</w:t>
            </w:r>
            <w:r>
              <w:rPr>
                <w:color w:val="auto"/>
                <w:sz w:val="24"/>
              </w:rPr>
              <w:t>，并按照要求设置规范的标识标牌。</w:t>
            </w:r>
          </w:p>
          <w:p w14:paraId="1C4B0BF1">
            <w:pPr>
              <w:autoSpaceDE w:val="0"/>
              <w:autoSpaceDN w:val="0"/>
              <w:spacing w:line="360" w:lineRule="auto"/>
              <w:ind w:firstLine="480"/>
              <w:rPr>
                <w:color w:val="auto"/>
                <w:sz w:val="24"/>
              </w:rPr>
            </w:pPr>
            <w:r>
              <w:rPr>
                <w:color w:val="auto"/>
                <w:sz w:val="24"/>
              </w:rPr>
              <w:t>B</w:t>
            </w:r>
            <w:r>
              <w:rPr>
                <w:rFonts w:hint="eastAsia"/>
                <w:color w:val="auto"/>
                <w:sz w:val="24"/>
              </w:rPr>
              <w:t>.</w:t>
            </w:r>
            <w:r>
              <w:rPr>
                <w:color w:val="auto"/>
                <w:sz w:val="24"/>
              </w:rPr>
              <w:t>暂存</w:t>
            </w:r>
          </w:p>
          <w:p w14:paraId="61B1022D">
            <w:pPr>
              <w:autoSpaceDE w:val="0"/>
              <w:autoSpaceDN w:val="0"/>
              <w:spacing w:line="360" w:lineRule="auto"/>
              <w:ind w:firstLine="480"/>
              <w:rPr>
                <w:color w:val="auto"/>
                <w:sz w:val="24"/>
              </w:rPr>
            </w:pPr>
            <w:r>
              <w:rPr>
                <w:color w:val="auto"/>
                <w:sz w:val="24"/>
              </w:rPr>
              <w:t>对于危险废物委托有资质的单位处置</w:t>
            </w:r>
            <w:r>
              <w:rPr>
                <w:rFonts w:hint="eastAsia"/>
                <w:color w:val="auto"/>
                <w:sz w:val="24"/>
                <w:lang w:eastAsia="zh-CN"/>
              </w:rPr>
              <w:t>，</w:t>
            </w:r>
            <w:r>
              <w:rPr>
                <w:color w:val="auto"/>
                <w:sz w:val="24"/>
              </w:rPr>
              <w:t>应按《危险废物贮存污染控制标准》（GB18597-2023）要求设置暂存场地，并要求做到以下几点：</w:t>
            </w:r>
          </w:p>
          <w:p w14:paraId="117C2D92">
            <w:pPr>
              <w:autoSpaceDE w:val="0"/>
              <w:autoSpaceDN w:val="0"/>
              <w:spacing w:line="360" w:lineRule="auto"/>
              <w:ind w:firstLine="480"/>
              <w:rPr>
                <w:color w:val="auto"/>
                <w:sz w:val="24"/>
              </w:rPr>
            </w:pPr>
            <w:r>
              <w:rPr>
                <w:color w:val="auto"/>
                <w:sz w:val="24"/>
              </w:rPr>
              <w:t>①贮存设施应根据危险废物的形态、物理化学性质、包装形式和污染物迁移途径，采取必要的防风、防晒、防雨、防漏、防渗、防腐以及其他环境污染防治措施，不应露天堆放危险废物。</w:t>
            </w:r>
          </w:p>
          <w:p w14:paraId="3D5A55D9">
            <w:pPr>
              <w:autoSpaceDE w:val="0"/>
              <w:autoSpaceDN w:val="0"/>
              <w:spacing w:line="360" w:lineRule="auto"/>
              <w:ind w:firstLine="480"/>
              <w:rPr>
                <w:color w:val="auto"/>
                <w:sz w:val="24"/>
              </w:rPr>
            </w:pPr>
            <w:r>
              <w:rPr>
                <w:color w:val="auto"/>
                <w:sz w:val="24"/>
              </w:rPr>
              <w:t>②贮存设施应根据危险废物的类别、数量、形态、物理化学性质和污染防治等要求设置必要的贮存分区，避免不相容的危险废物接触、混合。</w:t>
            </w:r>
          </w:p>
          <w:p w14:paraId="12CF19C6">
            <w:pPr>
              <w:autoSpaceDE w:val="0"/>
              <w:autoSpaceDN w:val="0"/>
              <w:spacing w:line="360" w:lineRule="auto"/>
              <w:ind w:firstLine="480"/>
              <w:rPr>
                <w:color w:val="auto"/>
                <w:sz w:val="24"/>
              </w:rPr>
            </w:pPr>
            <w:r>
              <w:rPr>
                <w:color w:val="auto"/>
                <w:sz w:val="24"/>
              </w:rPr>
              <w:t>③贮存设施或贮存分区内地面、墙面裙脚、堵截泄漏的围堰、接触危险废物的隔板和墙体等应采用坚固的材料建造，表面无裂缝。</w:t>
            </w:r>
          </w:p>
          <w:p w14:paraId="5841E143">
            <w:pPr>
              <w:autoSpaceDE w:val="0"/>
              <w:autoSpaceDN w:val="0"/>
              <w:spacing w:line="360" w:lineRule="auto"/>
              <w:ind w:firstLine="480"/>
              <w:rPr>
                <w:color w:val="auto"/>
                <w:sz w:val="24"/>
              </w:rPr>
            </w:pPr>
            <w:r>
              <w:rPr>
                <w:color w:val="auto"/>
                <w:sz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color w:val="auto"/>
                <w:sz w:val="24"/>
                <w:vertAlign w:val="superscript"/>
              </w:rPr>
              <w:t>-7</w:t>
            </w:r>
            <w:r>
              <w:rPr>
                <w:color w:val="auto"/>
                <w:sz w:val="24"/>
              </w:rPr>
              <w:t>cm/s），或至少2mm厚高密度聚乙烯膜等人工防渗材料（渗透系数不大于10</w:t>
            </w:r>
            <w:r>
              <w:rPr>
                <w:color w:val="auto"/>
                <w:sz w:val="24"/>
                <w:vertAlign w:val="superscript"/>
              </w:rPr>
              <w:t>-10</w:t>
            </w:r>
            <w:r>
              <w:rPr>
                <w:color w:val="auto"/>
                <w:sz w:val="24"/>
              </w:rPr>
              <w:t>cm/s），或其他防渗性能等效的材料</w:t>
            </w:r>
            <w:r>
              <w:rPr>
                <w:rFonts w:hint="eastAsia"/>
                <w:color w:val="auto"/>
                <w:sz w:val="24"/>
              </w:rPr>
              <w:t>；</w:t>
            </w:r>
          </w:p>
          <w:p w14:paraId="2D8AF151">
            <w:pPr>
              <w:autoSpaceDE w:val="0"/>
              <w:autoSpaceDN w:val="0"/>
              <w:spacing w:line="360" w:lineRule="auto"/>
              <w:ind w:firstLine="480"/>
              <w:rPr>
                <w:color w:val="auto"/>
                <w:sz w:val="24"/>
              </w:rPr>
            </w:pPr>
            <w:r>
              <w:rPr>
                <w:color w:val="auto"/>
                <w:sz w:val="24"/>
              </w:rPr>
              <w:t>⑤同一贮存设施宜采用相同的防渗、防腐工艺（包括防渗、防腐结构或材料），防渗、防腐材料应覆盖所有可能与废物及其渗滤液、渗漏液等接触的构筑物表面；采用不同防渗、防腐工艺应分别建设贮存分区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color w:val="auto"/>
                <w:sz w:val="24"/>
              </w:rPr>
              <w:t>；</w:t>
            </w:r>
          </w:p>
          <w:p w14:paraId="4807A41D">
            <w:pPr>
              <w:autoSpaceDE w:val="0"/>
              <w:autoSpaceDN w:val="0"/>
              <w:spacing w:line="360" w:lineRule="auto"/>
              <w:ind w:firstLine="480"/>
              <w:rPr>
                <w:color w:val="auto"/>
                <w:sz w:val="24"/>
              </w:rPr>
            </w:pPr>
            <w:r>
              <w:rPr>
                <w:color w:val="auto"/>
                <w:sz w:val="24"/>
              </w:rPr>
              <w:t>⑥贮存设施应采取技术和管理措施防止无关人员进入。</w:t>
            </w:r>
          </w:p>
          <w:p w14:paraId="7EFE6359">
            <w:pPr>
              <w:autoSpaceDE w:val="0"/>
              <w:autoSpaceDN w:val="0"/>
              <w:spacing w:line="360" w:lineRule="auto"/>
              <w:ind w:firstLine="480"/>
              <w:rPr>
                <w:color w:val="auto"/>
                <w:sz w:val="24"/>
              </w:rPr>
            </w:pPr>
            <w:r>
              <w:rPr>
                <w:color w:val="auto"/>
                <w:sz w:val="24"/>
              </w:rPr>
              <w:t>3)危废转移</w:t>
            </w:r>
          </w:p>
          <w:p w14:paraId="606A66F0">
            <w:pPr>
              <w:autoSpaceDE w:val="0"/>
              <w:autoSpaceDN w:val="0"/>
              <w:spacing w:line="360" w:lineRule="auto"/>
              <w:ind w:firstLine="480"/>
              <w:rPr>
                <w:color w:val="auto"/>
                <w:sz w:val="24"/>
              </w:rPr>
            </w:pPr>
            <w:r>
              <w:rPr>
                <w:color w:val="auto"/>
                <w:sz w:val="24"/>
              </w:rPr>
              <w:t>危废转移过程应当严格遵守《危险废物转移管理办法》（部令第23号）、《危险废物收集贮存运输技术规范》（HJ2025-2012）相关要求，确保危险废物得到安全处置：</w:t>
            </w:r>
          </w:p>
          <w:p w14:paraId="5BF3E442">
            <w:pPr>
              <w:autoSpaceDE w:val="0"/>
              <w:autoSpaceDN w:val="0"/>
              <w:spacing w:line="360" w:lineRule="auto"/>
              <w:ind w:firstLine="480"/>
              <w:rPr>
                <w:color w:val="auto"/>
                <w:sz w:val="24"/>
              </w:rPr>
            </w:pPr>
            <w:r>
              <w:rPr>
                <w:color w:val="auto"/>
                <w:sz w:val="24"/>
              </w:rPr>
              <w:t>①做好危险废物转移手续，按照《危险废物转移管理办法》（部令第23号）要求进行。建设单位在转移危险废物前，须按照国家有关规定报批危险废物转移计划；经批准后，产生单位应当向移出地环境保护行政主管部门申请领取联单。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w:t>
            </w:r>
          </w:p>
          <w:p w14:paraId="35095D48">
            <w:pPr>
              <w:autoSpaceDE w:val="0"/>
              <w:autoSpaceDN w:val="0"/>
              <w:spacing w:line="360" w:lineRule="auto"/>
              <w:ind w:firstLine="480"/>
              <w:rPr>
                <w:color w:val="auto"/>
                <w:sz w:val="24"/>
              </w:rPr>
            </w:pPr>
            <w:r>
              <w:rPr>
                <w:color w:val="auto"/>
                <w:sz w:val="24"/>
              </w:rPr>
              <w:t>②危险废物运输由持有危险废物经营许可证的单位按照其许可证的经营范围组织实施，承担危险废物运输单位应获得交通运输部门颁发的危险货物运输资质；</w:t>
            </w:r>
          </w:p>
          <w:p w14:paraId="7CDCD778">
            <w:pPr>
              <w:autoSpaceDE w:val="0"/>
              <w:autoSpaceDN w:val="0"/>
              <w:spacing w:line="360" w:lineRule="auto"/>
              <w:ind w:firstLine="480"/>
              <w:rPr>
                <w:color w:val="auto"/>
                <w:sz w:val="24"/>
              </w:rPr>
            </w:pPr>
            <w:r>
              <w:rPr>
                <w:color w:val="auto"/>
                <w:sz w:val="24"/>
              </w:rPr>
              <w:t>③危险废物在运输途中若发生被盗、丢失、流散、泄漏等情况时，公司及押运人员必须立即向当地环保部门、公安部门报告，并采取一切可能的警示措施。</w:t>
            </w:r>
          </w:p>
          <w:p w14:paraId="2D463B74">
            <w:pPr>
              <w:autoSpaceDE w:val="0"/>
              <w:autoSpaceDN w:val="0"/>
              <w:spacing w:line="360" w:lineRule="auto"/>
              <w:ind w:firstLine="480"/>
              <w:rPr>
                <w:color w:val="auto"/>
                <w:sz w:val="24"/>
              </w:rPr>
            </w:pPr>
            <w:r>
              <w:rPr>
                <w:color w:val="auto"/>
                <w:sz w:val="24"/>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符合国家环境保护标准。</w:t>
            </w:r>
          </w:p>
          <w:p w14:paraId="3DC3C831">
            <w:pPr>
              <w:autoSpaceDE w:val="0"/>
              <w:autoSpaceDN w:val="0"/>
              <w:spacing w:line="360" w:lineRule="auto"/>
              <w:ind w:firstLine="480"/>
              <w:rPr>
                <w:color w:val="auto"/>
                <w:sz w:val="24"/>
              </w:rPr>
            </w:pPr>
            <w:r>
              <w:rPr>
                <w:color w:val="auto"/>
                <w:sz w:val="24"/>
              </w:rPr>
              <w:t>在采取上述措施的前提下，项目运营期固体废物均能得到及时、妥善的处理和处置，不会对周围环境造成大的影响。</w:t>
            </w:r>
          </w:p>
          <w:p w14:paraId="2DF70FF3">
            <w:pPr>
              <w:autoSpaceDE w:val="0"/>
              <w:autoSpaceDN w:val="0"/>
              <w:spacing w:line="360" w:lineRule="auto"/>
              <w:ind w:firstLine="482"/>
              <w:rPr>
                <w:b/>
                <w:bCs/>
                <w:color w:val="auto"/>
                <w:sz w:val="24"/>
              </w:rPr>
            </w:pPr>
            <w:r>
              <w:rPr>
                <w:b/>
                <w:bCs/>
                <w:color w:val="auto"/>
                <w:sz w:val="24"/>
              </w:rPr>
              <w:t>5、土壤、地下水环境影响分析</w:t>
            </w:r>
          </w:p>
          <w:p w14:paraId="30A2B779">
            <w:pPr>
              <w:autoSpaceDE w:val="0"/>
              <w:autoSpaceDN w:val="0"/>
              <w:spacing w:line="360" w:lineRule="auto"/>
              <w:ind w:firstLine="480"/>
              <w:rPr>
                <w:color w:val="auto"/>
                <w:sz w:val="24"/>
                <w:lang w:val="zh-CN"/>
              </w:rPr>
            </w:pPr>
            <w:r>
              <w:rPr>
                <w:color w:val="auto"/>
                <w:sz w:val="24"/>
                <w:lang w:val="zh-CN"/>
              </w:rPr>
              <w:t>（</w:t>
            </w:r>
            <w:r>
              <w:rPr>
                <w:color w:val="auto"/>
                <w:sz w:val="24"/>
              </w:rPr>
              <w:t>1</w:t>
            </w:r>
            <w:r>
              <w:rPr>
                <w:color w:val="auto"/>
                <w:sz w:val="24"/>
                <w:lang w:val="zh-CN"/>
              </w:rPr>
              <w:t>）污染源分析</w:t>
            </w:r>
          </w:p>
          <w:p w14:paraId="636FC8B7">
            <w:pPr>
              <w:autoSpaceDE w:val="0"/>
              <w:autoSpaceDN w:val="0"/>
              <w:spacing w:line="360" w:lineRule="auto"/>
              <w:ind w:firstLine="480"/>
              <w:rPr>
                <w:color w:val="auto"/>
                <w:sz w:val="24"/>
                <w:lang w:val="zh-CN"/>
              </w:rPr>
            </w:pPr>
            <w:r>
              <w:rPr>
                <w:color w:val="auto"/>
                <w:sz w:val="24"/>
                <w:lang w:val="zh-CN"/>
              </w:rPr>
              <w:t>本项目正常工况下，不会产生地下水、土壤污染，只有在事故状态下，项目内暂存的废矿物油可能会发生</w:t>
            </w:r>
            <w:r>
              <w:rPr>
                <w:color w:val="auto"/>
                <w:sz w:val="24"/>
              </w:rPr>
              <w:t>泄漏</w:t>
            </w:r>
            <w:r>
              <w:rPr>
                <w:color w:val="auto"/>
                <w:sz w:val="24"/>
                <w:lang w:val="zh-CN"/>
              </w:rPr>
              <w:t>等情况，可能对周边土壤造成污染，长时间</w:t>
            </w:r>
            <w:r>
              <w:rPr>
                <w:color w:val="auto"/>
                <w:sz w:val="24"/>
              </w:rPr>
              <w:t>泄漏</w:t>
            </w:r>
            <w:r>
              <w:rPr>
                <w:color w:val="auto"/>
                <w:sz w:val="24"/>
                <w:lang w:val="zh-CN"/>
              </w:rPr>
              <w:t>可能深入地下对地下水造成污染。</w:t>
            </w:r>
          </w:p>
          <w:p w14:paraId="67FE50DE">
            <w:pPr>
              <w:adjustRightInd w:val="0"/>
              <w:snapToGrid w:val="0"/>
              <w:spacing w:line="360" w:lineRule="auto"/>
              <w:ind w:firstLine="480"/>
              <w:rPr>
                <w:color w:val="auto"/>
                <w:sz w:val="24"/>
                <w:lang w:val="zh-CN"/>
              </w:rPr>
            </w:pPr>
            <w:r>
              <w:rPr>
                <w:color w:val="auto"/>
                <w:sz w:val="24"/>
              </w:rPr>
              <w:t>（2）</w:t>
            </w:r>
            <w:r>
              <w:rPr>
                <w:color w:val="auto"/>
                <w:sz w:val="24"/>
                <w:lang w:val="zh-CN"/>
              </w:rPr>
              <w:t>污染物类型和污染途径识别</w:t>
            </w:r>
          </w:p>
          <w:p w14:paraId="4878807F">
            <w:pPr>
              <w:adjustRightInd w:val="0"/>
              <w:snapToGrid w:val="0"/>
              <w:spacing w:line="360" w:lineRule="auto"/>
              <w:ind w:firstLine="480"/>
              <w:rPr>
                <w:color w:val="auto"/>
                <w:sz w:val="24"/>
                <w:lang w:val="zh-CN"/>
              </w:rPr>
            </w:pPr>
            <w:r>
              <w:rPr>
                <w:color w:val="auto"/>
                <w:sz w:val="24"/>
                <w:lang w:val="zh-CN"/>
              </w:rPr>
              <w:fldChar w:fldCharType="begin"/>
            </w:r>
            <w:r>
              <w:rPr>
                <w:color w:val="auto"/>
                <w:sz w:val="24"/>
                <w:lang w:val="zh-CN"/>
              </w:rPr>
              <w:instrText xml:space="preserve"> = 1 \* GB3 \* MERGEFORMAT </w:instrText>
            </w:r>
            <w:r>
              <w:rPr>
                <w:color w:val="auto"/>
                <w:sz w:val="24"/>
                <w:lang w:val="zh-CN"/>
              </w:rPr>
              <w:fldChar w:fldCharType="separate"/>
            </w:r>
            <w:r>
              <w:rPr>
                <w:color w:val="auto"/>
                <w:sz w:val="24"/>
                <w:lang w:val="zh-CN"/>
              </w:rPr>
              <w:t>①</w:t>
            </w:r>
            <w:r>
              <w:rPr>
                <w:color w:val="auto"/>
                <w:sz w:val="24"/>
                <w:lang w:val="zh-CN"/>
              </w:rPr>
              <w:fldChar w:fldCharType="end"/>
            </w:r>
            <w:r>
              <w:rPr>
                <w:color w:val="auto"/>
                <w:sz w:val="24"/>
                <w:lang w:val="zh-CN"/>
              </w:rPr>
              <w:t>土壤、</w:t>
            </w:r>
            <w:r>
              <w:rPr>
                <w:color w:val="auto"/>
                <w:sz w:val="24"/>
              </w:rPr>
              <w:t>地下水</w:t>
            </w:r>
            <w:r>
              <w:rPr>
                <w:color w:val="auto"/>
                <w:sz w:val="24"/>
                <w:lang w:val="zh-CN"/>
              </w:rPr>
              <w:t>环境影响类型与影响途径识别</w:t>
            </w:r>
          </w:p>
          <w:p w14:paraId="0057E0C9">
            <w:pPr>
              <w:adjustRightInd w:val="0"/>
              <w:snapToGrid w:val="0"/>
              <w:spacing w:line="360" w:lineRule="auto"/>
              <w:ind w:firstLine="480"/>
              <w:rPr>
                <w:color w:val="auto"/>
                <w:sz w:val="24"/>
                <w:lang w:val="zh-CN"/>
              </w:rPr>
            </w:pPr>
            <w:r>
              <w:rPr>
                <w:color w:val="auto"/>
                <w:sz w:val="24"/>
                <w:lang w:val="zh-CN"/>
              </w:rPr>
              <w:t>本项目对周边</w:t>
            </w:r>
            <w:r>
              <w:rPr>
                <w:color w:val="auto"/>
                <w:sz w:val="24"/>
              </w:rPr>
              <w:t>地下水、</w:t>
            </w:r>
            <w:r>
              <w:rPr>
                <w:color w:val="auto"/>
                <w:sz w:val="24"/>
                <w:lang w:val="zh-CN"/>
              </w:rPr>
              <w:t>土壤环境影响的类型与影响途径见表4-</w:t>
            </w:r>
            <w:r>
              <w:rPr>
                <w:rFonts w:hint="eastAsia"/>
                <w:color w:val="auto"/>
                <w:sz w:val="24"/>
                <w:lang w:val="en-US" w:eastAsia="zh-CN"/>
              </w:rPr>
              <w:t>21</w:t>
            </w:r>
            <w:r>
              <w:rPr>
                <w:color w:val="auto"/>
                <w:sz w:val="24"/>
                <w:lang w:val="zh-CN"/>
              </w:rPr>
              <w:t>。</w:t>
            </w:r>
          </w:p>
          <w:p w14:paraId="5B9F651E">
            <w:pPr>
              <w:pStyle w:val="61"/>
              <w:adjustRightInd w:val="0"/>
              <w:snapToGrid w:val="0"/>
              <w:ind w:firstLine="422"/>
              <w:rPr>
                <w:rStyle w:val="58"/>
                <w:b/>
                <w:color w:val="auto"/>
                <w:szCs w:val="21"/>
              </w:rPr>
            </w:pPr>
            <w:r>
              <w:rPr>
                <w:rStyle w:val="58"/>
                <w:b/>
                <w:color w:val="auto"/>
                <w:szCs w:val="21"/>
              </w:rPr>
              <w:t>表4-</w:t>
            </w:r>
            <w:r>
              <w:rPr>
                <w:rStyle w:val="58"/>
                <w:rFonts w:hint="eastAsia"/>
                <w:b/>
                <w:color w:val="auto"/>
                <w:szCs w:val="21"/>
                <w:lang w:val="en-US" w:eastAsia="zh-CN"/>
              </w:rPr>
              <w:t>21</w:t>
            </w:r>
            <w:r>
              <w:rPr>
                <w:rStyle w:val="58"/>
                <w:b/>
                <w:color w:val="auto"/>
                <w:szCs w:val="21"/>
              </w:rPr>
              <w:t xml:space="preserve">   </w:t>
            </w:r>
            <w:r>
              <w:rPr>
                <w:rStyle w:val="58"/>
                <w:rFonts w:hint="eastAsia"/>
                <w:b/>
                <w:color w:val="auto"/>
                <w:szCs w:val="21"/>
              </w:rPr>
              <w:t xml:space="preserve"> </w:t>
            </w:r>
            <w:r>
              <w:rPr>
                <w:rStyle w:val="58"/>
                <w:b/>
                <w:color w:val="auto"/>
                <w:szCs w:val="21"/>
              </w:rPr>
              <w:t>项目土壤、地下水环境影响类型与影响途径识别表</w:t>
            </w:r>
          </w:p>
          <w:tbl>
            <w:tblPr>
              <w:tblStyle w:val="3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570"/>
              <w:gridCol w:w="1824"/>
              <w:gridCol w:w="1863"/>
              <w:gridCol w:w="1652"/>
            </w:tblGrid>
            <w:tr w14:paraId="22B6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vMerge w:val="restart"/>
                  <w:vAlign w:val="center"/>
                </w:tcPr>
                <w:p w14:paraId="550BC63E">
                  <w:pPr>
                    <w:pStyle w:val="61"/>
                    <w:adjustRightInd w:val="0"/>
                    <w:snapToGrid w:val="0"/>
                    <w:ind w:firstLine="0" w:firstLineChars="0"/>
                    <w:rPr>
                      <w:rStyle w:val="58"/>
                      <w:b/>
                      <w:color w:val="auto"/>
                      <w:szCs w:val="21"/>
                    </w:rPr>
                  </w:pPr>
                  <w:r>
                    <w:rPr>
                      <w:rStyle w:val="58"/>
                      <w:b/>
                      <w:color w:val="auto"/>
                      <w:szCs w:val="21"/>
                    </w:rPr>
                    <w:t>时段</w:t>
                  </w:r>
                </w:p>
              </w:tc>
              <w:tc>
                <w:tcPr>
                  <w:tcW w:w="3886" w:type="pct"/>
                  <w:gridSpan w:val="4"/>
                  <w:vAlign w:val="center"/>
                </w:tcPr>
                <w:p w14:paraId="5FB06CAE">
                  <w:pPr>
                    <w:pStyle w:val="61"/>
                    <w:adjustRightInd w:val="0"/>
                    <w:snapToGrid w:val="0"/>
                    <w:ind w:firstLine="0" w:firstLineChars="0"/>
                    <w:rPr>
                      <w:rStyle w:val="58"/>
                      <w:b/>
                      <w:color w:val="auto"/>
                      <w:szCs w:val="21"/>
                    </w:rPr>
                  </w:pPr>
                  <w:r>
                    <w:rPr>
                      <w:rStyle w:val="58"/>
                      <w:b/>
                      <w:color w:val="auto"/>
                      <w:szCs w:val="21"/>
                    </w:rPr>
                    <w:t>污染影响类型</w:t>
                  </w:r>
                </w:p>
              </w:tc>
            </w:tr>
            <w:tr w14:paraId="36FB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vMerge w:val="continue"/>
                  <w:vAlign w:val="center"/>
                </w:tcPr>
                <w:p w14:paraId="1FB27F53">
                  <w:pPr>
                    <w:pStyle w:val="61"/>
                    <w:adjustRightInd w:val="0"/>
                    <w:snapToGrid w:val="0"/>
                    <w:ind w:firstLine="0" w:firstLineChars="0"/>
                    <w:rPr>
                      <w:rStyle w:val="58"/>
                      <w:b/>
                      <w:color w:val="auto"/>
                      <w:szCs w:val="21"/>
                    </w:rPr>
                  </w:pPr>
                </w:p>
              </w:tc>
              <w:tc>
                <w:tcPr>
                  <w:tcW w:w="883" w:type="pct"/>
                  <w:vAlign w:val="center"/>
                </w:tcPr>
                <w:p w14:paraId="33818E2E">
                  <w:pPr>
                    <w:pStyle w:val="61"/>
                    <w:adjustRightInd w:val="0"/>
                    <w:snapToGrid w:val="0"/>
                    <w:ind w:firstLine="0" w:firstLineChars="0"/>
                    <w:rPr>
                      <w:rStyle w:val="58"/>
                      <w:b/>
                      <w:color w:val="auto"/>
                      <w:szCs w:val="21"/>
                    </w:rPr>
                  </w:pPr>
                  <w:r>
                    <w:rPr>
                      <w:rStyle w:val="58"/>
                      <w:b/>
                      <w:color w:val="auto"/>
                      <w:szCs w:val="21"/>
                    </w:rPr>
                    <w:t>大气沉降</w:t>
                  </w:r>
                </w:p>
              </w:tc>
              <w:tc>
                <w:tcPr>
                  <w:tcW w:w="1026" w:type="pct"/>
                  <w:vAlign w:val="center"/>
                </w:tcPr>
                <w:p w14:paraId="3040A49D">
                  <w:pPr>
                    <w:pStyle w:val="61"/>
                    <w:adjustRightInd w:val="0"/>
                    <w:snapToGrid w:val="0"/>
                    <w:ind w:firstLine="0" w:firstLineChars="0"/>
                    <w:rPr>
                      <w:rStyle w:val="58"/>
                      <w:b/>
                      <w:color w:val="auto"/>
                      <w:szCs w:val="21"/>
                    </w:rPr>
                  </w:pPr>
                  <w:r>
                    <w:rPr>
                      <w:rStyle w:val="58"/>
                      <w:b/>
                      <w:color w:val="auto"/>
                      <w:szCs w:val="21"/>
                    </w:rPr>
                    <w:t>地面漫流</w:t>
                  </w:r>
                </w:p>
              </w:tc>
              <w:tc>
                <w:tcPr>
                  <w:tcW w:w="1048" w:type="pct"/>
                  <w:vAlign w:val="center"/>
                </w:tcPr>
                <w:p w14:paraId="3C4258D9">
                  <w:pPr>
                    <w:pStyle w:val="61"/>
                    <w:adjustRightInd w:val="0"/>
                    <w:snapToGrid w:val="0"/>
                    <w:ind w:firstLine="0" w:firstLineChars="0"/>
                    <w:rPr>
                      <w:rStyle w:val="58"/>
                      <w:b/>
                      <w:color w:val="auto"/>
                      <w:szCs w:val="21"/>
                    </w:rPr>
                  </w:pPr>
                  <w:r>
                    <w:rPr>
                      <w:rStyle w:val="58"/>
                      <w:b/>
                      <w:color w:val="auto"/>
                      <w:szCs w:val="21"/>
                    </w:rPr>
                    <w:t>垂直入渗</w:t>
                  </w:r>
                </w:p>
              </w:tc>
              <w:tc>
                <w:tcPr>
                  <w:tcW w:w="928" w:type="pct"/>
                  <w:vAlign w:val="center"/>
                </w:tcPr>
                <w:p w14:paraId="51AF33DE">
                  <w:pPr>
                    <w:pStyle w:val="61"/>
                    <w:adjustRightInd w:val="0"/>
                    <w:snapToGrid w:val="0"/>
                    <w:ind w:firstLine="0" w:firstLineChars="0"/>
                    <w:rPr>
                      <w:rStyle w:val="58"/>
                      <w:b/>
                      <w:color w:val="auto"/>
                      <w:szCs w:val="21"/>
                    </w:rPr>
                  </w:pPr>
                  <w:r>
                    <w:rPr>
                      <w:rStyle w:val="58"/>
                      <w:b/>
                      <w:color w:val="auto"/>
                      <w:szCs w:val="21"/>
                    </w:rPr>
                    <w:t>其他</w:t>
                  </w:r>
                </w:p>
              </w:tc>
            </w:tr>
            <w:tr w14:paraId="7A9A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vAlign w:val="center"/>
                </w:tcPr>
                <w:p w14:paraId="117743FB">
                  <w:pPr>
                    <w:pStyle w:val="61"/>
                    <w:adjustRightInd w:val="0"/>
                    <w:snapToGrid w:val="0"/>
                    <w:ind w:firstLine="0" w:firstLineChars="0"/>
                    <w:rPr>
                      <w:rStyle w:val="58"/>
                      <w:b/>
                      <w:color w:val="auto"/>
                      <w:szCs w:val="21"/>
                    </w:rPr>
                  </w:pPr>
                  <w:r>
                    <w:rPr>
                      <w:rStyle w:val="58"/>
                      <w:bCs/>
                      <w:color w:val="auto"/>
                      <w:szCs w:val="21"/>
                    </w:rPr>
                    <w:t>运营期</w:t>
                  </w:r>
                </w:p>
              </w:tc>
              <w:tc>
                <w:tcPr>
                  <w:tcW w:w="883" w:type="pct"/>
                  <w:vAlign w:val="center"/>
                </w:tcPr>
                <w:p w14:paraId="29761892">
                  <w:pPr>
                    <w:pStyle w:val="61"/>
                    <w:adjustRightInd w:val="0"/>
                    <w:snapToGrid w:val="0"/>
                    <w:ind w:firstLine="0" w:firstLineChars="0"/>
                    <w:rPr>
                      <w:rStyle w:val="58"/>
                      <w:b/>
                      <w:color w:val="auto"/>
                      <w:szCs w:val="21"/>
                    </w:rPr>
                  </w:pPr>
                  <w:r>
                    <w:rPr>
                      <w:rStyle w:val="58"/>
                      <w:b/>
                      <w:color w:val="auto"/>
                      <w:szCs w:val="21"/>
                    </w:rPr>
                    <w:t>/</w:t>
                  </w:r>
                </w:p>
              </w:tc>
              <w:tc>
                <w:tcPr>
                  <w:tcW w:w="1026" w:type="pct"/>
                  <w:vAlign w:val="center"/>
                </w:tcPr>
                <w:p w14:paraId="4905DAEB">
                  <w:pPr>
                    <w:pStyle w:val="61"/>
                    <w:adjustRightInd w:val="0"/>
                    <w:snapToGrid w:val="0"/>
                    <w:ind w:firstLine="0" w:firstLineChars="0"/>
                    <w:rPr>
                      <w:rStyle w:val="58"/>
                      <w:b/>
                      <w:color w:val="auto"/>
                      <w:szCs w:val="21"/>
                    </w:rPr>
                  </w:pPr>
                  <w:r>
                    <w:rPr>
                      <w:rStyle w:val="58"/>
                      <w:b/>
                      <w:color w:val="auto"/>
                      <w:szCs w:val="21"/>
                    </w:rPr>
                    <w:t>/</w:t>
                  </w:r>
                </w:p>
              </w:tc>
              <w:tc>
                <w:tcPr>
                  <w:tcW w:w="1048" w:type="pct"/>
                  <w:vAlign w:val="center"/>
                </w:tcPr>
                <w:p w14:paraId="0FB7D01D">
                  <w:pPr>
                    <w:pStyle w:val="61"/>
                    <w:adjustRightInd w:val="0"/>
                    <w:snapToGrid w:val="0"/>
                    <w:ind w:firstLine="0" w:firstLineChars="0"/>
                    <w:rPr>
                      <w:rStyle w:val="58"/>
                      <w:b/>
                      <w:color w:val="auto"/>
                      <w:szCs w:val="21"/>
                    </w:rPr>
                  </w:pPr>
                  <w:r>
                    <w:rPr>
                      <w:rStyle w:val="58"/>
                      <w:b/>
                      <w:color w:val="auto"/>
                      <w:szCs w:val="21"/>
                    </w:rPr>
                    <w:t>√</w:t>
                  </w:r>
                </w:p>
              </w:tc>
              <w:tc>
                <w:tcPr>
                  <w:tcW w:w="928" w:type="pct"/>
                  <w:vAlign w:val="center"/>
                </w:tcPr>
                <w:p w14:paraId="2D0D97A9">
                  <w:pPr>
                    <w:pStyle w:val="61"/>
                    <w:adjustRightInd w:val="0"/>
                    <w:snapToGrid w:val="0"/>
                    <w:ind w:firstLine="0" w:firstLineChars="0"/>
                    <w:rPr>
                      <w:rStyle w:val="58"/>
                      <w:b/>
                      <w:color w:val="auto"/>
                      <w:szCs w:val="21"/>
                    </w:rPr>
                  </w:pPr>
                  <w:r>
                    <w:rPr>
                      <w:rStyle w:val="58"/>
                      <w:b/>
                      <w:color w:val="auto"/>
                      <w:szCs w:val="21"/>
                    </w:rPr>
                    <w:t>/</w:t>
                  </w:r>
                </w:p>
              </w:tc>
            </w:tr>
          </w:tbl>
          <w:p w14:paraId="6C4FF990">
            <w:pPr>
              <w:adjustRightInd w:val="0"/>
              <w:snapToGrid w:val="0"/>
              <w:spacing w:line="360" w:lineRule="auto"/>
              <w:ind w:firstLine="480"/>
              <w:rPr>
                <w:color w:val="auto"/>
                <w:sz w:val="24"/>
              </w:rPr>
            </w:pPr>
            <w:r>
              <w:rPr>
                <w:color w:val="auto"/>
                <w:sz w:val="24"/>
                <w:lang w:val="zh-CN"/>
              </w:rPr>
              <w:fldChar w:fldCharType="begin"/>
            </w:r>
            <w:r>
              <w:rPr>
                <w:color w:val="auto"/>
                <w:sz w:val="24"/>
                <w:lang w:val="zh-CN"/>
              </w:rPr>
              <w:instrText xml:space="preserve"> = 2 \* GB3 \* MERGEFORMAT </w:instrText>
            </w:r>
            <w:r>
              <w:rPr>
                <w:color w:val="auto"/>
                <w:sz w:val="24"/>
                <w:lang w:val="zh-CN"/>
              </w:rPr>
              <w:fldChar w:fldCharType="separate"/>
            </w:r>
            <w:r>
              <w:rPr>
                <w:color w:val="auto"/>
                <w:sz w:val="24"/>
              </w:rPr>
              <w:t>②</w:t>
            </w:r>
            <w:r>
              <w:rPr>
                <w:color w:val="auto"/>
                <w:sz w:val="24"/>
                <w:lang w:val="zh-CN"/>
              </w:rPr>
              <w:fldChar w:fldCharType="end"/>
            </w:r>
            <w:r>
              <w:rPr>
                <w:color w:val="auto"/>
                <w:sz w:val="24"/>
                <w:lang w:val="zh-CN"/>
              </w:rPr>
              <w:t>土壤、</w:t>
            </w:r>
            <w:r>
              <w:rPr>
                <w:color w:val="auto"/>
                <w:sz w:val="24"/>
              </w:rPr>
              <w:t>地下水</w:t>
            </w:r>
            <w:r>
              <w:rPr>
                <w:color w:val="auto"/>
                <w:sz w:val="24"/>
                <w:lang w:val="zh-CN"/>
              </w:rPr>
              <w:t>环境影响</w:t>
            </w:r>
            <w:r>
              <w:rPr>
                <w:color w:val="auto"/>
                <w:sz w:val="24"/>
              </w:rPr>
              <w:t>源及影响因子</w:t>
            </w:r>
          </w:p>
          <w:p w14:paraId="1524D166">
            <w:pPr>
              <w:adjustRightInd w:val="0"/>
              <w:snapToGrid w:val="0"/>
              <w:spacing w:line="360" w:lineRule="auto"/>
              <w:ind w:firstLine="480"/>
              <w:rPr>
                <w:color w:val="auto"/>
                <w:sz w:val="24"/>
                <w:lang w:val="zh-CN"/>
              </w:rPr>
            </w:pPr>
            <w:r>
              <w:rPr>
                <w:color w:val="auto"/>
                <w:sz w:val="24"/>
              </w:rPr>
              <w:t>项目对</w:t>
            </w:r>
            <w:r>
              <w:rPr>
                <w:color w:val="auto"/>
                <w:sz w:val="24"/>
                <w:lang w:val="zh-CN"/>
              </w:rPr>
              <w:t>土壤、</w:t>
            </w:r>
            <w:r>
              <w:rPr>
                <w:color w:val="auto"/>
                <w:sz w:val="24"/>
              </w:rPr>
              <w:t>地下水</w:t>
            </w:r>
            <w:r>
              <w:rPr>
                <w:color w:val="auto"/>
                <w:sz w:val="24"/>
                <w:lang w:val="zh-CN"/>
              </w:rPr>
              <w:t>环境</w:t>
            </w:r>
            <w:r>
              <w:rPr>
                <w:color w:val="auto"/>
                <w:sz w:val="24"/>
              </w:rPr>
              <w:t>的</w:t>
            </w:r>
            <w:r>
              <w:rPr>
                <w:color w:val="auto"/>
                <w:sz w:val="24"/>
                <w:lang w:val="zh-CN"/>
              </w:rPr>
              <w:t>影响</w:t>
            </w:r>
            <w:r>
              <w:rPr>
                <w:color w:val="auto"/>
                <w:sz w:val="24"/>
              </w:rPr>
              <w:t>源及影响因子</w:t>
            </w:r>
            <w:r>
              <w:rPr>
                <w:color w:val="auto"/>
                <w:sz w:val="24"/>
                <w:lang w:val="zh-CN"/>
              </w:rPr>
              <w:t>见表4-</w:t>
            </w:r>
            <w:r>
              <w:rPr>
                <w:rFonts w:hint="eastAsia"/>
                <w:color w:val="auto"/>
                <w:sz w:val="24"/>
                <w:lang w:val="en-US" w:eastAsia="zh-CN"/>
              </w:rPr>
              <w:t>22</w:t>
            </w:r>
            <w:r>
              <w:rPr>
                <w:color w:val="auto"/>
                <w:sz w:val="24"/>
                <w:lang w:val="zh-CN"/>
              </w:rPr>
              <w:t>。</w:t>
            </w:r>
          </w:p>
          <w:p w14:paraId="60836487">
            <w:pPr>
              <w:pStyle w:val="61"/>
              <w:adjustRightInd w:val="0"/>
              <w:snapToGrid w:val="0"/>
              <w:ind w:firstLine="422"/>
              <w:rPr>
                <w:rStyle w:val="58"/>
                <w:b/>
                <w:color w:val="auto"/>
                <w:szCs w:val="21"/>
              </w:rPr>
            </w:pPr>
            <w:r>
              <w:rPr>
                <w:rStyle w:val="58"/>
                <w:b/>
                <w:color w:val="auto"/>
                <w:szCs w:val="21"/>
              </w:rPr>
              <w:t>表4-</w:t>
            </w:r>
            <w:r>
              <w:rPr>
                <w:rStyle w:val="58"/>
                <w:rFonts w:hint="eastAsia"/>
                <w:b/>
                <w:color w:val="auto"/>
                <w:szCs w:val="21"/>
                <w:lang w:val="en-US" w:eastAsia="zh-CN"/>
              </w:rPr>
              <w:t>22</w:t>
            </w:r>
            <w:r>
              <w:rPr>
                <w:rStyle w:val="58"/>
                <w:b/>
                <w:color w:val="auto"/>
                <w:szCs w:val="21"/>
              </w:rPr>
              <w:t xml:space="preserve">  项目土壤、地下水环境影响源及影响因子识别表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700"/>
              <w:gridCol w:w="1334"/>
              <w:gridCol w:w="1475"/>
              <w:gridCol w:w="2943"/>
            </w:tblGrid>
            <w:tr w14:paraId="0828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07" w:type="pct"/>
                  <w:vAlign w:val="center"/>
                </w:tcPr>
                <w:p w14:paraId="51E063AE">
                  <w:pPr>
                    <w:pStyle w:val="61"/>
                    <w:adjustRightInd w:val="0"/>
                    <w:snapToGrid w:val="0"/>
                    <w:ind w:firstLine="0" w:firstLineChars="0"/>
                    <w:rPr>
                      <w:rStyle w:val="58"/>
                      <w:b/>
                      <w:color w:val="auto"/>
                      <w:szCs w:val="21"/>
                    </w:rPr>
                  </w:pPr>
                  <w:r>
                    <w:rPr>
                      <w:rStyle w:val="58"/>
                      <w:b/>
                      <w:color w:val="auto"/>
                      <w:szCs w:val="21"/>
                    </w:rPr>
                    <w:t>污染源</w:t>
                  </w:r>
                </w:p>
              </w:tc>
              <w:tc>
                <w:tcPr>
                  <w:tcW w:w="955" w:type="pct"/>
                  <w:vAlign w:val="center"/>
                </w:tcPr>
                <w:p w14:paraId="5579E6EB">
                  <w:pPr>
                    <w:pStyle w:val="61"/>
                    <w:adjustRightInd w:val="0"/>
                    <w:snapToGrid w:val="0"/>
                    <w:ind w:firstLine="0" w:firstLineChars="0"/>
                    <w:rPr>
                      <w:rStyle w:val="58"/>
                      <w:b/>
                      <w:color w:val="auto"/>
                      <w:szCs w:val="21"/>
                    </w:rPr>
                  </w:pPr>
                  <w:r>
                    <w:rPr>
                      <w:rStyle w:val="58"/>
                      <w:b/>
                      <w:color w:val="auto"/>
                      <w:szCs w:val="21"/>
                    </w:rPr>
                    <w:t>工艺流程/环节</w:t>
                  </w:r>
                </w:p>
              </w:tc>
              <w:tc>
                <w:tcPr>
                  <w:tcW w:w="750" w:type="pct"/>
                  <w:vAlign w:val="center"/>
                </w:tcPr>
                <w:p w14:paraId="663617BB">
                  <w:pPr>
                    <w:pStyle w:val="61"/>
                    <w:adjustRightInd w:val="0"/>
                    <w:snapToGrid w:val="0"/>
                    <w:ind w:firstLine="0" w:firstLineChars="0"/>
                    <w:rPr>
                      <w:rStyle w:val="58"/>
                      <w:b/>
                      <w:color w:val="auto"/>
                      <w:szCs w:val="21"/>
                    </w:rPr>
                  </w:pPr>
                  <w:r>
                    <w:rPr>
                      <w:rStyle w:val="58"/>
                      <w:b/>
                      <w:color w:val="auto"/>
                      <w:szCs w:val="21"/>
                    </w:rPr>
                    <w:t>污染途径</w:t>
                  </w:r>
                </w:p>
              </w:tc>
              <w:tc>
                <w:tcPr>
                  <w:tcW w:w="830" w:type="pct"/>
                  <w:vAlign w:val="center"/>
                </w:tcPr>
                <w:p w14:paraId="182D20F1">
                  <w:pPr>
                    <w:pStyle w:val="61"/>
                    <w:adjustRightInd w:val="0"/>
                    <w:snapToGrid w:val="0"/>
                    <w:ind w:firstLine="0" w:firstLineChars="0"/>
                    <w:rPr>
                      <w:rStyle w:val="58"/>
                      <w:b/>
                      <w:color w:val="auto"/>
                      <w:szCs w:val="21"/>
                    </w:rPr>
                  </w:pPr>
                  <w:r>
                    <w:rPr>
                      <w:rStyle w:val="58"/>
                      <w:b/>
                      <w:color w:val="auto"/>
                      <w:szCs w:val="21"/>
                    </w:rPr>
                    <w:t>污染物</w:t>
                  </w:r>
                </w:p>
              </w:tc>
              <w:tc>
                <w:tcPr>
                  <w:tcW w:w="1655" w:type="pct"/>
                  <w:vAlign w:val="center"/>
                </w:tcPr>
                <w:p w14:paraId="48090C5B">
                  <w:pPr>
                    <w:pStyle w:val="61"/>
                    <w:adjustRightInd w:val="0"/>
                    <w:snapToGrid w:val="0"/>
                    <w:ind w:firstLine="0" w:firstLineChars="0"/>
                    <w:rPr>
                      <w:rStyle w:val="58"/>
                      <w:b/>
                      <w:color w:val="auto"/>
                      <w:szCs w:val="21"/>
                    </w:rPr>
                  </w:pPr>
                  <w:r>
                    <w:rPr>
                      <w:rStyle w:val="58"/>
                      <w:b/>
                      <w:color w:val="auto"/>
                      <w:szCs w:val="21"/>
                    </w:rPr>
                    <w:t>备注</w:t>
                  </w:r>
                </w:p>
              </w:tc>
            </w:tr>
            <w:tr w14:paraId="3922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pct"/>
                  <w:vAlign w:val="center"/>
                </w:tcPr>
                <w:p w14:paraId="6E886D7A">
                  <w:pPr>
                    <w:pStyle w:val="61"/>
                    <w:adjustRightInd w:val="0"/>
                    <w:snapToGrid w:val="0"/>
                    <w:ind w:firstLine="0" w:firstLineChars="0"/>
                    <w:rPr>
                      <w:rStyle w:val="58"/>
                      <w:bCs/>
                      <w:color w:val="auto"/>
                      <w:szCs w:val="21"/>
                    </w:rPr>
                  </w:pPr>
                  <w:r>
                    <w:rPr>
                      <w:rStyle w:val="58"/>
                      <w:bCs/>
                      <w:color w:val="auto"/>
                      <w:szCs w:val="21"/>
                    </w:rPr>
                    <w:t>危险废物暂存间</w:t>
                  </w:r>
                </w:p>
              </w:tc>
              <w:tc>
                <w:tcPr>
                  <w:tcW w:w="955" w:type="pct"/>
                  <w:vAlign w:val="center"/>
                </w:tcPr>
                <w:p w14:paraId="71A9F3A1">
                  <w:pPr>
                    <w:pStyle w:val="61"/>
                    <w:adjustRightInd w:val="0"/>
                    <w:snapToGrid w:val="0"/>
                    <w:ind w:firstLine="0" w:firstLineChars="0"/>
                    <w:rPr>
                      <w:rStyle w:val="58"/>
                      <w:bCs/>
                      <w:color w:val="auto"/>
                      <w:szCs w:val="21"/>
                    </w:rPr>
                  </w:pPr>
                  <w:r>
                    <w:rPr>
                      <w:rStyle w:val="58"/>
                      <w:bCs/>
                      <w:color w:val="auto"/>
                      <w:szCs w:val="21"/>
                    </w:rPr>
                    <w:t>危险废物暂存</w:t>
                  </w:r>
                </w:p>
              </w:tc>
              <w:tc>
                <w:tcPr>
                  <w:tcW w:w="750" w:type="pct"/>
                  <w:vAlign w:val="center"/>
                </w:tcPr>
                <w:p w14:paraId="61B30F2A">
                  <w:pPr>
                    <w:pStyle w:val="61"/>
                    <w:adjustRightInd w:val="0"/>
                    <w:snapToGrid w:val="0"/>
                    <w:ind w:firstLine="0" w:firstLineChars="0"/>
                    <w:rPr>
                      <w:rStyle w:val="58"/>
                      <w:bCs/>
                      <w:color w:val="auto"/>
                      <w:szCs w:val="21"/>
                    </w:rPr>
                  </w:pPr>
                  <w:r>
                    <w:rPr>
                      <w:rStyle w:val="58"/>
                      <w:bCs/>
                      <w:color w:val="auto"/>
                      <w:szCs w:val="21"/>
                    </w:rPr>
                    <w:t>垂直入渗</w:t>
                  </w:r>
                </w:p>
              </w:tc>
              <w:tc>
                <w:tcPr>
                  <w:tcW w:w="830" w:type="pct"/>
                  <w:vAlign w:val="center"/>
                </w:tcPr>
                <w:p w14:paraId="5D6B49F1">
                  <w:pPr>
                    <w:pStyle w:val="61"/>
                    <w:adjustRightInd w:val="0"/>
                    <w:snapToGrid w:val="0"/>
                    <w:ind w:firstLine="0" w:firstLineChars="0"/>
                    <w:rPr>
                      <w:rStyle w:val="58"/>
                      <w:bCs/>
                      <w:color w:val="auto"/>
                      <w:szCs w:val="21"/>
                    </w:rPr>
                  </w:pPr>
                  <w:r>
                    <w:rPr>
                      <w:color w:val="auto"/>
                      <w:szCs w:val="21"/>
                    </w:rPr>
                    <w:t>废机油</w:t>
                  </w:r>
                </w:p>
              </w:tc>
              <w:tc>
                <w:tcPr>
                  <w:tcW w:w="1655" w:type="pct"/>
                  <w:vAlign w:val="center"/>
                </w:tcPr>
                <w:p w14:paraId="31CB0F27">
                  <w:pPr>
                    <w:pStyle w:val="61"/>
                    <w:adjustRightInd w:val="0"/>
                    <w:snapToGrid w:val="0"/>
                    <w:ind w:firstLine="0" w:firstLineChars="0"/>
                    <w:rPr>
                      <w:rStyle w:val="58"/>
                      <w:bCs/>
                      <w:color w:val="auto"/>
                      <w:szCs w:val="21"/>
                    </w:rPr>
                  </w:pPr>
                  <w:r>
                    <w:rPr>
                      <w:rStyle w:val="58"/>
                      <w:bCs/>
                      <w:color w:val="auto"/>
                      <w:szCs w:val="21"/>
                    </w:rPr>
                    <w:t>危废收集容器损坏，废矿物油泄漏渗入土壤造成污染</w:t>
                  </w:r>
                </w:p>
              </w:tc>
            </w:tr>
          </w:tbl>
          <w:p w14:paraId="68C849FA">
            <w:pPr>
              <w:adjustRightInd w:val="0"/>
              <w:snapToGrid w:val="0"/>
              <w:spacing w:line="360" w:lineRule="auto"/>
              <w:ind w:firstLine="480"/>
              <w:rPr>
                <w:color w:val="auto"/>
                <w:sz w:val="24"/>
              </w:rPr>
            </w:pPr>
            <w:r>
              <w:rPr>
                <w:color w:val="auto"/>
                <w:sz w:val="24"/>
              </w:rPr>
              <w:t>（3）分区防控措施</w:t>
            </w:r>
          </w:p>
          <w:p w14:paraId="5C2348A5">
            <w:pPr>
              <w:adjustRightInd w:val="0"/>
              <w:snapToGrid w:val="0"/>
              <w:spacing w:line="360" w:lineRule="auto"/>
              <w:ind w:firstLine="480"/>
              <w:rPr>
                <w:color w:val="auto"/>
                <w:sz w:val="24"/>
                <w:lang w:val="zh-CN"/>
              </w:rPr>
            </w:pPr>
            <w:r>
              <w:rPr>
                <w:color w:val="auto"/>
                <w:sz w:val="24"/>
                <w:lang w:val="zh-CN"/>
              </w:rPr>
              <w:t>根据以上分析，项目存在土壤、地下水污染源的区域主要为</w:t>
            </w:r>
            <w:r>
              <w:rPr>
                <w:color w:val="auto"/>
                <w:sz w:val="24"/>
              </w:rPr>
              <w:t>危险废物</w:t>
            </w:r>
            <w:r>
              <w:rPr>
                <w:color w:val="auto"/>
                <w:sz w:val="24"/>
                <w:lang w:val="zh-CN"/>
              </w:rPr>
              <w:t>暂存间，因此提出厂内进行分区防渗措施，其中</w:t>
            </w:r>
            <w:r>
              <w:rPr>
                <w:color w:val="auto"/>
                <w:sz w:val="24"/>
              </w:rPr>
              <w:t>危险废物</w:t>
            </w:r>
            <w:r>
              <w:rPr>
                <w:color w:val="auto"/>
                <w:sz w:val="24"/>
                <w:lang w:val="zh-CN"/>
              </w:rPr>
              <w:t>暂存间为重点防渗区，采用“</w:t>
            </w:r>
            <w:r>
              <w:rPr>
                <w:color w:val="auto"/>
                <w:sz w:val="24"/>
              </w:rPr>
              <w:t>混凝土</w:t>
            </w:r>
            <w:r>
              <w:rPr>
                <w:color w:val="auto"/>
                <w:sz w:val="24"/>
                <w:lang w:val="zh-CN"/>
              </w:rPr>
              <w:t>+2mm厚HDPE+环氧树脂”</w:t>
            </w:r>
            <w:r>
              <w:rPr>
                <w:color w:val="auto"/>
                <w:sz w:val="24"/>
              </w:rPr>
              <w:t>进行重点防渗处理</w:t>
            </w:r>
            <w:r>
              <w:rPr>
                <w:color w:val="auto"/>
                <w:sz w:val="24"/>
                <w:lang w:val="zh-CN"/>
              </w:rPr>
              <w:t>，渗透系数≤10</w:t>
            </w:r>
            <w:r>
              <w:rPr>
                <w:color w:val="auto"/>
                <w:sz w:val="24"/>
                <w:vertAlign w:val="superscript"/>
                <w:lang w:val="zh-CN"/>
              </w:rPr>
              <w:t>-10</w:t>
            </w:r>
            <w:r>
              <w:rPr>
                <w:color w:val="auto"/>
                <w:sz w:val="24"/>
                <w:lang w:val="zh-CN"/>
              </w:rPr>
              <w:t>cm/s；</w:t>
            </w:r>
            <w:r>
              <w:rPr>
                <w:color w:val="auto"/>
                <w:sz w:val="24"/>
              </w:rPr>
              <w:t>危险废物</w:t>
            </w:r>
            <w:r>
              <w:rPr>
                <w:color w:val="auto"/>
                <w:sz w:val="24"/>
                <w:lang w:val="zh-CN"/>
              </w:rPr>
              <w:t>暂存间地面及</w:t>
            </w:r>
            <w:r>
              <w:rPr>
                <w:color w:val="auto"/>
                <w:sz w:val="24"/>
              </w:rPr>
              <w:t>四周墙裙脚应</w:t>
            </w:r>
            <w:r>
              <w:rPr>
                <w:color w:val="auto"/>
                <w:sz w:val="24"/>
                <w:lang w:val="zh-CN"/>
              </w:rPr>
              <w:t>按照</w:t>
            </w:r>
            <w:r>
              <w:rPr>
                <w:rStyle w:val="82"/>
                <w:color w:val="auto"/>
                <w:sz w:val="24"/>
              </w:rPr>
              <w:t>《危险废物贮存污染控制标准》（GB18597-2023）</w:t>
            </w:r>
            <w:r>
              <w:rPr>
                <w:color w:val="auto"/>
                <w:sz w:val="24"/>
                <w:lang w:val="zh-CN"/>
              </w:rPr>
              <w:t>中要求</w:t>
            </w:r>
            <w:r>
              <w:rPr>
                <w:color w:val="auto"/>
                <w:sz w:val="24"/>
              </w:rPr>
              <w:t>进行重点防渗</w:t>
            </w:r>
            <w:r>
              <w:rPr>
                <w:color w:val="auto"/>
                <w:sz w:val="24"/>
                <w:lang w:val="zh-CN"/>
              </w:rPr>
              <w:t>，</w:t>
            </w:r>
            <w:r>
              <w:rPr>
                <w:color w:val="auto"/>
                <w:sz w:val="24"/>
              </w:rPr>
              <w:t>并设危险废物备用储存容器，避免废矿物油泄漏污染土壤、地下水；</w:t>
            </w:r>
            <w:r>
              <w:rPr>
                <w:color w:val="auto"/>
                <w:sz w:val="24"/>
                <w:lang w:val="zh-CN"/>
              </w:rPr>
              <w:t>化粪池、</w:t>
            </w:r>
            <w:r>
              <w:rPr>
                <w:color w:val="auto"/>
                <w:sz w:val="24"/>
              </w:rPr>
              <w:t>隔油池</w:t>
            </w:r>
            <w:r>
              <w:rPr>
                <w:color w:val="auto"/>
                <w:sz w:val="24"/>
                <w:lang w:val="zh-CN"/>
              </w:rPr>
              <w:t>、</w:t>
            </w:r>
            <w:r>
              <w:rPr>
                <w:color w:val="auto"/>
                <w:sz w:val="24"/>
              </w:rPr>
              <w:t>污水处理设施、事故应急池、</w:t>
            </w:r>
            <w:r>
              <w:rPr>
                <w:color w:val="auto"/>
                <w:sz w:val="24"/>
                <w:lang w:val="zh-CN"/>
              </w:rPr>
              <w:t>一般固体废物暂存</w:t>
            </w:r>
            <w:r>
              <w:rPr>
                <w:color w:val="auto"/>
                <w:sz w:val="24"/>
              </w:rPr>
              <w:t>区进行一般防渗，</w:t>
            </w:r>
            <w:r>
              <w:rPr>
                <w:color w:val="auto"/>
                <w:sz w:val="24"/>
                <w:lang w:val="zh-CN"/>
              </w:rPr>
              <w:t>防渗技术要求达到等效黏土防渗层Mb≥1.5m，渗透系数≤10</w:t>
            </w:r>
            <w:r>
              <w:rPr>
                <w:color w:val="auto"/>
                <w:sz w:val="24"/>
                <w:vertAlign w:val="superscript"/>
                <w:lang w:val="zh-CN"/>
              </w:rPr>
              <w:t>-</w:t>
            </w:r>
            <w:r>
              <w:rPr>
                <w:color w:val="auto"/>
                <w:sz w:val="24"/>
                <w:vertAlign w:val="superscript"/>
              </w:rPr>
              <w:t>7</w:t>
            </w:r>
            <w:r>
              <w:rPr>
                <w:color w:val="auto"/>
                <w:sz w:val="24"/>
                <w:lang w:val="zh-CN"/>
              </w:rPr>
              <w:t>cm/s。其余生产区、</w:t>
            </w:r>
            <w:r>
              <w:rPr>
                <w:color w:val="auto"/>
                <w:sz w:val="24"/>
              </w:rPr>
              <w:t>道路及办公区域（除绿化外）</w:t>
            </w:r>
            <w:r>
              <w:rPr>
                <w:color w:val="auto"/>
                <w:sz w:val="24"/>
                <w:lang w:val="zh-CN"/>
              </w:rPr>
              <w:t>进行一般</w:t>
            </w:r>
            <w:r>
              <w:rPr>
                <w:color w:val="auto"/>
                <w:sz w:val="24"/>
              </w:rPr>
              <w:t>硬化处理，为简单防渗区。</w:t>
            </w:r>
          </w:p>
          <w:p w14:paraId="496CB0FE">
            <w:pPr>
              <w:adjustRightInd w:val="0"/>
              <w:snapToGrid w:val="0"/>
              <w:spacing w:line="360" w:lineRule="auto"/>
              <w:ind w:firstLine="480"/>
              <w:rPr>
                <w:color w:val="auto"/>
                <w:sz w:val="24"/>
              </w:rPr>
            </w:pPr>
            <w:r>
              <w:rPr>
                <w:color w:val="auto"/>
                <w:sz w:val="24"/>
              </w:rPr>
              <w:t>采取以上措施后可有效避免生产废水及危险废物对土壤及地下水的污染。</w:t>
            </w:r>
          </w:p>
          <w:p w14:paraId="0B3F9949">
            <w:pPr>
              <w:adjustRightInd w:val="0"/>
              <w:snapToGrid w:val="0"/>
              <w:spacing w:line="360" w:lineRule="auto"/>
              <w:ind w:firstLine="482"/>
              <w:rPr>
                <w:b/>
                <w:bCs/>
                <w:color w:val="auto"/>
                <w:sz w:val="24"/>
              </w:rPr>
            </w:pPr>
            <w:r>
              <w:rPr>
                <w:b/>
                <w:bCs/>
                <w:color w:val="auto"/>
                <w:sz w:val="24"/>
              </w:rPr>
              <w:t>6、生态环境</w:t>
            </w:r>
          </w:p>
          <w:p w14:paraId="05A6FB10">
            <w:pPr>
              <w:adjustRightInd w:val="0"/>
              <w:snapToGrid w:val="0"/>
              <w:spacing w:line="360" w:lineRule="auto"/>
              <w:ind w:firstLine="480"/>
              <w:rPr>
                <w:color w:val="auto"/>
                <w:sz w:val="24"/>
                <w:lang w:val="zh-CN"/>
              </w:rPr>
            </w:pPr>
            <w:r>
              <w:rPr>
                <w:rFonts w:hint="eastAsia"/>
                <w:color w:val="auto"/>
                <w:sz w:val="24"/>
              </w:rPr>
              <w:t>本项目位于</w:t>
            </w:r>
            <w:r>
              <w:rPr>
                <w:color w:val="auto"/>
                <w:sz w:val="24"/>
              </w:rPr>
              <w:t>寻甸金所乡哨上大村内，在原项目已建成厂房内建设，场地均已硬化，无植被附着，项目不涉及自然保护区、风景名胜区、生态功能保护区等需特殊保护的环境敏感区，以及天然林、重要湿地等生态敏感区与脆弱区，项目用地范围及其周边无古树名木及文物保护单位分布，项目建设期和运营期均不会对区域生态环境造成影响。</w:t>
            </w:r>
          </w:p>
          <w:p w14:paraId="4735ACA7">
            <w:pPr>
              <w:spacing w:line="360" w:lineRule="auto"/>
              <w:ind w:firstLine="482"/>
              <w:rPr>
                <w:b/>
                <w:bCs/>
                <w:color w:val="auto"/>
                <w:sz w:val="24"/>
                <w:szCs w:val="22"/>
              </w:rPr>
            </w:pPr>
            <w:r>
              <w:rPr>
                <w:b/>
                <w:bCs/>
                <w:color w:val="auto"/>
                <w:sz w:val="24"/>
                <w:szCs w:val="22"/>
              </w:rPr>
              <w:t>7、风险分析措施</w:t>
            </w:r>
          </w:p>
          <w:p w14:paraId="547D94C2">
            <w:pPr>
              <w:widowControl/>
              <w:spacing w:line="360" w:lineRule="auto"/>
              <w:ind w:firstLine="482"/>
              <w:jc w:val="left"/>
              <w:rPr>
                <w:color w:val="auto"/>
                <w:sz w:val="24"/>
              </w:rPr>
            </w:pPr>
            <w:r>
              <w:rPr>
                <w:b/>
                <w:bCs/>
                <w:color w:val="auto"/>
                <w:sz w:val="24"/>
              </w:rPr>
              <w:t>（1）环境风险分析的目的</w:t>
            </w:r>
          </w:p>
          <w:p w14:paraId="5EF67020">
            <w:pPr>
              <w:spacing w:line="360" w:lineRule="auto"/>
              <w:ind w:firstLine="480"/>
              <w:rPr>
                <w:color w:val="auto"/>
                <w:sz w:val="24"/>
              </w:rPr>
            </w:pPr>
            <w:r>
              <w:rPr>
                <w:color w:val="auto"/>
                <w:sz w:val="24"/>
              </w:rPr>
              <w:t>环境风险分析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项目主要产品为混凝土，主要使用水泥、砂子和石子为原料。生产原辅材料中不含有危险化学品等风险物质，</w:t>
            </w:r>
            <w:r>
              <w:rPr>
                <w:rFonts w:hint="eastAsia"/>
                <w:color w:val="auto"/>
                <w:sz w:val="24"/>
              </w:rPr>
              <w:t>本项目</w:t>
            </w:r>
            <w:r>
              <w:rPr>
                <w:color w:val="auto"/>
                <w:sz w:val="24"/>
              </w:rPr>
              <w:t>涉及到的环境风险物质主要为</w:t>
            </w:r>
            <w:r>
              <w:rPr>
                <w:rFonts w:hint="eastAsia"/>
                <w:color w:val="auto"/>
                <w:sz w:val="24"/>
              </w:rPr>
              <w:t>设备维护、车辆维修过程中产生的废机油，</w:t>
            </w:r>
            <w:r>
              <w:rPr>
                <w:color w:val="auto"/>
                <w:sz w:val="24"/>
              </w:rPr>
              <w:t>整个厂区内存在风险物质如下。</w:t>
            </w:r>
          </w:p>
          <w:p w14:paraId="273DC510">
            <w:pPr>
              <w:pStyle w:val="61"/>
              <w:adjustRightInd w:val="0"/>
              <w:snapToGrid w:val="0"/>
              <w:ind w:firstLine="422"/>
              <w:rPr>
                <w:rStyle w:val="58"/>
                <w:b/>
                <w:color w:val="auto"/>
                <w:szCs w:val="21"/>
              </w:rPr>
            </w:pPr>
            <w:r>
              <w:rPr>
                <w:rStyle w:val="58"/>
                <w:b/>
                <w:color w:val="auto"/>
                <w:szCs w:val="21"/>
              </w:rPr>
              <w:t>表</w:t>
            </w:r>
            <w:r>
              <w:rPr>
                <w:rStyle w:val="58"/>
                <w:rFonts w:hint="eastAsia"/>
                <w:b/>
                <w:color w:val="auto"/>
                <w:szCs w:val="21"/>
              </w:rPr>
              <w:t>4-</w:t>
            </w:r>
            <w:r>
              <w:rPr>
                <w:rStyle w:val="58"/>
                <w:rFonts w:hint="eastAsia"/>
                <w:b/>
                <w:color w:val="auto"/>
                <w:szCs w:val="21"/>
                <w:lang w:val="en-US" w:eastAsia="zh-CN"/>
              </w:rPr>
              <w:t>23</w:t>
            </w:r>
            <w:r>
              <w:rPr>
                <w:rStyle w:val="58"/>
                <w:b/>
                <w:color w:val="auto"/>
                <w:szCs w:val="21"/>
              </w:rPr>
              <w:t xml:space="preserve"> </w:t>
            </w:r>
            <w:r>
              <w:rPr>
                <w:rStyle w:val="58"/>
                <w:rFonts w:hint="eastAsia"/>
                <w:b/>
                <w:color w:val="auto"/>
                <w:szCs w:val="21"/>
              </w:rPr>
              <w:t xml:space="preserve"> </w:t>
            </w:r>
            <w:r>
              <w:rPr>
                <w:rStyle w:val="58"/>
                <w:b/>
                <w:color w:val="auto"/>
                <w:szCs w:val="21"/>
              </w:rPr>
              <w:t xml:space="preserve"> 厂区物质风险识别</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481"/>
              <w:gridCol w:w="1481"/>
              <w:gridCol w:w="1481"/>
              <w:gridCol w:w="1481"/>
              <w:gridCol w:w="1481"/>
            </w:tblGrid>
            <w:tr w14:paraId="1BA0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0DF4DF2D">
                  <w:pPr>
                    <w:pStyle w:val="61"/>
                    <w:adjustRightInd w:val="0"/>
                    <w:snapToGrid w:val="0"/>
                    <w:ind w:firstLine="0" w:firstLineChars="0"/>
                    <w:rPr>
                      <w:rStyle w:val="58"/>
                      <w:b/>
                      <w:color w:val="auto"/>
                      <w:szCs w:val="21"/>
                    </w:rPr>
                  </w:pPr>
                  <w:r>
                    <w:rPr>
                      <w:rStyle w:val="58"/>
                      <w:b/>
                      <w:color w:val="auto"/>
                      <w:szCs w:val="21"/>
                    </w:rPr>
                    <w:t>类别</w:t>
                  </w:r>
                </w:p>
              </w:tc>
              <w:tc>
                <w:tcPr>
                  <w:tcW w:w="833" w:type="pct"/>
                  <w:vAlign w:val="center"/>
                </w:tcPr>
                <w:p w14:paraId="53A01BC3">
                  <w:pPr>
                    <w:pStyle w:val="61"/>
                    <w:adjustRightInd w:val="0"/>
                    <w:snapToGrid w:val="0"/>
                    <w:ind w:firstLine="0" w:firstLineChars="0"/>
                    <w:rPr>
                      <w:rStyle w:val="58"/>
                      <w:b/>
                      <w:color w:val="auto"/>
                      <w:szCs w:val="21"/>
                    </w:rPr>
                  </w:pPr>
                  <w:r>
                    <w:rPr>
                      <w:rStyle w:val="58"/>
                      <w:b/>
                      <w:color w:val="auto"/>
                      <w:szCs w:val="21"/>
                    </w:rPr>
                    <w:t>物质名称</w:t>
                  </w:r>
                </w:p>
              </w:tc>
              <w:tc>
                <w:tcPr>
                  <w:tcW w:w="833" w:type="pct"/>
                  <w:vAlign w:val="center"/>
                </w:tcPr>
                <w:p w14:paraId="6E0D27DD">
                  <w:pPr>
                    <w:pStyle w:val="61"/>
                    <w:adjustRightInd w:val="0"/>
                    <w:snapToGrid w:val="0"/>
                    <w:ind w:firstLine="0" w:firstLineChars="0"/>
                    <w:rPr>
                      <w:rStyle w:val="58"/>
                      <w:b/>
                      <w:color w:val="auto"/>
                      <w:szCs w:val="21"/>
                    </w:rPr>
                  </w:pPr>
                  <w:r>
                    <w:rPr>
                      <w:rStyle w:val="58"/>
                      <w:b/>
                      <w:color w:val="auto"/>
                      <w:szCs w:val="21"/>
                    </w:rPr>
                    <w:t>最大储量</w:t>
                  </w:r>
                </w:p>
              </w:tc>
              <w:tc>
                <w:tcPr>
                  <w:tcW w:w="833" w:type="pct"/>
                  <w:vAlign w:val="center"/>
                </w:tcPr>
                <w:p w14:paraId="05E15879">
                  <w:pPr>
                    <w:pStyle w:val="61"/>
                    <w:adjustRightInd w:val="0"/>
                    <w:snapToGrid w:val="0"/>
                    <w:ind w:firstLine="0" w:firstLineChars="0"/>
                    <w:rPr>
                      <w:rStyle w:val="58"/>
                      <w:b/>
                      <w:color w:val="auto"/>
                      <w:szCs w:val="21"/>
                    </w:rPr>
                  </w:pPr>
                  <w:r>
                    <w:rPr>
                      <w:rStyle w:val="58"/>
                      <w:b/>
                      <w:color w:val="auto"/>
                      <w:szCs w:val="21"/>
                    </w:rPr>
                    <w:t>风险类型</w:t>
                  </w:r>
                </w:p>
              </w:tc>
              <w:tc>
                <w:tcPr>
                  <w:tcW w:w="833" w:type="pct"/>
                  <w:vAlign w:val="center"/>
                </w:tcPr>
                <w:p w14:paraId="142EDE00">
                  <w:pPr>
                    <w:pStyle w:val="61"/>
                    <w:adjustRightInd w:val="0"/>
                    <w:snapToGrid w:val="0"/>
                    <w:ind w:firstLine="0" w:firstLineChars="0"/>
                    <w:rPr>
                      <w:rStyle w:val="58"/>
                      <w:b/>
                      <w:color w:val="auto"/>
                      <w:szCs w:val="21"/>
                    </w:rPr>
                  </w:pPr>
                  <w:r>
                    <w:rPr>
                      <w:rStyle w:val="58"/>
                      <w:b/>
                      <w:color w:val="auto"/>
                      <w:szCs w:val="21"/>
                    </w:rPr>
                    <w:t>是否能够发生突发环境事件</w:t>
                  </w:r>
                </w:p>
              </w:tc>
              <w:tc>
                <w:tcPr>
                  <w:tcW w:w="833" w:type="pct"/>
                  <w:vAlign w:val="center"/>
                </w:tcPr>
                <w:p w14:paraId="411F3C49">
                  <w:pPr>
                    <w:pStyle w:val="61"/>
                    <w:adjustRightInd w:val="0"/>
                    <w:snapToGrid w:val="0"/>
                    <w:ind w:firstLine="0" w:firstLineChars="0"/>
                    <w:rPr>
                      <w:rStyle w:val="58"/>
                      <w:b/>
                      <w:color w:val="auto"/>
                      <w:szCs w:val="21"/>
                    </w:rPr>
                  </w:pPr>
                  <w:r>
                    <w:rPr>
                      <w:rStyle w:val="58"/>
                      <w:b/>
                      <w:color w:val="auto"/>
                      <w:szCs w:val="21"/>
                    </w:rPr>
                    <w:t>是否为环境</w:t>
                  </w:r>
                </w:p>
                <w:p w14:paraId="6F8BB7D8">
                  <w:pPr>
                    <w:pStyle w:val="61"/>
                    <w:adjustRightInd w:val="0"/>
                    <w:snapToGrid w:val="0"/>
                    <w:ind w:firstLine="0" w:firstLineChars="0"/>
                    <w:rPr>
                      <w:rStyle w:val="58"/>
                      <w:b/>
                      <w:color w:val="auto"/>
                      <w:szCs w:val="21"/>
                    </w:rPr>
                  </w:pPr>
                  <w:r>
                    <w:rPr>
                      <w:rStyle w:val="58"/>
                      <w:b/>
                      <w:color w:val="auto"/>
                      <w:szCs w:val="21"/>
                    </w:rPr>
                    <w:t>风险物质</w:t>
                  </w:r>
                </w:p>
              </w:tc>
            </w:tr>
            <w:tr w14:paraId="4237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396F672B">
                  <w:pPr>
                    <w:pStyle w:val="61"/>
                    <w:adjustRightInd w:val="0"/>
                    <w:snapToGrid w:val="0"/>
                    <w:ind w:firstLine="0" w:firstLineChars="0"/>
                    <w:rPr>
                      <w:rStyle w:val="58"/>
                      <w:bCs/>
                      <w:color w:val="auto"/>
                      <w:szCs w:val="21"/>
                    </w:rPr>
                  </w:pPr>
                  <w:r>
                    <w:rPr>
                      <w:rStyle w:val="58"/>
                      <w:bCs/>
                      <w:color w:val="auto"/>
                      <w:szCs w:val="21"/>
                    </w:rPr>
                    <w:t>液态</w:t>
                  </w:r>
                </w:p>
              </w:tc>
              <w:tc>
                <w:tcPr>
                  <w:tcW w:w="833" w:type="pct"/>
                  <w:vAlign w:val="center"/>
                </w:tcPr>
                <w:p w14:paraId="44CA41D9">
                  <w:pPr>
                    <w:pStyle w:val="61"/>
                    <w:adjustRightInd w:val="0"/>
                    <w:snapToGrid w:val="0"/>
                    <w:ind w:firstLine="0" w:firstLineChars="0"/>
                    <w:rPr>
                      <w:rStyle w:val="58"/>
                      <w:bCs/>
                      <w:color w:val="auto"/>
                      <w:szCs w:val="21"/>
                    </w:rPr>
                  </w:pPr>
                  <w:r>
                    <w:rPr>
                      <w:rStyle w:val="58"/>
                      <w:rFonts w:hint="eastAsia"/>
                      <w:bCs/>
                      <w:color w:val="auto"/>
                      <w:szCs w:val="21"/>
                    </w:rPr>
                    <w:t>废机油</w:t>
                  </w:r>
                </w:p>
              </w:tc>
              <w:tc>
                <w:tcPr>
                  <w:tcW w:w="833" w:type="pct"/>
                  <w:vAlign w:val="center"/>
                </w:tcPr>
                <w:p w14:paraId="20F22BBB">
                  <w:pPr>
                    <w:pStyle w:val="61"/>
                    <w:adjustRightInd w:val="0"/>
                    <w:snapToGrid w:val="0"/>
                    <w:ind w:firstLine="0" w:firstLineChars="0"/>
                    <w:rPr>
                      <w:rStyle w:val="58"/>
                      <w:bCs/>
                      <w:color w:val="auto"/>
                      <w:szCs w:val="21"/>
                    </w:rPr>
                  </w:pPr>
                  <w:r>
                    <w:rPr>
                      <w:rStyle w:val="58"/>
                      <w:rFonts w:hint="eastAsia"/>
                      <w:bCs/>
                      <w:color w:val="auto"/>
                      <w:szCs w:val="21"/>
                    </w:rPr>
                    <w:t>0.1</w:t>
                  </w:r>
                  <w:r>
                    <w:rPr>
                      <w:rStyle w:val="58"/>
                      <w:bCs/>
                      <w:color w:val="auto"/>
                      <w:szCs w:val="21"/>
                    </w:rPr>
                    <w:t>t</w:t>
                  </w:r>
                </w:p>
              </w:tc>
              <w:tc>
                <w:tcPr>
                  <w:tcW w:w="833" w:type="pct"/>
                  <w:vAlign w:val="center"/>
                </w:tcPr>
                <w:p w14:paraId="799D4175">
                  <w:pPr>
                    <w:pStyle w:val="61"/>
                    <w:adjustRightInd w:val="0"/>
                    <w:snapToGrid w:val="0"/>
                    <w:ind w:firstLine="0" w:firstLineChars="0"/>
                    <w:rPr>
                      <w:rStyle w:val="58"/>
                      <w:bCs/>
                      <w:color w:val="auto"/>
                      <w:szCs w:val="21"/>
                    </w:rPr>
                  </w:pPr>
                  <w:r>
                    <w:rPr>
                      <w:rStyle w:val="58"/>
                      <w:rFonts w:hint="eastAsia"/>
                      <w:bCs/>
                      <w:color w:val="auto"/>
                      <w:szCs w:val="21"/>
                    </w:rPr>
                    <w:t>泄漏</w:t>
                  </w:r>
                  <w:r>
                    <w:rPr>
                      <w:rStyle w:val="58"/>
                      <w:bCs/>
                      <w:color w:val="auto"/>
                      <w:szCs w:val="21"/>
                    </w:rPr>
                    <w:t>、火灾</w:t>
                  </w:r>
                </w:p>
              </w:tc>
              <w:tc>
                <w:tcPr>
                  <w:tcW w:w="833" w:type="pct"/>
                  <w:vAlign w:val="center"/>
                </w:tcPr>
                <w:p w14:paraId="54FB9E7E">
                  <w:pPr>
                    <w:pStyle w:val="61"/>
                    <w:adjustRightInd w:val="0"/>
                    <w:snapToGrid w:val="0"/>
                    <w:ind w:firstLine="0" w:firstLineChars="0"/>
                    <w:rPr>
                      <w:rStyle w:val="58"/>
                      <w:bCs/>
                      <w:color w:val="auto"/>
                      <w:szCs w:val="21"/>
                    </w:rPr>
                  </w:pPr>
                  <w:r>
                    <w:rPr>
                      <w:rStyle w:val="58"/>
                      <w:bCs/>
                      <w:color w:val="auto"/>
                      <w:szCs w:val="21"/>
                    </w:rPr>
                    <w:t>是</w:t>
                  </w:r>
                </w:p>
              </w:tc>
              <w:tc>
                <w:tcPr>
                  <w:tcW w:w="833" w:type="pct"/>
                  <w:vAlign w:val="center"/>
                </w:tcPr>
                <w:p w14:paraId="4937AA21">
                  <w:pPr>
                    <w:pStyle w:val="61"/>
                    <w:adjustRightInd w:val="0"/>
                    <w:snapToGrid w:val="0"/>
                    <w:ind w:firstLine="0" w:firstLineChars="0"/>
                    <w:rPr>
                      <w:rStyle w:val="58"/>
                      <w:bCs/>
                      <w:color w:val="auto"/>
                      <w:szCs w:val="21"/>
                    </w:rPr>
                  </w:pPr>
                  <w:r>
                    <w:rPr>
                      <w:rStyle w:val="58"/>
                      <w:bCs/>
                      <w:color w:val="auto"/>
                      <w:szCs w:val="21"/>
                    </w:rPr>
                    <w:t>是</w:t>
                  </w:r>
                </w:p>
              </w:tc>
            </w:tr>
          </w:tbl>
          <w:p w14:paraId="7C540EFC">
            <w:pPr>
              <w:ind w:firstLine="0" w:firstLineChars="0"/>
              <w:rPr>
                <w:color w:val="auto"/>
                <w:sz w:val="24"/>
              </w:rPr>
            </w:pPr>
          </w:p>
          <w:p w14:paraId="6EB0A69C">
            <w:pPr>
              <w:ind w:firstLine="0" w:firstLineChars="0"/>
              <w:rPr>
                <w:color w:val="auto"/>
                <w:sz w:val="24"/>
              </w:rPr>
            </w:pPr>
          </w:p>
          <w:p w14:paraId="326FE9B7">
            <w:pPr>
              <w:pStyle w:val="26"/>
              <w:ind w:firstLine="476"/>
              <w:rPr>
                <w:rFonts w:ascii="Times New Roman" w:hAnsi="Times New Roman"/>
                <w:color w:val="auto"/>
                <w:spacing w:val="-1"/>
                <w:sz w:val="24"/>
              </w:rPr>
            </w:pPr>
            <w:r>
              <w:rPr>
                <w:rFonts w:ascii="Times New Roman" w:hAnsi="Times New Roman"/>
                <w:color w:val="auto"/>
                <w:spacing w:val="-1"/>
                <w:sz w:val="24"/>
              </w:rPr>
              <w:t>根据上表的识别结果可知，厂区内的风险物质为柴油。</w:t>
            </w:r>
          </w:p>
          <w:p w14:paraId="758C8146">
            <w:pPr>
              <w:pStyle w:val="89"/>
              <w:spacing w:line="360" w:lineRule="auto"/>
              <w:ind w:firstLine="480"/>
              <w:rPr>
                <w:color w:val="auto"/>
              </w:rPr>
            </w:pPr>
            <w:r>
              <w:rPr>
                <w:color w:val="auto"/>
              </w:rPr>
              <w:t>（2）风险识别评价</w:t>
            </w:r>
          </w:p>
          <w:p w14:paraId="12F14F9B">
            <w:pPr>
              <w:widowControl/>
              <w:ind w:firstLine="480"/>
              <w:jc w:val="left"/>
              <w:rPr>
                <w:color w:val="auto"/>
              </w:rPr>
            </w:pPr>
            <w:r>
              <w:rPr>
                <w:color w:val="auto"/>
                <w:kern w:val="0"/>
                <w:sz w:val="24"/>
                <w:lang w:bidi="ar"/>
              </w:rPr>
              <w:t>本项目采用《建设项目环境风险评价技术导则》（HJ169-2018）进行评价。</w:t>
            </w:r>
          </w:p>
          <w:p w14:paraId="4B4ED96A">
            <w:pPr>
              <w:pStyle w:val="89"/>
              <w:spacing w:line="360" w:lineRule="auto"/>
              <w:ind w:firstLine="440"/>
              <w:rPr>
                <w:color w:val="auto"/>
                <w:spacing w:val="-10"/>
              </w:rPr>
            </w:pPr>
            <w:r>
              <w:rPr>
                <w:color w:val="auto"/>
                <w:spacing w:val="-10"/>
              </w:rPr>
              <w:t>1）</w:t>
            </w:r>
            <w:r>
              <w:rPr>
                <w:color w:val="auto"/>
              </w:rPr>
              <w:t>建设项目风险源调查</w:t>
            </w:r>
          </w:p>
          <w:p w14:paraId="48A0958D">
            <w:pPr>
              <w:spacing w:line="360" w:lineRule="auto"/>
              <w:ind w:firstLine="484"/>
              <w:rPr>
                <w:color w:val="auto"/>
                <w:spacing w:val="-1"/>
                <w:sz w:val="24"/>
              </w:rPr>
            </w:pPr>
            <w:r>
              <w:rPr>
                <w:color w:val="auto"/>
                <w:spacing w:val="1"/>
                <w:sz w:val="24"/>
              </w:rPr>
              <w:t>根据《建设项目环境风险评价技术导则》（</w:t>
            </w:r>
            <w:r>
              <w:rPr>
                <w:rFonts w:eastAsia="Times New Roman"/>
                <w:color w:val="auto"/>
                <w:sz w:val="24"/>
              </w:rPr>
              <w:t>HJ</w:t>
            </w:r>
            <w:r>
              <w:rPr>
                <w:rFonts w:eastAsia="Times New Roman"/>
                <w:color w:val="auto"/>
                <w:spacing w:val="1"/>
                <w:sz w:val="24"/>
              </w:rPr>
              <w:t>169-2018</w:t>
            </w:r>
            <w:r>
              <w:rPr>
                <w:color w:val="auto"/>
                <w:spacing w:val="1"/>
                <w:sz w:val="24"/>
              </w:rPr>
              <w:t>）中附录</w:t>
            </w:r>
            <w:r>
              <w:rPr>
                <w:rFonts w:eastAsia="Times New Roman"/>
                <w:color w:val="auto"/>
                <w:spacing w:val="1"/>
                <w:sz w:val="24"/>
              </w:rPr>
              <w:t>B</w:t>
            </w:r>
            <w:r>
              <w:rPr>
                <w:color w:val="auto"/>
                <w:spacing w:val="1"/>
                <w:sz w:val="24"/>
              </w:rPr>
              <w:t>《危险</w:t>
            </w:r>
            <w:r>
              <w:rPr>
                <w:color w:val="auto"/>
                <w:spacing w:val="-1"/>
                <w:sz w:val="24"/>
              </w:rPr>
              <w:t>化学品目录》（</w:t>
            </w:r>
            <w:r>
              <w:rPr>
                <w:rFonts w:hint="eastAsia"/>
                <w:color w:val="auto"/>
                <w:spacing w:val="-1"/>
                <w:sz w:val="24"/>
              </w:rPr>
              <w:t>2022年修订</w:t>
            </w:r>
            <w:r>
              <w:rPr>
                <w:color w:val="auto"/>
                <w:spacing w:val="-1"/>
                <w:sz w:val="24"/>
              </w:rPr>
              <w:t>）及《危险化学品重大危险源辨识》（</w:t>
            </w:r>
            <w:r>
              <w:rPr>
                <w:rFonts w:eastAsia="Times New Roman"/>
                <w:color w:val="auto"/>
                <w:spacing w:val="-1"/>
                <w:sz w:val="24"/>
              </w:rPr>
              <w:t>GB</w:t>
            </w:r>
            <w:r>
              <w:rPr>
                <w:rFonts w:eastAsia="Times New Roman"/>
                <w:color w:val="auto"/>
                <w:spacing w:val="-2"/>
                <w:sz w:val="24"/>
              </w:rPr>
              <w:t>18218-2018</w:t>
            </w:r>
            <w:r>
              <w:rPr>
                <w:color w:val="auto"/>
                <w:spacing w:val="-2"/>
                <w:sz w:val="24"/>
              </w:rPr>
              <w:t>）对</w:t>
            </w:r>
            <w:r>
              <w:rPr>
                <w:color w:val="auto"/>
                <w:spacing w:val="2"/>
                <w:sz w:val="24"/>
              </w:rPr>
              <w:t>项目所用原辅材料进行识别，本项目涉及的风险物质</w:t>
            </w:r>
            <w:r>
              <w:rPr>
                <w:color w:val="auto"/>
                <w:spacing w:val="1"/>
                <w:sz w:val="24"/>
              </w:rPr>
              <w:t>主要为油类物质：柴油和废</w:t>
            </w:r>
            <w:r>
              <w:rPr>
                <w:color w:val="auto"/>
                <w:spacing w:val="-1"/>
                <w:sz w:val="24"/>
              </w:rPr>
              <w:t>矿物油，其中柴油主要理化性质见下表：矿物油，其中柴油主要理化性质见下表：</w:t>
            </w:r>
          </w:p>
          <w:p w14:paraId="490BD5AF">
            <w:pPr>
              <w:pStyle w:val="61"/>
              <w:adjustRightInd w:val="0"/>
              <w:snapToGrid w:val="0"/>
              <w:ind w:firstLine="422"/>
              <w:rPr>
                <w:rStyle w:val="58"/>
                <w:b/>
                <w:color w:val="auto"/>
                <w:szCs w:val="21"/>
              </w:rPr>
            </w:pPr>
            <w:r>
              <w:rPr>
                <w:rStyle w:val="58"/>
                <w:b/>
                <w:color w:val="auto"/>
                <w:szCs w:val="21"/>
              </w:rPr>
              <w:t>表4-</w:t>
            </w:r>
            <w:r>
              <w:rPr>
                <w:rStyle w:val="58"/>
                <w:rFonts w:hint="eastAsia"/>
                <w:b/>
                <w:color w:val="auto"/>
                <w:szCs w:val="21"/>
                <w:lang w:val="en-US" w:eastAsia="zh-CN"/>
              </w:rPr>
              <w:t>24</w:t>
            </w:r>
            <w:r>
              <w:rPr>
                <w:rStyle w:val="58"/>
                <w:b/>
                <w:color w:val="auto"/>
                <w:szCs w:val="21"/>
              </w:rPr>
              <w:t xml:space="preserve"> </w:t>
            </w:r>
            <w:r>
              <w:rPr>
                <w:rStyle w:val="58"/>
                <w:rFonts w:hint="eastAsia"/>
                <w:b/>
                <w:color w:val="auto"/>
                <w:szCs w:val="21"/>
              </w:rPr>
              <w:t xml:space="preserve">  </w:t>
            </w:r>
            <w:r>
              <w:rPr>
                <w:rStyle w:val="58"/>
                <w:b/>
                <w:color w:val="auto"/>
                <w:szCs w:val="21"/>
              </w:rPr>
              <w:t>废</w:t>
            </w:r>
            <w:r>
              <w:rPr>
                <w:rStyle w:val="58"/>
                <w:rFonts w:hint="eastAsia"/>
                <w:b/>
                <w:color w:val="auto"/>
                <w:szCs w:val="21"/>
              </w:rPr>
              <w:t>机</w:t>
            </w:r>
            <w:r>
              <w:rPr>
                <w:rStyle w:val="58"/>
                <w:b/>
                <w:color w:val="auto"/>
                <w:szCs w:val="21"/>
              </w:rPr>
              <w:t>油的理化性质及危险特性表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2321"/>
              <w:gridCol w:w="5036"/>
            </w:tblGrid>
            <w:tr w14:paraId="55DB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136B45AD">
                  <w:pPr>
                    <w:pStyle w:val="61"/>
                    <w:adjustRightInd w:val="0"/>
                    <w:snapToGrid w:val="0"/>
                    <w:ind w:firstLine="0" w:firstLineChars="0"/>
                    <w:rPr>
                      <w:rStyle w:val="58"/>
                      <w:bCs/>
                      <w:color w:val="auto"/>
                      <w:szCs w:val="21"/>
                    </w:rPr>
                  </w:pPr>
                  <w:r>
                    <w:rPr>
                      <w:rStyle w:val="58"/>
                      <w:bCs/>
                      <w:color w:val="auto"/>
                      <w:szCs w:val="21"/>
                    </w:rPr>
                    <w:t>中文名：</w:t>
                  </w:r>
                  <w:r>
                    <w:rPr>
                      <w:rStyle w:val="58"/>
                      <w:rFonts w:hint="eastAsia"/>
                      <w:bCs/>
                      <w:color w:val="auto"/>
                      <w:szCs w:val="21"/>
                    </w:rPr>
                    <w:t>废机油</w:t>
                  </w:r>
                  <w:r>
                    <w:rPr>
                      <w:rStyle w:val="58"/>
                      <w:bCs/>
                      <w:color w:val="auto"/>
                      <w:szCs w:val="21"/>
                    </w:rPr>
                    <w:t xml:space="preserve">                                   CAS号:900-249-08</w:t>
                  </w:r>
                </w:p>
              </w:tc>
            </w:tr>
            <w:tr w14:paraId="7CF1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tcPr>
                <w:p w14:paraId="429066BC">
                  <w:pPr>
                    <w:pStyle w:val="61"/>
                    <w:adjustRightInd w:val="0"/>
                    <w:snapToGrid w:val="0"/>
                    <w:ind w:firstLine="0" w:firstLineChars="0"/>
                    <w:rPr>
                      <w:rStyle w:val="58"/>
                      <w:bCs/>
                      <w:color w:val="auto"/>
                      <w:szCs w:val="21"/>
                    </w:rPr>
                  </w:pPr>
                  <w:r>
                    <w:rPr>
                      <w:rStyle w:val="58"/>
                      <w:bCs/>
                      <w:color w:val="auto"/>
                      <w:szCs w:val="21"/>
                    </w:rPr>
                    <w:t>理化性质</w:t>
                  </w:r>
                </w:p>
              </w:tc>
              <w:tc>
                <w:tcPr>
                  <w:tcW w:w="1305" w:type="pct"/>
                </w:tcPr>
                <w:p w14:paraId="3D8A89CC">
                  <w:pPr>
                    <w:pStyle w:val="61"/>
                    <w:adjustRightInd w:val="0"/>
                    <w:snapToGrid w:val="0"/>
                    <w:ind w:firstLine="0" w:firstLineChars="0"/>
                    <w:rPr>
                      <w:rStyle w:val="58"/>
                      <w:bCs/>
                      <w:color w:val="auto"/>
                      <w:szCs w:val="21"/>
                    </w:rPr>
                  </w:pPr>
                  <w:r>
                    <w:rPr>
                      <w:rStyle w:val="58"/>
                      <w:bCs/>
                      <w:color w:val="auto"/>
                      <w:szCs w:val="21"/>
                    </w:rPr>
                    <w:t>外观及性状</w:t>
                  </w:r>
                </w:p>
              </w:tc>
              <w:tc>
                <w:tcPr>
                  <w:tcW w:w="2831" w:type="pct"/>
                </w:tcPr>
                <w:p w14:paraId="787D6FA9">
                  <w:pPr>
                    <w:pStyle w:val="61"/>
                    <w:adjustRightInd w:val="0"/>
                    <w:snapToGrid w:val="0"/>
                    <w:ind w:firstLine="0" w:firstLineChars="0"/>
                    <w:rPr>
                      <w:rStyle w:val="58"/>
                      <w:bCs/>
                      <w:color w:val="auto"/>
                      <w:szCs w:val="21"/>
                    </w:rPr>
                  </w:pPr>
                  <w:r>
                    <w:rPr>
                      <w:rStyle w:val="58"/>
                      <w:bCs/>
                      <w:color w:val="auto"/>
                      <w:szCs w:val="21"/>
                    </w:rPr>
                    <w:t>液体</w:t>
                  </w:r>
                </w:p>
              </w:tc>
            </w:tr>
            <w:tr w14:paraId="4487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tcPr>
                <w:p w14:paraId="79AE365B">
                  <w:pPr>
                    <w:pStyle w:val="61"/>
                    <w:adjustRightInd w:val="0"/>
                    <w:snapToGrid w:val="0"/>
                    <w:ind w:firstLine="0" w:firstLineChars="0"/>
                    <w:rPr>
                      <w:rStyle w:val="58"/>
                      <w:bCs/>
                      <w:color w:val="auto"/>
                      <w:szCs w:val="21"/>
                    </w:rPr>
                  </w:pPr>
                  <w:r>
                    <w:rPr>
                      <w:rStyle w:val="58"/>
                      <w:bCs/>
                      <w:color w:val="auto"/>
                      <w:szCs w:val="21"/>
                    </w:rPr>
                    <w:t>毒性及健</w:t>
                  </w:r>
                </w:p>
                <w:p w14:paraId="25FF64D1">
                  <w:pPr>
                    <w:pStyle w:val="61"/>
                    <w:adjustRightInd w:val="0"/>
                    <w:snapToGrid w:val="0"/>
                    <w:ind w:firstLine="0" w:firstLineChars="0"/>
                    <w:rPr>
                      <w:rStyle w:val="58"/>
                      <w:bCs/>
                      <w:color w:val="auto"/>
                      <w:szCs w:val="21"/>
                    </w:rPr>
                  </w:pPr>
                  <w:r>
                    <w:rPr>
                      <w:rStyle w:val="58"/>
                      <w:bCs/>
                      <w:color w:val="auto"/>
                      <w:szCs w:val="21"/>
                    </w:rPr>
                    <w:t>康危害</w:t>
                  </w:r>
                </w:p>
              </w:tc>
              <w:tc>
                <w:tcPr>
                  <w:tcW w:w="4136" w:type="pct"/>
                  <w:gridSpan w:val="2"/>
                </w:tcPr>
                <w:p w14:paraId="5EBF6535">
                  <w:pPr>
                    <w:pStyle w:val="61"/>
                    <w:adjustRightInd w:val="0"/>
                    <w:snapToGrid w:val="0"/>
                    <w:ind w:firstLine="0" w:firstLineChars="0"/>
                    <w:rPr>
                      <w:rStyle w:val="58"/>
                      <w:bCs/>
                      <w:color w:val="auto"/>
                      <w:szCs w:val="21"/>
                    </w:rPr>
                  </w:pPr>
                  <w:r>
                    <w:rPr>
                      <w:rStyle w:val="58"/>
                      <w:bCs/>
                      <w:color w:val="auto"/>
                      <w:szCs w:val="21"/>
                    </w:rPr>
                    <w:t>毒性：侵入途径：食入、经皮吸收。</w:t>
                  </w:r>
                </w:p>
                <w:p w14:paraId="75CAA4EB">
                  <w:pPr>
                    <w:pStyle w:val="61"/>
                    <w:adjustRightInd w:val="0"/>
                    <w:snapToGrid w:val="0"/>
                    <w:ind w:firstLine="0" w:firstLineChars="0"/>
                    <w:rPr>
                      <w:rStyle w:val="58"/>
                      <w:bCs/>
                      <w:color w:val="auto"/>
                      <w:szCs w:val="21"/>
                    </w:rPr>
                  </w:pPr>
                  <w:r>
                    <w:rPr>
                      <w:rStyle w:val="58"/>
                      <w:bCs/>
                      <w:color w:val="auto"/>
                      <w:szCs w:val="21"/>
                    </w:rPr>
                    <w:t>健康危害：造成皮肤生理功能受损。</w:t>
                  </w:r>
                </w:p>
              </w:tc>
            </w:tr>
            <w:tr w14:paraId="2DC0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vMerge w:val="restart"/>
                </w:tcPr>
                <w:p w14:paraId="4DF45DBF">
                  <w:pPr>
                    <w:pStyle w:val="61"/>
                    <w:adjustRightInd w:val="0"/>
                    <w:snapToGrid w:val="0"/>
                    <w:ind w:firstLine="0" w:firstLineChars="0"/>
                    <w:rPr>
                      <w:rStyle w:val="58"/>
                      <w:bCs/>
                      <w:color w:val="auto"/>
                      <w:szCs w:val="21"/>
                    </w:rPr>
                  </w:pPr>
                  <w:r>
                    <w:rPr>
                      <w:rStyle w:val="58"/>
                      <w:bCs/>
                      <w:color w:val="auto"/>
                      <w:szCs w:val="21"/>
                    </w:rPr>
                    <w:t>燃烧爆炸</w:t>
                  </w:r>
                </w:p>
                <w:p w14:paraId="2D341E16">
                  <w:pPr>
                    <w:pStyle w:val="61"/>
                    <w:adjustRightInd w:val="0"/>
                    <w:snapToGrid w:val="0"/>
                    <w:ind w:firstLine="0" w:firstLineChars="0"/>
                    <w:rPr>
                      <w:rStyle w:val="58"/>
                      <w:bCs/>
                      <w:color w:val="auto"/>
                      <w:szCs w:val="21"/>
                    </w:rPr>
                  </w:pPr>
                  <w:r>
                    <w:rPr>
                      <w:rStyle w:val="58"/>
                      <w:bCs/>
                      <w:color w:val="auto"/>
                      <w:szCs w:val="21"/>
                    </w:rPr>
                    <w:t>危险性</w:t>
                  </w:r>
                </w:p>
              </w:tc>
              <w:tc>
                <w:tcPr>
                  <w:tcW w:w="4136" w:type="pct"/>
                  <w:gridSpan w:val="2"/>
                </w:tcPr>
                <w:p w14:paraId="16D222FF">
                  <w:pPr>
                    <w:pStyle w:val="61"/>
                    <w:adjustRightInd w:val="0"/>
                    <w:snapToGrid w:val="0"/>
                    <w:ind w:firstLine="0" w:firstLineChars="0"/>
                    <w:rPr>
                      <w:rStyle w:val="58"/>
                      <w:bCs/>
                      <w:color w:val="auto"/>
                      <w:szCs w:val="21"/>
                    </w:rPr>
                  </w:pPr>
                  <w:r>
                    <w:rPr>
                      <w:rStyle w:val="58"/>
                      <w:bCs/>
                      <w:color w:val="auto"/>
                      <w:szCs w:val="21"/>
                    </w:rPr>
                    <w:t>易燃性</w:t>
                  </w:r>
                </w:p>
              </w:tc>
            </w:tr>
            <w:tr w14:paraId="59DE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vMerge w:val="continue"/>
                </w:tcPr>
                <w:p w14:paraId="3C7D6F7A">
                  <w:pPr>
                    <w:pStyle w:val="61"/>
                    <w:adjustRightInd w:val="0"/>
                    <w:snapToGrid w:val="0"/>
                    <w:ind w:firstLine="0" w:firstLineChars="0"/>
                    <w:rPr>
                      <w:rStyle w:val="58"/>
                      <w:bCs/>
                      <w:color w:val="auto"/>
                      <w:szCs w:val="21"/>
                    </w:rPr>
                  </w:pPr>
                </w:p>
              </w:tc>
              <w:tc>
                <w:tcPr>
                  <w:tcW w:w="4136" w:type="pct"/>
                  <w:gridSpan w:val="2"/>
                </w:tcPr>
                <w:p w14:paraId="6438E44B">
                  <w:pPr>
                    <w:pStyle w:val="61"/>
                    <w:adjustRightInd w:val="0"/>
                    <w:snapToGrid w:val="0"/>
                    <w:ind w:firstLine="0" w:firstLineChars="0"/>
                    <w:rPr>
                      <w:rStyle w:val="58"/>
                      <w:bCs/>
                      <w:color w:val="auto"/>
                      <w:szCs w:val="21"/>
                    </w:rPr>
                  </w:pPr>
                  <w:r>
                    <w:rPr>
                      <w:rStyle w:val="58"/>
                      <w:bCs/>
                      <w:color w:val="auto"/>
                      <w:szCs w:val="21"/>
                    </w:rPr>
                    <w:t>燃烧(分解)产物：一氧化氮、碳氢化合物、氮氧化物</w:t>
                  </w:r>
                </w:p>
              </w:tc>
            </w:tr>
            <w:tr w14:paraId="78C7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tcPr>
                <w:p w14:paraId="47422326">
                  <w:pPr>
                    <w:pStyle w:val="61"/>
                    <w:adjustRightInd w:val="0"/>
                    <w:snapToGrid w:val="0"/>
                    <w:ind w:firstLine="0" w:firstLineChars="0"/>
                    <w:rPr>
                      <w:rStyle w:val="58"/>
                      <w:bCs/>
                      <w:color w:val="auto"/>
                      <w:szCs w:val="21"/>
                    </w:rPr>
                  </w:pPr>
                  <w:r>
                    <w:rPr>
                      <w:rStyle w:val="58"/>
                      <w:bCs/>
                      <w:color w:val="auto"/>
                      <w:szCs w:val="21"/>
                    </w:rPr>
                    <w:t>泄漏应急处理</w:t>
                  </w:r>
                </w:p>
              </w:tc>
              <w:tc>
                <w:tcPr>
                  <w:tcW w:w="4136" w:type="pct"/>
                  <w:gridSpan w:val="2"/>
                </w:tcPr>
                <w:p w14:paraId="63EFA059">
                  <w:pPr>
                    <w:pStyle w:val="61"/>
                    <w:adjustRightInd w:val="0"/>
                    <w:snapToGrid w:val="0"/>
                    <w:ind w:firstLine="0" w:firstLineChars="0"/>
                    <w:rPr>
                      <w:rStyle w:val="58"/>
                      <w:bCs/>
                      <w:color w:val="auto"/>
                      <w:szCs w:val="21"/>
                    </w:rPr>
                  </w:pPr>
                  <w:r>
                    <w:rPr>
                      <w:rStyle w:val="58"/>
                      <w:bCs/>
                      <w:color w:val="auto"/>
                      <w:szCs w:val="21"/>
                    </w:rPr>
                    <w:t>当发生泄漏时，迅速撤离人员至安全区，切断火源，尽可能切断</w:t>
                  </w:r>
                  <w:r>
                    <w:rPr>
                      <w:rStyle w:val="58"/>
                      <w:rFonts w:hint="eastAsia"/>
                      <w:bCs/>
                      <w:color w:val="auto"/>
                      <w:szCs w:val="21"/>
                    </w:rPr>
                    <w:t>泄漏</w:t>
                  </w:r>
                  <w:r>
                    <w:rPr>
                      <w:rStyle w:val="58"/>
                      <w:bCs/>
                      <w:color w:val="auto"/>
                      <w:szCs w:val="21"/>
                    </w:rPr>
                    <w:t>源， 防止流入下水道、排洪沟等限制性空间。</w:t>
                  </w:r>
                </w:p>
              </w:tc>
            </w:tr>
            <w:tr w14:paraId="765F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tcPr>
                <w:p w14:paraId="06C04869">
                  <w:pPr>
                    <w:pStyle w:val="61"/>
                    <w:adjustRightInd w:val="0"/>
                    <w:snapToGrid w:val="0"/>
                    <w:ind w:firstLine="0" w:firstLineChars="0"/>
                    <w:rPr>
                      <w:rStyle w:val="58"/>
                      <w:bCs/>
                      <w:color w:val="auto"/>
                      <w:szCs w:val="21"/>
                    </w:rPr>
                  </w:pPr>
                  <w:r>
                    <w:rPr>
                      <w:rStyle w:val="58"/>
                      <w:bCs/>
                      <w:color w:val="auto"/>
                      <w:szCs w:val="21"/>
                    </w:rPr>
                    <w:t>消防措施</w:t>
                  </w:r>
                </w:p>
              </w:tc>
              <w:tc>
                <w:tcPr>
                  <w:tcW w:w="4136" w:type="pct"/>
                  <w:gridSpan w:val="2"/>
                </w:tcPr>
                <w:p w14:paraId="26123EE9">
                  <w:pPr>
                    <w:pStyle w:val="61"/>
                    <w:adjustRightInd w:val="0"/>
                    <w:snapToGrid w:val="0"/>
                    <w:ind w:firstLine="0" w:firstLineChars="0"/>
                    <w:rPr>
                      <w:rStyle w:val="58"/>
                      <w:bCs/>
                      <w:color w:val="auto"/>
                      <w:szCs w:val="21"/>
                    </w:rPr>
                  </w:pPr>
                  <w:r>
                    <w:rPr>
                      <w:rStyle w:val="58"/>
                      <w:bCs/>
                      <w:color w:val="auto"/>
                      <w:szCs w:val="21"/>
                    </w:rPr>
                    <w:t>佩戴防毒面具，穿全身消防服，在上风向灭火。</w:t>
                  </w:r>
                </w:p>
              </w:tc>
            </w:tr>
            <w:tr w14:paraId="2CFF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tcPr>
                <w:p w14:paraId="05B11014">
                  <w:pPr>
                    <w:pStyle w:val="61"/>
                    <w:adjustRightInd w:val="0"/>
                    <w:snapToGrid w:val="0"/>
                    <w:ind w:firstLine="0" w:firstLineChars="0"/>
                    <w:rPr>
                      <w:rStyle w:val="58"/>
                      <w:bCs/>
                      <w:color w:val="auto"/>
                      <w:szCs w:val="21"/>
                    </w:rPr>
                  </w:pPr>
                  <w:r>
                    <w:rPr>
                      <w:rStyle w:val="58"/>
                      <w:bCs/>
                      <w:color w:val="auto"/>
                      <w:szCs w:val="21"/>
                    </w:rPr>
                    <w:t>急救措施</w:t>
                  </w:r>
                </w:p>
              </w:tc>
              <w:tc>
                <w:tcPr>
                  <w:tcW w:w="4136" w:type="pct"/>
                  <w:gridSpan w:val="2"/>
                </w:tcPr>
                <w:p w14:paraId="3D1E4FF9">
                  <w:pPr>
                    <w:pStyle w:val="61"/>
                    <w:adjustRightInd w:val="0"/>
                    <w:snapToGrid w:val="0"/>
                    <w:ind w:firstLine="0" w:firstLineChars="0"/>
                    <w:rPr>
                      <w:rStyle w:val="58"/>
                      <w:bCs/>
                      <w:color w:val="auto"/>
                      <w:szCs w:val="21"/>
                    </w:rPr>
                  </w:pPr>
                  <w:r>
                    <w:rPr>
                      <w:rStyle w:val="58"/>
                      <w:bCs/>
                      <w:color w:val="auto"/>
                      <w:szCs w:val="21"/>
                    </w:rPr>
                    <w:t>食入：饮足量温水，催吐，就医。</w:t>
                  </w:r>
                </w:p>
                <w:p w14:paraId="6E3F9AA5">
                  <w:pPr>
                    <w:pStyle w:val="61"/>
                    <w:adjustRightInd w:val="0"/>
                    <w:snapToGrid w:val="0"/>
                    <w:ind w:firstLine="0" w:firstLineChars="0"/>
                    <w:rPr>
                      <w:rStyle w:val="58"/>
                      <w:bCs/>
                      <w:color w:val="auto"/>
                      <w:szCs w:val="21"/>
                    </w:rPr>
                  </w:pPr>
                  <w:r>
                    <w:rPr>
                      <w:rStyle w:val="58"/>
                      <w:bCs/>
                      <w:color w:val="auto"/>
                      <w:szCs w:val="21"/>
                    </w:rPr>
                    <w:t>皮肤接触：及时清洗。</w:t>
                  </w:r>
                </w:p>
                <w:p w14:paraId="5289A27B">
                  <w:pPr>
                    <w:pStyle w:val="61"/>
                    <w:adjustRightInd w:val="0"/>
                    <w:snapToGrid w:val="0"/>
                    <w:ind w:firstLine="0" w:firstLineChars="0"/>
                    <w:rPr>
                      <w:rStyle w:val="58"/>
                      <w:bCs/>
                      <w:color w:val="auto"/>
                      <w:szCs w:val="21"/>
                    </w:rPr>
                  </w:pPr>
                  <w:r>
                    <w:rPr>
                      <w:rStyle w:val="58"/>
                      <w:bCs/>
                      <w:color w:val="auto"/>
                      <w:szCs w:val="21"/>
                    </w:rPr>
                    <w:t>眼睛接触：用流动清水或生理盐水清洗、就医。</w:t>
                  </w:r>
                </w:p>
              </w:tc>
            </w:tr>
            <w:tr w14:paraId="3B58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tcPr>
                <w:p w14:paraId="6D5882DE">
                  <w:pPr>
                    <w:pStyle w:val="61"/>
                    <w:adjustRightInd w:val="0"/>
                    <w:snapToGrid w:val="0"/>
                    <w:ind w:firstLine="0" w:firstLineChars="0"/>
                    <w:rPr>
                      <w:rStyle w:val="58"/>
                      <w:bCs/>
                      <w:color w:val="auto"/>
                      <w:szCs w:val="21"/>
                    </w:rPr>
                  </w:pPr>
                  <w:r>
                    <w:rPr>
                      <w:rStyle w:val="58"/>
                      <w:bCs/>
                      <w:color w:val="auto"/>
                      <w:szCs w:val="21"/>
                    </w:rPr>
                    <w:t>安全防护</w:t>
                  </w:r>
                </w:p>
              </w:tc>
              <w:tc>
                <w:tcPr>
                  <w:tcW w:w="4136" w:type="pct"/>
                  <w:gridSpan w:val="2"/>
                </w:tcPr>
                <w:p w14:paraId="2419EABA">
                  <w:pPr>
                    <w:pStyle w:val="61"/>
                    <w:adjustRightInd w:val="0"/>
                    <w:snapToGrid w:val="0"/>
                    <w:ind w:firstLine="0" w:firstLineChars="0"/>
                    <w:rPr>
                      <w:rStyle w:val="58"/>
                      <w:bCs/>
                      <w:color w:val="auto"/>
                      <w:szCs w:val="21"/>
                    </w:rPr>
                  </w:pPr>
                  <w:r>
                    <w:rPr>
                      <w:rStyle w:val="58"/>
                      <w:bCs/>
                      <w:color w:val="auto"/>
                      <w:szCs w:val="21"/>
                    </w:rPr>
                    <w:t>1、工程控制：提供良好的自然通风条件，地面采用防渗漏处理。</w:t>
                  </w:r>
                </w:p>
                <w:p w14:paraId="5537F44C">
                  <w:pPr>
                    <w:pStyle w:val="61"/>
                    <w:adjustRightInd w:val="0"/>
                    <w:snapToGrid w:val="0"/>
                    <w:ind w:firstLine="0" w:firstLineChars="0"/>
                    <w:rPr>
                      <w:rStyle w:val="58"/>
                      <w:bCs/>
                      <w:color w:val="auto"/>
                      <w:szCs w:val="21"/>
                    </w:rPr>
                  </w:pPr>
                  <w:r>
                    <w:rPr>
                      <w:rStyle w:val="58"/>
                      <w:bCs/>
                      <w:color w:val="auto"/>
                      <w:szCs w:val="21"/>
                    </w:rPr>
                    <w:t>2 、眼睛防护： 防护眼睛。</w:t>
                  </w:r>
                </w:p>
                <w:p w14:paraId="5099609F">
                  <w:pPr>
                    <w:pStyle w:val="61"/>
                    <w:adjustRightInd w:val="0"/>
                    <w:snapToGrid w:val="0"/>
                    <w:ind w:firstLine="0" w:firstLineChars="0"/>
                    <w:rPr>
                      <w:rStyle w:val="58"/>
                      <w:bCs/>
                      <w:color w:val="auto"/>
                      <w:szCs w:val="21"/>
                    </w:rPr>
                  </w:pPr>
                  <w:r>
                    <w:rPr>
                      <w:rStyle w:val="58"/>
                      <w:bCs/>
                      <w:color w:val="auto"/>
                      <w:szCs w:val="21"/>
                    </w:rPr>
                    <w:t>3、皮肤防护：操作时戴橡胶耐油手套。</w:t>
                  </w:r>
                </w:p>
                <w:p w14:paraId="05C763D7">
                  <w:pPr>
                    <w:pStyle w:val="61"/>
                    <w:adjustRightInd w:val="0"/>
                    <w:snapToGrid w:val="0"/>
                    <w:ind w:firstLine="0" w:firstLineChars="0"/>
                    <w:rPr>
                      <w:rStyle w:val="58"/>
                      <w:bCs/>
                      <w:color w:val="auto"/>
                      <w:szCs w:val="21"/>
                    </w:rPr>
                  </w:pPr>
                  <w:r>
                    <w:rPr>
                      <w:rStyle w:val="58"/>
                      <w:bCs/>
                      <w:color w:val="auto"/>
                      <w:szCs w:val="21"/>
                    </w:rPr>
                    <w:t>4、其他防护：场地内严禁吸烟。</w:t>
                  </w:r>
                </w:p>
              </w:tc>
            </w:tr>
          </w:tbl>
          <w:p w14:paraId="24CE75CC">
            <w:pPr>
              <w:spacing w:line="360" w:lineRule="auto"/>
              <w:ind w:firstLine="480"/>
              <w:rPr>
                <w:color w:val="auto"/>
                <w:sz w:val="24"/>
              </w:rPr>
            </w:pPr>
            <w:r>
              <w:rPr>
                <w:color w:val="auto"/>
                <w:sz w:val="24"/>
              </w:rPr>
              <w:t>2）环境风险事故分析</w:t>
            </w:r>
          </w:p>
          <w:p w14:paraId="73B11241">
            <w:pPr>
              <w:spacing w:line="360" w:lineRule="auto"/>
              <w:ind w:firstLine="480"/>
              <w:rPr>
                <w:color w:val="auto"/>
                <w:sz w:val="24"/>
              </w:rPr>
            </w:pPr>
            <w:r>
              <w:rPr>
                <w:color w:val="auto"/>
                <w:sz w:val="24"/>
              </w:rPr>
              <w:t>①风险事故类型识别</w:t>
            </w:r>
          </w:p>
          <w:p w14:paraId="7C7E37D6">
            <w:pPr>
              <w:spacing w:line="360" w:lineRule="auto"/>
              <w:ind w:firstLine="480"/>
              <w:rPr>
                <w:color w:val="auto"/>
                <w:sz w:val="24"/>
              </w:rPr>
            </w:pPr>
            <w:r>
              <w:rPr>
                <w:color w:val="auto"/>
                <w:sz w:val="24"/>
              </w:rPr>
              <w:t>本项目风险事故主要是风险物质储存过程中的火灾、爆炸、泄漏事故。</w:t>
            </w:r>
          </w:p>
          <w:p w14:paraId="5559738B">
            <w:pPr>
              <w:spacing w:line="360" w:lineRule="auto"/>
              <w:ind w:firstLine="480"/>
              <w:rPr>
                <w:color w:val="auto"/>
                <w:sz w:val="24"/>
              </w:rPr>
            </w:pPr>
            <w:r>
              <w:rPr>
                <w:color w:val="auto"/>
                <w:sz w:val="24"/>
              </w:rPr>
              <w:t>②危险源辨别</w:t>
            </w:r>
          </w:p>
          <w:p w14:paraId="324D2043">
            <w:pPr>
              <w:adjustRightInd w:val="0"/>
              <w:snapToGrid w:val="0"/>
              <w:spacing w:line="351" w:lineRule="auto"/>
              <w:ind w:firstLine="480"/>
              <w:rPr>
                <w:color w:val="auto"/>
                <w:sz w:val="24"/>
                <w:lang w:val="zh-CN"/>
              </w:rPr>
            </w:pPr>
            <w:r>
              <w:rPr>
                <w:rFonts w:hint="eastAsia"/>
                <w:color w:val="auto"/>
                <w:sz w:val="24"/>
              </w:rPr>
              <w:t>项目</w:t>
            </w:r>
            <w:r>
              <w:rPr>
                <w:color w:val="auto"/>
                <w:sz w:val="24"/>
              </w:rPr>
              <w:t>内</w:t>
            </w:r>
            <w:r>
              <w:rPr>
                <w:rFonts w:hint="eastAsia"/>
                <w:color w:val="auto"/>
                <w:sz w:val="24"/>
              </w:rPr>
              <w:t>废机油</w:t>
            </w:r>
            <w:r>
              <w:rPr>
                <w:color w:val="auto"/>
                <w:sz w:val="24"/>
              </w:rPr>
              <w:t>的</w:t>
            </w:r>
            <w:r>
              <w:rPr>
                <w:rFonts w:hint="eastAsia"/>
                <w:color w:val="auto"/>
                <w:sz w:val="24"/>
              </w:rPr>
              <w:t>最大</w:t>
            </w:r>
            <w:r>
              <w:rPr>
                <w:color w:val="auto"/>
                <w:sz w:val="24"/>
              </w:rPr>
              <w:t>储存量为</w:t>
            </w:r>
            <w:r>
              <w:rPr>
                <w:rFonts w:hint="eastAsia"/>
                <w:color w:val="auto"/>
                <w:sz w:val="24"/>
              </w:rPr>
              <w:t>0.1</w:t>
            </w:r>
            <w:r>
              <w:rPr>
                <w:color w:val="auto"/>
                <w:sz w:val="24"/>
              </w:rPr>
              <w:t>t，按照《危险化学品目录》（</w:t>
            </w:r>
            <w:r>
              <w:rPr>
                <w:rFonts w:hint="eastAsia"/>
                <w:color w:val="auto"/>
                <w:sz w:val="24"/>
              </w:rPr>
              <w:t>2022修订</w:t>
            </w:r>
            <w:r>
              <w:rPr>
                <w:color w:val="auto"/>
                <w:sz w:val="24"/>
              </w:rPr>
              <w:t>）及《危险化学品重大危险源辨识》（GB18218-2018），附录C危险物质数量与临界量进行比值计算：</w:t>
            </w:r>
            <w:r>
              <w:rPr>
                <w:color w:val="auto"/>
                <w:sz w:val="24"/>
                <w:lang w:val="zh-CN"/>
              </w:rPr>
              <w:t>根据该技术导则附录B中表B.1突发环境事件风险物质及临界点，附录C中C1.1危险物质数量与临界量比值（Q）的计算有两种情况：</w:t>
            </w:r>
          </w:p>
          <w:p w14:paraId="4FF70643">
            <w:pPr>
              <w:adjustRightInd w:val="0"/>
              <w:snapToGrid w:val="0"/>
              <w:spacing w:line="351" w:lineRule="auto"/>
              <w:ind w:firstLine="480"/>
              <w:rPr>
                <w:color w:val="auto"/>
                <w:sz w:val="24"/>
                <w:lang w:val="zh-CN"/>
              </w:rPr>
            </w:pPr>
            <w:r>
              <w:rPr>
                <w:color w:val="auto"/>
                <w:sz w:val="24"/>
                <w:lang w:val="zh-CN"/>
              </w:rPr>
              <w:t>a、当只涉及一种危险物质时，计算该物质的总量与其临界量比值，即为Q；</w:t>
            </w:r>
          </w:p>
          <w:p w14:paraId="242DA8D1">
            <w:pPr>
              <w:adjustRightInd w:val="0"/>
              <w:snapToGrid w:val="0"/>
              <w:spacing w:line="351" w:lineRule="auto"/>
              <w:ind w:firstLine="480"/>
              <w:rPr>
                <w:color w:val="auto"/>
                <w:sz w:val="24"/>
                <w:lang w:val="zh-CN"/>
              </w:rPr>
            </w:pPr>
            <w:r>
              <w:rPr>
                <w:color w:val="auto"/>
                <w:sz w:val="24"/>
                <w:lang w:val="zh-CN"/>
              </w:rPr>
              <w:t>b、当存在多种危险物质时，则按下式计算物质总量与其临界量的比值（Q）：</w:t>
            </w:r>
          </w:p>
          <w:p w14:paraId="2F4AD881">
            <w:pPr>
              <w:adjustRightInd w:val="0"/>
              <w:snapToGrid w:val="0"/>
              <w:spacing w:line="351" w:lineRule="auto"/>
              <w:ind w:firstLine="0" w:firstLineChars="0"/>
              <w:jc w:val="center"/>
              <w:rPr>
                <w:color w:val="auto"/>
                <w:sz w:val="24"/>
              </w:rPr>
            </w:pPr>
            <w:r>
              <w:rPr>
                <w:color w:val="auto"/>
                <w:position w:val="-28"/>
                <w:sz w:val="24"/>
                <w:vertAlign w:val="subscript"/>
              </w:rPr>
              <w:object>
                <v:shape id="_x0000_i1032" o:spt="75" type="#_x0000_t75" style="height:33.25pt;width:106.15pt;" o:ole="t" filled="f" o:preferrelative="t" stroked="f" coordsize="21600,21600">
                  <v:path/>
                  <v:fill on="f" focussize="0,0"/>
                  <v:stroke on="f" joinstyle="miter"/>
                  <v:imagedata r:id="rId37" o:title=""/>
                  <o:lock v:ext="edit" aspectratio="t"/>
                  <w10:wrap type="none"/>
                  <w10:anchorlock/>
                </v:shape>
                <o:OLEObject Type="Embed" ProgID="Equation.KSEE3" ShapeID="_x0000_i1032" DrawAspect="Content" ObjectID="_1468075732" r:id="rId36">
                  <o:LockedField>false</o:LockedField>
                </o:OLEObject>
              </w:object>
            </w:r>
          </w:p>
          <w:p w14:paraId="77E4C8DD">
            <w:pPr>
              <w:adjustRightInd w:val="0"/>
              <w:snapToGrid w:val="0"/>
              <w:spacing w:line="351" w:lineRule="auto"/>
              <w:ind w:firstLine="480"/>
              <w:rPr>
                <w:color w:val="auto"/>
                <w:sz w:val="24"/>
                <w:lang w:val="zh-CN"/>
              </w:rPr>
            </w:pPr>
            <w:r>
              <w:rPr>
                <w:snapToGrid w:val="0"/>
                <w:color w:val="auto"/>
                <w:kern w:val="0"/>
                <w:sz w:val="24"/>
              </w:rPr>
              <w:t>式中：</w:t>
            </w:r>
            <w:r>
              <w:rPr>
                <w:color w:val="auto"/>
                <w:sz w:val="24"/>
              </w:rPr>
              <w:t>q</w:t>
            </w:r>
            <w:r>
              <w:rPr>
                <w:color w:val="auto"/>
                <w:sz w:val="24"/>
                <w:vertAlign w:val="subscript"/>
              </w:rPr>
              <w:t>1</w:t>
            </w:r>
            <w:r>
              <w:rPr>
                <w:color w:val="auto"/>
                <w:sz w:val="24"/>
                <w:lang w:val="zh-CN"/>
              </w:rPr>
              <w:t>，q</w:t>
            </w:r>
            <w:r>
              <w:rPr>
                <w:color w:val="auto"/>
                <w:sz w:val="24"/>
                <w:vertAlign w:val="subscript"/>
                <w:lang w:val="zh-CN"/>
              </w:rPr>
              <w:t>2</w:t>
            </w:r>
            <w:r>
              <w:rPr>
                <w:color w:val="auto"/>
                <w:sz w:val="24"/>
                <w:lang w:val="zh-CN"/>
              </w:rPr>
              <w:t>，</w:t>
            </w:r>
            <w:r>
              <w:rPr>
                <w:color w:val="auto"/>
                <w:sz w:val="24"/>
              </w:rPr>
              <w:t>q</w:t>
            </w:r>
            <w:r>
              <w:rPr>
                <w:color w:val="auto"/>
                <w:sz w:val="24"/>
                <w:vertAlign w:val="subscript"/>
                <w:lang w:val="zh-CN"/>
              </w:rPr>
              <w:t>n</w:t>
            </w:r>
            <w:r>
              <w:rPr>
                <w:color w:val="auto"/>
                <w:sz w:val="24"/>
                <w:lang w:val="zh-CN"/>
              </w:rPr>
              <w:t>——每种危险物质的最大存在总量，t；</w:t>
            </w:r>
          </w:p>
          <w:p w14:paraId="52A63DB6">
            <w:pPr>
              <w:adjustRightInd w:val="0"/>
              <w:snapToGrid w:val="0"/>
              <w:spacing w:line="351" w:lineRule="auto"/>
              <w:ind w:firstLine="1200" w:firstLineChars="500"/>
              <w:rPr>
                <w:color w:val="auto"/>
                <w:sz w:val="24"/>
                <w:lang w:val="zh-CN"/>
              </w:rPr>
            </w:pPr>
            <w:r>
              <w:rPr>
                <w:color w:val="auto"/>
                <w:sz w:val="24"/>
              </w:rPr>
              <w:t>Q</w:t>
            </w:r>
            <w:r>
              <w:rPr>
                <w:color w:val="auto"/>
                <w:sz w:val="24"/>
                <w:vertAlign w:val="subscript"/>
                <w:lang w:val="zh-CN"/>
              </w:rPr>
              <w:t>1</w:t>
            </w:r>
            <w:r>
              <w:rPr>
                <w:color w:val="auto"/>
                <w:sz w:val="24"/>
                <w:lang w:val="zh-CN"/>
              </w:rPr>
              <w:t>，Q</w:t>
            </w:r>
            <w:r>
              <w:rPr>
                <w:color w:val="auto"/>
                <w:sz w:val="24"/>
                <w:vertAlign w:val="subscript"/>
                <w:lang w:val="zh-CN"/>
              </w:rPr>
              <w:t>2</w:t>
            </w:r>
            <w:r>
              <w:rPr>
                <w:color w:val="auto"/>
                <w:sz w:val="24"/>
                <w:lang w:val="zh-CN"/>
              </w:rPr>
              <w:t>，</w:t>
            </w:r>
            <w:r>
              <w:rPr>
                <w:color w:val="auto"/>
                <w:sz w:val="24"/>
              </w:rPr>
              <w:t>Q</w:t>
            </w:r>
            <w:r>
              <w:rPr>
                <w:color w:val="auto"/>
                <w:sz w:val="24"/>
                <w:vertAlign w:val="subscript"/>
              </w:rPr>
              <w:t>n</w:t>
            </w:r>
            <w:r>
              <w:rPr>
                <w:color w:val="auto"/>
                <w:sz w:val="24"/>
                <w:lang w:val="zh-CN"/>
              </w:rPr>
              <w:t>——每种危险物质的临界量，t。</w:t>
            </w:r>
          </w:p>
          <w:p w14:paraId="55F32AC6">
            <w:pPr>
              <w:adjustRightInd w:val="0"/>
              <w:snapToGrid w:val="0"/>
              <w:spacing w:line="351" w:lineRule="auto"/>
              <w:ind w:firstLine="480"/>
              <w:rPr>
                <w:color w:val="auto"/>
                <w:sz w:val="24"/>
                <w:lang w:val="zh-CN"/>
              </w:rPr>
            </w:pPr>
            <w:r>
              <w:rPr>
                <w:color w:val="auto"/>
                <w:sz w:val="24"/>
                <w:lang w:val="zh-CN"/>
              </w:rPr>
              <w:t>当Q&lt;1时，该项目环境风险潜势为I。</w:t>
            </w:r>
          </w:p>
          <w:p w14:paraId="7D7F6C5C">
            <w:pPr>
              <w:adjustRightInd w:val="0"/>
              <w:snapToGrid w:val="0"/>
              <w:spacing w:line="351" w:lineRule="auto"/>
              <w:ind w:firstLine="480"/>
              <w:rPr>
                <w:color w:val="auto"/>
                <w:sz w:val="24"/>
                <w:lang w:val="zh-CN"/>
              </w:rPr>
            </w:pPr>
            <w:r>
              <w:rPr>
                <w:color w:val="auto"/>
                <w:sz w:val="24"/>
                <w:lang w:val="zh-CN"/>
              </w:rPr>
              <w:t>当Q≥1时，将Q值划分为：（1）1≤Q&lt;10；（2）10≤Q&lt;100；（3）Q≥100。再综合所属行业及生产工艺特点（M）另行判定。</w:t>
            </w:r>
          </w:p>
          <w:p w14:paraId="3706FF5B">
            <w:pPr>
              <w:adjustRightInd w:val="0"/>
              <w:snapToGrid w:val="0"/>
              <w:spacing w:line="351" w:lineRule="auto"/>
              <w:ind w:firstLine="480"/>
              <w:rPr>
                <w:bCs/>
                <w:color w:val="auto"/>
                <w:kern w:val="0"/>
                <w:sz w:val="24"/>
              </w:rPr>
            </w:pPr>
            <w:r>
              <w:rPr>
                <w:bCs/>
                <w:color w:val="auto"/>
                <w:kern w:val="0"/>
                <w:sz w:val="24"/>
              </w:rPr>
              <w:t>对照《建设项目环境风险评价技术导则》（HJ/T169-2018），本项目涉及的突发环境事件风险物质、临界量及Q值，见下表。</w:t>
            </w:r>
          </w:p>
          <w:p w14:paraId="253BCD4D">
            <w:pPr>
              <w:autoSpaceDE w:val="0"/>
              <w:autoSpaceDN w:val="0"/>
              <w:adjustRightInd w:val="0"/>
              <w:snapToGrid w:val="0"/>
              <w:spacing w:line="360" w:lineRule="auto"/>
              <w:ind w:firstLine="0" w:firstLineChars="0"/>
              <w:jc w:val="center"/>
              <w:rPr>
                <w:b/>
                <w:color w:val="auto"/>
                <w:szCs w:val="21"/>
              </w:rPr>
            </w:pPr>
            <w:r>
              <w:rPr>
                <w:b/>
                <w:color w:val="auto"/>
                <w:szCs w:val="21"/>
              </w:rPr>
              <w:t>表4-</w:t>
            </w:r>
            <w:r>
              <w:rPr>
                <w:rFonts w:hint="eastAsia"/>
                <w:b/>
                <w:color w:val="auto"/>
                <w:szCs w:val="21"/>
                <w:lang w:val="en-US" w:eastAsia="zh-CN"/>
              </w:rPr>
              <w:t>25</w:t>
            </w:r>
            <w:r>
              <w:rPr>
                <w:b/>
                <w:color w:val="auto"/>
                <w:szCs w:val="21"/>
              </w:rPr>
              <w:t xml:space="preserve"> </w:t>
            </w:r>
            <w:r>
              <w:rPr>
                <w:rFonts w:hint="eastAsia"/>
                <w:b/>
                <w:color w:val="auto"/>
                <w:szCs w:val="21"/>
              </w:rPr>
              <w:t xml:space="preserve"> </w:t>
            </w:r>
            <w:r>
              <w:rPr>
                <w:b/>
                <w:color w:val="auto"/>
                <w:szCs w:val="21"/>
              </w:rPr>
              <w:t>Q值计算结果</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24"/>
              <w:gridCol w:w="1442"/>
              <w:gridCol w:w="1814"/>
              <w:gridCol w:w="1269"/>
              <w:gridCol w:w="1269"/>
              <w:gridCol w:w="1269"/>
            </w:tblGrid>
            <w:tr w14:paraId="2A6C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3" w:type="pct"/>
                  <w:vAlign w:val="center"/>
                </w:tcPr>
                <w:p w14:paraId="03A48D24">
                  <w:pPr>
                    <w:pStyle w:val="61"/>
                    <w:adjustRightInd w:val="0"/>
                    <w:snapToGrid w:val="0"/>
                    <w:ind w:firstLine="0" w:firstLineChars="0"/>
                    <w:rPr>
                      <w:rStyle w:val="58"/>
                      <w:b/>
                      <w:color w:val="auto"/>
                      <w:szCs w:val="21"/>
                    </w:rPr>
                  </w:pPr>
                  <w:r>
                    <w:rPr>
                      <w:rStyle w:val="58"/>
                      <w:b/>
                      <w:color w:val="auto"/>
                      <w:szCs w:val="21"/>
                    </w:rPr>
                    <w:t>序号</w:t>
                  </w:r>
                </w:p>
              </w:tc>
              <w:tc>
                <w:tcPr>
                  <w:tcW w:w="632" w:type="pct"/>
                  <w:vAlign w:val="center"/>
                </w:tcPr>
                <w:p w14:paraId="508D4ED7">
                  <w:pPr>
                    <w:pStyle w:val="61"/>
                    <w:adjustRightInd w:val="0"/>
                    <w:snapToGrid w:val="0"/>
                    <w:ind w:firstLine="0" w:firstLineChars="0"/>
                    <w:rPr>
                      <w:rStyle w:val="58"/>
                      <w:b/>
                      <w:color w:val="auto"/>
                      <w:szCs w:val="21"/>
                    </w:rPr>
                  </w:pPr>
                  <w:r>
                    <w:rPr>
                      <w:rStyle w:val="58"/>
                      <w:b/>
                      <w:color w:val="auto"/>
                      <w:szCs w:val="21"/>
                    </w:rPr>
                    <w:t>危险物质名称</w:t>
                  </w:r>
                </w:p>
              </w:tc>
              <w:tc>
                <w:tcPr>
                  <w:tcW w:w="811" w:type="pct"/>
                  <w:vAlign w:val="center"/>
                </w:tcPr>
                <w:p w14:paraId="7C3EE365">
                  <w:pPr>
                    <w:pStyle w:val="61"/>
                    <w:adjustRightInd w:val="0"/>
                    <w:snapToGrid w:val="0"/>
                    <w:ind w:firstLine="0" w:firstLineChars="0"/>
                    <w:rPr>
                      <w:rStyle w:val="58"/>
                      <w:b/>
                      <w:color w:val="auto"/>
                      <w:szCs w:val="21"/>
                    </w:rPr>
                  </w:pPr>
                  <w:r>
                    <w:rPr>
                      <w:rStyle w:val="58"/>
                      <w:b/>
                      <w:color w:val="auto"/>
                      <w:szCs w:val="21"/>
                    </w:rPr>
                    <w:t>CAS号</w:t>
                  </w:r>
                </w:p>
              </w:tc>
              <w:tc>
                <w:tcPr>
                  <w:tcW w:w="1020" w:type="pct"/>
                  <w:vAlign w:val="center"/>
                </w:tcPr>
                <w:p w14:paraId="05601737">
                  <w:pPr>
                    <w:pStyle w:val="61"/>
                    <w:adjustRightInd w:val="0"/>
                    <w:snapToGrid w:val="0"/>
                    <w:ind w:firstLine="0" w:firstLineChars="0"/>
                    <w:rPr>
                      <w:rStyle w:val="58"/>
                      <w:b/>
                      <w:color w:val="auto"/>
                      <w:szCs w:val="21"/>
                    </w:rPr>
                  </w:pPr>
                  <w:r>
                    <w:rPr>
                      <w:rStyle w:val="58"/>
                      <w:b/>
                      <w:color w:val="auto"/>
                      <w:szCs w:val="21"/>
                    </w:rPr>
                    <w:t>危险物质最大储存量（t/a）</w:t>
                  </w:r>
                </w:p>
              </w:tc>
              <w:tc>
                <w:tcPr>
                  <w:tcW w:w="714" w:type="pct"/>
                  <w:vAlign w:val="center"/>
                </w:tcPr>
                <w:p w14:paraId="764FF5AF">
                  <w:pPr>
                    <w:pStyle w:val="61"/>
                    <w:adjustRightInd w:val="0"/>
                    <w:snapToGrid w:val="0"/>
                    <w:ind w:firstLine="0" w:firstLineChars="0"/>
                    <w:rPr>
                      <w:rStyle w:val="58"/>
                      <w:b/>
                      <w:color w:val="auto"/>
                      <w:szCs w:val="21"/>
                    </w:rPr>
                  </w:pPr>
                  <w:r>
                    <w:rPr>
                      <w:rStyle w:val="58"/>
                      <w:b/>
                      <w:color w:val="auto"/>
                      <w:szCs w:val="21"/>
                    </w:rPr>
                    <w:t>临界量（t/a）</w:t>
                  </w:r>
                </w:p>
              </w:tc>
              <w:tc>
                <w:tcPr>
                  <w:tcW w:w="714" w:type="pct"/>
                  <w:vAlign w:val="center"/>
                </w:tcPr>
                <w:p w14:paraId="72B63528">
                  <w:pPr>
                    <w:pStyle w:val="61"/>
                    <w:adjustRightInd w:val="0"/>
                    <w:snapToGrid w:val="0"/>
                    <w:ind w:firstLine="0" w:firstLineChars="0"/>
                    <w:rPr>
                      <w:rStyle w:val="58"/>
                      <w:b/>
                      <w:color w:val="auto"/>
                      <w:szCs w:val="21"/>
                    </w:rPr>
                  </w:pPr>
                  <w:r>
                    <w:rPr>
                      <w:rStyle w:val="58"/>
                      <w:b/>
                      <w:color w:val="auto"/>
                      <w:szCs w:val="21"/>
                    </w:rPr>
                    <w:t>Qi</w:t>
                  </w:r>
                  <w:r>
                    <w:rPr>
                      <w:rStyle w:val="58"/>
                      <w:rFonts w:hint="eastAsia"/>
                      <w:b/>
                      <w:color w:val="auto"/>
                      <w:szCs w:val="21"/>
                    </w:rPr>
                    <w:t>/</w:t>
                  </w:r>
                  <w:r>
                    <w:rPr>
                      <w:rStyle w:val="58"/>
                      <w:b/>
                      <w:color w:val="auto"/>
                      <w:szCs w:val="21"/>
                    </w:rPr>
                    <w:t>Qi</w:t>
                  </w:r>
                </w:p>
              </w:tc>
              <w:tc>
                <w:tcPr>
                  <w:tcW w:w="714" w:type="pct"/>
                  <w:vAlign w:val="center"/>
                </w:tcPr>
                <w:p w14:paraId="0C00B1B7">
                  <w:pPr>
                    <w:pStyle w:val="61"/>
                    <w:adjustRightInd w:val="0"/>
                    <w:snapToGrid w:val="0"/>
                    <w:ind w:firstLine="0" w:firstLineChars="0"/>
                    <w:rPr>
                      <w:rStyle w:val="58"/>
                      <w:b/>
                      <w:color w:val="auto"/>
                      <w:szCs w:val="21"/>
                    </w:rPr>
                  </w:pPr>
                  <w:r>
                    <w:rPr>
                      <w:rStyle w:val="58"/>
                      <w:b/>
                      <w:color w:val="auto"/>
                      <w:szCs w:val="21"/>
                    </w:rPr>
                    <w:t>结果</w:t>
                  </w:r>
                </w:p>
              </w:tc>
            </w:tr>
            <w:tr w14:paraId="7CBB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Align w:val="center"/>
                </w:tcPr>
                <w:p w14:paraId="541F80B7">
                  <w:pPr>
                    <w:pStyle w:val="61"/>
                    <w:adjustRightInd w:val="0"/>
                    <w:snapToGrid w:val="0"/>
                    <w:ind w:firstLine="0" w:firstLineChars="0"/>
                    <w:rPr>
                      <w:rStyle w:val="58"/>
                      <w:bCs/>
                      <w:color w:val="auto"/>
                      <w:szCs w:val="21"/>
                    </w:rPr>
                  </w:pPr>
                  <w:r>
                    <w:rPr>
                      <w:rStyle w:val="58"/>
                      <w:bCs/>
                      <w:color w:val="auto"/>
                      <w:szCs w:val="21"/>
                    </w:rPr>
                    <w:t>2</w:t>
                  </w:r>
                </w:p>
              </w:tc>
              <w:tc>
                <w:tcPr>
                  <w:tcW w:w="632" w:type="pct"/>
                  <w:vAlign w:val="center"/>
                </w:tcPr>
                <w:p w14:paraId="7ECFD042">
                  <w:pPr>
                    <w:pStyle w:val="61"/>
                    <w:adjustRightInd w:val="0"/>
                    <w:snapToGrid w:val="0"/>
                    <w:ind w:firstLine="0" w:firstLineChars="0"/>
                    <w:rPr>
                      <w:rStyle w:val="58"/>
                      <w:bCs/>
                      <w:color w:val="auto"/>
                      <w:szCs w:val="21"/>
                    </w:rPr>
                  </w:pPr>
                  <w:r>
                    <w:rPr>
                      <w:rStyle w:val="58"/>
                      <w:bCs/>
                      <w:color w:val="auto"/>
                      <w:szCs w:val="21"/>
                    </w:rPr>
                    <w:t>油类物质</w:t>
                  </w:r>
                </w:p>
              </w:tc>
              <w:tc>
                <w:tcPr>
                  <w:tcW w:w="811" w:type="pct"/>
                  <w:vAlign w:val="center"/>
                </w:tcPr>
                <w:p w14:paraId="285BA6FC">
                  <w:pPr>
                    <w:pStyle w:val="61"/>
                    <w:adjustRightInd w:val="0"/>
                    <w:snapToGrid w:val="0"/>
                    <w:ind w:firstLine="0" w:firstLineChars="0"/>
                    <w:rPr>
                      <w:rStyle w:val="58"/>
                      <w:bCs/>
                      <w:color w:val="auto"/>
                      <w:szCs w:val="21"/>
                    </w:rPr>
                  </w:pPr>
                  <w:r>
                    <w:rPr>
                      <w:rStyle w:val="58"/>
                      <w:bCs/>
                      <w:color w:val="auto"/>
                      <w:szCs w:val="21"/>
                    </w:rPr>
                    <w:t>900-249-08</w:t>
                  </w:r>
                </w:p>
              </w:tc>
              <w:tc>
                <w:tcPr>
                  <w:tcW w:w="1020" w:type="pct"/>
                  <w:vAlign w:val="center"/>
                </w:tcPr>
                <w:p w14:paraId="04E4FDC0">
                  <w:pPr>
                    <w:pStyle w:val="61"/>
                    <w:adjustRightInd w:val="0"/>
                    <w:snapToGrid w:val="0"/>
                    <w:ind w:firstLine="0" w:firstLineChars="0"/>
                    <w:rPr>
                      <w:rStyle w:val="58"/>
                      <w:bCs/>
                      <w:color w:val="auto"/>
                      <w:szCs w:val="21"/>
                    </w:rPr>
                  </w:pPr>
                  <w:r>
                    <w:rPr>
                      <w:rStyle w:val="58"/>
                      <w:bCs/>
                      <w:color w:val="auto"/>
                      <w:szCs w:val="21"/>
                    </w:rPr>
                    <w:t>0.1</w:t>
                  </w:r>
                </w:p>
              </w:tc>
              <w:tc>
                <w:tcPr>
                  <w:tcW w:w="714" w:type="pct"/>
                  <w:vAlign w:val="center"/>
                </w:tcPr>
                <w:p w14:paraId="2FCA1F3B">
                  <w:pPr>
                    <w:pStyle w:val="61"/>
                    <w:adjustRightInd w:val="0"/>
                    <w:snapToGrid w:val="0"/>
                    <w:ind w:firstLine="0" w:firstLineChars="0"/>
                    <w:rPr>
                      <w:rStyle w:val="58"/>
                      <w:bCs/>
                      <w:color w:val="auto"/>
                      <w:szCs w:val="21"/>
                    </w:rPr>
                  </w:pPr>
                  <w:r>
                    <w:rPr>
                      <w:rStyle w:val="58"/>
                      <w:bCs/>
                      <w:color w:val="auto"/>
                      <w:szCs w:val="21"/>
                    </w:rPr>
                    <w:t>2500</w:t>
                  </w:r>
                </w:p>
              </w:tc>
              <w:tc>
                <w:tcPr>
                  <w:tcW w:w="714" w:type="pct"/>
                  <w:vAlign w:val="center"/>
                </w:tcPr>
                <w:p w14:paraId="649B7026">
                  <w:pPr>
                    <w:pStyle w:val="61"/>
                    <w:adjustRightInd w:val="0"/>
                    <w:snapToGrid w:val="0"/>
                    <w:ind w:firstLine="0" w:firstLineChars="0"/>
                    <w:rPr>
                      <w:rStyle w:val="58"/>
                      <w:bCs/>
                      <w:color w:val="auto"/>
                      <w:szCs w:val="21"/>
                    </w:rPr>
                  </w:pPr>
                  <w:r>
                    <w:rPr>
                      <w:rStyle w:val="58"/>
                      <w:bCs/>
                      <w:color w:val="auto"/>
                      <w:szCs w:val="21"/>
                    </w:rPr>
                    <w:t>0.00004</w:t>
                  </w:r>
                </w:p>
              </w:tc>
              <w:tc>
                <w:tcPr>
                  <w:tcW w:w="714" w:type="pct"/>
                  <w:vAlign w:val="center"/>
                </w:tcPr>
                <w:p w14:paraId="71FABC44">
                  <w:pPr>
                    <w:pStyle w:val="61"/>
                    <w:adjustRightInd w:val="0"/>
                    <w:snapToGrid w:val="0"/>
                    <w:ind w:firstLine="0" w:firstLineChars="0"/>
                    <w:rPr>
                      <w:rStyle w:val="58"/>
                      <w:bCs/>
                      <w:color w:val="auto"/>
                      <w:szCs w:val="21"/>
                    </w:rPr>
                  </w:pPr>
                  <w:r>
                    <w:rPr>
                      <w:rStyle w:val="58"/>
                      <w:bCs/>
                      <w:color w:val="auto"/>
                      <w:szCs w:val="21"/>
                    </w:rPr>
                    <w:t>Q值&lt;1.0</w:t>
                  </w:r>
                </w:p>
              </w:tc>
            </w:tr>
          </w:tbl>
          <w:p w14:paraId="2474FC83">
            <w:pPr>
              <w:spacing w:line="360" w:lineRule="auto"/>
              <w:ind w:firstLine="480"/>
              <w:rPr>
                <w:color w:val="auto"/>
                <w:sz w:val="24"/>
              </w:rPr>
            </w:pPr>
            <w:r>
              <w:rPr>
                <w:color w:val="auto"/>
                <w:sz w:val="24"/>
              </w:rPr>
              <w:t>对照《建设项目环境风险评价技术导则》（HJ169-2018）附录C，Q值小于1.0，本项目环境风险潜势为Ⅰ，按《建设项目环境风险评价技术导则》HJ169-2018表1评价工作等级划分表进行判别，本项目环境风险潜势为Ⅰ，开展简单分析。</w:t>
            </w:r>
          </w:p>
          <w:p w14:paraId="6DAB9BEF">
            <w:pPr>
              <w:spacing w:line="360" w:lineRule="auto"/>
              <w:ind w:firstLine="480"/>
              <w:rPr>
                <w:color w:val="auto"/>
                <w:sz w:val="24"/>
              </w:rPr>
            </w:pPr>
            <w:r>
              <w:rPr>
                <w:color w:val="auto"/>
                <w:sz w:val="24"/>
              </w:rPr>
              <w:t>3）风险影响分析</w:t>
            </w:r>
          </w:p>
          <w:p w14:paraId="7B9D49AE">
            <w:pPr>
              <w:spacing w:line="360" w:lineRule="auto"/>
              <w:ind w:firstLine="480"/>
              <w:rPr>
                <w:color w:val="auto"/>
                <w:sz w:val="24"/>
              </w:rPr>
            </w:pPr>
            <w:r>
              <w:rPr>
                <w:color w:val="auto"/>
                <w:sz w:val="24"/>
              </w:rPr>
              <w:t>本项目涉及的危险物质主要为矿物油类，分布在检修车间内。主要环境风险为操作不当或管理不当造成矿物油泄漏或下渗，污染地表水、地下水。矿物油类具有易燃特性，遇到明火、高热会引起燃烧爆炸，爆炸燃烧物对周边空气环境产生影响。</w:t>
            </w:r>
          </w:p>
          <w:p w14:paraId="381518ED">
            <w:pPr>
              <w:pStyle w:val="89"/>
              <w:spacing w:line="360" w:lineRule="auto"/>
              <w:ind w:firstLine="480"/>
              <w:rPr>
                <w:color w:val="auto"/>
              </w:rPr>
            </w:pPr>
            <w:r>
              <w:rPr>
                <w:color w:val="auto"/>
              </w:rPr>
              <w:t>（4）风险事故防范措施与应急要求</w:t>
            </w:r>
          </w:p>
          <w:p w14:paraId="0C5D44F5">
            <w:pPr>
              <w:spacing w:line="360" w:lineRule="auto"/>
              <w:ind w:firstLine="480"/>
              <w:rPr>
                <w:color w:val="auto"/>
                <w:sz w:val="24"/>
              </w:rPr>
            </w:pPr>
            <w:r>
              <w:rPr>
                <w:color w:val="auto"/>
                <w:sz w:val="24"/>
              </w:rPr>
              <w:t>①危险化学品储存区应设安全警示标志，车间内配备足够数量的干粉灭火器或泡沫灭火器，设置防火、易燃等警示标牌，远离火种、热源、易燃、可燃物，工作场所严禁吸烟，配备适量的1211灭火器，以及适量砂土作为灭火剂。</w:t>
            </w:r>
          </w:p>
          <w:p w14:paraId="6F0222B9">
            <w:pPr>
              <w:spacing w:line="360" w:lineRule="auto"/>
              <w:ind w:firstLine="480"/>
              <w:rPr>
                <w:color w:val="auto"/>
                <w:sz w:val="24"/>
              </w:rPr>
            </w:pPr>
            <w:r>
              <w:rPr>
                <w:color w:val="auto"/>
                <w:sz w:val="24"/>
              </w:rPr>
              <w:t>②建设单位必须严格遵守</w:t>
            </w:r>
            <w:r>
              <w:rPr>
                <w:rFonts w:hint="eastAsia"/>
                <w:color w:val="auto"/>
                <w:sz w:val="24"/>
              </w:rPr>
              <w:t>《危险化学品安全管理条例》</w:t>
            </w:r>
            <w:r>
              <w:rPr>
                <w:color w:val="auto"/>
                <w:sz w:val="24"/>
              </w:rPr>
              <w:t>，物料储存过程必须按照</w:t>
            </w:r>
            <w:r>
              <w:rPr>
                <w:rFonts w:hint="eastAsia"/>
                <w:color w:val="auto"/>
                <w:sz w:val="24"/>
              </w:rPr>
              <w:t>《危险化学品安全管理条例》</w:t>
            </w:r>
            <w:r>
              <w:rPr>
                <w:color w:val="auto"/>
                <w:sz w:val="24"/>
              </w:rPr>
              <w:t>和《仓库防火安全管理规则》等规定做到安全储存。</w:t>
            </w:r>
          </w:p>
          <w:p w14:paraId="3B36B080">
            <w:pPr>
              <w:spacing w:line="360" w:lineRule="auto"/>
              <w:ind w:firstLine="480"/>
              <w:rPr>
                <w:color w:val="auto"/>
                <w:sz w:val="24"/>
              </w:rPr>
            </w:pPr>
            <w:r>
              <w:rPr>
                <w:color w:val="auto"/>
                <w:sz w:val="24"/>
              </w:rPr>
              <w:t>③应配备有专业知识技术人员管理，管理人员配备可靠的个人安全防护用品。</w:t>
            </w:r>
          </w:p>
          <w:p w14:paraId="39FE5324">
            <w:pPr>
              <w:spacing w:line="360" w:lineRule="auto"/>
              <w:ind w:firstLine="480"/>
              <w:rPr>
                <w:color w:val="auto"/>
                <w:sz w:val="24"/>
              </w:rPr>
            </w:pPr>
            <w:r>
              <w:rPr>
                <w:color w:val="auto"/>
                <w:sz w:val="24"/>
              </w:rPr>
              <w:t>④加强危废收集暂存、储运管理，加强日常检查，保证容器的完好程度，对生产过程洒落、滴漏的少量污染物应及时收集处理。</w:t>
            </w:r>
          </w:p>
          <w:p w14:paraId="20BB3BA6">
            <w:pPr>
              <w:pStyle w:val="89"/>
              <w:spacing w:line="360" w:lineRule="auto"/>
              <w:ind w:firstLine="480"/>
              <w:rPr>
                <w:color w:val="auto"/>
              </w:rPr>
            </w:pPr>
            <w:r>
              <w:rPr>
                <w:color w:val="auto"/>
              </w:rPr>
              <w:t>建设单位应严格落实各项风险防范措施，避免环境风险事故的发生，一旦发生事故，按照完善的事故应急措施及时控制事故，防止事故蔓延，则在此基础上，项目的环境风险可接受。</w:t>
            </w:r>
          </w:p>
          <w:p w14:paraId="5744EA67">
            <w:pPr>
              <w:pStyle w:val="89"/>
              <w:spacing w:line="360" w:lineRule="auto"/>
              <w:ind w:firstLine="480"/>
              <w:rPr>
                <w:color w:val="auto"/>
              </w:rPr>
            </w:pPr>
            <w:r>
              <w:rPr>
                <w:color w:val="auto"/>
              </w:rPr>
              <w:t>应急要求：</w:t>
            </w:r>
            <w:r>
              <w:rPr>
                <w:color w:val="auto"/>
                <w:spacing w:val="-3"/>
              </w:rPr>
              <w:t>企业应按国家有关规定要求，编制突发环境事故应急预案，并经当地生态环境行政主</w:t>
            </w:r>
            <w:r>
              <w:rPr>
                <w:color w:val="auto"/>
                <w:spacing w:val="-13"/>
              </w:rPr>
              <w:t>管部门审查备案。当发生环境风险事故时，按应急预案要求，认真落实各项事故应急措施，</w:t>
            </w:r>
            <w:r>
              <w:rPr>
                <w:color w:val="auto"/>
              </w:rPr>
              <w:t>做到责任到位、落实到人、常备不懈。</w:t>
            </w:r>
          </w:p>
          <w:p w14:paraId="2253F12A">
            <w:pPr>
              <w:autoSpaceDE w:val="0"/>
              <w:autoSpaceDN w:val="0"/>
              <w:adjustRightInd w:val="0"/>
              <w:snapToGrid w:val="0"/>
              <w:spacing w:line="360" w:lineRule="auto"/>
              <w:ind w:firstLine="0" w:firstLineChars="0"/>
              <w:jc w:val="center"/>
              <w:rPr>
                <w:b/>
                <w:color w:val="auto"/>
                <w:szCs w:val="21"/>
              </w:rPr>
            </w:pPr>
            <w:r>
              <w:rPr>
                <w:b/>
                <w:color w:val="auto"/>
                <w:szCs w:val="21"/>
              </w:rPr>
              <w:t>表4-</w:t>
            </w:r>
            <w:r>
              <w:rPr>
                <w:rFonts w:hint="eastAsia"/>
                <w:b/>
                <w:color w:val="auto"/>
                <w:szCs w:val="21"/>
              </w:rPr>
              <w:t>2</w:t>
            </w:r>
            <w:r>
              <w:rPr>
                <w:rFonts w:hint="eastAsia"/>
                <w:b/>
                <w:color w:val="auto"/>
                <w:szCs w:val="21"/>
                <w:lang w:val="en-US" w:eastAsia="zh-CN"/>
              </w:rPr>
              <w:t>6</w:t>
            </w:r>
            <w:r>
              <w:rPr>
                <w:rFonts w:hint="eastAsia"/>
                <w:b/>
                <w:color w:val="auto"/>
                <w:szCs w:val="21"/>
              </w:rPr>
              <w:t xml:space="preserve">  </w:t>
            </w:r>
            <w:r>
              <w:rPr>
                <w:b/>
                <w:color w:val="auto"/>
                <w:szCs w:val="21"/>
              </w:rPr>
              <w:t>建设项目简单分析内容表</w:t>
            </w:r>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1228"/>
              <w:gridCol w:w="2325"/>
              <w:gridCol w:w="1147"/>
              <w:gridCol w:w="2412"/>
            </w:tblGrid>
            <w:tr w14:paraId="59F7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5BE88F16">
                  <w:pPr>
                    <w:pStyle w:val="61"/>
                    <w:adjustRightInd w:val="0"/>
                    <w:snapToGrid w:val="0"/>
                    <w:ind w:firstLine="0" w:firstLineChars="0"/>
                    <w:rPr>
                      <w:rStyle w:val="58"/>
                      <w:bCs/>
                      <w:color w:val="auto"/>
                      <w:szCs w:val="21"/>
                    </w:rPr>
                  </w:pPr>
                  <w:r>
                    <w:rPr>
                      <w:rStyle w:val="58"/>
                      <w:bCs/>
                      <w:color w:val="auto"/>
                      <w:szCs w:val="21"/>
                    </w:rPr>
                    <w:t>建设项目名称</w:t>
                  </w:r>
                </w:p>
              </w:tc>
              <w:tc>
                <w:tcPr>
                  <w:tcW w:w="4000" w:type="pct"/>
                  <w:gridSpan w:val="4"/>
                  <w:vAlign w:val="center"/>
                </w:tcPr>
                <w:p w14:paraId="696B4700">
                  <w:pPr>
                    <w:pStyle w:val="61"/>
                    <w:adjustRightInd w:val="0"/>
                    <w:snapToGrid w:val="0"/>
                    <w:ind w:firstLine="0" w:firstLineChars="0"/>
                    <w:rPr>
                      <w:rStyle w:val="58"/>
                      <w:bCs/>
                      <w:color w:val="auto"/>
                      <w:szCs w:val="21"/>
                    </w:rPr>
                  </w:pPr>
                  <w:r>
                    <w:rPr>
                      <w:rStyle w:val="58"/>
                      <w:bCs/>
                      <w:color w:val="auto"/>
                      <w:szCs w:val="21"/>
                    </w:rPr>
                    <w:t>年产10万t商品混凝土搅拌站生产线项目</w:t>
                  </w:r>
                </w:p>
              </w:tc>
            </w:tr>
            <w:tr w14:paraId="4070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99" w:type="pct"/>
                  <w:vAlign w:val="center"/>
                </w:tcPr>
                <w:p w14:paraId="643E79B3">
                  <w:pPr>
                    <w:pStyle w:val="61"/>
                    <w:adjustRightInd w:val="0"/>
                    <w:snapToGrid w:val="0"/>
                    <w:ind w:firstLine="0" w:firstLineChars="0"/>
                    <w:rPr>
                      <w:rStyle w:val="58"/>
                      <w:bCs/>
                      <w:color w:val="auto"/>
                      <w:szCs w:val="21"/>
                    </w:rPr>
                  </w:pPr>
                  <w:r>
                    <w:rPr>
                      <w:rStyle w:val="58"/>
                      <w:bCs/>
                      <w:color w:val="auto"/>
                      <w:szCs w:val="21"/>
                    </w:rPr>
                    <w:t>建设地点</w:t>
                  </w:r>
                </w:p>
              </w:tc>
              <w:tc>
                <w:tcPr>
                  <w:tcW w:w="4000" w:type="pct"/>
                  <w:gridSpan w:val="4"/>
                  <w:vAlign w:val="center"/>
                </w:tcPr>
                <w:p w14:paraId="6A0427C6">
                  <w:pPr>
                    <w:pStyle w:val="61"/>
                    <w:adjustRightInd w:val="0"/>
                    <w:snapToGrid w:val="0"/>
                    <w:ind w:firstLine="0" w:firstLineChars="0"/>
                    <w:rPr>
                      <w:rStyle w:val="58"/>
                      <w:bCs/>
                      <w:color w:val="auto"/>
                      <w:szCs w:val="21"/>
                    </w:rPr>
                  </w:pPr>
                  <w:r>
                    <w:rPr>
                      <w:rStyle w:val="58"/>
                      <w:bCs/>
                      <w:color w:val="auto"/>
                      <w:szCs w:val="21"/>
                    </w:rPr>
                    <w:t>云南省昆明市寻甸县金所乡哨上大村</w:t>
                  </w:r>
                  <w:r>
                    <w:rPr>
                      <w:rStyle w:val="58"/>
                      <w:rFonts w:hint="eastAsia"/>
                      <w:bCs/>
                      <w:color w:val="auto"/>
                      <w:szCs w:val="21"/>
                    </w:rPr>
                    <w:t>东北侧</w:t>
                  </w:r>
                </w:p>
              </w:tc>
            </w:tr>
            <w:tr w14:paraId="15A3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6D3B44FB">
                  <w:pPr>
                    <w:pStyle w:val="61"/>
                    <w:adjustRightInd w:val="0"/>
                    <w:snapToGrid w:val="0"/>
                    <w:ind w:firstLine="0" w:firstLineChars="0"/>
                    <w:rPr>
                      <w:rStyle w:val="58"/>
                      <w:bCs/>
                      <w:color w:val="auto"/>
                      <w:szCs w:val="21"/>
                    </w:rPr>
                  </w:pPr>
                  <w:r>
                    <w:rPr>
                      <w:rStyle w:val="58"/>
                      <w:bCs/>
                      <w:color w:val="auto"/>
                      <w:szCs w:val="21"/>
                    </w:rPr>
                    <w:t>地理坐标</w:t>
                  </w:r>
                </w:p>
              </w:tc>
              <w:tc>
                <w:tcPr>
                  <w:tcW w:w="690" w:type="pct"/>
                  <w:vAlign w:val="center"/>
                </w:tcPr>
                <w:p w14:paraId="656C89C4">
                  <w:pPr>
                    <w:pStyle w:val="61"/>
                    <w:adjustRightInd w:val="0"/>
                    <w:snapToGrid w:val="0"/>
                    <w:ind w:firstLine="0" w:firstLineChars="0"/>
                    <w:rPr>
                      <w:rStyle w:val="58"/>
                      <w:bCs/>
                      <w:color w:val="auto"/>
                      <w:szCs w:val="21"/>
                    </w:rPr>
                  </w:pPr>
                  <w:r>
                    <w:rPr>
                      <w:rStyle w:val="58"/>
                      <w:bCs/>
                      <w:color w:val="auto"/>
                      <w:szCs w:val="21"/>
                    </w:rPr>
                    <w:t>经度</w:t>
                  </w:r>
                </w:p>
              </w:tc>
              <w:tc>
                <w:tcPr>
                  <w:tcW w:w="1308" w:type="pct"/>
                  <w:vAlign w:val="center"/>
                </w:tcPr>
                <w:p w14:paraId="195AD73C">
                  <w:pPr>
                    <w:pStyle w:val="61"/>
                    <w:adjustRightInd w:val="0"/>
                    <w:snapToGrid w:val="0"/>
                    <w:ind w:firstLine="0" w:firstLineChars="0"/>
                    <w:rPr>
                      <w:rStyle w:val="58"/>
                      <w:bCs/>
                      <w:color w:val="auto"/>
                      <w:szCs w:val="21"/>
                    </w:rPr>
                  </w:pPr>
                  <w:r>
                    <w:rPr>
                      <w:rStyle w:val="58"/>
                      <w:bCs/>
                      <w:color w:val="auto"/>
                      <w:szCs w:val="21"/>
                    </w:rPr>
                    <w:t>103°13′15.40053″</w:t>
                  </w:r>
                </w:p>
              </w:tc>
              <w:tc>
                <w:tcPr>
                  <w:tcW w:w="645" w:type="pct"/>
                  <w:vAlign w:val="center"/>
                </w:tcPr>
                <w:p w14:paraId="6F1DA41F">
                  <w:pPr>
                    <w:pStyle w:val="61"/>
                    <w:adjustRightInd w:val="0"/>
                    <w:snapToGrid w:val="0"/>
                    <w:ind w:firstLine="0" w:firstLineChars="0"/>
                    <w:rPr>
                      <w:rStyle w:val="58"/>
                      <w:bCs/>
                      <w:color w:val="auto"/>
                      <w:szCs w:val="21"/>
                    </w:rPr>
                  </w:pPr>
                  <w:r>
                    <w:rPr>
                      <w:rStyle w:val="58"/>
                      <w:bCs/>
                      <w:color w:val="auto"/>
                      <w:szCs w:val="21"/>
                    </w:rPr>
                    <w:t>纬度</w:t>
                  </w:r>
                </w:p>
              </w:tc>
              <w:tc>
                <w:tcPr>
                  <w:tcW w:w="1356" w:type="pct"/>
                  <w:vAlign w:val="center"/>
                </w:tcPr>
                <w:p w14:paraId="3B2DE753">
                  <w:pPr>
                    <w:pStyle w:val="61"/>
                    <w:adjustRightInd w:val="0"/>
                    <w:snapToGrid w:val="0"/>
                    <w:ind w:firstLine="0" w:firstLineChars="0"/>
                    <w:rPr>
                      <w:rStyle w:val="58"/>
                      <w:bCs/>
                      <w:color w:val="auto"/>
                      <w:szCs w:val="21"/>
                    </w:rPr>
                  </w:pPr>
                  <w:r>
                    <w:rPr>
                      <w:rStyle w:val="58"/>
                      <w:bCs/>
                      <w:color w:val="auto"/>
                      <w:szCs w:val="21"/>
                    </w:rPr>
                    <w:t>25°32′59.10522″</w:t>
                  </w:r>
                </w:p>
              </w:tc>
            </w:tr>
            <w:tr w14:paraId="0A47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76B79B55">
                  <w:pPr>
                    <w:pStyle w:val="61"/>
                    <w:adjustRightInd w:val="0"/>
                    <w:snapToGrid w:val="0"/>
                    <w:ind w:firstLine="0" w:firstLineChars="0"/>
                    <w:rPr>
                      <w:rStyle w:val="58"/>
                      <w:bCs/>
                      <w:color w:val="auto"/>
                      <w:szCs w:val="21"/>
                    </w:rPr>
                  </w:pPr>
                  <w:r>
                    <w:rPr>
                      <w:rStyle w:val="58"/>
                      <w:bCs/>
                      <w:color w:val="auto"/>
                      <w:szCs w:val="21"/>
                    </w:rPr>
                    <w:t>主要危险物质及分布</w:t>
                  </w:r>
                </w:p>
              </w:tc>
              <w:tc>
                <w:tcPr>
                  <w:tcW w:w="4000" w:type="pct"/>
                  <w:gridSpan w:val="4"/>
                  <w:vAlign w:val="center"/>
                </w:tcPr>
                <w:p w14:paraId="2DD684F3">
                  <w:pPr>
                    <w:pStyle w:val="61"/>
                    <w:adjustRightInd w:val="0"/>
                    <w:snapToGrid w:val="0"/>
                    <w:ind w:firstLine="0" w:firstLineChars="0"/>
                    <w:rPr>
                      <w:rStyle w:val="58"/>
                      <w:bCs/>
                      <w:color w:val="auto"/>
                      <w:szCs w:val="21"/>
                    </w:rPr>
                  </w:pPr>
                  <w:r>
                    <w:rPr>
                      <w:rStyle w:val="58"/>
                      <w:bCs/>
                      <w:color w:val="auto"/>
                      <w:szCs w:val="21"/>
                    </w:rPr>
                    <w:t>油类物质，主要分布于检修车间内。</w:t>
                  </w:r>
                </w:p>
              </w:tc>
            </w:tr>
            <w:tr w14:paraId="55F6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03C3F410">
                  <w:pPr>
                    <w:pStyle w:val="61"/>
                    <w:adjustRightInd w:val="0"/>
                    <w:snapToGrid w:val="0"/>
                    <w:ind w:firstLine="0" w:firstLineChars="0"/>
                    <w:rPr>
                      <w:rStyle w:val="58"/>
                      <w:bCs/>
                      <w:color w:val="auto"/>
                      <w:szCs w:val="21"/>
                    </w:rPr>
                  </w:pPr>
                  <w:r>
                    <w:rPr>
                      <w:rStyle w:val="58"/>
                      <w:bCs/>
                      <w:color w:val="auto"/>
                      <w:szCs w:val="21"/>
                    </w:rPr>
                    <w:t>环境影响途径及危害后果（大气、地表水、地下水等）</w:t>
                  </w:r>
                </w:p>
              </w:tc>
              <w:tc>
                <w:tcPr>
                  <w:tcW w:w="4000" w:type="pct"/>
                  <w:gridSpan w:val="4"/>
                  <w:vAlign w:val="center"/>
                </w:tcPr>
                <w:p w14:paraId="358C9291">
                  <w:pPr>
                    <w:pStyle w:val="61"/>
                    <w:adjustRightInd w:val="0"/>
                    <w:snapToGrid w:val="0"/>
                    <w:ind w:firstLine="0" w:firstLineChars="0"/>
                    <w:rPr>
                      <w:rStyle w:val="58"/>
                      <w:bCs/>
                      <w:color w:val="auto"/>
                      <w:szCs w:val="21"/>
                    </w:rPr>
                  </w:pPr>
                  <w:r>
                    <w:rPr>
                      <w:rStyle w:val="58"/>
                      <w:bCs/>
                      <w:color w:val="auto"/>
                      <w:szCs w:val="21"/>
                    </w:rPr>
                    <w:t>主要环境影响途径为化学品泄漏和引发火灾爆炸危害，引发火灾爆炸后产生的有毒有害烟雾对周边环境空气产生影响，同时在火灾事故的处理过程中，还会产生地表水、地下水等污染。</w:t>
                  </w:r>
                </w:p>
              </w:tc>
            </w:tr>
            <w:tr w14:paraId="0D87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44BB6FE9">
                  <w:pPr>
                    <w:pStyle w:val="61"/>
                    <w:adjustRightInd w:val="0"/>
                    <w:snapToGrid w:val="0"/>
                    <w:ind w:firstLine="0" w:firstLineChars="0"/>
                    <w:rPr>
                      <w:rStyle w:val="58"/>
                      <w:bCs/>
                      <w:color w:val="auto"/>
                      <w:szCs w:val="21"/>
                    </w:rPr>
                  </w:pPr>
                  <w:r>
                    <w:rPr>
                      <w:rStyle w:val="58"/>
                      <w:bCs/>
                      <w:color w:val="auto"/>
                      <w:szCs w:val="21"/>
                    </w:rPr>
                    <w:t>风险防范措施要求</w:t>
                  </w:r>
                </w:p>
              </w:tc>
              <w:tc>
                <w:tcPr>
                  <w:tcW w:w="4000" w:type="pct"/>
                  <w:gridSpan w:val="4"/>
                  <w:vAlign w:val="center"/>
                </w:tcPr>
                <w:p w14:paraId="3C4F8183">
                  <w:pPr>
                    <w:pStyle w:val="61"/>
                    <w:adjustRightInd w:val="0"/>
                    <w:snapToGrid w:val="0"/>
                    <w:ind w:firstLine="0" w:firstLineChars="0"/>
                    <w:jc w:val="left"/>
                    <w:rPr>
                      <w:rStyle w:val="58"/>
                      <w:bCs/>
                      <w:color w:val="auto"/>
                      <w:szCs w:val="21"/>
                    </w:rPr>
                  </w:pPr>
                  <w:r>
                    <w:rPr>
                      <w:rStyle w:val="58"/>
                      <w:bCs/>
                      <w:color w:val="auto"/>
                      <w:szCs w:val="21"/>
                    </w:rPr>
                    <w:t>①危险化学品储存区应设安全警示标志，车间内配备足够数量的干粉灭火器或泡沫灭火器，设置防火、易燃等警示标牌，远离火种、热源、易燃、可燃物，工作场所严禁吸烟，配备适量的1211灭火器，以及适量砂土作为灭火剂。</w:t>
                  </w:r>
                </w:p>
                <w:p w14:paraId="5D0E215A">
                  <w:pPr>
                    <w:pStyle w:val="61"/>
                    <w:adjustRightInd w:val="0"/>
                    <w:snapToGrid w:val="0"/>
                    <w:ind w:firstLine="0" w:firstLineChars="0"/>
                    <w:jc w:val="left"/>
                    <w:rPr>
                      <w:rStyle w:val="58"/>
                      <w:bCs/>
                      <w:color w:val="auto"/>
                      <w:szCs w:val="21"/>
                    </w:rPr>
                  </w:pPr>
                  <w:r>
                    <w:rPr>
                      <w:rStyle w:val="58"/>
                      <w:bCs/>
                      <w:color w:val="auto"/>
                      <w:szCs w:val="21"/>
                    </w:rPr>
                    <w:t>②建设单位必须严格遵守</w:t>
                  </w:r>
                  <w:r>
                    <w:rPr>
                      <w:rStyle w:val="58"/>
                      <w:rFonts w:hint="eastAsia"/>
                      <w:bCs/>
                      <w:color w:val="auto"/>
                      <w:szCs w:val="21"/>
                    </w:rPr>
                    <w:t>《危险化学品安全管理条例》</w:t>
                  </w:r>
                  <w:r>
                    <w:rPr>
                      <w:rStyle w:val="58"/>
                      <w:bCs/>
                      <w:color w:val="auto"/>
                      <w:szCs w:val="21"/>
                    </w:rPr>
                    <w:t>，物料储存过程必须按照</w:t>
                  </w:r>
                  <w:r>
                    <w:rPr>
                      <w:rStyle w:val="58"/>
                      <w:rFonts w:hint="eastAsia"/>
                      <w:bCs/>
                      <w:color w:val="auto"/>
                      <w:szCs w:val="21"/>
                    </w:rPr>
                    <w:t>《危险化学品安全管理条例》</w:t>
                  </w:r>
                  <w:r>
                    <w:rPr>
                      <w:rStyle w:val="58"/>
                      <w:bCs/>
                      <w:color w:val="auto"/>
                      <w:szCs w:val="21"/>
                    </w:rPr>
                    <w:t>和《仓库防火安全管理规则》等规定做到安全储存。</w:t>
                  </w:r>
                </w:p>
                <w:p w14:paraId="71FC7F51">
                  <w:pPr>
                    <w:pStyle w:val="61"/>
                    <w:adjustRightInd w:val="0"/>
                    <w:snapToGrid w:val="0"/>
                    <w:ind w:firstLine="0" w:firstLineChars="0"/>
                    <w:jc w:val="left"/>
                    <w:rPr>
                      <w:rStyle w:val="58"/>
                      <w:bCs/>
                      <w:color w:val="auto"/>
                      <w:szCs w:val="21"/>
                    </w:rPr>
                  </w:pPr>
                  <w:r>
                    <w:rPr>
                      <w:rStyle w:val="58"/>
                      <w:bCs/>
                      <w:color w:val="auto"/>
                      <w:szCs w:val="21"/>
                    </w:rPr>
                    <w:t>③应配备有专业知识技术人员管理，管理人员配备可靠的个人安全防护用品。</w:t>
                  </w:r>
                </w:p>
                <w:p w14:paraId="4E424B52">
                  <w:pPr>
                    <w:pStyle w:val="61"/>
                    <w:adjustRightInd w:val="0"/>
                    <w:snapToGrid w:val="0"/>
                    <w:ind w:firstLine="0" w:firstLineChars="0"/>
                    <w:jc w:val="left"/>
                    <w:rPr>
                      <w:rStyle w:val="58"/>
                      <w:bCs/>
                      <w:color w:val="auto"/>
                      <w:szCs w:val="21"/>
                    </w:rPr>
                  </w:pPr>
                  <w:r>
                    <w:rPr>
                      <w:rStyle w:val="58"/>
                      <w:bCs/>
                      <w:color w:val="auto"/>
                      <w:szCs w:val="21"/>
                    </w:rPr>
                    <w:t>④加强危废收集暂存、储运管理，加强日常检查，保证容器的完好程度，对生产过程洒落、滴漏的少量污染物应及时收集处理。</w:t>
                  </w:r>
                </w:p>
              </w:tc>
            </w:tr>
          </w:tbl>
          <w:p w14:paraId="7DB70DCD">
            <w:pPr>
              <w:adjustRightInd w:val="0"/>
              <w:snapToGrid w:val="0"/>
              <w:spacing w:line="360" w:lineRule="auto"/>
              <w:ind w:firstLine="480"/>
              <w:rPr>
                <w:b/>
                <w:color w:val="auto"/>
                <w:sz w:val="24"/>
              </w:rPr>
            </w:pPr>
            <w:r>
              <w:rPr>
                <w:color w:val="auto"/>
                <w:sz w:val="24"/>
                <w:lang w:val="zh-CN"/>
              </w:rPr>
              <w:t>综上所述，本项目风险处于完全可接受的水平，其风险管理措施有效、可靠，从防范风险角度分析是可行的</w:t>
            </w:r>
            <w:r>
              <w:rPr>
                <w:color w:val="auto"/>
                <w:sz w:val="24"/>
              </w:rPr>
              <w:t>。</w:t>
            </w:r>
          </w:p>
          <w:p w14:paraId="75720D93">
            <w:pPr>
              <w:pStyle w:val="89"/>
              <w:spacing w:line="360" w:lineRule="auto"/>
              <w:ind w:firstLine="482"/>
              <w:rPr>
                <w:b/>
                <w:bCs/>
                <w:color w:val="auto"/>
              </w:rPr>
            </w:pPr>
            <w:r>
              <w:rPr>
                <w:b/>
                <w:bCs/>
                <w:color w:val="auto"/>
              </w:rPr>
              <w:t>8</w:t>
            </w:r>
            <w:r>
              <w:rPr>
                <w:color w:val="auto"/>
              </w:rPr>
              <w:t>、</w:t>
            </w:r>
            <w:r>
              <w:rPr>
                <w:b/>
                <w:bCs/>
                <w:color w:val="auto"/>
              </w:rPr>
              <w:t>环境管理与监测计划</w:t>
            </w:r>
          </w:p>
          <w:p w14:paraId="54E2E4EB">
            <w:pPr>
              <w:pStyle w:val="89"/>
              <w:spacing w:line="360" w:lineRule="auto"/>
              <w:ind w:firstLine="480"/>
              <w:rPr>
                <w:color w:val="auto"/>
              </w:rPr>
            </w:pPr>
            <w:r>
              <w:rPr>
                <w:color w:val="auto"/>
              </w:rPr>
              <w:t>（1）环境管理</w:t>
            </w:r>
          </w:p>
          <w:p w14:paraId="6782297F">
            <w:pPr>
              <w:pStyle w:val="89"/>
              <w:spacing w:line="360" w:lineRule="auto"/>
              <w:ind w:firstLine="480"/>
              <w:rPr>
                <w:color w:val="auto"/>
              </w:rPr>
            </w:pPr>
            <w:r>
              <w:rPr>
                <w:color w:val="auto"/>
              </w:rPr>
              <w:t>①为了缓解建设项目生产运行期对环境构成的不良影响，在采取环保治理工程措施解决建设项目环境影响的同时，必须制定全面的企业环境管理计划，配备专职环保人员，负责环境监督管理工作，同时要加强对管理人员的环保培训，不断提高管理水平。</w:t>
            </w:r>
          </w:p>
          <w:p w14:paraId="51D93966">
            <w:pPr>
              <w:pStyle w:val="89"/>
              <w:spacing w:line="360" w:lineRule="auto"/>
              <w:ind w:firstLine="480"/>
              <w:rPr>
                <w:color w:val="auto"/>
              </w:rPr>
            </w:pPr>
            <w:r>
              <w:rPr>
                <w:color w:val="auto"/>
              </w:rPr>
              <w:t>②企业排污发生重大变化、污染治理设施改变或生产运行计划改变等都必须向当地环保部门申报，经审批同意后方可实施。</w:t>
            </w:r>
          </w:p>
          <w:p w14:paraId="33A57B21">
            <w:pPr>
              <w:pStyle w:val="89"/>
              <w:spacing w:line="360" w:lineRule="auto"/>
              <w:ind w:firstLine="480"/>
              <w:rPr>
                <w:color w:val="auto"/>
              </w:rPr>
            </w:pPr>
            <w:r>
              <w:rPr>
                <w:color w:val="auto"/>
              </w:rPr>
              <w:t>③对污染治理设施和管理必须与生产经营活动一起纳入企业的日常管理中，要建立岗位责任制，制定操作规程，建立</w:t>
            </w:r>
            <w:r>
              <w:rPr>
                <w:rFonts w:hint="eastAsia"/>
                <w:color w:val="auto"/>
              </w:rPr>
              <w:t>管理台账</w:t>
            </w:r>
            <w:r>
              <w:rPr>
                <w:color w:val="auto"/>
              </w:rPr>
              <w:t>，接受环保主管部门的检查监督，定期上报各项环境管理工作的执行情况。</w:t>
            </w:r>
          </w:p>
          <w:p w14:paraId="4896011E">
            <w:pPr>
              <w:pStyle w:val="89"/>
              <w:spacing w:line="360" w:lineRule="auto"/>
              <w:ind w:firstLine="480"/>
              <w:rPr>
                <w:color w:val="auto"/>
              </w:rPr>
            </w:pPr>
            <w:r>
              <w:rPr>
                <w:color w:val="auto"/>
              </w:rPr>
              <w:t>（2）监测计划</w:t>
            </w:r>
          </w:p>
          <w:p w14:paraId="49DB566C">
            <w:pPr>
              <w:pStyle w:val="89"/>
              <w:spacing w:line="360" w:lineRule="auto"/>
              <w:ind w:firstLine="480"/>
              <w:rPr>
                <w:color w:val="auto"/>
              </w:rPr>
            </w:pPr>
            <w:r>
              <w:rPr>
                <w:color w:val="auto"/>
              </w:rPr>
              <w:t>环境监测是环境管理的依据和基础，它为环境统计和环境定量评价提供科学依据，并据此制定污染防治对策和规划</w:t>
            </w:r>
            <w:r>
              <w:rPr>
                <w:rFonts w:hint="eastAsia"/>
                <w:color w:val="auto"/>
              </w:rPr>
              <w:t>，</w:t>
            </w:r>
            <w:r>
              <w:rPr>
                <w:color w:val="auto"/>
              </w:rPr>
              <w:t>建设单位现不具备单独进行环境监测的能力，委托有资质的环境监测机构进行监测工作。</w:t>
            </w:r>
          </w:p>
          <w:p w14:paraId="729AE353">
            <w:pPr>
              <w:adjustRightInd w:val="0"/>
              <w:snapToGrid w:val="0"/>
              <w:spacing w:line="360" w:lineRule="auto"/>
              <w:ind w:firstLine="482"/>
              <w:rPr>
                <w:b/>
                <w:color w:val="auto"/>
                <w:sz w:val="24"/>
              </w:rPr>
            </w:pPr>
            <w:r>
              <w:rPr>
                <w:b/>
                <w:color w:val="auto"/>
                <w:sz w:val="24"/>
              </w:rPr>
              <w:t>9、“三本账”核算</w:t>
            </w:r>
          </w:p>
          <w:p w14:paraId="2638E9D9">
            <w:pPr>
              <w:spacing w:line="360" w:lineRule="auto"/>
              <w:ind w:firstLine="480"/>
              <w:rPr>
                <w:rFonts w:hint="eastAsia"/>
                <w:color w:val="auto"/>
                <w:sz w:val="24"/>
              </w:rPr>
            </w:pPr>
            <w:r>
              <w:rPr>
                <w:rFonts w:hint="eastAsia"/>
                <w:color w:val="auto"/>
                <w:sz w:val="24"/>
              </w:rPr>
              <w:t>原</w:t>
            </w:r>
            <w:r>
              <w:rPr>
                <w:color w:val="auto"/>
                <w:sz w:val="24"/>
                <w:lang w:val="zh-CN"/>
              </w:rPr>
              <w:t>项目</w:t>
            </w:r>
            <w:r>
              <w:rPr>
                <w:rFonts w:hint="eastAsia"/>
                <w:color w:val="auto"/>
                <w:sz w:val="24"/>
              </w:rPr>
              <w:t>环评、验收阶段搅拌站未设置排气筒，颗粒物经搅拌站</w:t>
            </w:r>
            <w:r>
              <w:rPr>
                <w:rFonts w:hint="eastAsia"/>
                <w:color w:val="auto"/>
                <w:sz w:val="24"/>
                <w:lang w:val="en-US" w:eastAsia="zh-CN"/>
              </w:rPr>
              <w:t>设置的布袋除尘器</w:t>
            </w:r>
            <w:r>
              <w:rPr>
                <w:rFonts w:hint="eastAsia"/>
                <w:color w:val="auto"/>
                <w:sz w:val="24"/>
              </w:rPr>
              <w:t>处理后主要呈无组织排放，整改后原项目设置了布袋除尘器及排气筒，此次</w:t>
            </w:r>
            <w:r>
              <w:rPr>
                <w:rFonts w:hint="eastAsia"/>
                <w:color w:val="auto"/>
                <w:sz w:val="24"/>
                <w:lang w:val="en-US" w:eastAsia="zh-CN"/>
              </w:rPr>
              <w:t>根据原有（</w:t>
            </w:r>
            <w:r>
              <w:rPr>
                <w:rFonts w:hint="eastAsia" w:ascii="Times New Roman" w:hAnsi="Times New Roman" w:eastAsia="宋体" w:cs="Times New Roman"/>
                <w:color w:val="auto"/>
                <w:sz w:val="24"/>
                <w:lang w:val="en-US" w:eastAsia="zh-CN"/>
              </w:rPr>
              <w:t>25万吨/年的混凝土搅拌站</w:t>
            </w:r>
            <w:r>
              <w:rPr>
                <w:rFonts w:hint="eastAsia"/>
                <w:color w:val="auto"/>
                <w:sz w:val="24"/>
                <w:lang w:val="en-US" w:eastAsia="zh-CN"/>
              </w:rPr>
              <w:t>）现状</w:t>
            </w:r>
            <w:r>
              <w:rPr>
                <w:rFonts w:hint="eastAsia"/>
                <w:color w:val="auto"/>
                <w:sz w:val="24"/>
              </w:rPr>
              <w:t>检测结果核算颗粒物产生量及排放量（原项目不包含制砂车间，制砂车间为本次项目新增）；</w:t>
            </w:r>
            <w:r>
              <w:rPr>
                <w:rFonts w:hint="eastAsia"/>
                <w:color w:val="auto"/>
                <w:sz w:val="24"/>
                <w:lang w:val="en-US" w:eastAsia="zh-CN"/>
              </w:rPr>
              <w:t>原</w:t>
            </w:r>
            <w:r>
              <w:rPr>
                <w:rFonts w:hint="eastAsia"/>
                <w:color w:val="auto"/>
                <w:sz w:val="24"/>
              </w:rPr>
              <w:t>项目颗粒物产生量：</w:t>
            </w:r>
            <w:r>
              <w:rPr>
                <w:rFonts w:hint="eastAsia"/>
                <w:color w:val="auto"/>
                <w:sz w:val="24"/>
                <w:lang w:val="en-US" w:eastAsia="zh-CN"/>
              </w:rPr>
              <w:t>45.6</w:t>
            </w:r>
            <w:r>
              <w:rPr>
                <w:rFonts w:hint="eastAsia"/>
                <w:color w:val="auto"/>
                <w:sz w:val="24"/>
              </w:rPr>
              <w:t>t/a；</w:t>
            </w:r>
            <w:r>
              <w:rPr>
                <w:rFonts w:hint="eastAsia"/>
                <w:color w:val="auto"/>
                <w:sz w:val="24"/>
                <w:lang w:val="en-US" w:eastAsia="zh-CN"/>
              </w:rPr>
              <w:t>排放量：0.1368</w:t>
            </w:r>
            <w:r>
              <w:rPr>
                <w:rFonts w:hint="eastAsia"/>
                <w:color w:val="auto"/>
                <w:sz w:val="24"/>
              </w:rPr>
              <w:t>t/a；</w:t>
            </w:r>
            <w:r>
              <w:rPr>
                <w:rFonts w:hint="eastAsia"/>
                <w:color w:val="auto"/>
                <w:sz w:val="24"/>
                <w:lang w:val="en-US" w:eastAsia="zh-CN"/>
              </w:rPr>
              <w:t>原</w:t>
            </w:r>
            <w:r>
              <w:rPr>
                <w:rFonts w:hint="eastAsia"/>
                <w:color w:val="auto"/>
                <w:sz w:val="24"/>
              </w:rPr>
              <w:t>项目搅拌机投料产生的颗粒物经布袋除尘器处理后呈无组织排放，</w:t>
            </w:r>
            <w:r>
              <w:rPr>
                <w:color w:val="auto"/>
                <w:sz w:val="24"/>
              </w:rPr>
              <w:t>参照《排放源统计调查产排污核算方法和系数手册3021水泥制品制造（含3022砼结构构件制造、3029其他水泥类似制品制造）行业系数手册》</w:t>
            </w:r>
            <w:r>
              <w:rPr>
                <w:rFonts w:hint="eastAsia"/>
                <w:color w:val="auto"/>
                <w:sz w:val="24"/>
              </w:rPr>
              <w:t>“物料搅拌混合颗粒物：0.13kg/t-产品”，核算的原项目颗粒物产生量：</w:t>
            </w:r>
            <w:r>
              <w:rPr>
                <w:rFonts w:hint="eastAsia"/>
                <w:color w:val="auto"/>
                <w:sz w:val="24"/>
                <w:lang w:val="en-US" w:eastAsia="zh-CN"/>
              </w:rPr>
              <w:t>32.5</w:t>
            </w:r>
            <w:r>
              <w:rPr>
                <w:rFonts w:hint="eastAsia"/>
                <w:color w:val="auto"/>
                <w:sz w:val="24"/>
              </w:rPr>
              <w:t>t/a；排放量：0.</w:t>
            </w:r>
            <w:r>
              <w:rPr>
                <w:rFonts w:hint="eastAsia"/>
                <w:color w:val="auto"/>
                <w:sz w:val="24"/>
                <w:lang w:val="en-US" w:eastAsia="zh-CN"/>
              </w:rPr>
              <w:t>0975</w:t>
            </w:r>
            <w:r>
              <w:rPr>
                <w:rFonts w:hint="eastAsia"/>
                <w:color w:val="auto"/>
                <w:sz w:val="24"/>
              </w:rPr>
              <w:t>t/a</w:t>
            </w:r>
            <w:r>
              <w:rPr>
                <w:rFonts w:hint="eastAsia"/>
                <w:color w:val="auto"/>
                <w:sz w:val="24"/>
                <w:lang w:eastAsia="zh-CN"/>
              </w:rPr>
              <w:t>；</w:t>
            </w:r>
            <w:r>
              <w:rPr>
                <w:rFonts w:hint="eastAsia"/>
                <w:color w:val="auto"/>
                <w:sz w:val="24"/>
                <w:lang w:val="en-US" w:eastAsia="zh-CN"/>
              </w:rPr>
              <w:t>车辆运输粉尘参照扩建项目核算，经计算原项目的车辆运输粉尘排放量1.58825</w:t>
            </w:r>
            <w:r>
              <w:rPr>
                <w:rFonts w:hint="eastAsia"/>
                <w:color w:val="auto"/>
                <w:sz w:val="24"/>
              </w:rPr>
              <w:t>t/a</w:t>
            </w:r>
            <w:r>
              <w:rPr>
                <w:rFonts w:hint="eastAsia"/>
                <w:color w:val="auto"/>
                <w:sz w:val="24"/>
                <w:lang w:eastAsia="zh-CN"/>
              </w:rPr>
              <w:t>；</w:t>
            </w:r>
            <w:r>
              <w:rPr>
                <w:rFonts w:hint="eastAsia"/>
                <w:color w:val="auto"/>
                <w:sz w:val="24"/>
                <w:lang w:val="en-US" w:eastAsia="zh-CN"/>
              </w:rPr>
              <w:t>原项目颗粒物共计：产生量：78.1</w:t>
            </w:r>
            <w:r>
              <w:rPr>
                <w:rFonts w:hint="eastAsia"/>
                <w:color w:val="auto"/>
                <w:sz w:val="24"/>
              </w:rPr>
              <w:t>t/a；</w:t>
            </w:r>
            <w:r>
              <w:rPr>
                <w:rFonts w:hint="eastAsia"/>
                <w:color w:val="auto"/>
                <w:sz w:val="24"/>
                <w:lang w:val="en-US" w:eastAsia="zh-CN"/>
              </w:rPr>
              <w:t>排放量：1.82255</w:t>
            </w:r>
            <w:r>
              <w:rPr>
                <w:rFonts w:hint="eastAsia"/>
                <w:color w:val="auto"/>
                <w:sz w:val="24"/>
              </w:rPr>
              <w:t>t/a。</w:t>
            </w:r>
          </w:p>
          <w:p w14:paraId="5F5D322A">
            <w:pPr>
              <w:spacing w:line="360" w:lineRule="auto"/>
              <w:ind w:firstLine="480"/>
              <w:rPr>
                <w:color w:val="auto"/>
                <w:sz w:val="24"/>
              </w:rPr>
            </w:pPr>
            <w:r>
              <w:rPr>
                <w:color w:val="auto"/>
                <w:sz w:val="24"/>
              </w:rPr>
              <w:t>扩建</w:t>
            </w:r>
            <w:r>
              <w:rPr>
                <w:color w:val="auto"/>
                <w:sz w:val="24"/>
                <w:lang w:val="zh-CN"/>
              </w:rPr>
              <w:t>前后污染物排放变化情况详见表</w:t>
            </w:r>
            <w:r>
              <w:rPr>
                <w:color w:val="auto"/>
                <w:sz w:val="24"/>
              </w:rPr>
              <w:t>4-2</w:t>
            </w:r>
            <w:r>
              <w:rPr>
                <w:rFonts w:hint="eastAsia"/>
                <w:color w:val="auto"/>
                <w:sz w:val="24"/>
                <w:lang w:val="en-US" w:eastAsia="zh-CN"/>
              </w:rPr>
              <w:t>7</w:t>
            </w:r>
            <w:r>
              <w:rPr>
                <w:rFonts w:hint="eastAsia"/>
                <w:color w:val="auto"/>
                <w:sz w:val="24"/>
              </w:rPr>
              <w:t>；</w:t>
            </w:r>
          </w:p>
          <w:p w14:paraId="35AF4DCC">
            <w:pPr>
              <w:spacing w:line="400" w:lineRule="exact"/>
              <w:ind w:firstLine="422"/>
              <w:jc w:val="center"/>
              <w:rPr>
                <w:b/>
                <w:bCs/>
                <w:color w:val="auto"/>
                <w:szCs w:val="21"/>
                <w:lang w:val="zh-CN"/>
              </w:rPr>
            </w:pPr>
            <w:r>
              <w:rPr>
                <w:b/>
                <w:bCs/>
                <w:color w:val="auto"/>
                <w:szCs w:val="21"/>
                <w:lang w:val="zh-CN"/>
              </w:rPr>
              <w:t>表</w:t>
            </w:r>
            <w:r>
              <w:rPr>
                <w:b/>
                <w:bCs/>
                <w:color w:val="auto"/>
                <w:szCs w:val="21"/>
              </w:rPr>
              <w:t>4-2</w:t>
            </w:r>
            <w:r>
              <w:rPr>
                <w:rFonts w:hint="eastAsia"/>
                <w:b/>
                <w:bCs/>
                <w:color w:val="auto"/>
                <w:szCs w:val="21"/>
                <w:lang w:val="en-US" w:eastAsia="zh-CN"/>
              </w:rPr>
              <w:t>7</w:t>
            </w:r>
            <w:r>
              <w:rPr>
                <w:b/>
                <w:bCs/>
                <w:color w:val="auto"/>
                <w:szCs w:val="21"/>
              </w:rPr>
              <w:t xml:space="preserve">   </w:t>
            </w:r>
            <w:r>
              <w:rPr>
                <w:b/>
                <w:bCs/>
                <w:color w:val="auto"/>
                <w:szCs w:val="21"/>
                <w:lang w:val="zh-CN"/>
              </w:rPr>
              <w:t>项目</w:t>
            </w:r>
            <w:r>
              <w:rPr>
                <w:b/>
                <w:bCs/>
                <w:color w:val="auto"/>
                <w:szCs w:val="21"/>
              </w:rPr>
              <w:t>扩建</w:t>
            </w:r>
            <w:r>
              <w:rPr>
                <w:b/>
                <w:bCs/>
                <w:color w:val="auto"/>
                <w:szCs w:val="21"/>
                <w:lang w:val="zh-CN"/>
              </w:rPr>
              <w:t>前后污染物排放</w:t>
            </w:r>
            <w:r>
              <w:rPr>
                <w:rFonts w:hint="eastAsia"/>
                <w:b/>
                <w:bCs/>
                <w:color w:val="auto"/>
                <w:szCs w:val="21"/>
                <w:lang w:val="zh-CN"/>
              </w:rPr>
              <w:t>三本账</w:t>
            </w:r>
            <w:r>
              <w:rPr>
                <w:b/>
                <w:bCs/>
                <w:color w:val="auto"/>
                <w:szCs w:val="21"/>
                <w:lang w:val="zh-CN"/>
              </w:rPr>
              <w:t>一览表</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980"/>
              <w:gridCol w:w="945"/>
              <w:gridCol w:w="780"/>
              <w:gridCol w:w="975"/>
              <w:gridCol w:w="1004"/>
              <w:gridCol w:w="848"/>
              <w:gridCol w:w="937"/>
              <w:gridCol w:w="1006"/>
              <w:gridCol w:w="967"/>
            </w:tblGrid>
            <w:tr w14:paraId="3FB3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gridSpan w:val="2"/>
                  <w:vMerge w:val="restart"/>
                  <w:tcBorders>
                    <w:tl2br w:val="single" w:color="auto" w:sz="4" w:space="0"/>
                  </w:tcBorders>
                  <w:vAlign w:val="center"/>
                </w:tcPr>
                <w:p w14:paraId="6619A495">
                  <w:pPr>
                    <w:adjustRightInd w:val="0"/>
                    <w:snapToGrid w:val="0"/>
                    <w:ind w:firstLine="422"/>
                    <w:jc w:val="center"/>
                    <w:rPr>
                      <w:b/>
                      <w:bCs/>
                      <w:color w:val="auto"/>
                      <w:szCs w:val="21"/>
                    </w:rPr>
                  </w:pPr>
                  <w:r>
                    <w:rPr>
                      <w:b/>
                      <w:bCs/>
                      <w:color w:val="auto"/>
                      <w:szCs w:val="21"/>
                    </w:rPr>
                    <w:t>数量</w:t>
                  </w:r>
                </w:p>
                <w:p w14:paraId="0882390F">
                  <w:pPr>
                    <w:adjustRightInd w:val="0"/>
                    <w:snapToGrid w:val="0"/>
                    <w:ind w:firstLine="0" w:firstLineChars="0"/>
                    <w:rPr>
                      <w:b/>
                      <w:bCs/>
                      <w:color w:val="auto"/>
                      <w:szCs w:val="21"/>
                    </w:rPr>
                  </w:pPr>
                  <w:r>
                    <w:rPr>
                      <w:b/>
                      <w:bCs/>
                      <w:color w:val="auto"/>
                      <w:szCs w:val="21"/>
                    </w:rPr>
                    <w:t>指标</w:t>
                  </w:r>
                </w:p>
              </w:tc>
              <w:tc>
                <w:tcPr>
                  <w:tcW w:w="970" w:type="pct"/>
                  <w:gridSpan w:val="2"/>
                  <w:vAlign w:val="center"/>
                </w:tcPr>
                <w:p w14:paraId="13984BD2">
                  <w:pPr>
                    <w:adjustRightInd w:val="0"/>
                    <w:snapToGrid w:val="0"/>
                    <w:ind w:firstLine="0" w:firstLineChars="0"/>
                    <w:jc w:val="center"/>
                    <w:rPr>
                      <w:b/>
                      <w:bCs/>
                      <w:color w:val="auto"/>
                      <w:szCs w:val="21"/>
                    </w:rPr>
                  </w:pPr>
                  <w:r>
                    <w:rPr>
                      <w:b/>
                      <w:bCs/>
                      <w:color w:val="auto"/>
                      <w:szCs w:val="21"/>
                    </w:rPr>
                    <w:t>现有工程</w:t>
                  </w:r>
                </w:p>
              </w:tc>
              <w:tc>
                <w:tcPr>
                  <w:tcW w:w="1590" w:type="pct"/>
                  <w:gridSpan w:val="3"/>
                  <w:vAlign w:val="center"/>
                </w:tcPr>
                <w:p w14:paraId="0385C32B">
                  <w:pPr>
                    <w:adjustRightInd w:val="0"/>
                    <w:snapToGrid w:val="0"/>
                    <w:ind w:firstLine="0" w:firstLineChars="0"/>
                    <w:jc w:val="center"/>
                    <w:rPr>
                      <w:b/>
                      <w:bCs/>
                      <w:color w:val="auto"/>
                      <w:szCs w:val="21"/>
                    </w:rPr>
                  </w:pPr>
                  <w:r>
                    <w:rPr>
                      <w:b/>
                      <w:bCs/>
                      <w:color w:val="auto"/>
                      <w:szCs w:val="21"/>
                    </w:rPr>
                    <w:t>扩建工程</w:t>
                  </w:r>
                </w:p>
              </w:tc>
              <w:tc>
                <w:tcPr>
                  <w:tcW w:w="1637" w:type="pct"/>
                  <w:gridSpan w:val="3"/>
                  <w:vAlign w:val="center"/>
                </w:tcPr>
                <w:p w14:paraId="6BF8483D">
                  <w:pPr>
                    <w:adjustRightInd w:val="0"/>
                    <w:snapToGrid w:val="0"/>
                    <w:ind w:firstLine="0" w:firstLineChars="0"/>
                    <w:jc w:val="center"/>
                    <w:rPr>
                      <w:b/>
                      <w:bCs/>
                      <w:color w:val="auto"/>
                      <w:szCs w:val="21"/>
                    </w:rPr>
                  </w:pPr>
                  <w:r>
                    <w:rPr>
                      <w:b/>
                      <w:bCs/>
                      <w:color w:val="auto"/>
                      <w:szCs w:val="21"/>
                    </w:rPr>
                    <w:t>总体工程</w:t>
                  </w:r>
                </w:p>
              </w:tc>
            </w:tr>
            <w:tr w14:paraId="1C82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gridSpan w:val="2"/>
                  <w:vMerge w:val="continue"/>
                  <w:vAlign w:val="center"/>
                </w:tcPr>
                <w:p w14:paraId="2CE1173E">
                  <w:pPr>
                    <w:adjustRightInd w:val="0"/>
                    <w:snapToGrid w:val="0"/>
                    <w:ind w:firstLine="0" w:firstLineChars="0"/>
                    <w:jc w:val="center"/>
                    <w:rPr>
                      <w:b/>
                      <w:bCs/>
                      <w:color w:val="auto"/>
                      <w:szCs w:val="21"/>
                    </w:rPr>
                  </w:pPr>
                </w:p>
              </w:tc>
              <w:tc>
                <w:tcPr>
                  <w:tcW w:w="531" w:type="pct"/>
                  <w:vAlign w:val="center"/>
                </w:tcPr>
                <w:p w14:paraId="60014869">
                  <w:pPr>
                    <w:adjustRightInd w:val="0"/>
                    <w:snapToGrid w:val="0"/>
                    <w:ind w:firstLine="0" w:firstLineChars="0"/>
                    <w:jc w:val="center"/>
                    <w:rPr>
                      <w:b/>
                      <w:bCs/>
                      <w:color w:val="auto"/>
                      <w:szCs w:val="21"/>
                    </w:rPr>
                  </w:pPr>
                  <w:r>
                    <w:rPr>
                      <w:b/>
                      <w:bCs/>
                      <w:color w:val="auto"/>
                      <w:szCs w:val="21"/>
                    </w:rPr>
                    <w:t>产生量（t/a）</w:t>
                  </w:r>
                </w:p>
              </w:tc>
              <w:tc>
                <w:tcPr>
                  <w:tcW w:w="438" w:type="pct"/>
                  <w:vAlign w:val="center"/>
                </w:tcPr>
                <w:p w14:paraId="72AD7CCC">
                  <w:pPr>
                    <w:adjustRightInd w:val="0"/>
                    <w:snapToGrid w:val="0"/>
                    <w:ind w:firstLine="0" w:firstLineChars="0"/>
                    <w:jc w:val="center"/>
                    <w:rPr>
                      <w:b/>
                      <w:bCs/>
                      <w:color w:val="auto"/>
                      <w:szCs w:val="21"/>
                    </w:rPr>
                  </w:pPr>
                  <w:r>
                    <w:rPr>
                      <w:b/>
                      <w:bCs/>
                      <w:color w:val="auto"/>
                      <w:szCs w:val="21"/>
                    </w:rPr>
                    <w:t>排放量（t/a）</w:t>
                  </w:r>
                </w:p>
              </w:tc>
              <w:tc>
                <w:tcPr>
                  <w:tcW w:w="548" w:type="pct"/>
                  <w:vAlign w:val="center"/>
                </w:tcPr>
                <w:p w14:paraId="6B87317A">
                  <w:pPr>
                    <w:adjustRightInd w:val="0"/>
                    <w:snapToGrid w:val="0"/>
                    <w:ind w:firstLine="0" w:firstLineChars="0"/>
                    <w:jc w:val="center"/>
                    <w:rPr>
                      <w:b/>
                      <w:bCs/>
                      <w:color w:val="auto"/>
                      <w:szCs w:val="21"/>
                    </w:rPr>
                  </w:pPr>
                  <w:r>
                    <w:rPr>
                      <w:b/>
                      <w:bCs/>
                      <w:color w:val="auto"/>
                      <w:szCs w:val="21"/>
                    </w:rPr>
                    <w:t>产生量（t/a）</w:t>
                  </w:r>
                </w:p>
              </w:tc>
              <w:tc>
                <w:tcPr>
                  <w:tcW w:w="564" w:type="pct"/>
                  <w:vAlign w:val="center"/>
                </w:tcPr>
                <w:p w14:paraId="47BD0AEB">
                  <w:pPr>
                    <w:adjustRightInd w:val="0"/>
                    <w:snapToGrid w:val="0"/>
                    <w:ind w:firstLine="0" w:firstLineChars="0"/>
                    <w:jc w:val="center"/>
                    <w:rPr>
                      <w:b/>
                      <w:bCs/>
                      <w:color w:val="auto"/>
                      <w:szCs w:val="21"/>
                    </w:rPr>
                  </w:pPr>
                  <w:r>
                    <w:rPr>
                      <w:b/>
                      <w:bCs/>
                      <w:color w:val="auto"/>
                      <w:szCs w:val="21"/>
                    </w:rPr>
                    <w:t>自身削减量（t/a）</w:t>
                  </w:r>
                </w:p>
              </w:tc>
              <w:tc>
                <w:tcPr>
                  <w:tcW w:w="477" w:type="pct"/>
                  <w:vAlign w:val="center"/>
                </w:tcPr>
                <w:p w14:paraId="24B871B7">
                  <w:pPr>
                    <w:adjustRightInd w:val="0"/>
                    <w:snapToGrid w:val="0"/>
                    <w:ind w:firstLine="0" w:firstLineChars="0"/>
                    <w:jc w:val="center"/>
                    <w:rPr>
                      <w:b/>
                      <w:bCs/>
                      <w:color w:val="auto"/>
                      <w:szCs w:val="21"/>
                    </w:rPr>
                  </w:pPr>
                  <w:r>
                    <w:rPr>
                      <w:b/>
                      <w:bCs/>
                      <w:color w:val="auto"/>
                      <w:szCs w:val="21"/>
                    </w:rPr>
                    <w:t>排放量（t/a）</w:t>
                  </w:r>
                </w:p>
              </w:tc>
              <w:tc>
                <w:tcPr>
                  <w:tcW w:w="527" w:type="pct"/>
                  <w:vAlign w:val="center"/>
                </w:tcPr>
                <w:p w14:paraId="0D249301">
                  <w:pPr>
                    <w:adjustRightInd w:val="0"/>
                    <w:snapToGrid w:val="0"/>
                    <w:ind w:firstLine="0" w:firstLineChars="0"/>
                    <w:jc w:val="center"/>
                    <w:rPr>
                      <w:b/>
                      <w:bCs/>
                      <w:color w:val="auto"/>
                      <w:szCs w:val="21"/>
                    </w:rPr>
                  </w:pPr>
                  <w:r>
                    <w:rPr>
                      <w:b/>
                      <w:bCs/>
                      <w:color w:val="auto"/>
                      <w:szCs w:val="21"/>
                    </w:rPr>
                    <w:t>排放量（t/a）</w:t>
                  </w:r>
                </w:p>
              </w:tc>
              <w:tc>
                <w:tcPr>
                  <w:tcW w:w="566" w:type="pct"/>
                  <w:vAlign w:val="center"/>
                </w:tcPr>
                <w:p w14:paraId="5ADAB068">
                  <w:pPr>
                    <w:adjustRightInd w:val="0"/>
                    <w:snapToGrid w:val="0"/>
                    <w:ind w:firstLine="0" w:firstLineChars="0"/>
                    <w:jc w:val="center"/>
                    <w:rPr>
                      <w:b/>
                      <w:bCs/>
                      <w:color w:val="auto"/>
                      <w:szCs w:val="21"/>
                    </w:rPr>
                  </w:pPr>
                  <w:r>
                    <w:rPr>
                      <w:b/>
                      <w:bCs/>
                      <w:color w:val="auto"/>
                      <w:szCs w:val="21"/>
                    </w:rPr>
                    <w:t>“以新带老”消减量（t/a）</w:t>
                  </w:r>
                </w:p>
              </w:tc>
              <w:tc>
                <w:tcPr>
                  <w:tcW w:w="544" w:type="pct"/>
                  <w:vAlign w:val="center"/>
                </w:tcPr>
                <w:p w14:paraId="5841AD5E">
                  <w:pPr>
                    <w:adjustRightInd w:val="0"/>
                    <w:snapToGrid w:val="0"/>
                    <w:ind w:firstLine="0" w:firstLineChars="0"/>
                    <w:jc w:val="center"/>
                    <w:rPr>
                      <w:b/>
                      <w:bCs/>
                      <w:color w:val="auto"/>
                      <w:szCs w:val="21"/>
                    </w:rPr>
                  </w:pPr>
                  <w:r>
                    <w:rPr>
                      <w:b/>
                      <w:bCs/>
                      <w:color w:val="auto"/>
                      <w:szCs w:val="21"/>
                    </w:rPr>
                    <w:t>排放增减量（t/a）</w:t>
                  </w:r>
                </w:p>
              </w:tc>
            </w:tr>
            <w:tr w14:paraId="6EAD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5825E910">
                  <w:pPr>
                    <w:adjustRightInd w:val="0"/>
                    <w:snapToGrid w:val="0"/>
                    <w:ind w:firstLine="0" w:firstLineChars="0"/>
                    <w:jc w:val="center"/>
                    <w:rPr>
                      <w:color w:val="auto"/>
                      <w:szCs w:val="21"/>
                    </w:rPr>
                  </w:pPr>
                  <w:r>
                    <w:rPr>
                      <w:color w:val="auto"/>
                      <w:szCs w:val="21"/>
                    </w:rPr>
                    <w:t>废气</w:t>
                  </w:r>
                </w:p>
              </w:tc>
              <w:tc>
                <w:tcPr>
                  <w:tcW w:w="551" w:type="pct"/>
                  <w:vAlign w:val="center"/>
                </w:tcPr>
                <w:p w14:paraId="12792C8D">
                  <w:pPr>
                    <w:ind w:firstLine="0" w:firstLineChars="0"/>
                    <w:jc w:val="center"/>
                    <w:rPr>
                      <w:color w:val="auto"/>
                      <w:szCs w:val="21"/>
                    </w:rPr>
                  </w:pPr>
                  <w:r>
                    <w:rPr>
                      <w:color w:val="auto"/>
                      <w:szCs w:val="21"/>
                    </w:rPr>
                    <w:t>颗粒物</w:t>
                  </w:r>
                </w:p>
              </w:tc>
              <w:tc>
                <w:tcPr>
                  <w:tcW w:w="531" w:type="pct"/>
                  <w:vAlign w:val="center"/>
                </w:tcPr>
                <w:p w14:paraId="6F731E99">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78.1</w:t>
                  </w:r>
                </w:p>
              </w:tc>
              <w:tc>
                <w:tcPr>
                  <w:tcW w:w="438" w:type="pct"/>
                  <w:vAlign w:val="center"/>
                </w:tcPr>
                <w:p w14:paraId="7752DBF2">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1.82255</w:t>
                  </w:r>
                </w:p>
              </w:tc>
              <w:tc>
                <w:tcPr>
                  <w:tcW w:w="548" w:type="pct"/>
                  <w:vAlign w:val="center"/>
                </w:tcPr>
                <w:p w14:paraId="0F870ACE">
                  <w:pPr>
                    <w:adjustRightInd w:val="0"/>
                    <w:snapToGrid w:val="0"/>
                    <w:ind w:firstLine="0" w:firstLineChars="0"/>
                    <w:jc w:val="center"/>
                    <w:rPr>
                      <w:rFonts w:hint="default"/>
                      <w:color w:val="auto"/>
                      <w:szCs w:val="21"/>
                      <w:lang w:val="en-US" w:eastAsia="zh-CN"/>
                    </w:rPr>
                  </w:pPr>
                  <w:r>
                    <w:rPr>
                      <w:rFonts w:hint="eastAsia"/>
                      <w:color w:val="auto"/>
                      <w:szCs w:val="21"/>
                      <w:lang w:val="en-US" w:eastAsia="zh-CN"/>
                    </w:rPr>
                    <w:t>44.4969</w:t>
                  </w:r>
                </w:p>
              </w:tc>
              <w:tc>
                <w:tcPr>
                  <w:tcW w:w="564" w:type="pct"/>
                  <w:shd w:val="clear" w:color="auto" w:fill="auto"/>
                  <w:vAlign w:val="center"/>
                </w:tcPr>
                <w:p w14:paraId="1D53A115">
                  <w:pPr>
                    <w:widowControl/>
                    <w:ind w:firstLine="0" w:firstLineChars="0"/>
                    <w:jc w:val="center"/>
                    <w:textAlignment w:val="center"/>
                    <w:rPr>
                      <w:rFonts w:hint="default" w:eastAsia="宋体"/>
                      <w:color w:val="auto"/>
                      <w:szCs w:val="21"/>
                      <w:lang w:val="en-US" w:eastAsia="zh-CN"/>
                    </w:rPr>
                  </w:pPr>
                  <w:r>
                    <w:rPr>
                      <w:rFonts w:hint="eastAsia"/>
                      <w:color w:val="auto"/>
                      <w:kern w:val="0"/>
                      <w:szCs w:val="21"/>
                      <w:lang w:val="en-US" w:eastAsia="zh-CN" w:bidi="ar"/>
                    </w:rPr>
                    <w:t>41.9328</w:t>
                  </w:r>
                </w:p>
              </w:tc>
              <w:tc>
                <w:tcPr>
                  <w:tcW w:w="477" w:type="pct"/>
                  <w:vAlign w:val="center"/>
                </w:tcPr>
                <w:p w14:paraId="5C849F78">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2.5641</w:t>
                  </w:r>
                </w:p>
              </w:tc>
              <w:tc>
                <w:tcPr>
                  <w:tcW w:w="527" w:type="pct"/>
                  <w:vAlign w:val="center"/>
                </w:tcPr>
                <w:p w14:paraId="57037CAC">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4.38665</w:t>
                  </w:r>
                </w:p>
              </w:tc>
              <w:tc>
                <w:tcPr>
                  <w:tcW w:w="566" w:type="pct"/>
                  <w:vAlign w:val="center"/>
                </w:tcPr>
                <w:p w14:paraId="113A83ED">
                  <w:pPr>
                    <w:adjustRightInd w:val="0"/>
                    <w:snapToGrid w:val="0"/>
                    <w:ind w:firstLine="0" w:firstLineChars="0"/>
                    <w:jc w:val="center"/>
                    <w:rPr>
                      <w:color w:val="auto"/>
                      <w:szCs w:val="21"/>
                    </w:rPr>
                  </w:pPr>
                  <w:r>
                    <w:rPr>
                      <w:color w:val="auto"/>
                      <w:szCs w:val="21"/>
                    </w:rPr>
                    <w:t>0</w:t>
                  </w:r>
                </w:p>
              </w:tc>
              <w:tc>
                <w:tcPr>
                  <w:tcW w:w="544" w:type="pct"/>
                  <w:shd w:val="clear" w:color="auto" w:fill="auto"/>
                  <w:vAlign w:val="center"/>
                </w:tcPr>
                <w:p w14:paraId="26148E81">
                  <w:pPr>
                    <w:widowControl/>
                    <w:ind w:firstLine="0" w:firstLineChars="0"/>
                    <w:jc w:val="left"/>
                    <w:textAlignment w:val="center"/>
                    <w:rPr>
                      <w:rFonts w:hint="default" w:eastAsia="宋体"/>
                      <w:color w:val="auto"/>
                      <w:szCs w:val="21"/>
                      <w:lang w:val="en-US" w:eastAsia="zh-CN"/>
                    </w:rPr>
                  </w:pPr>
                  <w:r>
                    <w:rPr>
                      <w:rFonts w:hint="eastAsia"/>
                      <w:color w:val="auto"/>
                      <w:kern w:val="0"/>
                      <w:szCs w:val="21"/>
                      <w:lang w:bidi="ar"/>
                    </w:rPr>
                    <w:t>+</w:t>
                  </w:r>
                  <w:r>
                    <w:rPr>
                      <w:rFonts w:hint="eastAsia"/>
                      <w:color w:val="auto"/>
                      <w:szCs w:val="21"/>
                      <w:lang w:val="en-US" w:eastAsia="zh-CN"/>
                    </w:rPr>
                    <w:t>2.5641</w:t>
                  </w:r>
                </w:p>
              </w:tc>
            </w:tr>
            <w:tr w14:paraId="3892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restart"/>
                  <w:vAlign w:val="center"/>
                </w:tcPr>
                <w:p w14:paraId="431CB553">
                  <w:pPr>
                    <w:adjustRightInd w:val="0"/>
                    <w:snapToGrid w:val="0"/>
                    <w:ind w:firstLine="0" w:firstLineChars="0"/>
                    <w:jc w:val="center"/>
                    <w:rPr>
                      <w:color w:val="auto"/>
                      <w:szCs w:val="21"/>
                    </w:rPr>
                  </w:pPr>
                  <w:r>
                    <w:rPr>
                      <w:color w:val="auto"/>
                      <w:szCs w:val="21"/>
                    </w:rPr>
                    <w:t>废水</w:t>
                  </w:r>
                </w:p>
              </w:tc>
              <w:tc>
                <w:tcPr>
                  <w:tcW w:w="551" w:type="pct"/>
                  <w:vAlign w:val="center"/>
                </w:tcPr>
                <w:p w14:paraId="092DE31A">
                  <w:pPr>
                    <w:ind w:firstLine="0" w:firstLineChars="0"/>
                    <w:rPr>
                      <w:color w:val="auto"/>
                      <w:szCs w:val="21"/>
                    </w:rPr>
                  </w:pPr>
                  <w:r>
                    <w:rPr>
                      <w:color w:val="auto"/>
                      <w:szCs w:val="21"/>
                    </w:rPr>
                    <w:t>职工生活</w:t>
                  </w:r>
                  <w:r>
                    <w:rPr>
                      <w:rFonts w:hint="eastAsia"/>
                      <w:color w:val="auto"/>
                      <w:szCs w:val="21"/>
                    </w:rPr>
                    <w:t>污水</w:t>
                  </w:r>
                </w:p>
              </w:tc>
              <w:tc>
                <w:tcPr>
                  <w:tcW w:w="531" w:type="pct"/>
                  <w:vAlign w:val="center"/>
                </w:tcPr>
                <w:p w14:paraId="3119277B">
                  <w:pPr>
                    <w:adjustRightInd w:val="0"/>
                    <w:snapToGrid w:val="0"/>
                    <w:ind w:firstLine="0" w:firstLineChars="0"/>
                    <w:jc w:val="center"/>
                    <w:rPr>
                      <w:color w:val="auto"/>
                      <w:szCs w:val="21"/>
                    </w:rPr>
                  </w:pPr>
                  <w:r>
                    <w:rPr>
                      <w:rFonts w:hint="eastAsia"/>
                      <w:color w:val="auto"/>
                    </w:rPr>
                    <w:t>540</w:t>
                  </w:r>
                </w:p>
              </w:tc>
              <w:tc>
                <w:tcPr>
                  <w:tcW w:w="438" w:type="pct"/>
                  <w:vAlign w:val="center"/>
                </w:tcPr>
                <w:p w14:paraId="31A15E41">
                  <w:pPr>
                    <w:adjustRightInd w:val="0"/>
                    <w:snapToGrid w:val="0"/>
                    <w:ind w:firstLine="0" w:firstLineChars="0"/>
                    <w:jc w:val="center"/>
                    <w:rPr>
                      <w:color w:val="auto"/>
                      <w:szCs w:val="21"/>
                    </w:rPr>
                  </w:pPr>
                  <w:r>
                    <w:rPr>
                      <w:color w:val="auto"/>
                      <w:szCs w:val="21"/>
                    </w:rPr>
                    <w:t>0</w:t>
                  </w:r>
                </w:p>
              </w:tc>
              <w:tc>
                <w:tcPr>
                  <w:tcW w:w="548" w:type="pct"/>
                  <w:vAlign w:val="center"/>
                </w:tcPr>
                <w:p w14:paraId="368FF7F5">
                  <w:pPr>
                    <w:ind w:firstLine="0" w:firstLineChars="0"/>
                    <w:jc w:val="center"/>
                    <w:rPr>
                      <w:color w:val="auto"/>
                      <w:szCs w:val="21"/>
                    </w:rPr>
                  </w:pPr>
                  <w:r>
                    <w:rPr>
                      <w:rFonts w:hint="eastAsia"/>
                      <w:color w:val="auto"/>
                    </w:rPr>
                    <w:t>0</w:t>
                  </w:r>
                </w:p>
              </w:tc>
              <w:tc>
                <w:tcPr>
                  <w:tcW w:w="564" w:type="pct"/>
                  <w:vAlign w:val="center"/>
                </w:tcPr>
                <w:p w14:paraId="48E645B4">
                  <w:pPr>
                    <w:widowControl/>
                    <w:ind w:firstLine="0" w:firstLineChars="0"/>
                    <w:jc w:val="center"/>
                    <w:textAlignment w:val="center"/>
                    <w:rPr>
                      <w:color w:val="auto"/>
                      <w:kern w:val="0"/>
                      <w:szCs w:val="21"/>
                      <w:lang w:bidi="ar"/>
                    </w:rPr>
                  </w:pPr>
                  <w:r>
                    <w:rPr>
                      <w:rFonts w:hint="eastAsia"/>
                      <w:color w:val="auto"/>
                      <w:kern w:val="0"/>
                      <w:szCs w:val="21"/>
                      <w:lang w:bidi="ar"/>
                    </w:rPr>
                    <w:t>0</w:t>
                  </w:r>
                </w:p>
              </w:tc>
              <w:tc>
                <w:tcPr>
                  <w:tcW w:w="477" w:type="pct"/>
                  <w:vAlign w:val="center"/>
                </w:tcPr>
                <w:p w14:paraId="1AED5235">
                  <w:pPr>
                    <w:adjustRightInd w:val="0"/>
                    <w:snapToGrid w:val="0"/>
                    <w:ind w:firstLine="0" w:firstLineChars="0"/>
                    <w:jc w:val="center"/>
                    <w:rPr>
                      <w:color w:val="auto"/>
                      <w:szCs w:val="21"/>
                    </w:rPr>
                  </w:pPr>
                  <w:r>
                    <w:rPr>
                      <w:color w:val="auto"/>
                      <w:szCs w:val="21"/>
                    </w:rPr>
                    <w:t>0</w:t>
                  </w:r>
                </w:p>
              </w:tc>
              <w:tc>
                <w:tcPr>
                  <w:tcW w:w="527" w:type="pct"/>
                  <w:vAlign w:val="center"/>
                </w:tcPr>
                <w:p w14:paraId="328D292F">
                  <w:pPr>
                    <w:widowControl/>
                    <w:ind w:firstLine="0" w:firstLineChars="0"/>
                    <w:jc w:val="center"/>
                    <w:textAlignment w:val="center"/>
                    <w:rPr>
                      <w:color w:val="auto"/>
                      <w:szCs w:val="21"/>
                    </w:rPr>
                  </w:pPr>
                  <w:r>
                    <w:rPr>
                      <w:color w:val="auto"/>
                      <w:szCs w:val="21"/>
                    </w:rPr>
                    <w:t>0</w:t>
                  </w:r>
                </w:p>
              </w:tc>
              <w:tc>
                <w:tcPr>
                  <w:tcW w:w="566" w:type="pct"/>
                  <w:vAlign w:val="center"/>
                </w:tcPr>
                <w:p w14:paraId="7E1B21C7">
                  <w:pPr>
                    <w:adjustRightInd w:val="0"/>
                    <w:snapToGrid w:val="0"/>
                    <w:ind w:firstLine="0" w:firstLineChars="0"/>
                    <w:jc w:val="center"/>
                    <w:rPr>
                      <w:color w:val="auto"/>
                      <w:szCs w:val="21"/>
                    </w:rPr>
                  </w:pPr>
                  <w:r>
                    <w:rPr>
                      <w:color w:val="auto"/>
                      <w:szCs w:val="21"/>
                    </w:rPr>
                    <w:t>0</w:t>
                  </w:r>
                </w:p>
              </w:tc>
              <w:tc>
                <w:tcPr>
                  <w:tcW w:w="544" w:type="pct"/>
                  <w:vAlign w:val="center"/>
                </w:tcPr>
                <w:p w14:paraId="03A50D6A">
                  <w:pPr>
                    <w:adjustRightInd w:val="0"/>
                    <w:snapToGrid w:val="0"/>
                    <w:ind w:firstLine="0" w:firstLineChars="0"/>
                    <w:jc w:val="center"/>
                    <w:rPr>
                      <w:color w:val="auto"/>
                      <w:szCs w:val="21"/>
                    </w:rPr>
                  </w:pPr>
                  <w:r>
                    <w:rPr>
                      <w:color w:val="auto"/>
                      <w:szCs w:val="21"/>
                    </w:rPr>
                    <w:t>0</w:t>
                  </w:r>
                </w:p>
              </w:tc>
            </w:tr>
            <w:tr w14:paraId="7871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vAlign w:val="center"/>
                </w:tcPr>
                <w:p w14:paraId="651314A0">
                  <w:pPr>
                    <w:adjustRightInd w:val="0"/>
                    <w:snapToGrid w:val="0"/>
                    <w:ind w:firstLine="0" w:firstLineChars="0"/>
                    <w:jc w:val="center"/>
                    <w:rPr>
                      <w:color w:val="auto"/>
                      <w:szCs w:val="21"/>
                    </w:rPr>
                  </w:pPr>
                </w:p>
              </w:tc>
              <w:tc>
                <w:tcPr>
                  <w:tcW w:w="551" w:type="pct"/>
                  <w:vAlign w:val="center"/>
                </w:tcPr>
                <w:p w14:paraId="58E60CDF">
                  <w:pPr>
                    <w:ind w:firstLine="0" w:firstLineChars="0"/>
                    <w:rPr>
                      <w:color w:val="auto"/>
                      <w:szCs w:val="21"/>
                    </w:rPr>
                  </w:pPr>
                  <w:r>
                    <w:rPr>
                      <w:color w:val="auto"/>
                      <w:szCs w:val="21"/>
                    </w:rPr>
                    <w:t>生产废水</w:t>
                  </w:r>
                </w:p>
              </w:tc>
              <w:tc>
                <w:tcPr>
                  <w:tcW w:w="531" w:type="pct"/>
                  <w:shd w:val="clear" w:color="auto" w:fill="auto"/>
                  <w:vAlign w:val="center"/>
                </w:tcPr>
                <w:p w14:paraId="11B8F9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3192</w:t>
                  </w:r>
                </w:p>
              </w:tc>
              <w:tc>
                <w:tcPr>
                  <w:tcW w:w="438" w:type="pct"/>
                  <w:vAlign w:val="center"/>
                </w:tcPr>
                <w:p w14:paraId="53E1508A">
                  <w:pPr>
                    <w:adjustRightInd w:val="0"/>
                    <w:snapToGrid w:val="0"/>
                    <w:ind w:firstLine="0" w:firstLineChars="0"/>
                    <w:jc w:val="center"/>
                    <w:rPr>
                      <w:color w:val="auto"/>
                      <w:szCs w:val="21"/>
                    </w:rPr>
                  </w:pPr>
                  <w:r>
                    <w:rPr>
                      <w:color w:val="auto"/>
                      <w:szCs w:val="21"/>
                    </w:rPr>
                    <w:t>0</w:t>
                  </w:r>
                </w:p>
              </w:tc>
              <w:tc>
                <w:tcPr>
                  <w:tcW w:w="548" w:type="pct"/>
                  <w:vAlign w:val="center"/>
                </w:tcPr>
                <w:p w14:paraId="5679AE1A">
                  <w:pPr>
                    <w:ind w:firstLine="0" w:firstLineChars="0"/>
                    <w:jc w:val="center"/>
                    <w:rPr>
                      <w:rFonts w:hint="default" w:eastAsia="宋体"/>
                      <w:color w:val="auto"/>
                      <w:szCs w:val="21"/>
                      <w:lang w:val="en-US" w:eastAsia="zh-CN"/>
                    </w:rPr>
                  </w:pPr>
                  <w:r>
                    <w:rPr>
                      <w:rFonts w:hint="eastAsia"/>
                      <w:color w:val="auto"/>
                      <w:lang w:val="en-US" w:eastAsia="zh-CN"/>
                    </w:rPr>
                    <w:t>1200</w:t>
                  </w:r>
                </w:p>
              </w:tc>
              <w:tc>
                <w:tcPr>
                  <w:tcW w:w="564" w:type="pct"/>
                  <w:vAlign w:val="center"/>
                </w:tcPr>
                <w:p w14:paraId="4794F29B">
                  <w:pPr>
                    <w:widowControl/>
                    <w:ind w:firstLine="0" w:firstLineChars="0"/>
                    <w:jc w:val="center"/>
                    <w:textAlignment w:val="center"/>
                    <w:rPr>
                      <w:rFonts w:hint="default"/>
                      <w:color w:val="auto"/>
                      <w:szCs w:val="21"/>
                      <w:lang w:val="en-US"/>
                    </w:rPr>
                  </w:pPr>
                  <w:r>
                    <w:rPr>
                      <w:rFonts w:hint="eastAsia"/>
                      <w:color w:val="auto"/>
                      <w:lang w:val="en-US" w:eastAsia="zh-CN"/>
                    </w:rPr>
                    <w:t>1200</w:t>
                  </w:r>
                </w:p>
              </w:tc>
              <w:tc>
                <w:tcPr>
                  <w:tcW w:w="477" w:type="pct"/>
                  <w:vAlign w:val="center"/>
                </w:tcPr>
                <w:p w14:paraId="73429EC7">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0</w:t>
                  </w:r>
                </w:p>
              </w:tc>
              <w:tc>
                <w:tcPr>
                  <w:tcW w:w="527" w:type="pct"/>
                  <w:vAlign w:val="center"/>
                </w:tcPr>
                <w:p w14:paraId="72C1ACE5">
                  <w:pPr>
                    <w:widowControl/>
                    <w:ind w:firstLine="0" w:firstLineChars="0"/>
                    <w:jc w:val="center"/>
                    <w:textAlignment w:val="center"/>
                    <w:rPr>
                      <w:color w:val="auto"/>
                      <w:szCs w:val="21"/>
                    </w:rPr>
                  </w:pPr>
                  <w:r>
                    <w:rPr>
                      <w:color w:val="auto"/>
                      <w:szCs w:val="21"/>
                    </w:rPr>
                    <w:t>0</w:t>
                  </w:r>
                </w:p>
              </w:tc>
              <w:tc>
                <w:tcPr>
                  <w:tcW w:w="566" w:type="pct"/>
                  <w:vAlign w:val="center"/>
                </w:tcPr>
                <w:p w14:paraId="3B656FB8">
                  <w:pPr>
                    <w:adjustRightInd w:val="0"/>
                    <w:snapToGrid w:val="0"/>
                    <w:ind w:firstLine="0" w:firstLineChars="0"/>
                    <w:jc w:val="center"/>
                    <w:rPr>
                      <w:color w:val="auto"/>
                      <w:szCs w:val="21"/>
                    </w:rPr>
                  </w:pPr>
                  <w:r>
                    <w:rPr>
                      <w:color w:val="auto"/>
                      <w:szCs w:val="21"/>
                    </w:rPr>
                    <w:t>0</w:t>
                  </w:r>
                </w:p>
              </w:tc>
              <w:tc>
                <w:tcPr>
                  <w:tcW w:w="544" w:type="pct"/>
                  <w:vAlign w:val="center"/>
                </w:tcPr>
                <w:p w14:paraId="311FBD87">
                  <w:pPr>
                    <w:adjustRightInd w:val="0"/>
                    <w:snapToGrid w:val="0"/>
                    <w:ind w:firstLine="0" w:firstLineChars="0"/>
                    <w:jc w:val="center"/>
                    <w:rPr>
                      <w:color w:val="auto"/>
                      <w:szCs w:val="21"/>
                    </w:rPr>
                  </w:pPr>
                  <w:r>
                    <w:rPr>
                      <w:color w:val="auto"/>
                      <w:szCs w:val="21"/>
                    </w:rPr>
                    <w:t>0</w:t>
                  </w:r>
                </w:p>
              </w:tc>
            </w:tr>
            <w:tr w14:paraId="640B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restart"/>
                  <w:vAlign w:val="center"/>
                </w:tcPr>
                <w:p w14:paraId="7482FC01">
                  <w:pPr>
                    <w:adjustRightInd w:val="0"/>
                    <w:snapToGrid w:val="0"/>
                    <w:ind w:firstLine="0" w:firstLineChars="0"/>
                    <w:jc w:val="center"/>
                    <w:rPr>
                      <w:color w:val="auto"/>
                      <w:szCs w:val="21"/>
                    </w:rPr>
                  </w:pPr>
                  <w:r>
                    <w:rPr>
                      <w:color w:val="auto"/>
                      <w:szCs w:val="21"/>
                    </w:rPr>
                    <w:t>固废</w:t>
                  </w:r>
                </w:p>
              </w:tc>
              <w:tc>
                <w:tcPr>
                  <w:tcW w:w="551" w:type="pct"/>
                  <w:vAlign w:val="center"/>
                </w:tcPr>
                <w:p w14:paraId="47CC9425">
                  <w:pPr>
                    <w:adjustRightInd w:val="0"/>
                    <w:snapToGrid w:val="0"/>
                    <w:ind w:firstLine="0" w:firstLineChars="0"/>
                    <w:jc w:val="center"/>
                    <w:rPr>
                      <w:color w:val="auto"/>
                      <w:szCs w:val="21"/>
                    </w:rPr>
                  </w:pPr>
                  <w:r>
                    <w:rPr>
                      <w:color w:val="auto"/>
                      <w:szCs w:val="21"/>
                    </w:rPr>
                    <w:t>生产废料</w:t>
                  </w:r>
                </w:p>
              </w:tc>
              <w:tc>
                <w:tcPr>
                  <w:tcW w:w="531" w:type="pct"/>
                  <w:vAlign w:val="center"/>
                </w:tcPr>
                <w:p w14:paraId="1D37E5A0">
                  <w:pPr>
                    <w:adjustRightInd w:val="0"/>
                    <w:snapToGrid w:val="0"/>
                    <w:ind w:firstLine="0" w:firstLineChars="0"/>
                    <w:jc w:val="center"/>
                    <w:rPr>
                      <w:color w:val="auto"/>
                      <w:szCs w:val="21"/>
                    </w:rPr>
                  </w:pPr>
                  <w:r>
                    <w:rPr>
                      <w:color w:val="auto"/>
                      <w:szCs w:val="21"/>
                    </w:rPr>
                    <w:t>100</w:t>
                  </w:r>
                </w:p>
              </w:tc>
              <w:tc>
                <w:tcPr>
                  <w:tcW w:w="438" w:type="pct"/>
                  <w:vAlign w:val="center"/>
                </w:tcPr>
                <w:p w14:paraId="46F5E46F">
                  <w:pPr>
                    <w:adjustRightInd w:val="0"/>
                    <w:snapToGrid w:val="0"/>
                    <w:ind w:firstLine="0" w:firstLineChars="0"/>
                    <w:jc w:val="center"/>
                    <w:rPr>
                      <w:color w:val="auto"/>
                      <w:szCs w:val="21"/>
                    </w:rPr>
                  </w:pPr>
                  <w:r>
                    <w:rPr>
                      <w:color w:val="auto"/>
                      <w:szCs w:val="21"/>
                    </w:rPr>
                    <w:t>0</w:t>
                  </w:r>
                </w:p>
              </w:tc>
              <w:tc>
                <w:tcPr>
                  <w:tcW w:w="548" w:type="pct"/>
                  <w:vAlign w:val="center"/>
                </w:tcPr>
                <w:p w14:paraId="59E6D476">
                  <w:pPr>
                    <w:adjustRightInd w:val="0"/>
                    <w:snapToGrid w:val="0"/>
                    <w:ind w:firstLine="0" w:firstLineChars="0"/>
                    <w:jc w:val="center"/>
                    <w:rPr>
                      <w:color w:val="auto"/>
                      <w:szCs w:val="21"/>
                    </w:rPr>
                  </w:pPr>
                  <w:r>
                    <w:rPr>
                      <w:color w:val="auto"/>
                      <w:szCs w:val="21"/>
                    </w:rPr>
                    <w:t>40</w:t>
                  </w:r>
                </w:p>
              </w:tc>
              <w:tc>
                <w:tcPr>
                  <w:tcW w:w="564" w:type="pct"/>
                  <w:vAlign w:val="center"/>
                </w:tcPr>
                <w:p w14:paraId="51165B26">
                  <w:pPr>
                    <w:adjustRightInd w:val="0"/>
                    <w:snapToGrid w:val="0"/>
                    <w:ind w:firstLine="0" w:firstLineChars="0"/>
                    <w:jc w:val="center"/>
                    <w:rPr>
                      <w:color w:val="auto"/>
                      <w:szCs w:val="21"/>
                    </w:rPr>
                  </w:pPr>
                  <w:r>
                    <w:rPr>
                      <w:rFonts w:hint="eastAsia"/>
                      <w:color w:val="auto"/>
                      <w:szCs w:val="21"/>
                    </w:rPr>
                    <w:t>0</w:t>
                  </w:r>
                </w:p>
              </w:tc>
              <w:tc>
                <w:tcPr>
                  <w:tcW w:w="477" w:type="pct"/>
                  <w:vAlign w:val="center"/>
                </w:tcPr>
                <w:p w14:paraId="65D5230E">
                  <w:pPr>
                    <w:adjustRightInd w:val="0"/>
                    <w:snapToGrid w:val="0"/>
                    <w:ind w:firstLine="0" w:firstLineChars="0"/>
                    <w:jc w:val="center"/>
                    <w:rPr>
                      <w:color w:val="auto"/>
                      <w:szCs w:val="21"/>
                    </w:rPr>
                  </w:pPr>
                  <w:r>
                    <w:rPr>
                      <w:color w:val="auto"/>
                      <w:szCs w:val="21"/>
                    </w:rPr>
                    <w:t>0</w:t>
                  </w:r>
                </w:p>
              </w:tc>
              <w:tc>
                <w:tcPr>
                  <w:tcW w:w="527" w:type="pct"/>
                  <w:vAlign w:val="center"/>
                </w:tcPr>
                <w:p w14:paraId="3E4525A0">
                  <w:pPr>
                    <w:widowControl/>
                    <w:ind w:firstLine="0" w:firstLineChars="0"/>
                    <w:jc w:val="center"/>
                    <w:textAlignment w:val="center"/>
                    <w:rPr>
                      <w:color w:val="auto"/>
                      <w:szCs w:val="21"/>
                    </w:rPr>
                  </w:pPr>
                  <w:r>
                    <w:rPr>
                      <w:color w:val="auto"/>
                      <w:szCs w:val="21"/>
                    </w:rPr>
                    <w:t>0</w:t>
                  </w:r>
                </w:p>
              </w:tc>
              <w:tc>
                <w:tcPr>
                  <w:tcW w:w="566" w:type="pct"/>
                  <w:vAlign w:val="center"/>
                </w:tcPr>
                <w:p w14:paraId="0AC6DA18">
                  <w:pPr>
                    <w:adjustRightInd w:val="0"/>
                    <w:snapToGrid w:val="0"/>
                    <w:ind w:firstLine="0" w:firstLineChars="0"/>
                    <w:jc w:val="center"/>
                    <w:rPr>
                      <w:color w:val="auto"/>
                      <w:szCs w:val="21"/>
                    </w:rPr>
                  </w:pPr>
                  <w:r>
                    <w:rPr>
                      <w:color w:val="auto"/>
                      <w:szCs w:val="21"/>
                    </w:rPr>
                    <w:t>0</w:t>
                  </w:r>
                </w:p>
              </w:tc>
              <w:tc>
                <w:tcPr>
                  <w:tcW w:w="544" w:type="pct"/>
                  <w:vAlign w:val="center"/>
                </w:tcPr>
                <w:p w14:paraId="7895970A">
                  <w:pPr>
                    <w:adjustRightInd w:val="0"/>
                    <w:snapToGrid w:val="0"/>
                    <w:ind w:firstLine="0" w:firstLineChars="0"/>
                    <w:jc w:val="center"/>
                    <w:rPr>
                      <w:color w:val="auto"/>
                      <w:szCs w:val="21"/>
                    </w:rPr>
                  </w:pPr>
                  <w:r>
                    <w:rPr>
                      <w:rFonts w:hint="eastAsia"/>
                      <w:color w:val="auto"/>
                      <w:szCs w:val="21"/>
                    </w:rPr>
                    <w:t>0</w:t>
                  </w:r>
                </w:p>
              </w:tc>
            </w:tr>
            <w:tr w14:paraId="2800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vAlign w:val="center"/>
                </w:tcPr>
                <w:p w14:paraId="334B0394">
                  <w:pPr>
                    <w:adjustRightInd w:val="0"/>
                    <w:snapToGrid w:val="0"/>
                    <w:ind w:firstLine="0" w:firstLineChars="0"/>
                    <w:jc w:val="center"/>
                    <w:rPr>
                      <w:color w:val="auto"/>
                      <w:szCs w:val="21"/>
                    </w:rPr>
                  </w:pPr>
                </w:p>
              </w:tc>
              <w:tc>
                <w:tcPr>
                  <w:tcW w:w="551" w:type="pct"/>
                  <w:vAlign w:val="center"/>
                </w:tcPr>
                <w:p w14:paraId="7FB4275A">
                  <w:pPr>
                    <w:adjustRightInd w:val="0"/>
                    <w:snapToGrid w:val="0"/>
                    <w:ind w:firstLine="0" w:firstLineChars="0"/>
                    <w:jc w:val="center"/>
                    <w:rPr>
                      <w:color w:val="auto"/>
                      <w:szCs w:val="21"/>
                    </w:rPr>
                  </w:pPr>
                  <w:r>
                    <w:rPr>
                      <w:color w:val="auto"/>
                      <w:szCs w:val="21"/>
                    </w:rPr>
                    <w:t>沉淀池底泥</w:t>
                  </w:r>
                </w:p>
              </w:tc>
              <w:tc>
                <w:tcPr>
                  <w:tcW w:w="531" w:type="pct"/>
                  <w:vAlign w:val="center"/>
                </w:tcPr>
                <w:p w14:paraId="7DBF6B37">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3.67</w:t>
                  </w:r>
                </w:p>
              </w:tc>
              <w:tc>
                <w:tcPr>
                  <w:tcW w:w="438" w:type="pct"/>
                  <w:vAlign w:val="center"/>
                </w:tcPr>
                <w:p w14:paraId="18AFDFD5">
                  <w:pPr>
                    <w:adjustRightInd w:val="0"/>
                    <w:snapToGrid w:val="0"/>
                    <w:ind w:firstLine="0" w:firstLineChars="0"/>
                    <w:jc w:val="center"/>
                    <w:rPr>
                      <w:color w:val="auto"/>
                      <w:szCs w:val="21"/>
                    </w:rPr>
                  </w:pPr>
                  <w:r>
                    <w:rPr>
                      <w:rFonts w:hint="eastAsia"/>
                      <w:color w:val="auto"/>
                      <w:szCs w:val="21"/>
                    </w:rPr>
                    <w:t>0</w:t>
                  </w:r>
                </w:p>
              </w:tc>
              <w:tc>
                <w:tcPr>
                  <w:tcW w:w="548" w:type="pct"/>
                  <w:vAlign w:val="center"/>
                </w:tcPr>
                <w:p w14:paraId="1BC2995E">
                  <w:pPr>
                    <w:adjustRightInd w:val="0"/>
                    <w:snapToGrid w:val="0"/>
                    <w:ind w:firstLine="0" w:firstLineChars="0"/>
                    <w:jc w:val="center"/>
                    <w:rPr>
                      <w:color w:val="auto"/>
                      <w:szCs w:val="21"/>
                    </w:rPr>
                  </w:pPr>
                  <w:r>
                    <w:rPr>
                      <w:rFonts w:hint="eastAsia"/>
                      <w:color w:val="auto"/>
                      <w:szCs w:val="21"/>
                    </w:rPr>
                    <w:t>0</w:t>
                  </w:r>
                </w:p>
              </w:tc>
              <w:tc>
                <w:tcPr>
                  <w:tcW w:w="564" w:type="pct"/>
                  <w:vAlign w:val="center"/>
                </w:tcPr>
                <w:p w14:paraId="5278D9EE">
                  <w:pPr>
                    <w:adjustRightInd w:val="0"/>
                    <w:snapToGrid w:val="0"/>
                    <w:ind w:firstLine="0" w:firstLineChars="0"/>
                    <w:jc w:val="center"/>
                    <w:rPr>
                      <w:color w:val="auto"/>
                      <w:szCs w:val="21"/>
                    </w:rPr>
                  </w:pPr>
                  <w:r>
                    <w:rPr>
                      <w:rFonts w:hint="eastAsia"/>
                      <w:color w:val="auto"/>
                      <w:szCs w:val="21"/>
                    </w:rPr>
                    <w:t>0</w:t>
                  </w:r>
                </w:p>
              </w:tc>
              <w:tc>
                <w:tcPr>
                  <w:tcW w:w="477" w:type="pct"/>
                  <w:vAlign w:val="center"/>
                </w:tcPr>
                <w:p w14:paraId="1ABCEECC">
                  <w:pPr>
                    <w:adjustRightInd w:val="0"/>
                    <w:snapToGrid w:val="0"/>
                    <w:ind w:firstLine="0" w:firstLineChars="0"/>
                    <w:jc w:val="center"/>
                    <w:rPr>
                      <w:color w:val="auto"/>
                      <w:szCs w:val="21"/>
                    </w:rPr>
                  </w:pPr>
                  <w:r>
                    <w:rPr>
                      <w:color w:val="auto"/>
                      <w:szCs w:val="21"/>
                    </w:rPr>
                    <w:t>0</w:t>
                  </w:r>
                </w:p>
              </w:tc>
              <w:tc>
                <w:tcPr>
                  <w:tcW w:w="527" w:type="pct"/>
                  <w:vAlign w:val="center"/>
                </w:tcPr>
                <w:p w14:paraId="199A05CE">
                  <w:pPr>
                    <w:widowControl/>
                    <w:ind w:firstLine="0" w:firstLineChars="0"/>
                    <w:jc w:val="center"/>
                    <w:textAlignment w:val="center"/>
                    <w:rPr>
                      <w:color w:val="auto"/>
                      <w:szCs w:val="21"/>
                    </w:rPr>
                  </w:pPr>
                  <w:r>
                    <w:rPr>
                      <w:color w:val="auto"/>
                      <w:szCs w:val="21"/>
                    </w:rPr>
                    <w:t>0</w:t>
                  </w:r>
                </w:p>
              </w:tc>
              <w:tc>
                <w:tcPr>
                  <w:tcW w:w="566" w:type="pct"/>
                  <w:vAlign w:val="center"/>
                </w:tcPr>
                <w:p w14:paraId="0F6C5452">
                  <w:pPr>
                    <w:adjustRightInd w:val="0"/>
                    <w:snapToGrid w:val="0"/>
                    <w:ind w:firstLine="0" w:firstLineChars="0"/>
                    <w:jc w:val="center"/>
                    <w:rPr>
                      <w:color w:val="auto"/>
                      <w:szCs w:val="21"/>
                    </w:rPr>
                  </w:pPr>
                  <w:r>
                    <w:rPr>
                      <w:color w:val="auto"/>
                      <w:szCs w:val="21"/>
                    </w:rPr>
                    <w:t>0</w:t>
                  </w:r>
                </w:p>
              </w:tc>
              <w:tc>
                <w:tcPr>
                  <w:tcW w:w="544" w:type="pct"/>
                  <w:vAlign w:val="center"/>
                </w:tcPr>
                <w:p w14:paraId="0D81ABF9">
                  <w:pPr>
                    <w:adjustRightInd w:val="0"/>
                    <w:snapToGrid w:val="0"/>
                    <w:ind w:firstLine="0" w:firstLineChars="0"/>
                    <w:jc w:val="center"/>
                    <w:rPr>
                      <w:color w:val="auto"/>
                      <w:szCs w:val="21"/>
                    </w:rPr>
                  </w:pPr>
                  <w:r>
                    <w:rPr>
                      <w:color w:val="auto"/>
                      <w:szCs w:val="21"/>
                    </w:rPr>
                    <w:t>0</w:t>
                  </w:r>
                </w:p>
              </w:tc>
            </w:tr>
            <w:tr w14:paraId="5674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vAlign w:val="center"/>
                </w:tcPr>
                <w:p w14:paraId="4DFFC570">
                  <w:pPr>
                    <w:adjustRightInd w:val="0"/>
                    <w:snapToGrid w:val="0"/>
                    <w:ind w:firstLine="0" w:firstLineChars="0"/>
                    <w:jc w:val="center"/>
                    <w:rPr>
                      <w:color w:val="auto"/>
                      <w:szCs w:val="21"/>
                    </w:rPr>
                  </w:pPr>
                </w:p>
              </w:tc>
              <w:tc>
                <w:tcPr>
                  <w:tcW w:w="551" w:type="pct"/>
                  <w:vAlign w:val="center"/>
                </w:tcPr>
                <w:p w14:paraId="1FC54C5F">
                  <w:pPr>
                    <w:adjustRightInd w:val="0"/>
                    <w:snapToGrid w:val="0"/>
                    <w:ind w:firstLine="0" w:firstLineChars="0"/>
                    <w:jc w:val="center"/>
                    <w:rPr>
                      <w:color w:val="auto"/>
                      <w:szCs w:val="21"/>
                    </w:rPr>
                  </w:pPr>
                  <w:r>
                    <w:rPr>
                      <w:rFonts w:hint="eastAsia"/>
                      <w:color w:val="auto"/>
                      <w:szCs w:val="21"/>
                    </w:rPr>
                    <w:t>除尘器收尘</w:t>
                  </w:r>
                </w:p>
              </w:tc>
              <w:tc>
                <w:tcPr>
                  <w:tcW w:w="531" w:type="pct"/>
                  <w:shd w:val="clear" w:color="auto" w:fill="auto"/>
                  <w:vAlign w:val="center"/>
                </w:tcPr>
                <w:p w14:paraId="1AA51C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76.27745</w:t>
                  </w:r>
                </w:p>
              </w:tc>
              <w:tc>
                <w:tcPr>
                  <w:tcW w:w="438" w:type="pct"/>
                  <w:vAlign w:val="center"/>
                </w:tcPr>
                <w:p w14:paraId="56AC756D">
                  <w:pPr>
                    <w:adjustRightInd w:val="0"/>
                    <w:snapToGrid w:val="0"/>
                    <w:ind w:firstLine="0" w:firstLineChars="0"/>
                    <w:jc w:val="center"/>
                    <w:rPr>
                      <w:color w:val="auto"/>
                      <w:szCs w:val="21"/>
                    </w:rPr>
                  </w:pPr>
                  <w:r>
                    <w:rPr>
                      <w:rFonts w:hint="eastAsia"/>
                      <w:color w:val="auto"/>
                      <w:szCs w:val="21"/>
                    </w:rPr>
                    <w:t>0</w:t>
                  </w:r>
                </w:p>
              </w:tc>
              <w:tc>
                <w:tcPr>
                  <w:tcW w:w="548" w:type="pct"/>
                  <w:vAlign w:val="center"/>
                </w:tcPr>
                <w:p w14:paraId="062CA887">
                  <w:pPr>
                    <w:adjustRightInd w:val="0"/>
                    <w:snapToGrid w:val="0"/>
                    <w:ind w:firstLine="0" w:firstLineChars="0"/>
                    <w:jc w:val="center"/>
                    <w:rPr>
                      <w:rFonts w:hint="eastAsia" w:eastAsia="宋体"/>
                      <w:color w:val="auto"/>
                      <w:szCs w:val="21"/>
                      <w:lang w:eastAsia="zh-CN"/>
                    </w:rPr>
                  </w:pPr>
                  <w:r>
                    <w:rPr>
                      <w:rFonts w:hint="eastAsia"/>
                      <w:color w:val="auto"/>
                      <w:kern w:val="0"/>
                      <w:szCs w:val="21"/>
                      <w:lang w:val="en-US" w:eastAsia="zh-CN" w:bidi="ar"/>
                    </w:rPr>
                    <w:t>41.9328</w:t>
                  </w:r>
                </w:p>
              </w:tc>
              <w:tc>
                <w:tcPr>
                  <w:tcW w:w="564" w:type="pct"/>
                  <w:vAlign w:val="center"/>
                </w:tcPr>
                <w:p w14:paraId="770A70F1">
                  <w:pPr>
                    <w:adjustRightInd w:val="0"/>
                    <w:snapToGrid w:val="0"/>
                    <w:ind w:firstLine="0" w:firstLineChars="0"/>
                    <w:jc w:val="center"/>
                    <w:rPr>
                      <w:color w:val="auto"/>
                      <w:szCs w:val="21"/>
                    </w:rPr>
                  </w:pPr>
                  <w:r>
                    <w:rPr>
                      <w:rFonts w:hint="eastAsia"/>
                      <w:color w:val="auto"/>
                      <w:kern w:val="0"/>
                      <w:szCs w:val="21"/>
                      <w:lang w:bidi="ar"/>
                    </w:rPr>
                    <w:t>0</w:t>
                  </w:r>
                </w:p>
              </w:tc>
              <w:tc>
                <w:tcPr>
                  <w:tcW w:w="477" w:type="pct"/>
                  <w:vAlign w:val="center"/>
                </w:tcPr>
                <w:p w14:paraId="5D65FD90">
                  <w:pPr>
                    <w:adjustRightInd w:val="0"/>
                    <w:snapToGrid w:val="0"/>
                    <w:ind w:firstLine="0" w:firstLineChars="0"/>
                    <w:jc w:val="center"/>
                    <w:rPr>
                      <w:color w:val="auto"/>
                      <w:szCs w:val="21"/>
                    </w:rPr>
                  </w:pPr>
                  <w:r>
                    <w:rPr>
                      <w:rFonts w:hint="eastAsia"/>
                      <w:color w:val="auto"/>
                      <w:szCs w:val="21"/>
                    </w:rPr>
                    <w:t>0</w:t>
                  </w:r>
                </w:p>
              </w:tc>
              <w:tc>
                <w:tcPr>
                  <w:tcW w:w="527" w:type="pct"/>
                  <w:vAlign w:val="center"/>
                </w:tcPr>
                <w:p w14:paraId="1D060EEB">
                  <w:pPr>
                    <w:adjustRightInd w:val="0"/>
                    <w:snapToGrid w:val="0"/>
                    <w:ind w:firstLine="0" w:firstLineChars="0"/>
                    <w:jc w:val="center"/>
                    <w:rPr>
                      <w:color w:val="auto"/>
                      <w:szCs w:val="21"/>
                    </w:rPr>
                  </w:pPr>
                  <w:r>
                    <w:rPr>
                      <w:color w:val="auto"/>
                      <w:szCs w:val="21"/>
                    </w:rPr>
                    <w:t>0</w:t>
                  </w:r>
                </w:p>
              </w:tc>
              <w:tc>
                <w:tcPr>
                  <w:tcW w:w="566" w:type="pct"/>
                  <w:vAlign w:val="center"/>
                </w:tcPr>
                <w:p w14:paraId="73EE5D06">
                  <w:pPr>
                    <w:adjustRightInd w:val="0"/>
                    <w:snapToGrid w:val="0"/>
                    <w:ind w:firstLine="0" w:firstLineChars="0"/>
                    <w:jc w:val="center"/>
                    <w:rPr>
                      <w:color w:val="auto"/>
                      <w:szCs w:val="21"/>
                    </w:rPr>
                  </w:pPr>
                  <w:r>
                    <w:rPr>
                      <w:color w:val="auto"/>
                      <w:szCs w:val="21"/>
                    </w:rPr>
                    <w:t>0</w:t>
                  </w:r>
                </w:p>
              </w:tc>
              <w:tc>
                <w:tcPr>
                  <w:tcW w:w="544" w:type="pct"/>
                  <w:shd w:val="clear" w:color="auto" w:fill="auto"/>
                  <w:vAlign w:val="center"/>
                </w:tcPr>
                <w:p w14:paraId="743C0BD7">
                  <w:pPr>
                    <w:widowControl/>
                    <w:ind w:firstLine="0" w:firstLineChars="0"/>
                    <w:jc w:val="center"/>
                    <w:textAlignment w:val="center"/>
                    <w:rPr>
                      <w:color w:val="auto"/>
                      <w:szCs w:val="21"/>
                    </w:rPr>
                  </w:pPr>
                  <w:r>
                    <w:rPr>
                      <w:rFonts w:hint="eastAsia"/>
                      <w:color w:val="auto"/>
                      <w:kern w:val="0"/>
                      <w:szCs w:val="21"/>
                      <w:lang w:bidi="ar"/>
                    </w:rPr>
                    <w:t>0</w:t>
                  </w:r>
                </w:p>
              </w:tc>
            </w:tr>
            <w:tr w14:paraId="7964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vAlign w:val="center"/>
                </w:tcPr>
                <w:p w14:paraId="5D820F57">
                  <w:pPr>
                    <w:adjustRightInd w:val="0"/>
                    <w:snapToGrid w:val="0"/>
                    <w:ind w:firstLine="0" w:firstLineChars="0"/>
                    <w:jc w:val="center"/>
                    <w:rPr>
                      <w:color w:val="auto"/>
                      <w:szCs w:val="21"/>
                    </w:rPr>
                  </w:pPr>
                </w:p>
              </w:tc>
              <w:tc>
                <w:tcPr>
                  <w:tcW w:w="551" w:type="pct"/>
                  <w:vAlign w:val="center"/>
                </w:tcPr>
                <w:p w14:paraId="5D887060">
                  <w:pPr>
                    <w:adjustRightInd w:val="0"/>
                    <w:snapToGrid w:val="0"/>
                    <w:ind w:firstLine="0" w:firstLineChars="0"/>
                    <w:jc w:val="center"/>
                    <w:rPr>
                      <w:color w:val="auto"/>
                      <w:szCs w:val="21"/>
                    </w:rPr>
                  </w:pPr>
                  <w:r>
                    <w:rPr>
                      <w:color w:val="auto"/>
                      <w:szCs w:val="21"/>
                    </w:rPr>
                    <w:t>生活固废（生活垃圾、餐厨垃圾）</w:t>
                  </w:r>
                </w:p>
              </w:tc>
              <w:tc>
                <w:tcPr>
                  <w:tcW w:w="531" w:type="pct"/>
                  <w:vAlign w:val="center"/>
                </w:tcPr>
                <w:p w14:paraId="60C6BFDC">
                  <w:pPr>
                    <w:adjustRightInd w:val="0"/>
                    <w:snapToGrid w:val="0"/>
                    <w:ind w:firstLine="0" w:firstLineChars="0"/>
                    <w:jc w:val="center"/>
                    <w:rPr>
                      <w:color w:val="auto"/>
                      <w:szCs w:val="21"/>
                    </w:rPr>
                  </w:pPr>
                  <w:r>
                    <w:rPr>
                      <w:color w:val="auto"/>
                      <w:szCs w:val="21"/>
                    </w:rPr>
                    <w:t>9</w:t>
                  </w:r>
                </w:p>
              </w:tc>
              <w:tc>
                <w:tcPr>
                  <w:tcW w:w="438" w:type="pct"/>
                  <w:vAlign w:val="center"/>
                </w:tcPr>
                <w:p w14:paraId="292C99D5">
                  <w:pPr>
                    <w:adjustRightInd w:val="0"/>
                    <w:snapToGrid w:val="0"/>
                    <w:ind w:firstLine="0" w:firstLineChars="0"/>
                    <w:jc w:val="center"/>
                    <w:rPr>
                      <w:color w:val="auto"/>
                      <w:szCs w:val="21"/>
                    </w:rPr>
                  </w:pPr>
                  <w:r>
                    <w:rPr>
                      <w:rFonts w:hint="eastAsia"/>
                      <w:color w:val="auto"/>
                      <w:szCs w:val="21"/>
                    </w:rPr>
                    <w:t>9</w:t>
                  </w:r>
                </w:p>
              </w:tc>
              <w:tc>
                <w:tcPr>
                  <w:tcW w:w="548" w:type="pct"/>
                  <w:vAlign w:val="center"/>
                </w:tcPr>
                <w:p w14:paraId="35C795FC">
                  <w:pPr>
                    <w:adjustRightInd w:val="0"/>
                    <w:snapToGrid w:val="0"/>
                    <w:ind w:firstLine="0" w:firstLineChars="0"/>
                    <w:jc w:val="center"/>
                    <w:rPr>
                      <w:color w:val="auto"/>
                      <w:szCs w:val="21"/>
                    </w:rPr>
                  </w:pPr>
                  <w:r>
                    <w:rPr>
                      <w:rFonts w:hint="eastAsia"/>
                      <w:color w:val="auto"/>
                      <w:szCs w:val="21"/>
                    </w:rPr>
                    <w:t>0</w:t>
                  </w:r>
                </w:p>
              </w:tc>
              <w:tc>
                <w:tcPr>
                  <w:tcW w:w="564" w:type="pct"/>
                  <w:vAlign w:val="center"/>
                </w:tcPr>
                <w:p w14:paraId="1BB1119D">
                  <w:pPr>
                    <w:adjustRightInd w:val="0"/>
                    <w:snapToGrid w:val="0"/>
                    <w:ind w:firstLine="0" w:firstLineChars="0"/>
                    <w:jc w:val="center"/>
                    <w:rPr>
                      <w:color w:val="auto"/>
                      <w:szCs w:val="21"/>
                    </w:rPr>
                  </w:pPr>
                  <w:r>
                    <w:rPr>
                      <w:color w:val="auto"/>
                      <w:szCs w:val="21"/>
                    </w:rPr>
                    <w:t>0</w:t>
                  </w:r>
                </w:p>
              </w:tc>
              <w:tc>
                <w:tcPr>
                  <w:tcW w:w="477" w:type="pct"/>
                  <w:vAlign w:val="center"/>
                </w:tcPr>
                <w:p w14:paraId="66AB5C17">
                  <w:pPr>
                    <w:adjustRightInd w:val="0"/>
                    <w:snapToGrid w:val="0"/>
                    <w:ind w:firstLine="0" w:firstLineChars="0"/>
                    <w:jc w:val="center"/>
                    <w:rPr>
                      <w:color w:val="auto"/>
                      <w:szCs w:val="21"/>
                    </w:rPr>
                  </w:pPr>
                  <w:r>
                    <w:rPr>
                      <w:color w:val="auto"/>
                      <w:szCs w:val="21"/>
                    </w:rPr>
                    <w:t>0</w:t>
                  </w:r>
                </w:p>
              </w:tc>
              <w:tc>
                <w:tcPr>
                  <w:tcW w:w="527" w:type="pct"/>
                  <w:vAlign w:val="center"/>
                </w:tcPr>
                <w:p w14:paraId="45E73B22">
                  <w:pPr>
                    <w:adjustRightInd w:val="0"/>
                    <w:snapToGrid w:val="0"/>
                    <w:ind w:firstLine="0" w:firstLineChars="0"/>
                    <w:jc w:val="center"/>
                    <w:rPr>
                      <w:color w:val="auto"/>
                      <w:szCs w:val="21"/>
                    </w:rPr>
                  </w:pPr>
                  <w:r>
                    <w:rPr>
                      <w:rFonts w:hint="eastAsia"/>
                      <w:color w:val="auto"/>
                      <w:szCs w:val="21"/>
                    </w:rPr>
                    <w:t>9</w:t>
                  </w:r>
                </w:p>
              </w:tc>
              <w:tc>
                <w:tcPr>
                  <w:tcW w:w="566" w:type="pct"/>
                  <w:vAlign w:val="center"/>
                </w:tcPr>
                <w:p w14:paraId="39BE61E7">
                  <w:pPr>
                    <w:adjustRightInd w:val="0"/>
                    <w:snapToGrid w:val="0"/>
                    <w:ind w:firstLine="0" w:firstLineChars="0"/>
                    <w:jc w:val="center"/>
                    <w:rPr>
                      <w:color w:val="auto"/>
                      <w:szCs w:val="21"/>
                    </w:rPr>
                  </w:pPr>
                  <w:r>
                    <w:rPr>
                      <w:color w:val="auto"/>
                      <w:szCs w:val="21"/>
                    </w:rPr>
                    <w:t>0</w:t>
                  </w:r>
                </w:p>
              </w:tc>
              <w:tc>
                <w:tcPr>
                  <w:tcW w:w="544" w:type="pct"/>
                  <w:vAlign w:val="center"/>
                </w:tcPr>
                <w:p w14:paraId="5399A375">
                  <w:pPr>
                    <w:adjustRightInd w:val="0"/>
                    <w:snapToGrid w:val="0"/>
                    <w:ind w:firstLine="0" w:firstLineChars="0"/>
                    <w:jc w:val="center"/>
                    <w:rPr>
                      <w:color w:val="auto"/>
                      <w:szCs w:val="21"/>
                    </w:rPr>
                  </w:pPr>
                  <w:r>
                    <w:rPr>
                      <w:rFonts w:hint="eastAsia"/>
                      <w:color w:val="auto"/>
                      <w:szCs w:val="21"/>
                    </w:rPr>
                    <w:t>0</w:t>
                  </w:r>
                </w:p>
              </w:tc>
            </w:tr>
            <w:tr w14:paraId="72F5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Merge w:val="continue"/>
                  <w:vAlign w:val="center"/>
                </w:tcPr>
                <w:p w14:paraId="5DEA575F">
                  <w:pPr>
                    <w:adjustRightInd w:val="0"/>
                    <w:snapToGrid w:val="0"/>
                    <w:ind w:firstLine="0" w:firstLineChars="0"/>
                    <w:jc w:val="center"/>
                    <w:rPr>
                      <w:color w:val="auto"/>
                      <w:szCs w:val="21"/>
                    </w:rPr>
                  </w:pPr>
                </w:p>
              </w:tc>
              <w:tc>
                <w:tcPr>
                  <w:tcW w:w="551" w:type="pct"/>
                  <w:vAlign w:val="center"/>
                </w:tcPr>
                <w:p w14:paraId="0B7FB6A3">
                  <w:pPr>
                    <w:adjustRightInd w:val="0"/>
                    <w:snapToGrid w:val="0"/>
                    <w:ind w:firstLine="0" w:firstLineChars="0"/>
                    <w:jc w:val="center"/>
                    <w:rPr>
                      <w:color w:val="auto"/>
                      <w:szCs w:val="21"/>
                    </w:rPr>
                  </w:pPr>
                  <w:r>
                    <w:rPr>
                      <w:color w:val="auto"/>
                      <w:szCs w:val="21"/>
                    </w:rPr>
                    <w:t>危险固废</w:t>
                  </w:r>
                </w:p>
              </w:tc>
              <w:tc>
                <w:tcPr>
                  <w:tcW w:w="531" w:type="pct"/>
                  <w:vAlign w:val="center"/>
                </w:tcPr>
                <w:p w14:paraId="74427E95">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0.1</w:t>
                  </w:r>
                </w:p>
              </w:tc>
              <w:tc>
                <w:tcPr>
                  <w:tcW w:w="438" w:type="pct"/>
                  <w:vAlign w:val="center"/>
                </w:tcPr>
                <w:p w14:paraId="1A2068DB">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0.1</w:t>
                  </w:r>
                </w:p>
              </w:tc>
              <w:tc>
                <w:tcPr>
                  <w:tcW w:w="548" w:type="pct"/>
                  <w:vAlign w:val="center"/>
                </w:tcPr>
                <w:p w14:paraId="0F27EF80">
                  <w:pPr>
                    <w:adjustRightInd w:val="0"/>
                    <w:snapToGrid w:val="0"/>
                    <w:ind w:firstLine="0" w:firstLineChars="0"/>
                    <w:jc w:val="center"/>
                    <w:rPr>
                      <w:rFonts w:hint="eastAsia" w:eastAsia="宋体"/>
                      <w:color w:val="auto"/>
                      <w:szCs w:val="21"/>
                      <w:lang w:eastAsia="zh-CN"/>
                    </w:rPr>
                  </w:pPr>
                  <w:r>
                    <w:rPr>
                      <w:rFonts w:hint="eastAsia"/>
                      <w:color w:val="auto"/>
                      <w:szCs w:val="21"/>
                      <w:lang w:val="en-US" w:eastAsia="zh-CN"/>
                    </w:rPr>
                    <w:t>0</w:t>
                  </w:r>
                </w:p>
              </w:tc>
              <w:tc>
                <w:tcPr>
                  <w:tcW w:w="564" w:type="pct"/>
                  <w:vAlign w:val="center"/>
                </w:tcPr>
                <w:p w14:paraId="4D737D9A">
                  <w:pPr>
                    <w:adjustRightInd w:val="0"/>
                    <w:snapToGrid w:val="0"/>
                    <w:ind w:firstLine="0" w:firstLineChars="0"/>
                    <w:jc w:val="center"/>
                    <w:rPr>
                      <w:color w:val="auto"/>
                      <w:szCs w:val="21"/>
                    </w:rPr>
                  </w:pPr>
                  <w:r>
                    <w:rPr>
                      <w:color w:val="auto"/>
                      <w:szCs w:val="21"/>
                    </w:rPr>
                    <w:t>0</w:t>
                  </w:r>
                </w:p>
              </w:tc>
              <w:tc>
                <w:tcPr>
                  <w:tcW w:w="477" w:type="pct"/>
                  <w:vAlign w:val="center"/>
                </w:tcPr>
                <w:p w14:paraId="0C4B8C49">
                  <w:pPr>
                    <w:adjustRightInd w:val="0"/>
                    <w:snapToGrid w:val="0"/>
                    <w:ind w:firstLine="0" w:firstLineChars="0"/>
                    <w:jc w:val="center"/>
                    <w:rPr>
                      <w:rFonts w:hint="eastAsia" w:eastAsia="宋体"/>
                      <w:color w:val="auto"/>
                      <w:szCs w:val="21"/>
                      <w:lang w:eastAsia="zh-CN"/>
                    </w:rPr>
                  </w:pPr>
                  <w:r>
                    <w:rPr>
                      <w:rFonts w:hint="eastAsia"/>
                      <w:color w:val="auto"/>
                      <w:szCs w:val="21"/>
                      <w:lang w:val="en-US" w:eastAsia="zh-CN"/>
                    </w:rPr>
                    <w:t>0</w:t>
                  </w:r>
                </w:p>
              </w:tc>
              <w:tc>
                <w:tcPr>
                  <w:tcW w:w="527" w:type="pct"/>
                  <w:vAlign w:val="center"/>
                </w:tcPr>
                <w:p w14:paraId="783F861C">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0.1</w:t>
                  </w:r>
                </w:p>
              </w:tc>
              <w:tc>
                <w:tcPr>
                  <w:tcW w:w="566" w:type="pct"/>
                  <w:vAlign w:val="center"/>
                </w:tcPr>
                <w:p w14:paraId="0BF9CD51">
                  <w:pPr>
                    <w:adjustRightInd w:val="0"/>
                    <w:snapToGrid w:val="0"/>
                    <w:ind w:firstLine="0" w:firstLineChars="0"/>
                    <w:jc w:val="center"/>
                    <w:rPr>
                      <w:color w:val="auto"/>
                      <w:szCs w:val="21"/>
                    </w:rPr>
                  </w:pPr>
                  <w:r>
                    <w:rPr>
                      <w:color w:val="auto"/>
                      <w:szCs w:val="21"/>
                    </w:rPr>
                    <w:t>0</w:t>
                  </w:r>
                </w:p>
              </w:tc>
              <w:tc>
                <w:tcPr>
                  <w:tcW w:w="544" w:type="pct"/>
                  <w:vAlign w:val="center"/>
                </w:tcPr>
                <w:p w14:paraId="554770F3">
                  <w:pPr>
                    <w:adjustRightInd w:val="0"/>
                    <w:snapToGrid w:val="0"/>
                    <w:ind w:firstLine="0" w:firstLineChars="0"/>
                    <w:jc w:val="center"/>
                    <w:rPr>
                      <w:color w:val="auto"/>
                      <w:szCs w:val="21"/>
                    </w:rPr>
                  </w:pPr>
                  <w:r>
                    <w:rPr>
                      <w:rFonts w:hint="eastAsia"/>
                      <w:color w:val="auto"/>
                      <w:szCs w:val="21"/>
                    </w:rPr>
                    <w:t>0</w:t>
                  </w:r>
                </w:p>
              </w:tc>
            </w:tr>
          </w:tbl>
          <w:p w14:paraId="32923711">
            <w:pPr>
              <w:pStyle w:val="33"/>
              <w:adjustRightInd w:val="0"/>
              <w:snapToGrid w:val="0"/>
              <w:spacing w:before="0" w:beforeAutospacing="0" w:after="0" w:afterAutospacing="0"/>
              <w:ind w:firstLine="0" w:firstLineChars="0"/>
              <w:jc w:val="both"/>
              <w:outlineLvl w:val="0"/>
              <w:rPr>
                <w:rFonts w:ascii="Times New Roman" w:hAnsi="Times New Roman"/>
                <w:b/>
                <w:bCs/>
                <w:snapToGrid w:val="0"/>
                <w:color w:val="auto"/>
                <w:sz w:val="30"/>
                <w:szCs w:val="30"/>
              </w:rPr>
            </w:pPr>
          </w:p>
        </w:tc>
      </w:tr>
    </w:tbl>
    <w:p w14:paraId="230674A3">
      <w:pPr>
        <w:pStyle w:val="33"/>
        <w:adjustRightInd w:val="0"/>
        <w:snapToGrid w:val="0"/>
        <w:spacing w:before="0" w:beforeAutospacing="0" w:after="0" w:afterAutospacing="0"/>
        <w:ind w:firstLine="0" w:firstLineChars="0"/>
        <w:jc w:val="both"/>
        <w:outlineLvl w:val="0"/>
        <w:rPr>
          <w:rFonts w:ascii="Times New Roman" w:hAnsi="Times New Roman"/>
          <w:b/>
          <w:bCs/>
          <w:snapToGrid w:val="0"/>
          <w:color w:val="auto"/>
          <w:sz w:val="30"/>
          <w:szCs w:val="30"/>
        </w:rPr>
        <w:sectPr>
          <w:pgSz w:w="11906" w:h="16838"/>
          <w:pgMar w:top="1440" w:right="1800" w:bottom="1440" w:left="1800" w:header="851" w:footer="992" w:gutter="0"/>
          <w:cols w:space="425" w:num="1"/>
          <w:docGrid w:type="lines" w:linePitch="312" w:charSpace="0"/>
        </w:sectPr>
      </w:pPr>
    </w:p>
    <w:p w14:paraId="4742EBF4">
      <w:pPr>
        <w:pStyle w:val="33"/>
        <w:adjustRightInd w:val="0"/>
        <w:snapToGrid w:val="0"/>
        <w:spacing w:before="0" w:beforeAutospacing="0" w:after="0" w:afterAutospacing="0" w:line="336" w:lineRule="auto"/>
        <w:ind w:firstLine="0" w:firstLineChars="0"/>
        <w:jc w:val="center"/>
        <w:outlineLvl w:val="0"/>
        <w:rPr>
          <w:rFonts w:ascii="Times New Roman" w:hAnsi="Times New Roman"/>
          <w:b/>
          <w:bCs/>
          <w:snapToGrid w:val="0"/>
          <w:color w:val="auto"/>
          <w:sz w:val="30"/>
          <w:szCs w:val="30"/>
        </w:rPr>
      </w:pPr>
      <w:bookmarkStart w:id="23" w:name="_Toc6939"/>
      <w:r>
        <w:rPr>
          <w:rFonts w:ascii="Times New Roman" w:hAnsi="Times New Roman"/>
          <w:b/>
          <w:bCs/>
          <w:snapToGrid w:val="0"/>
          <w:color w:val="auto"/>
          <w:sz w:val="30"/>
          <w:szCs w:val="30"/>
        </w:rPr>
        <w:t>五、</w:t>
      </w:r>
      <w:bookmarkStart w:id="24" w:name="_Hlk54167917"/>
      <w:r>
        <w:rPr>
          <w:rFonts w:ascii="Times New Roman" w:hAnsi="Times New Roman"/>
          <w:b/>
          <w:bCs/>
          <w:snapToGrid w:val="0"/>
          <w:color w:val="auto"/>
          <w:sz w:val="30"/>
          <w:szCs w:val="30"/>
        </w:rPr>
        <w:t>环境保护措施监督检查清单</w:t>
      </w:r>
      <w:bookmarkEnd w:id="22"/>
      <w:bookmarkEnd w:id="23"/>
      <w:bookmarkEnd w:id="24"/>
    </w:p>
    <w:tbl>
      <w:tblPr>
        <w:tblStyle w:val="121"/>
        <w:tblW w:w="90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Layout w:type="fixed"/>
        <w:tblCellMar>
          <w:top w:w="0" w:type="dxa"/>
          <w:left w:w="0" w:type="dxa"/>
          <w:bottom w:w="0" w:type="dxa"/>
          <w:right w:w="0" w:type="dxa"/>
        </w:tblCellMar>
      </w:tblPr>
      <w:tblGrid>
        <w:gridCol w:w="788"/>
        <w:gridCol w:w="1476"/>
        <w:gridCol w:w="1179"/>
        <w:gridCol w:w="1230"/>
        <w:gridCol w:w="2805"/>
        <w:gridCol w:w="1593"/>
      </w:tblGrid>
      <w:tr w14:paraId="1651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tcBorders>
              <w:tl2br w:val="nil"/>
              <w:tr2bl w:val="nil"/>
            </w:tcBorders>
            <w:vAlign w:val="center"/>
          </w:tcPr>
          <w:p w14:paraId="297B5777">
            <w:pPr>
              <w:ind w:firstLine="0" w:firstLineChars="0"/>
              <w:jc w:val="center"/>
              <w:rPr>
                <w:b/>
                <w:bCs/>
                <w:color w:val="auto"/>
                <w:szCs w:val="21"/>
              </w:rPr>
            </w:pPr>
            <w:r>
              <w:rPr>
                <w:b/>
                <w:bCs/>
                <w:color w:val="auto"/>
                <w:szCs w:val="21"/>
              </w:rPr>
              <w:t>内容</w:t>
            </w:r>
          </w:p>
          <w:p w14:paraId="6BCE138B">
            <w:pPr>
              <w:ind w:firstLine="0" w:firstLineChars="0"/>
              <w:jc w:val="center"/>
              <w:rPr>
                <w:b/>
                <w:bCs/>
                <w:color w:val="auto"/>
                <w:szCs w:val="21"/>
              </w:rPr>
            </w:pPr>
            <w:r>
              <w:rPr>
                <w:b/>
                <w:bCs/>
                <w:color w:val="auto"/>
                <w:szCs w:val="21"/>
              </w:rPr>
              <w:t>要素</w:t>
            </w:r>
          </w:p>
        </w:tc>
        <w:tc>
          <w:tcPr>
            <w:tcW w:w="2655" w:type="dxa"/>
            <w:gridSpan w:val="2"/>
            <w:tcBorders>
              <w:tl2br w:val="nil"/>
              <w:tr2bl w:val="nil"/>
            </w:tcBorders>
            <w:vAlign w:val="center"/>
          </w:tcPr>
          <w:p w14:paraId="13196D16">
            <w:pPr>
              <w:ind w:firstLine="0" w:firstLineChars="0"/>
              <w:jc w:val="center"/>
              <w:rPr>
                <w:b/>
                <w:bCs/>
                <w:color w:val="auto"/>
                <w:szCs w:val="21"/>
              </w:rPr>
            </w:pPr>
            <w:r>
              <w:rPr>
                <w:b/>
                <w:bCs/>
                <w:color w:val="auto"/>
                <w:szCs w:val="21"/>
              </w:rPr>
              <w:t>排放口(编号、名称)/污染源</w:t>
            </w:r>
          </w:p>
        </w:tc>
        <w:tc>
          <w:tcPr>
            <w:tcW w:w="1230" w:type="dxa"/>
            <w:tcBorders>
              <w:tl2br w:val="nil"/>
              <w:tr2bl w:val="nil"/>
            </w:tcBorders>
            <w:vAlign w:val="center"/>
          </w:tcPr>
          <w:p w14:paraId="1BB8BB6B">
            <w:pPr>
              <w:ind w:firstLine="0" w:firstLineChars="0"/>
              <w:jc w:val="center"/>
              <w:rPr>
                <w:b/>
                <w:bCs/>
                <w:color w:val="auto"/>
                <w:szCs w:val="21"/>
              </w:rPr>
            </w:pPr>
            <w:r>
              <w:rPr>
                <w:b/>
                <w:bCs/>
                <w:color w:val="auto"/>
                <w:szCs w:val="21"/>
              </w:rPr>
              <w:t>污染物</w:t>
            </w:r>
          </w:p>
          <w:p w14:paraId="1854B553">
            <w:pPr>
              <w:ind w:firstLine="0" w:firstLineChars="0"/>
              <w:jc w:val="center"/>
              <w:rPr>
                <w:b/>
                <w:bCs/>
                <w:color w:val="auto"/>
                <w:szCs w:val="21"/>
              </w:rPr>
            </w:pPr>
            <w:r>
              <w:rPr>
                <w:b/>
                <w:bCs/>
                <w:color w:val="auto"/>
                <w:szCs w:val="21"/>
              </w:rPr>
              <w:t>项目</w:t>
            </w:r>
          </w:p>
        </w:tc>
        <w:tc>
          <w:tcPr>
            <w:tcW w:w="2805" w:type="dxa"/>
            <w:tcBorders>
              <w:tl2br w:val="nil"/>
              <w:tr2bl w:val="nil"/>
            </w:tcBorders>
            <w:vAlign w:val="center"/>
          </w:tcPr>
          <w:p w14:paraId="2EA321E8">
            <w:pPr>
              <w:ind w:firstLine="0" w:firstLineChars="0"/>
              <w:jc w:val="center"/>
              <w:rPr>
                <w:b/>
                <w:bCs/>
                <w:color w:val="auto"/>
                <w:szCs w:val="21"/>
              </w:rPr>
            </w:pPr>
            <w:r>
              <w:rPr>
                <w:b/>
                <w:bCs/>
                <w:color w:val="auto"/>
                <w:szCs w:val="21"/>
              </w:rPr>
              <w:t>环境保护措施</w:t>
            </w:r>
          </w:p>
        </w:tc>
        <w:tc>
          <w:tcPr>
            <w:tcW w:w="1593" w:type="dxa"/>
            <w:tcBorders>
              <w:tl2br w:val="nil"/>
              <w:tr2bl w:val="nil"/>
            </w:tcBorders>
            <w:vAlign w:val="center"/>
          </w:tcPr>
          <w:p w14:paraId="1B9CC6DE">
            <w:pPr>
              <w:ind w:firstLine="0" w:firstLineChars="0"/>
              <w:jc w:val="center"/>
              <w:rPr>
                <w:b/>
                <w:bCs/>
                <w:color w:val="auto"/>
                <w:szCs w:val="21"/>
              </w:rPr>
            </w:pPr>
            <w:r>
              <w:rPr>
                <w:b/>
                <w:bCs/>
                <w:color w:val="auto"/>
                <w:szCs w:val="21"/>
              </w:rPr>
              <w:t>执行标准</w:t>
            </w:r>
          </w:p>
        </w:tc>
      </w:tr>
      <w:tr w14:paraId="0D0C4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restart"/>
            <w:tcBorders>
              <w:tl2br w:val="nil"/>
              <w:tr2bl w:val="nil"/>
            </w:tcBorders>
            <w:vAlign w:val="center"/>
          </w:tcPr>
          <w:p w14:paraId="781EA159">
            <w:pPr>
              <w:ind w:firstLine="0" w:firstLineChars="0"/>
              <w:jc w:val="center"/>
              <w:rPr>
                <w:color w:val="auto"/>
                <w:sz w:val="21"/>
                <w:szCs w:val="21"/>
              </w:rPr>
            </w:pPr>
            <w:r>
              <w:rPr>
                <w:color w:val="auto"/>
                <w:sz w:val="21"/>
                <w:szCs w:val="21"/>
              </w:rPr>
              <w:t>大气环境</w:t>
            </w:r>
          </w:p>
        </w:tc>
        <w:tc>
          <w:tcPr>
            <w:tcW w:w="1476" w:type="dxa"/>
            <w:vMerge w:val="restart"/>
            <w:tcBorders>
              <w:tl2br w:val="nil"/>
              <w:tr2bl w:val="nil"/>
            </w:tcBorders>
            <w:vAlign w:val="center"/>
          </w:tcPr>
          <w:p w14:paraId="12990287">
            <w:pPr>
              <w:ind w:firstLine="0" w:firstLineChars="0"/>
              <w:jc w:val="center"/>
              <w:rPr>
                <w:color w:val="auto"/>
                <w:sz w:val="21"/>
                <w:szCs w:val="21"/>
              </w:rPr>
            </w:pPr>
            <w:r>
              <w:rPr>
                <w:rFonts w:hint="eastAsia"/>
                <w:color w:val="auto"/>
                <w:sz w:val="21"/>
                <w:szCs w:val="21"/>
              </w:rPr>
              <w:t>现有项目</w:t>
            </w:r>
            <w:r>
              <w:rPr>
                <w:color w:val="auto"/>
                <w:sz w:val="21"/>
                <w:szCs w:val="21"/>
              </w:rPr>
              <w:t>粉料筒仓有组织粉尘</w:t>
            </w:r>
          </w:p>
        </w:tc>
        <w:tc>
          <w:tcPr>
            <w:tcW w:w="1179" w:type="dxa"/>
            <w:tcBorders>
              <w:tl2br w:val="nil"/>
              <w:tr2bl w:val="nil"/>
            </w:tcBorders>
            <w:vAlign w:val="center"/>
          </w:tcPr>
          <w:p w14:paraId="5D85E324">
            <w:pPr>
              <w:ind w:firstLine="0" w:firstLineChars="0"/>
              <w:jc w:val="center"/>
              <w:rPr>
                <w:color w:val="auto"/>
                <w:sz w:val="21"/>
                <w:szCs w:val="21"/>
              </w:rPr>
            </w:pPr>
            <w:r>
              <w:rPr>
                <w:color w:val="auto"/>
                <w:sz w:val="21"/>
                <w:szCs w:val="21"/>
              </w:rPr>
              <w:t>DA00</w:t>
            </w:r>
            <w:r>
              <w:rPr>
                <w:rFonts w:hint="eastAsia"/>
                <w:color w:val="auto"/>
                <w:sz w:val="21"/>
                <w:szCs w:val="21"/>
              </w:rPr>
              <w:t>1</w:t>
            </w:r>
          </w:p>
        </w:tc>
        <w:tc>
          <w:tcPr>
            <w:tcW w:w="1230" w:type="dxa"/>
            <w:vMerge w:val="restart"/>
            <w:tcBorders>
              <w:tl2br w:val="nil"/>
              <w:tr2bl w:val="nil"/>
            </w:tcBorders>
            <w:vAlign w:val="center"/>
          </w:tcPr>
          <w:p w14:paraId="3E5E862C">
            <w:pPr>
              <w:ind w:firstLine="0" w:firstLineChars="0"/>
              <w:jc w:val="center"/>
              <w:rPr>
                <w:color w:val="auto"/>
                <w:sz w:val="21"/>
                <w:szCs w:val="21"/>
              </w:rPr>
            </w:pPr>
            <w:r>
              <w:rPr>
                <w:color w:val="auto"/>
                <w:sz w:val="21"/>
                <w:szCs w:val="21"/>
              </w:rPr>
              <w:t>颗粒物</w:t>
            </w:r>
          </w:p>
        </w:tc>
        <w:tc>
          <w:tcPr>
            <w:tcW w:w="2805" w:type="dxa"/>
            <w:tcBorders>
              <w:tl2br w:val="nil"/>
              <w:tr2bl w:val="nil"/>
            </w:tcBorders>
            <w:vAlign w:val="center"/>
          </w:tcPr>
          <w:p w14:paraId="6AE253E7">
            <w:pPr>
              <w:ind w:firstLine="0" w:firstLineChars="0"/>
              <w:jc w:val="center"/>
              <w:rPr>
                <w:color w:val="auto"/>
                <w:sz w:val="21"/>
                <w:szCs w:val="21"/>
              </w:rPr>
            </w:pPr>
            <w:r>
              <w:rPr>
                <w:color w:val="auto"/>
                <w:sz w:val="21"/>
                <w:szCs w:val="21"/>
              </w:rPr>
              <w:t>布袋除尘器</w:t>
            </w:r>
            <w:r>
              <w:rPr>
                <w:rFonts w:hint="eastAsia"/>
                <w:color w:val="auto"/>
                <w:sz w:val="21"/>
                <w:szCs w:val="21"/>
              </w:rPr>
              <w:t>+仓顶排气筒</w:t>
            </w:r>
          </w:p>
        </w:tc>
        <w:tc>
          <w:tcPr>
            <w:tcW w:w="1593" w:type="dxa"/>
            <w:vMerge w:val="restart"/>
            <w:tcBorders>
              <w:tl2br w:val="nil"/>
              <w:tr2bl w:val="nil"/>
            </w:tcBorders>
            <w:vAlign w:val="center"/>
          </w:tcPr>
          <w:p w14:paraId="3CAFBFB8">
            <w:pPr>
              <w:ind w:firstLine="0" w:firstLineChars="0"/>
              <w:jc w:val="center"/>
              <w:rPr>
                <w:color w:val="auto"/>
                <w:sz w:val="21"/>
                <w:szCs w:val="21"/>
              </w:rPr>
            </w:pPr>
            <w:r>
              <w:rPr>
                <w:color w:val="auto"/>
                <w:sz w:val="21"/>
                <w:szCs w:val="21"/>
              </w:rPr>
              <w:t>执行《水泥工业大气污染物排放标准》（GB4915-2013）表1现有与新建企业大气污染物排放限值</w:t>
            </w:r>
          </w:p>
        </w:tc>
      </w:tr>
      <w:tr w14:paraId="18A77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4E896116">
            <w:pPr>
              <w:ind w:firstLine="0" w:firstLineChars="0"/>
              <w:jc w:val="center"/>
              <w:rPr>
                <w:color w:val="auto"/>
                <w:sz w:val="21"/>
                <w:szCs w:val="21"/>
              </w:rPr>
            </w:pPr>
          </w:p>
        </w:tc>
        <w:tc>
          <w:tcPr>
            <w:tcW w:w="1476" w:type="dxa"/>
            <w:vMerge w:val="continue"/>
            <w:tcBorders>
              <w:tl2br w:val="nil"/>
              <w:tr2bl w:val="nil"/>
            </w:tcBorders>
            <w:vAlign w:val="center"/>
          </w:tcPr>
          <w:p w14:paraId="6CA1A57B">
            <w:pPr>
              <w:ind w:firstLine="0" w:firstLineChars="0"/>
              <w:jc w:val="center"/>
              <w:rPr>
                <w:color w:val="auto"/>
                <w:sz w:val="21"/>
                <w:szCs w:val="21"/>
              </w:rPr>
            </w:pPr>
          </w:p>
        </w:tc>
        <w:tc>
          <w:tcPr>
            <w:tcW w:w="1179" w:type="dxa"/>
            <w:tcBorders>
              <w:tl2br w:val="nil"/>
              <w:tr2bl w:val="nil"/>
            </w:tcBorders>
            <w:vAlign w:val="center"/>
          </w:tcPr>
          <w:p w14:paraId="65CAA86E">
            <w:pPr>
              <w:ind w:firstLine="0" w:firstLineChars="0"/>
              <w:jc w:val="center"/>
              <w:rPr>
                <w:color w:val="auto"/>
                <w:sz w:val="21"/>
                <w:szCs w:val="21"/>
              </w:rPr>
            </w:pPr>
            <w:r>
              <w:rPr>
                <w:color w:val="auto"/>
                <w:sz w:val="21"/>
                <w:szCs w:val="21"/>
              </w:rPr>
              <w:t>DA00</w:t>
            </w:r>
            <w:r>
              <w:rPr>
                <w:rFonts w:hint="eastAsia"/>
                <w:color w:val="auto"/>
                <w:sz w:val="21"/>
                <w:szCs w:val="21"/>
              </w:rPr>
              <w:t>2</w:t>
            </w:r>
          </w:p>
        </w:tc>
        <w:tc>
          <w:tcPr>
            <w:tcW w:w="1230" w:type="dxa"/>
            <w:vMerge w:val="continue"/>
            <w:tcBorders>
              <w:tl2br w:val="nil"/>
              <w:tr2bl w:val="nil"/>
            </w:tcBorders>
            <w:vAlign w:val="center"/>
          </w:tcPr>
          <w:p w14:paraId="09025638">
            <w:pPr>
              <w:ind w:firstLine="0" w:firstLineChars="0"/>
              <w:jc w:val="center"/>
              <w:rPr>
                <w:color w:val="auto"/>
                <w:sz w:val="21"/>
                <w:szCs w:val="21"/>
              </w:rPr>
            </w:pPr>
          </w:p>
        </w:tc>
        <w:tc>
          <w:tcPr>
            <w:tcW w:w="2805" w:type="dxa"/>
            <w:tcBorders>
              <w:tl2br w:val="nil"/>
              <w:tr2bl w:val="nil"/>
            </w:tcBorders>
            <w:vAlign w:val="center"/>
          </w:tcPr>
          <w:p w14:paraId="3E007A1E">
            <w:pPr>
              <w:ind w:firstLine="0" w:firstLineChars="0"/>
              <w:jc w:val="center"/>
              <w:rPr>
                <w:color w:val="auto"/>
                <w:sz w:val="21"/>
                <w:szCs w:val="21"/>
              </w:rPr>
            </w:pPr>
            <w:r>
              <w:rPr>
                <w:color w:val="auto"/>
                <w:sz w:val="21"/>
                <w:szCs w:val="21"/>
              </w:rPr>
              <w:t>布袋除尘器</w:t>
            </w:r>
            <w:r>
              <w:rPr>
                <w:rFonts w:hint="eastAsia"/>
                <w:color w:val="auto"/>
                <w:sz w:val="21"/>
                <w:szCs w:val="21"/>
              </w:rPr>
              <w:t>+仓顶排气筒</w:t>
            </w:r>
          </w:p>
        </w:tc>
        <w:tc>
          <w:tcPr>
            <w:tcW w:w="1593" w:type="dxa"/>
            <w:vMerge w:val="continue"/>
            <w:tcBorders>
              <w:tl2br w:val="nil"/>
              <w:tr2bl w:val="nil"/>
            </w:tcBorders>
            <w:vAlign w:val="center"/>
          </w:tcPr>
          <w:p w14:paraId="38A0051B">
            <w:pPr>
              <w:ind w:firstLine="0" w:firstLineChars="0"/>
              <w:jc w:val="center"/>
              <w:rPr>
                <w:color w:val="auto"/>
                <w:sz w:val="21"/>
                <w:szCs w:val="21"/>
              </w:rPr>
            </w:pPr>
          </w:p>
        </w:tc>
      </w:tr>
      <w:tr w14:paraId="205A7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6CB6C344">
            <w:pPr>
              <w:ind w:firstLine="0" w:firstLineChars="0"/>
              <w:jc w:val="center"/>
              <w:rPr>
                <w:color w:val="auto"/>
                <w:sz w:val="21"/>
                <w:szCs w:val="21"/>
              </w:rPr>
            </w:pPr>
          </w:p>
        </w:tc>
        <w:tc>
          <w:tcPr>
            <w:tcW w:w="1476" w:type="dxa"/>
            <w:vMerge w:val="continue"/>
            <w:tcBorders>
              <w:tl2br w:val="nil"/>
              <w:tr2bl w:val="nil"/>
            </w:tcBorders>
            <w:vAlign w:val="center"/>
          </w:tcPr>
          <w:p w14:paraId="75A005D2">
            <w:pPr>
              <w:ind w:firstLine="0" w:firstLineChars="0"/>
              <w:jc w:val="center"/>
              <w:rPr>
                <w:color w:val="auto"/>
                <w:sz w:val="21"/>
                <w:szCs w:val="21"/>
              </w:rPr>
            </w:pPr>
          </w:p>
        </w:tc>
        <w:tc>
          <w:tcPr>
            <w:tcW w:w="1179" w:type="dxa"/>
            <w:tcBorders>
              <w:tl2br w:val="nil"/>
              <w:tr2bl w:val="nil"/>
            </w:tcBorders>
            <w:vAlign w:val="center"/>
          </w:tcPr>
          <w:p w14:paraId="4B2ED3EB">
            <w:pPr>
              <w:ind w:firstLine="0" w:firstLineChars="0"/>
              <w:jc w:val="center"/>
              <w:rPr>
                <w:color w:val="auto"/>
                <w:sz w:val="21"/>
                <w:szCs w:val="21"/>
              </w:rPr>
            </w:pPr>
            <w:r>
              <w:rPr>
                <w:color w:val="auto"/>
                <w:sz w:val="21"/>
                <w:szCs w:val="21"/>
              </w:rPr>
              <w:t>DA00</w:t>
            </w:r>
            <w:r>
              <w:rPr>
                <w:rFonts w:hint="eastAsia"/>
                <w:color w:val="auto"/>
                <w:sz w:val="21"/>
                <w:szCs w:val="21"/>
              </w:rPr>
              <w:t>3</w:t>
            </w:r>
          </w:p>
        </w:tc>
        <w:tc>
          <w:tcPr>
            <w:tcW w:w="1230" w:type="dxa"/>
            <w:vMerge w:val="continue"/>
            <w:tcBorders>
              <w:tl2br w:val="nil"/>
              <w:tr2bl w:val="nil"/>
            </w:tcBorders>
            <w:vAlign w:val="center"/>
          </w:tcPr>
          <w:p w14:paraId="257730B6">
            <w:pPr>
              <w:ind w:firstLine="0" w:firstLineChars="0"/>
              <w:jc w:val="center"/>
              <w:rPr>
                <w:color w:val="auto"/>
                <w:sz w:val="21"/>
                <w:szCs w:val="21"/>
              </w:rPr>
            </w:pPr>
          </w:p>
        </w:tc>
        <w:tc>
          <w:tcPr>
            <w:tcW w:w="2805" w:type="dxa"/>
            <w:tcBorders>
              <w:tl2br w:val="nil"/>
              <w:tr2bl w:val="nil"/>
            </w:tcBorders>
            <w:vAlign w:val="center"/>
          </w:tcPr>
          <w:p w14:paraId="3A59EF10">
            <w:pPr>
              <w:ind w:firstLine="0" w:firstLineChars="0"/>
              <w:jc w:val="center"/>
              <w:rPr>
                <w:color w:val="auto"/>
                <w:sz w:val="21"/>
                <w:szCs w:val="21"/>
              </w:rPr>
            </w:pPr>
            <w:r>
              <w:rPr>
                <w:color w:val="auto"/>
                <w:sz w:val="21"/>
                <w:szCs w:val="21"/>
              </w:rPr>
              <w:t>布袋除尘器</w:t>
            </w:r>
            <w:r>
              <w:rPr>
                <w:rFonts w:hint="eastAsia"/>
                <w:color w:val="auto"/>
                <w:sz w:val="21"/>
                <w:szCs w:val="21"/>
              </w:rPr>
              <w:t>+仓顶排气筒</w:t>
            </w:r>
          </w:p>
        </w:tc>
        <w:tc>
          <w:tcPr>
            <w:tcW w:w="1593" w:type="dxa"/>
            <w:vMerge w:val="continue"/>
            <w:tcBorders>
              <w:tl2br w:val="nil"/>
              <w:tr2bl w:val="nil"/>
            </w:tcBorders>
            <w:vAlign w:val="center"/>
          </w:tcPr>
          <w:p w14:paraId="00D2F0CF">
            <w:pPr>
              <w:ind w:firstLine="0" w:firstLineChars="0"/>
              <w:jc w:val="center"/>
              <w:rPr>
                <w:color w:val="auto"/>
                <w:sz w:val="21"/>
                <w:szCs w:val="21"/>
              </w:rPr>
            </w:pPr>
          </w:p>
        </w:tc>
      </w:tr>
      <w:tr w14:paraId="401CA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1D8DB2D8">
            <w:pPr>
              <w:ind w:firstLine="0" w:firstLineChars="0"/>
              <w:jc w:val="center"/>
              <w:rPr>
                <w:color w:val="auto"/>
                <w:sz w:val="21"/>
                <w:szCs w:val="21"/>
              </w:rPr>
            </w:pPr>
          </w:p>
        </w:tc>
        <w:tc>
          <w:tcPr>
            <w:tcW w:w="1476" w:type="dxa"/>
            <w:vMerge w:val="restart"/>
            <w:tcBorders>
              <w:tl2br w:val="nil"/>
              <w:tr2bl w:val="nil"/>
            </w:tcBorders>
            <w:vAlign w:val="center"/>
          </w:tcPr>
          <w:p w14:paraId="2E6EAD39">
            <w:pPr>
              <w:ind w:firstLine="0" w:firstLineChars="0"/>
              <w:jc w:val="center"/>
              <w:rPr>
                <w:color w:val="auto"/>
                <w:sz w:val="21"/>
                <w:szCs w:val="21"/>
              </w:rPr>
            </w:pPr>
            <w:r>
              <w:rPr>
                <w:rFonts w:hint="eastAsia"/>
                <w:color w:val="auto"/>
                <w:sz w:val="21"/>
                <w:szCs w:val="21"/>
              </w:rPr>
              <w:t>本次改扩建项目</w:t>
            </w:r>
            <w:r>
              <w:rPr>
                <w:color w:val="auto"/>
                <w:sz w:val="21"/>
                <w:szCs w:val="21"/>
              </w:rPr>
              <w:t>粉料筒仓有组织粉尘</w:t>
            </w:r>
          </w:p>
        </w:tc>
        <w:tc>
          <w:tcPr>
            <w:tcW w:w="1179" w:type="dxa"/>
            <w:tcBorders>
              <w:tl2br w:val="nil"/>
              <w:tr2bl w:val="nil"/>
            </w:tcBorders>
            <w:vAlign w:val="center"/>
          </w:tcPr>
          <w:p w14:paraId="01E392EB">
            <w:pPr>
              <w:ind w:firstLine="0" w:firstLineChars="0"/>
              <w:jc w:val="center"/>
              <w:rPr>
                <w:rFonts w:hint="eastAsia" w:eastAsia="宋体"/>
                <w:color w:val="auto"/>
                <w:sz w:val="21"/>
                <w:szCs w:val="21"/>
                <w:lang w:eastAsia="zh-CN"/>
              </w:rPr>
            </w:pPr>
            <w:r>
              <w:rPr>
                <w:color w:val="auto"/>
                <w:sz w:val="21"/>
                <w:szCs w:val="21"/>
              </w:rPr>
              <w:t>DA00</w:t>
            </w:r>
            <w:r>
              <w:rPr>
                <w:rFonts w:hint="eastAsia"/>
                <w:color w:val="auto"/>
                <w:sz w:val="21"/>
                <w:szCs w:val="21"/>
                <w:lang w:val="en-US" w:eastAsia="zh-CN"/>
              </w:rPr>
              <w:t>4</w:t>
            </w:r>
          </w:p>
        </w:tc>
        <w:tc>
          <w:tcPr>
            <w:tcW w:w="1230" w:type="dxa"/>
            <w:vMerge w:val="continue"/>
            <w:tcBorders>
              <w:tl2br w:val="nil"/>
              <w:tr2bl w:val="nil"/>
            </w:tcBorders>
            <w:vAlign w:val="center"/>
          </w:tcPr>
          <w:p w14:paraId="5B68FBC2">
            <w:pPr>
              <w:ind w:firstLine="0" w:firstLineChars="0"/>
              <w:jc w:val="center"/>
              <w:rPr>
                <w:color w:val="auto"/>
                <w:sz w:val="21"/>
                <w:szCs w:val="21"/>
              </w:rPr>
            </w:pPr>
          </w:p>
        </w:tc>
        <w:tc>
          <w:tcPr>
            <w:tcW w:w="2805" w:type="dxa"/>
            <w:tcBorders>
              <w:tl2br w:val="nil"/>
              <w:tr2bl w:val="nil"/>
            </w:tcBorders>
            <w:vAlign w:val="center"/>
          </w:tcPr>
          <w:p w14:paraId="06CB12B0">
            <w:pPr>
              <w:ind w:firstLine="0" w:firstLineChars="0"/>
              <w:jc w:val="center"/>
              <w:rPr>
                <w:color w:val="auto"/>
                <w:sz w:val="21"/>
                <w:szCs w:val="21"/>
              </w:rPr>
            </w:pPr>
            <w:r>
              <w:rPr>
                <w:color w:val="auto"/>
                <w:sz w:val="21"/>
                <w:szCs w:val="21"/>
              </w:rPr>
              <w:t>布袋除尘器</w:t>
            </w:r>
            <w:r>
              <w:rPr>
                <w:rFonts w:hint="eastAsia"/>
                <w:color w:val="auto"/>
                <w:sz w:val="21"/>
                <w:szCs w:val="21"/>
              </w:rPr>
              <w:t>+仓顶排气筒</w:t>
            </w:r>
          </w:p>
        </w:tc>
        <w:tc>
          <w:tcPr>
            <w:tcW w:w="1593" w:type="dxa"/>
            <w:vMerge w:val="continue"/>
            <w:tcBorders>
              <w:tl2br w:val="nil"/>
              <w:tr2bl w:val="nil"/>
            </w:tcBorders>
            <w:vAlign w:val="center"/>
          </w:tcPr>
          <w:p w14:paraId="701E38F9">
            <w:pPr>
              <w:ind w:firstLine="0" w:firstLineChars="0"/>
              <w:jc w:val="center"/>
              <w:rPr>
                <w:color w:val="auto"/>
                <w:sz w:val="21"/>
                <w:szCs w:val="21"/>
              </w:rPr>
            </w:pPr>
          </w:p>
        </w:tc>
      </w:tr>
      <w:tr w14:paraId="6761C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2AE86DCC">
            <w:pPr>
              <w:ind w:firstLine="0" w:firstLineChars="0"/>
              <w:jc w:val="center"/>
              <w:rPr>
                <w:color w:val="auto"/>
                <w:sz w:val="21"/>
                <w:szCs w:val="21"/>
              </w:rPr>
            </w:pPr>
          </w:p>
        </w:tc>
        <w:tc>
          <w:tcPr>
            <w:tcW w:w="1476" w:type="dxa"/>
            <w:vMerge w:val="continue"/>
            <w:tcBorders>
              <w:tl2br w:val="nil"/>
              <w:tr2bl w:val="nil"/>
            </w:tcBorders>
            <w:vAlign w:val="center"/>
          </w:tcPr>
          <w:p w14:paraId="5BFDB003">
            <w:pPr>
              <w:ind w:firstLine="0" w:firstLineChars="0"/>
              <w:jc w:val="center"/>
              <w:rPr>
                <w:color w:val="auto"/>
                <w:sz w:val="21"/>
                <w:szCs w:val="21"/>
              </w:rPr>
            </w:pPr>
          </w:p>
        </w:tc>
        <w:tc>
          <w:tcPr>
            <w:tcW w:w="1179" w:type="dxa"/>
            <w:tcBorders>
              <w:tl2br w:val="nil"/>
              <w:tr2bl w:val="nil"/>
            </w:tcBorders>
            <w:vAlign w:val="center"/>
          </w:tcPr>
          <w:p w14:paraId="5F644C87">
            <w:pPr>
              <w:ind w:firstLine="0" w:firstLineChars="0"/>
              <w:jc w:val="center"/>
              <w:rPr>
                <w:rFonts w:hint="eastAsia" w:eastAsia="宋体"/>
                <w:color w:val="auto"/>
                <w:sz w:val="21"/>
                <w:szCs w:val="21"/>
                <w:lang w:eastAsia="zh-CN"/>
              </w:rPr>
            </w:pPr>
            <w:r>
              <w:rPr>
                <w:color w:val="auto"/>
                <w:sz w:val="21"/>
                <w:szCs w:val="21"/>
              </w:rPr>
              <w:t>DA00</w:t>
            </w:r>
            <w:r>
              <w:rPr>
                <w:rFonts w:hint="eastAsia"/>
                <w:color w:val="auto"/>
                <w:sz w:val="21"/>
                <w:szCs w:val="21"/>
                <w:lang w:val="en-US" w:eastAsia="zh-CN"/>
              </w:rPr>
              <w:t>5</w:t>
            </w:r>
          </w:p>
        </w:tc>
        <w:tc>
          <w:tcPr>
            <w:tcW w:w="1230" w:type="dxa"/>
            <w:vMerge w:val="continue"/>
            <w:tcBorders>
              <w:tl2br w:val="nil"/>
              <w:tr2bl w:val="nil"/>
            </w:tcBorders>
            <w:vAlign w:val="center"/>
          </w:tcPr>
          <w:p w14:paraId="18E6CCA2">
            <w:pPr>
              <w:ind w:firstLine="0" w:firstLineChars="0"/>
              <w:jc w:val="center"/>
              <w:rPr>
                <w:color w:val="auto"/>
                <w:sz w:val="21"/>
                <w:szCs w:val="21"/>
              </w:rPr>
            </w:pPr>
          </w:p>
        </w:tc>
        <w:tc>
          <w:tcPr>
            <w:tcW w:w="2805" w:type="dxa"/>
            <w:tcBorders>
              <w:tl2br w:val="nil"/>
              <w:tr2bl w:val="nil"/>
            </w:tcBorders>
            <w:vAlign w:val="center"/>
          </w:tcPr>
          <w:p w14:paraId="4AB09709">
            <w:pPr>
              <w:ind w:firstLine="0" w:firstLineChars="0"/>
              <w:jc w:val="center"/>
              <w:rPr>
                <w:color w:val="auto"/>
                <w:sz w:val="21"/>
                <w:szCs w:val="21"/>
              </w:rPr>
            </w:pPr>
            <w:r>
              <w:rPr>
                <w:color w:val="auto"/>
                <w:sz w:val="21"/>
                <w:szCs w:val="21"/>
              </w:rPr>
              <w:t>布袋除尘器</w:t>
            </w:r>
            <w:r>
              <w:rPr>
                <w:rFonts w:hint="eastAsia"/>
                <w:color w:val="auto"/>
                <w:sz w:val="21"/>
                <w:szCs w:val="21"/>
              </w:rPr>
              <w:t>+仓顶排气筒</w:t>
            </w:r>
          </w:p>
        </w:tc>
        <w:tc>
          <w:tcPr>
            <w:tcW w:w="1593" w:type="dxa"/>
            <w:vMerge w:val="continue"/>
            <w:tcBorders>
              <w:tl2br w:val="nil"/>
              <w:tr2bl w:val="nil"/>
            </w:tcBorders>
            <w:vAlign w:val="center"/>
          </w:tcPr>
          <w:p w14:paraId="128B4060">
            <w:pPr>
              <w:ind w:firstLine="0" w:firstLineChars="0"/>
              <w:jc w:val="center"/>
              <w:rPr>
                <w:color w:val="auto"/>
                <w:sz w:val="21"/>
                <w:szCs w:val="21"/>
              </w:rPr>
            </w:pPr>
          </w:p>
        </w:tc>
      </w:tr>
      <w:tr w14:paraId="69CD3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35B97D17">
            <w:pPr>
              <w:ind w:firstLine="0" w:firstLineChars="0"/>
              <w:jc w:val="center"/>
              <w:rPr>
                <w:color w:val="auto"/>
                <w:sz w:val="21"/>
                <w:szCs w:val="21"/>
              </w:rPr>
            </w:pPr>
          </w:p>
        </w:tc>
        <w:tc>
          <w:tcPr>
            <w:tcW w:w="1476" w:type="dxa"/>
            <w:vMerge w:val="continue"/>
            <w:tcBorders>
              <w:tl2br w:val="nil"/>
              <w:tr2bl w:val="nil"/>
            </w:tcBorders>
            <w:vAlign w:val="center"/>
          </w:tcPr>
          <w:p w14:paraId="27B10105">
            <w:pPr>
              <w:ind w:firstLine="0" w:firstLineChars="0"/>
              <w:jc w:val="center"/>
              <w:rPr>
                <w:color w:val="auto"/>
                <w:sz w:val="21"/>
                <w:szCs w:val="21"/>
              </w:rPr>
            </w:pPr>
          </w:p>
        </w:tc>
        <w:tc>
          <w:tcPr>
            <w:tcW w:w="1179" w:type="dxa"/>
            <w:tcBorders>
              <w:tl2br w:val="nil"/>
              <w:tr2bl w:val="nil"/>
            </w:tcBorders>
            <w:vAlign w:val="center"/>
          </w:tcPr>
          <w:p w14:paraId="5F9568B9">
            <w:pPr>
              <w:ind w:firstLine="0" w:firstLineChars="0"/>
              <w:jc w:val="center"/>
              <w:rPr>
                <w:rFonts w:hint="eastAsia" w:eastAsia="宋体"/>
                <w:color w:val="auto"/>
                <w:sz w:val="21"/>
                <w:szCs w:val="21"/>
                <w:lang w:eastAsia="zh-CN"/>
              </w:rPr>
            </w:pPr>
            <w:r>
              <w:rPr>
                <w:color w:val="auto"/>
                <w:sz w:val="21"/>
                <w:szCs w:val="21"/>
              </w:rPr>
              <w:t>DA00</w:t>
            </w:r>
            <w:r>
              <w:rPr>
                <w:rFonts w:hint="eastAsia"/>
                <w:color w:val="auto"/>
                <w:sz w:val="21"/>
                <w:szCs w:val="21"/>
                <w:lang w:val="en-US" w:eastAsia="zh-CN"/>
              </w:rPr>
              <w:t>6</w:t>
            </w:r>
          </w:p>
        </w:tc>
        <w:tc>
          <w:tcPr>
            <w:tcW w:w="1230" w:type="dxa"/>
            <w:vMerge w:val="continue"/>
            <w:tcBorders>
              <w:tl2br w:val="nil"/>
              <w:tr2bl w:val="nil"/>
            </w:tcBorders>
            <w:vAlign w:val="center"/>
          </w:tcPr>
          <w:p w14:paraId="2A630447">
            <w:pPr>
              <w:ind w:firstLine="0" w:firstLineChars="0"/>
              <w:jc w:val="center"/>
              <w:rPr>
                <w:color w:val="auto"/>
                <w:sz w:val="21"/>
                <w:szCs w:val="21"/>
              </w:rPr>
            </w:pPr>
          </w:p>
        </w:tc>
        <w:tc>
          <w:tcPr>
            <w:tcW w:w="2805" w:type="dxa"/>
            <w:tcBorders>
              <w:tl2br w:val="nil"/>
              <w:tr2bl w:val="nil"/>
            </w:tcBorders>
            <w:vAlign w:val="center"/>
          </w:tcPr>
          <w:p w14:paraId="1D589FE6">
            <w:pPr>
              <w:ind w:firstLine="0" w:firstLineChars="0"/>
              <w:jc w:val="center"/>
              <w:rPr>
                <w:color w:val="auto"/>
                <w:sz w:val="21"/>
                <w:szCs w:val="21"/>
              </w:rPr>
            </w:pPr>
            <w:r>
              <w:rPr>
                <w:color w:val="auto"/>
                <w:sz w:val="21"/>
                <w:szCs w:val="21"/>
              </w:rPr>
              <w:t>布袋除尘器</w:t>
            </w:r>
            <w:r>
              <w:rPr>
                <w:rFonts w:hint="eastAsia"/>
                <w:color w:val="auto"/>
                <w:sz w:val="21"/>
                <w:szCs w:val="21"/>
              </w:rPr>
              <w:t>+仓顶排气筒</w:t>
            </w:r>
          </w:p>
        </w:tc>
        <w:tc>
          <w:tcPr>
            <w:tcW w:w="1593" w:type="dxa"/>
            <w:vMerge w:val="continue"/>
            <w:tcBorders>
              <w:tl2br w:val="nil"/>
              <w:tr2bl w:val="nil"/>
            </w:tcBorders>
            <w:vAlign w:val="center"/>
          </w:tcPr>
          <w:p w14:paraId="484559B8">
            <w:pPr>
              <w:ind w:firstLine="0" w:firstLineChars="0"/>
              <w:jc w:val="center"/>
              <w:rPr>
                <w:color w:val="auto"/>
                <w:sz w:val="21"/>
                <w:szCs w:val="21"/>
              </w:rPr>
            </w:pPr>
          </w:p>
        </w:tc>
      </w:tr>
      <w:tr w14:paraId="5AD4E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54437F50">
            <w:pPr>
              <w:ind w:firstLine="0" w:firstLineChars="0"/>
              <w:jc w:val="center"/>
              <w:rPr>
                <w:color w:val="auto"/>
                <w:sz w:val="21"/>
                <w:szCs w:val="21"/>
              </w:rPr>
            </w:pPr>
          </w:p>
        </w:tc>
        <w:tc>
          <w:tcPr>
            <w:tcW w:w="2655" w:type="dxa"/>
            <w:gridSpan w:val="2"/>
            <w:tcBorders>
              <w:tl2br w:val="nil"/>
              <w:tr2bl w:val="nil"/>
            </w:tcBorders>
            <w:vAlign w:val="center"/>
          </w:tcPr>
          <w:p w14:paraId="030B00E4">
            <w:pPr>
              <w:ind w:firstLine="0" w:firstLineChars="0"/>
              <w:jc w:val="center"/>
              <w:rPr>
                <w:color w:val="auto"/>
                <w:sz w:val="21"/>
                <w:szCs w:val="21"/>
              </w:rPr>
            </w:pPr>
            <w:r>
              <w:rPr>
                <w:color w:val="auto"/>
                <w:sz w:val="21"/>
                <w:szCs w:val="21"/>
              </w:rPr>
              <w:t>拌合站搅拌</w:t>
            </w:r>
            <w:r>
              <w:rPr>
                <w:rFonts w:hint="eastAsia"/>
                <w:color w:val="auto"/>
                <w:sz w:val="21"/>
                <w:szCs w:val="21"/>
              </w:rPr>
              <w:t>无</w:t>
            </w:r>
            <w:r>
              <w:rPr>
                <w:color w:val="auto"/>
                <w:sz w:val="21"/>
                <w:szCs w:val="21"/>
              </w:rPr>
              <w:t>组织粉尘</w:t>
            </w:r>
          </w:p>
        </w:tc>
        <w:tc>
          <w:tcPr>
            <w:tcW w:w="1230" w:type="dxa"/>
            <w:tcBorders>
              <w:tl2br w:val="nil"/>
              <w:tr2bl w:val="nil"/>
            </w:tcBorders>
            <w:vAlign w:val="center"/>
          </w:tcPr>
          <w:p w14:paraId="2B1A1B24">
            <w:pPr>
              <w:ind w:firstLine="0" w:firstLineChars="0"/>
              <w:jc w:val="center"/>
              <w:rPr>
                <w:color w:val="auto"/>
                <w:sz w:val="21"/>
                <w:szCs w:val="21"/>
              </w:rPr>
            </w:pPr>
            <w:r>
              <w:rPr>
                <w:color w:val="auto"/>
                <w:sz w:val="21"/>
                <w:szCs w:val="21"/>
              </w:rPr>
              <w:t>颗粒物</w:t>
            </w:r>
          </w:p>
        </w:tc>
        <w:tc>
          <w:tcPr>
            <w:tcW w:w="2805" w:type="dxa"/>
            <w:tcBorders>
              <w:tl2br w:val="nil"/>
              <w:tr2bl w:val="nil"/>
            </w:tcBorders>
            <w:vAlign w:val="center"/>
          </w:tcPr>
          <w:p w14:paraId="4A1E1C0F">
            <w:pPr>
              <w:ind w:firstLine="0" w:firstLineChars="0"/>
              <w:jc w:val="center"/>
              <w:rPr>
                <w:color w:val="auto"/>
                <w:sz w:val="21"/>
                <w:szCs w:val="21"/>
              </w:rPr>
            </w:pPr>
            <w:r>
              <w:rPr>
                <w:color w:val="auto"/>
                <w:sz w:val="21"/>
                <w:szCs w:val="21"/>
              </w:rPr>
              <w:t>布袋除尘器</w:t>
            </w:r>
            <w:r>
              <w:rPr>
                <w:rFonts w:hint="eastAsia"/>
                <w:color w:val="auto"/>
                <w:sz w:val="21"/>
                <w:szCs w:val="21"/>
              </w:rPr>
              <w:t>+厂房阻隔</w:t>
            </w:r>
          </w:p>
        </w:tc>
        <w:tc>
          <w:tcPr>
            <w:tcW w:w="1593" w:type="dxa"/>
            <w:vMerge w:val="restart"/>
            <w:tcBorders>
              <w:tl2br w:val="nil"/>
              <w:tr2bl w:val="nil"/>
            </w:tcBorders>
            <w:vAlign w:val="center"/>
          </w:tcPr>
          <w:p w14:paraId="40190359">
            <w:pPr>
              <w:ind w:firstLine="0" w:firstLineChars="0"/>
              <w:jc w:val="center"/>
              <w:rPr>
                <w:color w:val="auto"/>
                <w:sz w:val="21"/>
                <w:szCs w:val="21"/>
              </w:rPr>
            </w:pPr>
            <w:r>
              <w:rPr>
                <w:color w:val="auto"/>
                <w:sz w:val="21"/>
                <w:szCs w:val="21"/>
              </w:rPr>
              <w:t>《水泥工业大气污染物排放标准》（GB4915-2013）表3中颗粒物排放浓度限值要求</w:t>
            </w:r>
          </w:p>
        </w:tc>
      </w:tr>
      <w:tr w14:paraId="56B9A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28675B0F">
            <w:pPr>
              <w:ind w:firstLine="0" w:firstLineChars="0"/>
              <w:jc w:val="center"/>
              <w:rPr>
                <w:color w:val="auto"/>
                <w:sz w:val="21"/>
                <w:szCs w:val="21"/>
              </w:rPr>
            </w:pPr>
          </w:p>
        </w:tc>
        <w:tc>
          <w:tcPr>
            <w:tcW w:w="2655" w:type="dxa"/>
            <w:gridSpan w:val="2"/>
            <w:tcBorders>
              <w:tl2br w:val="nil"/>
              <w:tr2bl w:val="nil"/>
            </w:tcBorders>
            <w:vAlign w:val="center"/>
          </w:tcPr>
          <w:p w14:paraId="7E768F6E">
            <w:pPr>
              <w:ind w:firstLine="0" w:firstLineChars="0"/>
              <w:jc w:val="center"/>
              <w:rPr>
                <w:color w:val="auto"/>
                <w:sz w:val="21"/>
                <w:szCs w:val="21"/>
              </w:rPr>
            </w:pPr>
            <w:r>
              <w:rPr>
                <w:rFonts w:hint="eastAsia"/>
                <w:color w:val="auto"/>
                <w:sz w:val="21"/>
                <w:szCs w:val="21"/>
              </w:rPr>
              <w:t>制砂</w:t>
            </w:r>
            <w:r>
              <w:rPr>
                <w:color w:val="auto"/>
                <w:sz w:val="21"/>
                <w:szCs w:val="21"/>
              </w:rPr>
              <w:t>生产线</w:t>
            </w:r>
            <w:r>
              <w:rPr>
                <w:rFonts w:hint="eastAsia"/>
                <w:color w:val="auto"/>
                <w:sz w:val="21"/>
                <w:szCs w:val="21"/>
              </w:rPr>
              <w:t>无</w:t>
            </w:r>
            <w:r>
              <w:rPr>
                <w:color w:val="auto"/>
                <w:sz w:val="21"/>
                <w:szCs w:val="21"/>
              </w:rPr>
              <w:t>组织粉尘</w:t>
            </w:r>
          </w:p>
        </w:tc>
        <w:tc>
          <w:tcPr>
            <w:tcW w:w="1230" w:type="dxa"/>
            <w:tcBorders>
              <w:tl2br w:val="nil"/>
              <w:tr2bl w:val="nil"/>
            </w:tcBorders>
            <w:vAlign w:val="center"/>
          </w:tcPr>
          <w:p w14:paraId="042F502B">
            <w:pPr>
              <w:ind w:firstLine="0" w:firstLineChars="0"/>
              <w:jc w:val="center"/>
              <w:rPr>
                <w:color w:val="auto"/>
                <w:sz w:val="21"/>
                <w:szCs w:val="21"/>
              </w:rPr>
            </w:pPr>
            <w:r>
              <w:rPr>
                <w:color w:val="auto"/>
                <w:sz w:val="21"/>
                <w:szCs w:val="21"/>
              </w:rPr>
              <w:t>颗粒物</w:t>
            </w:r>
          </w:p>
        </w:tc>
        <w:tc>
          <w:tcPr>
            <w:tcW w:w="2805" w:type="dxa"/>
            <w:tcBorders>
              <w:tl2br w:val="nil"/>
              <w:tr2bl w:val="nil"/>
            </w:tcBorders>
            <w:vAlign w:val="center"/>
          </w:tcPr>
          <w:p w14:paraId="3292F1E4">
            <w:pPr>
              <w:ind w:firstLine="0" w:firstLineChars="0"/>
              <w:jc w:val="center"/>
              <w:rPr>
                <w:color w:val="auto"/>
                <w:sz w:val="21"/>
                <w:szCs w:val="21"/>
              </w:rPr>
            </w:pPr>
            <w:r>
              <w:rPr>
                <w:rFonts w:hint="eastAsia"/>
                <w:color w:val="auto"/>
                <w:sz w:val="21"/>
                <w:szCs w:val="21"/>
              </w:rPr>
              <w:t>喷雾降尘+厂房阻隔</w:t>
            </w:r>
          </w:p>
        </w:tc>
        <w:tc>
          <w:tcPr>
            <w:tcW w:w="1593" w:type="dxa"/>
            <w:vMerge w:val="continue"/>
            <w:tcBorders>
              <w:tl2br w:val="nil"/>
              <w:tr2bl w:val="nil"/>
            </w:tcBorders>
            <w:vAlign w:val="center"/>
          </w:tcPr>
          <w:p w14:paraId="58ACB065">
            <w:pPr>
              <w:ind w:firstLine="0" w:firstLineChars="0"/>
              <w:jc w:val="center"/>
              <w:rPr>
                <w:color w:val="auto"/>
                <w:sz w:val="21"/>
                <w:szCs w:val="21"/>
              </w:rPr>
            </w:pPr>
          </w:p>
        </w:tc>
      </w:tr>
      <w:tr w14:paraId="12BC1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55AC3568">
            <w:pPr>
              <w:ind w:firstLine="0" w:firstLineChars="0"/>
              <w:jc w:val="center"/>
              <w:rPr>
                <w:color w:val="auto"/>
                <w:sz w:val="21"/>
                <w:szCs w:val="21"/>
              </w:rPr>
            </w:pPr>
          </w:p>
        </w:tc>
        <w:tc>
          <w:tcPr>
            <w:tcW w:w="2655" w:type="dxa"/>
            <w:gridSpan w:val="2"/>
            <w:tcBorders>
              <w:tl2br w:val="nil"/>
              <w:tr2bl w:val="nil"/>
            </w:tcBorders>
            <w:vAlign w:val="center"/>
          </w:tcPr>
          <w:p w14:paraId="4DDD7278">
            <w:pPr>
              <w:ind w:firstLine="0" w:firstLineChars="0"/>
              <w:jc w:val="center"/>
              <w:rPr>
                <w:color w:val="auto"/>
                <w:sz w:val="21"/>
                <w:szCs w:val="21"/>
              </w:rPr>
            </w:pPr>
            <w:r>
              <w:rPr>
                <w:color w:val="auto"/>
                <w:sz w:val="21"/>
                <w:szCs w:val="21"/>
              </w:rPr>
              <w:t>车辆扬尘</w:t>
            </w:r>
          </w:p>
        </w:tc>
        <w:tc>
          <w:tcPr>
            <w:tcW w:w="1230" w:type="dxa"/>
            <w:tcBorders>
              <w:tl2br w:val="nil"/>
              <w:tr2bl w:val="nil"/>
            </w:tcBorders>
            <w:vAlign w:val="center"/>
          </w:tcPr>
          <w:p w14:paraId="2F20B81E">
            <w:pPr>
              <w:ind w:firstLine="0" w:firstLineChars="0"/>
              <w:jc w:val="center"/>
              <w:rPr>
                <w:color w:val="auto"/>
                <w:sz w:val="21"/>
                <w:szCs w:val="21"/>
              </w:rPr>
            </w:pPr>
            <w:r>
              <w:rPr>
                <w:color w:val="auto"/>
                <w:sz w:val="21"/>
                <w:szCs w:val="21"/>
              </w:rPr>
              <w:t>颗粒物</w:t>
            </w:r>
          </w:p>
        </w:tc>
        <w:tc>
          <w:tcPr>
            <w:tcW w:w="2805" w:type="dxa"/>
            <w:tcBorders>
              <w:tl2br w:val="nil"/>
              <w:tr2bl w:val="nil"/>
            </w:tcBorders>
            <w:vAlign w:val="center"/>
          </w:tcPr>
          <w:p w14:paraId="7387EB71">
            <w:pPr>
              <w:ind w:firstLine="0" w:firstLineChars="0"/>
              <w:jc w:val="center"/>
              <w:rPr>
                <w:color w:val="auto"/>
                <w:sz w:val="21"/>
                <w:szCs w:val="21"/>
              </w:rPr>
            </w:pPr>
            <w:r>
              <w:rPr>
                <w:color w:val="auto"/>
                <w:sz w:val="21"/>
                <w:szCs w:val="21"/>
              </w:rPr>
              <w:t>非雨天水管洒水除尘</w:t>
            </w:r>
          </w:p>
        </w:tc>
        <w:tc>
          <w:tcPr>
            <w:tcW w:w="1593" w:type="dxa"/>
            <w:vMerge w:val="continue"/>
            <w:tcBorders>
              <w:tl2br w:val="nil"/>
              <w:tr2bl w:val="nil"/>
            </w:tcBorders>
            <w:vAlign w:val="center"/>
          </w:tcPr>
          <w:p w14:paraId="1A0A87D6">
            <w:pPr>
              <w:ind w:firstLine="0" w:firstLineChars="0"/>
              <w:jc w:val="center"/>
              <w:rPr>
                <w:color w:val="auto"/>
                <w:sz w:val="21"/>
                <w:szCs w:val="21"/>
              </w:rPr>
            </w:pPr>
          </w:p>
        </w:tc>
      </w:tr>
      <w:tr w14:paraId="14367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238CF197">
            <w:pPr>
              <w:ind w:firstLine="0" w:firstLineChars="0"/>
              <w:jc w:val="center"/>
              <w:rPr>
                <w:color w:val="auto"/>
                <w:sz w:val="21"/>
                <w:szCs w:val="21"/>
              </w:rPr>
            </w:pPr>
          </w:p>
        </w:tc>
        <w:tc>
          <w:tcPr>
            <w:tcW w:w="2655" w:type="dxa"/>
            <w:gridSpan w:val="2"/>
            <w:tcBorders>
              <w:tl2br w:val="nil"/>
              <w:tr2bl w:val="nil"/>
            </w:tcBorders>
            <w:vAlign w:val="center"/>
          </w:tcPr>
          <w:p w14:paraId="5CB86AC4">
            <w:pPr>
              <w:ind w:firstLine="0" w:firstLineChars="0"/>
              <w:jc w:val="center"/>
              <w:rPr>
                <w:color w:val="auto"/>
                <w:sz w:val="21"/>
                <w:szCs w:val="21"/>
              </w:rPr>
            </w:pPr>
            <w:r>
              <w:rPr>
                <w:color w:val="auto"/>
                <w:sz w:val="21"/>
                <w:szCs w:val="21"/>
              </w:rPr>
              <w:t>原料堆场卸料无组织粉尘</w:t>
            </w:r>
          </w:p>
        </w:tc>
        <w:tc>
          <w:tcPr>
            <w:tcW w:w="1230" w:type="dxa"/>
            <w:tcBorders>
              <w:tl2br w:val="nil"/>
              <w:tr2bl w:val="nil"/>
            </w:tcBorders>
            <w:vAlign w:val="center"/>
          </w:tcPr>
          <w:p w14:paraId="755B9BE8">
            <w:pPr>
              <w:ind w:firstLine="0" w:firstLineChars="0"/>
              <w:jc w:val="center"/>
              <w:rPr>
                <w:color w:val="auto"/>
                <w:sz w:val="21"/>
                <w:szCs w:val="21"/>
              </w:rPr>
            </w:pPr>
            <w:r>
              <w:rPr>
                <w:color w:val="auto"/>
                <w:sz w:val="21"/>
                <w:szCs w:val="21"/>
              </w:rPr>
              <w:t>颗粒物</w:t>
            </w:r>
          </w:p>
        </w:tc>
        <w:tc>
          <w:tcPr>
            <w:tcW w:w="2805" w:type="dxa"/>
            <w:tcBorders>
              <w:tl2br w:val="nil"/>
              <w:tr2bl w:val="nil"/>
            </w:tcBorders>
            <w:vAlign w:val="center"/>
          </w:tcPr>
          <w:p w14:paraId="59A7573C">
            <w:pPr>
              <w:ind w:firstLine="0" w:firstLineChars="0"/>
              <w:jc w:val="center"/>
              <w:rPr>
                <w:color w:val="auto"/>
                <w:sz w:val="21"/>
                <w:szCs w:val="21"/>
              </w:rPr>
            </w:pPr>
            <w:r>
              <w:rPr>
                <w:color w:val="auto"/>
                <w:sz w:val="21"/>
                <w:szCs w:val="21"/>
              </w:rPr>
              <w:t>封闭厂房，卸料时炮雾机除尘</w:t>
            </w:r>
          </w:p>
        </w:tc>
        <w:tc>
          <w:tcPr>
            <w:tcW w:w="1593" w:type="dxa"/>
            <w:vMerge w:val="continue"/>
            <w:tcBorders>
              <w:tl2br w:val="nil"/>
              <w:tr2bl w:val="nil"/>
            </w:tcBorders>
            <w:vAlign w:val="center"/>
          </w:tcPr>
          <w:p w14:paraId="7CA62BA4">
            <w:pPr>
              <w:ind w:firstLine="0" w:firstLineChars="0"/>
              <w:jc w:val="center"/>
              <w:rPr>
                <w:color w:val="auto"/>
                <w:sz w:val="21"/>
                <w:szCs w:val="21"/>
              </w:rPr>
            </w:pPr>
          </w:p>
        </w:tc>
      </w:tr>
      <w:tr w14:paraId="2B8B5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5EEEC28B">
            <w:pPr>
              <w:ind w:firstLine="0" w:firstLineChars="0"/>
              <w:jc w:val="center"/>
              <w:rPr>
                <w:color w:val="auto"/>
                <w:sz w:val="21"/>
                <w:szCs w:val="21"/>
              </w:rPr>
            </w:pPr>
          </w:p>
        </w:tc>
        <w:tc>
          <w:tcPr>
            <w:tcW w:w="2655" w:type="dxa"/>
            <w:gridSpan w:val="2"/>
            <w:tcBorders>
              <w:tl2br w:val="nil"/>
              <w:tr2bl w:val="nil"/>
            </w:tcBorders>
            <w:vAlign w:val="center"/>
          </w:tcPr>
          <w:p w14:paraId="09700BEE">
            <w:pPr>
              <w:ind w:firstLine="0" w:firstLineChars="0"/>
              <w:jc w:val="center"/>
              <w:rPr>
                <w:color w:val="auto"/>
                <w:sz w:val="21"/>
                <w:szCs w:val="21"/>
              </w:rPr>
            </w:pPr>
            <w:r>
              <w:rPr>
                <w:color w:val="auto"/>
                <w:sz w:val="21"/>
                <w:szCs w:val="21"/>
              </w:rPr>
              <w:t>配料仓无组织粉尘</w:t>
            </w:r>
          </w:p>
        </w:tc>
        <w:tc>
          <w:tcPr>
            <w:tcW w:w="1230" w:type="dxa"/>
            <w:tcBorders>
              <w:tl2br w:val="nil"/>
              <w:tr2bl w:val="nil"/>
            </w:tcBorders>
            <w:vAlign w:val="center"/>
          </w:tcPr>
          <w:p w14:paraId="5F85FC5E">
            <w:pPr>
              <w:ind w:firstLine="0" w:firstLineChars="0"/>
              <w:jc w:val="center"/>
              <w:rPr>
                <w:color w:val="auto"/>
                <w:sz w:val="21"/>
                <w:szCs w:val="21"/>
              </w:rPr>
            </w:pPr>
            <w:r>
              <w:rPr>
                <w:color w:val="auto"/>
                <w:sz w:val="21"/>
                <w:szCs w:val="21"/>
              </w:rPr>
              <w:t>颗粒物</w:t>
            </w:r>
          </w:p>
        </w:tc>
        <w:tc>
          <w:tcPr>
            <w:tcW w:w="2805" w:type="dxa"/>
            <w:tcBorders>
              <w:tl2br w:val="nil"/>
              <w:tr2bl w:val="nil"/>
            </w:tcBorders>
            <w:vAlign w:val="center"/>
          </w:tcPr>
          <w:p w14:paraId="2CFE4469">
            <w:pPr>
              <w:ind w:firstLine="0" w:firstLineChars="0"/>
              <w:jc w:val="center"/>
              <w:rPr>
                <w:color w:val="auto"/>
                <w:sz w:val="21"/>
                <w:szCs w:val="21"/>
              </w:rPr>
            </w:pPr>
            <w:r>
              <w:rPr>
                <w:color w:val="auto"/>
                <w:sz w:val="21"/>
                <w:szCs w:val="21"/>
              </w:rPr>
              <w:t>封闭厂房，厂房内设置喷雾除尘系统</w:t>
            </w:r>
          </w:p>
        </w:tc>
        <w:tc>
          <w:tcPr>
            <w:tcW w:w="1593" w:type="dxa"/>
            <w:vMerge w:val="continue"/>
            <w:tcBorders>
              <w:tl2br w:val="nil"/>
              <w:tr2bl w:val="nil"/>
            </w:tcBorders>
            <w:vAlign w:val="center"/>
          </w:tcPr>
          <w:p w14:paraId="59B6A7FA">
            <w:pPr>
              <w:ind w:firstLine="0" w:firstLineChars="0"/>
              <w:jc w:val="center"/>
              <w:rPr>
                <w:color w:val="auto"/>
                <w:sz w:val="21"/>
                <w:szCs w:val="21"/>
              </w:rPr>
            </w:pPr>
          </w:p>
        </w:tc>
      </w:tr>
      <w:tr w14:paraId="1526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vMerge w:val="continue"/>
            <w:tcBorders>
              <w:tl2br w:val="nil"/>
              <w:tr2bl w:val="nil"/>
            </w:tcBorders>
            <w:vAlign w:val="center"/>
          </w:tcPr>
          <w:p w14:paraId="1692525D">
            <w:pPr>
              <w:ind w:firstLine="0" w:firstLineChars="0"/>
              <w:jc w:val="center"/>
              <w:rPr>
                <w:color w:val="auto"/>
                <w:sz w:val="21"/>
                <w:szCs w:val="21"/>
              </w:rPr>
            </w:pPr>
          </w:p>
        </w:tc>
        <w:tc>
          <w:tcPr>
            <w:tcW w:w="2655" w:type="dxa"/>
            <w:gridSpan w:val="2"/>
            <w:tcBorders>
              <w:tl2br w:val="nil"/>
              <w:tr2bl w:val="nil"/>
            </w:tcBorders>
            <w:vAlign w:val="center"/>
          </w:tcPr>
          <w:p w14:paraId="4FACB40A">
            <w:pPr>
              <w:ind w:firstLine="0" w:firstLineChars="0"/>
              <w:jc w:val="center"/>
              <w:rPr>
                <w:color w:val="auto"/>
                <w:sz w:val="21"/>
                <w:szCs w:val="21"/>
              </w:rPr>
            </w:pPr>
            <w:r>
              <w:rPr>
                <w:color w:val="auto"/>
                <w:sz w:val="21"/>
                <w:szCs w:val="21"/>
              </w:rPr>
              <w:t>汽车尾气</w:t>
            </w:r>
          </w:p>
        </w:tc>
        <w:tc>
          <w:tcPr>
            <w:tcW w:w="1230" w:type="dxa"/>
            <w:tcBorders>
              <w:tl2br w:val="nil"/>
              <w:tr2bl w:val="nil"/>
            </w:tcBorders>
            <w:vAlign w:val="center"/>
          </w:tcPr>
          <w:p w14:paraId="20891E0F">
            <w:pPr>
              <w:ind w:firstLine="0" w:firstLineChars="0"/>
              <w:jc w:val="center"/>
              <w:rPr>
                <w:color w:val="auto"/>
                <w:sz w:val="21"/>
                <w:szCs w:val="21"/>
              </w:rPr>
            </w:pPr>
            <w:r>
              <w:rPr>
                <w:color w:val="auto"/>
                <w:sz w:val="21"/>
                <w:szCs w:val="21"/>
              </w:rPr>
              <w:t>CO、THC和NOx等</w:t>
            </w:r>
          </w:p>
        </w:tc>
        <w:tc>
          <w:tcPr>
            <w:tcW w:w="2805" w:type="dxa"/>
            <w:tcBorders>
              <w:tl2br w:val="nil"/>
              <w:tr2bl w:val="nil"/>
            </w:tcBorders>
            <w:vAlign w:val="center"/>
          </w:tcPr>
          <w:p w14:paraId="72918FC4">
            <w:pPr>
              <w:ind w:firstLine="0" w:firstLineChars="0"/>
              <w:jc w:val="center"/>
              <w:rPr>
                <w:color w:val="auto"/>
                <w:sz w:val="21"/>
                <w:szCs w:val="21"/>
              </w:rPr>
            </w:pPr>
            <w:r>
              <w:rPr>
                <w:color w:val="auto"/>
                <w:sz w:val="21"/>
                <w:szCs w:val="21"/>
              </w:rPr>
              <w:t>减少汽车怠速时间</w:t>
            </w:r>
          </w:p>
        </w:tc>
        <w:tc>
          <w:tcPr>
            <w:tcW w:w="1593" w:type="dxa"/>
            <w:tcBorders>
              <w:tl2br w:val="nil"/>
              <w:tr2bl w:val="nil"/>
            </w:tcBorders>
            <w:vAlign w:val="center"/>
          </w:tcPr>
          <w:p w14:paraId="2D269F54">
            <w:pPr>
              <w:ind w:firstLine="0" w:firstLineChars="0"/>
              <w:jc w:val="center"/>
              <w:rPr>
                <w:color w:val="auto"/>
                <w:sz w:val="21"/>
                <w:szCs w:val="21"/>
              </w:rPr>
            </w:pPr>
            <w:r>
              <w:rPr>
                <w:color w:val="auto"/>
                <w:sz w:val="21"/>
                <w:szCs w:val="21"/>
              </w:rPr>
              <w:t>/</w:t>
            </w:r>
          </w:p>
        </w:tc>
      </w:tr>
      <w:tr w14:paraId="0375A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tcBorders>
              <w:tl2br w:val="nil"/>
              <w:tr2bl w:val="nil"/>
            </w:tcBorders>
            <w:vAlign w:val="center"/>
          </w:tcPr>
          <w:p w14:paraId="2E0FD25A">
            <w:pPr>
              <w:ind w:firstLine="0" w:firstLineChars="0"/>
              <w:jc w:val="center"/>
              <w:rPr>
                <w:color w:val="auto"/>
                <w:sz w:val="21"/>
                <w:szCs w:val="21"/>
              </w:rPr>
            </w:pPr>
            <w:r>
              <w:rPr>
                <w:color w:val="auto"/>
                <w:sz w:val="21"/>
                <w:szCs w:val="21"/>
              </w:rPr>
              <w:t>地表水环境</w:t>
            </w:r>
          </w:p>
        </w:tc>
        <w:tc>
          <w:tcPr>
            <w:tcW w:w="2655" w:type="dxa"/>
            <w:gridSpan w:val="2"/>
            <w:tcBorders>
              <w:tl2br w:val="nil"/>
              <w:tr2bl w:val="nil"/>
            </w:tcBorders>
            <w:vAlign w:val="center"/>
          </w:tcPr>
          <w:p w14:paraId="47E8B8F4">
            <w:pPr>
              <w:ind w:firstLine="0" w:firstLineChars="0"/>
              <w:jc w:val="center"/>
              <w:rPr>
                <w:color w:val="auto"/>
                <w:sz w:val="21"/>
                <w:szCs w:val="21"/>
              </w:rPr>
            </w:pPr>
            <w:r>
              <w:rPr>
                <w:color w:val="auto"/>
                <w:sz w:val="21"/>
                <w:szCs w:val="21"/>
              </w:rPr>
              <w:t>搅拌机清洗废水、车辆清洗废水、场地清洗废水</w:t>
            </w:r>
          </w:p>
        </w:tc>
        <w:tc>
          <w:tcPr>
            <w:tcW w:w="1230" w:type="dxa"/>
            <w:tcBorders>
              <w:tl2br w:val="nil"/>
              <w:tr2bl w:val="nil"/>
            </w:tcBorders>
            <w:vAlign w:val="center"/>
          </w:tcPr>
          <w:p w14:paraId="708768FA">
            <w:pPr>
              <w:ind w:firstLine="0" w:firstLineChars="0"/>
              <w:jc w:val="center"/>
              <w:rPr>
                <w:color w:val="auto"/>
                <w:sz w:val="21"/>
                <w:szCs w:val="21"/>
              </w:rPr>
            </w:pPr>
            <w:r>
              <w:rPr>
                <w:color w:val="auto"/>
                <w:sz w:val="21"/>
                <w:szCs w:val="21"/>
              </w:rPr>
              <w:t>SS</w:t>
            </w:r>
          </w:p>
        </w:tc>
        <w:tc>
          <w:tcPr>
            <w:tcW w:w="2805" w:type="dxa"/>
            <w:tcBorders>
              <w:tl2br w:val="nil"/>
              <w:tr2bl w:val="nil"/>
            </w:tcBorders>
            <w:vAlign w:val="center"/>
          </w:tcPr>
          <w:p w14:paraId="76EAAB10">
            <w:pPr>
              <w:ind w:firstLine="0" w:firstLineChars="0"/>
              <w:jc w:val="center"/>
              <w:rPr>
                <w:color w:val="auto"/>
                <w:sz w:val="21"/>
                <w:szCs w:val="21"/>
              </w:rPr>
            </w:pPr>
            <w:r>
              <w:rPr>
                <w:color w:val="auto"/>
                <w:sz w:val="21"/>
                <w:szCs w:val="21"/>
              </w:rPr>
              <w:t>150m</w:t>
            </w:r>
            <w:r>
              <w:rPr>
                <w:color w:val="auto"/>
                <w:sz w:val="21"/>
                <w:szCs w:val="21"/>
                <w:vertAlign w:val="superscript"/>
              </w:rPr>
              <w:t>3</w:t>
            </w:r>
            <w:r>
              <w:rPr>
                <w:color w:val="auto"/>
                <w:sz w:val="21"/>
                <w:szCs w:val="21"/>
              </w:rPr>
              <w:t>沉淀池，设置初期雨水收集池</w:t>
            </w:r>
          </w:p>
        </w:tc>
        <w:tc>
          <w:tcPr>
            <w:tcW w:w="1593" w:type="dxa"/>
            <w:tcBorders>
              <w:tl2br w:val="nil"/>
              <w:tr2bl w:val="nil"/>
            </w:tcBorders>
            <w:vAlign w:val="center"/>
          </w:tcPr>
          <w:p w14:paraId="1A5DD22E">
            <w:pPr>
              <w:ind w:firstLine="0" w:firstLineChars="0"/>
              <w:jc w:val="center"/>
              <w:rPr>
                <w:color w:val="auto"/>
                <w:sz w:val="21"/>
                <w:szCs w:val="21"/>
              </w:rPr>
            </w:pPr>
            <w:r>
              <w:rPr>
                <w:color w:val="auto"/>
                <w:sz w:val="21"/>
                <w:szCs w:val="21"/>
              </w:rPr>
              <w:t>回用于生产，不外排</w:t>
            </w:r>
          </w:p>
        </w:tc>
      </w:tr>
      <w:tr w14:paraId="31B06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tcBorders>
              <w:tl2br w:val="nil"/>
              <w:tr2bl w:val="nil"/>
            </w:tcBorders>
            <w:vAlign w:val="center"/>
          </w:tcPr>
          <w:p w14:paraId="211EBCE9">
            <w:pPr>
              <w:widowControl/>
              <w:kinsoku w:val="0"/>
              <w:autoSpaceDE w:val="0"/>
              <w:autoSpaceDN w:val="0"/>
              <w:ind w:firstLine="0" w:firstLineChars="0"/>
              <w:jc w:val="center"/>
              <w:textAlignment w:val="baseline"/>
              <w:rPr>
                <w:color w:val="auto"/>
                <w:sz w:val="21"/>
                <w:szCs w:val="21"/>
              </w:rPr>
            </w:pPr>
            <w:r>
              <w:rPr>
                <w:color w:val="auto"/>
                <w:spacing w:val="5"/>
                <w:sz w:val="21"/>
                <w:szCs w:val="21"/>
              </w:rPr>
              <w:t>声环境</w:t>
            </w:r>
          </w:p>
        </w:tc>
        <w:tc>
          <w:tcPr>
            <w:tcW w:w="2655" w:type="dxa"/>
            <w:gridSpan w:val="2"/>
            <w:tcBorders>
              <w:tl2br w:val="nil"/>
              <w:tr2bl w:val="nil"/>
            </w:tcBorders>
            <w:vAlign w:val="center"/>
          </w:tcPr>
          <w:p w14:paraId="085FC884">
            <w:pPr>
              <w:widowControl/>
              <w:kinsoku w:val="0"/>
              <w:autoSpaceDE w:val="0"/>
              <w:autoSpaceDN w:val="0"/>
              <w:ind w:firstLine="0" w:firstLineChars="0"/>
              <w:jc w:val="center"/>
              <w:textAlignment w:val="baseline"/>
              <w:rPr>
                <w:color w:val="auto"/>
                <w:sz w:val="21"/>
                <w:szCs w:val="21"/>
              </w:rPr>
            </w:pPr>
            <w:r>
              <w:rPr>
                <w:color w:val="auto"/>
                <w:spacing w:val="7"/>
                <w:sz w:val="21"/>
                <w:szCs w:val="21"/>
              </w:rPr>
              <w:t>搅拌机、水泵、</w:t>
            </w:r>
            <w:r>
              <w:rPr>
                <w:color w:val="auto"/>
                <w:spacing w:val="8"/>
                <w:sz w:val="21"/>
                <w:szCs w:val="21"/>
              </w:rPr>
              <w:t>皮带机等生产设</w:t>
            </w:r>
            <w:r>
              <w:rPr>
                <w:color w:val="auto"/>
                <w:sz w:val="21"/>
                <w:szCs w:val="21"/>
              </w:rPr>
              <w:t>备</w:t>
            </w:r>
          </w:p>
        </w:tc>
        <w:tc>
          <w:tcPr>
            <w:tcW w:w="1230" w:type="dxa"/>
            <w:tcBorders>
              <w:tl2br w:val="nil"/>
              <w:tr2bl w:val="nil"/>
            </w:tcBorders>
            <w:vAlign w:val="center"/>
          </w:tcPr>
          <w:p w14:paraId="11EFC3F0">
            <w:pPr>
              <w:widowControl/>
              <w:kinsoku w:val="0"/>
              <w:autoSpaceDE w:val="0"/>
              <w:autoSpaceDN w:val="0"/>
              <w:ind w:firstLine="0" w:firstLineChars="0"/>
              <w:jc w:val="center"/>
              <w:textAlignment w:val="baseline"/>
              <w:rPr>
                <w:color w:val="auto"/>
                <w:sz w:val="21"/>
                <w:szCs w:val="21"/>
              </w:rPr>
            </w:pPr>
            <w:r>
              <w:rPr>
                <w:color w:val="auto"/>
                <w:spacing w:val="3"/>
                <w:sz w:val="21"/>
                <w:szCs w:val="21"/>
              </w:rPr>
              <w:t>等效</w:t>
            </w:r>
            <w:r>
              <w:rPr>
                <w:rFonts w:eastAsia="Times New Roman"/>
                <w:color w:val="auto"/>
                <w:spacing w:val="3"/>
                <w:sz w:val="21"/>
                <w:szCs w:val="21"/>
              </w:rPr>
              <w:t>A</w:t>
            </w:r>
            <w:r>
              <w:rPr>
                <w:color w:val="auto"/>
                <w:spacing w:val="3"/>
                <w:sz w:val="21"/>
                <w:szCs w:val="21"/>
              </w:rPr>
              <w:t>声级</w:t>
            </w:r>
          </w:p>
        </w:tc>
        <w:tc>
          <w:tcPr>
            <w:tcW w:w="2805" w:type="dxa"/>
            <w:tcBorders>
              <w:tl2br w:val="nil"/>
              <w:tr2bl w:val="nil"/>
            </w:tcBorders>
            <w:vAlign w:val="center"/>
          </w:tcPr>
          <w:p w14:paraId="1AEF5C90">
            <w:pPr>
              <w:widowControl/>
              <w:kinsoku w:val="0"/>
              <w:autoSpaceDE w:val="0"/>
              <w:autoSpaceDN w:val="0"/>
              <w:ind w:firstLine="0" w:firstLineChars="0"/>
              <w:jc w:val="center"/>
              <w:textAlignment w:val="baseline"/>
              <w:rPr>
                <w:color w:val="auto"/>
                <w:sz w:val="21"/>
                <w:szCs w:val="21"/>
              </w:rPr>
            </w:pPr>
            <w:r>
              <w:rPr>
                <w:color w:val="auto"/>
                <w:spacing w:val="-2"/>
                <w:sz w:val="21"/>
                <w:szCs w:val="21"/>
              </w:rPr>
              <w:t>采用低噪声设</w:t>
            </w:r>
            <w:r>
              <w:rPr>
                <w:color w:val="auto"/>
                <w:spacing w:val="19"/>
                <w:sz w:val="21"/>
                <w:szCs w:val="21"/>
              </w:rPr>
              <w:t>备、基础减振、</w:t>
            </w:r>
            <w:r>
              <w:rPr>
                <w:color w:val="auto"/>
                <w:spacing w:val="14"/>
                <w:sz w:val="21"/>
                <w:szCs w:val="21"/>
              </w:rPr>
              <w:t>隔声降噪、距离</w:t>
            </w:r>
            <w:r>
              <w:rPr>
                <w:color w:val="auto"/>
                <w:spacing w:val="9"/>
                <w:sz w:val="21"/>
                <w:szCs w:val="21"/>
              </w:rPr>
              <w:t>衰减</w:t>
            </w:r>
          </w:p>
        </w:tc>
        <w:tc>
          <w:tcPr>
            <w:tcW w:w="1593" w:type="dxa"/>
            <w:tcBorders>
              <w:tl2br w:val="nil"/>
              <w:tr2bl w:val="nil"/>
            </w:tcBorders>
            <w:vAlign w:val="center"/>
          </w:tcPr>
          <w:p w14:paraId="12469779">
            <w:pPr>
              <w:widowControl/>
              <w:kinsoku w:val="0"/>
              <w:autoSpaceDE w:val="0"/>
              <w:autoSpaceDN w:val="0"/>
              <w:ind w:firstLine="0" w:firstLineChars="0"/>
              <w:jc w:val="center"/>
              <w:textAlignment w:val="baseline"/>
              <w:rPr>
                <w:color w:val="auto"/>
                <w:sz w:val="21"/>
                <w:szCs w:val="21"/>
              </w:rPr>
            </w:pPr>
            <w:r>
              <w:rPr>
                <w:color w:val="auto"/>
                <w:spacing w:val="7"/>
                <w:sz w:val="21"/>
                <w:szCs w:val="21"/>
              </w:rPr>
              <w:t>《工业企业厂界</w:t>
            </w:r>
            <w:r>
              <w:rPr>
                <w:color w:val="auto"/>
                <w:spacing w:val="8"/>
                <w:sz w:val="21"/>
                <w:szCs w:val="21"/>
              </w:rPr>
              <w:t>环境噪声排放标</w:t>
            </w:r>
            <w:r>
              <w:rPr>
                <w:color w:val="auto"/>
                <w:spacing w:val="-1"/>
                <w:sz w:val="21"/>
                <w:szCs w:val="21"/>
              </w:rPr>
              <w:t>准》</w:t>
            </w:r>
            <w:r>
              <w:rPr>
                <w:color w:val="auto"/>
                <w:spacing w:val="4"/>
                <w:sz w:val="21"/>
                <w:szCs w:val="21"/>
              </w:rPr>
              <w:t>（</w:t>
            </w:r>
            <w:r>
              <w:rPr>
                <w:rFonts w:eastAsia="Times New Roman"/>
                <w:color w:val="auto"/>
                <w:sz w:val="21"/>
                <w:szCs w:val="21"/>
              </w:rPr>
              <w:t>GB</w:t>
            </w:r>
            <w:r>
              <w:rPr>
                <w:rFonts w:eastAsia="Times New Roman"/>
                <w:color w:val="auto"/>
                <w:spacing w:val="4"/>
                <w:sz w:val="21"/>
                <w:szCs w:val="21"/>
              </w:rPr>
              <w:t>12348-2008</w:t>
            </w:r>
            <w:r>
              <w:rPr>
                <w:color w:val="auto"/>
                <w:spacing w:val="-5"/>
                <w:sz w:val="21"/>
                <w:szCs w:val="21"/>
              </w:rPr>
              <w:t>)中的</w:t>
            </w:r>
            <w:r>
              <w:rPr>
                <w:rFonts w:hint="eastAsia" w:eastAsia="宋体"/>
                <w:color w:val="auto"/>
                <w:spacing w:val="-5"/>
                <w:sz w:val="21"/>
                <w:szCs w:val="21"/>
                <w:lang w:val="en-US" w:eastAsia="zh-CN"/>
              </w:rPr>
              <w:t>2</w:t>
            </w:r>
            <w:r>
              <w:rPr>
                <w:color w:val="auto"/>
                <w:spacing w:val="-5"/>
                <w:sz w:val="21"/>
                <w:szCs w:val="21"/>
              </w:rPr>
              <w:t>类标准</w:t>
            </w:r>
          </w:p>
        </w:tc>
      </w:tr>
      <w:tr w14:paraId="631FE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tcBorders>
              <w:tl2br w:val="nil"/>
              <w:tr2bl w:val="nil"/>
            </w:tcBorders>
            <w:vAlign w:val="center"/>
          </w:tcPr>
          <w:p w14:paraId="3628C283">
            <w:pPr>
              <w:widowControl/>
              <w:kinsoku w:val="0"/>
              <w:autoSpaceDE w:val="0"/>
              <w:autoSpaceDN w:val="0"/>
              <w:ind w:firstLine="0" w:firstLineChars="0"/>
              <w:jc w:val="center"/>
              <w:textAlignment w:val="baseline"/>
              <w:rPr>
                <w:color w:val="auto"/>
                <w:sz w:val="21"/>
                <w:szCs w:val="21"/>
              </w:rPr>
            </w:pPr>
            <w:r>
              <w:rPr>
                <w:color w:val="auto"/>
                <w:spacing w:val="1"/>
                <w:sz w:val="21"/>
                <w:szCs w:val="21"/>
              </w:rPr>
              <w:t>电磁辐射</w:t>
            </w:r>
          </w:p>
        </w:tc>
        <w:tc>
          <w:tcPr>
            <w:tcW w:w="2655" w:type="dxa"/>
            <w:gridSpan w:val="2"/>
            <w:tcBorders>
              <w:tl2br w:val="nil"/>
              <w:tr2bl w:val="nil"/>
            </w:tcBorders>
            <w:vAlign w:val="center"/>
          </w:tcPr>
          <w:p w14:paraId="1D697E7F">
            <w:pPr>
              <w:widowControl/>
              <w:kinsoku w:val="0"/>
              <w:autoSpaceDE w:val="0"/>
              <w:autoSpaceDN w:val="0"/>
              <w:ind w:firstLine="0" w:firstLineChars="0"/>
              <w:jc w:val="center"/>
              <w:textAlignment w:val="baseline"/>
              <w:rPr>
                <w:color w:val="auto"/>
                <w:sz w:val="21"/>
                <w:szCs w:val="21"/>
              </w:rPr>
            </w:pPr>
            <w:r>
              <w:rPr>
                <w:rFonts w:eastAsia="Times New Roman"/>
                <w:color w:val="auto"/>
                <w:spacing w:val="2"/>
                <w:sz w:val="21"/>
                <w:szCs w:val="21"/>
              </w:rPr>
              <w:t>/</w:t>
            </w:r>
          </w:p>
        </w:tc>
        <w:tc>
          <w:tcPr>
            <w:tcW w:w="1230" w:type="dxa"/>
            <w:tcBorders>
              <w:tl2br w:val="nil"/>
              <w:tr2bl w:val="nil"/>
            </w:tcBorders>
            <w:vAlign w:val="center"/>
          </w:tcPr>
          <w:p w14:paraId="7697D343">
            <w:pPr>
              <w:widowControl/>
              <w:kinsoku w:val="0"/>
              <w:autoSpaceDE w:val="0"/>
              <w:autoSpaceDN w:val="0"/>
              <w:ind w:firstLine="0" w:firstLineChars="0"/>
              <w:jc w:val="center"/>
              <w:textAlignment w:val="baseline"/>
              <w:rPr>
                <w:color w:val="auto"/>
                <w:sz w:val="21"/>
                <w:szCs w:val="21"/>
              </w:rPr>
            </w:pPr>
            <w:r>
              <w:rPr>
                <w:rFonts w:eastAsia="Times New Roman"/>
                <w:color w:val="auto"/>
                <w:spacing w:val="2"/>
                <w:sz w:val="21"/>
                <w:szCs w:val="21"/>
              </w:rPr>
              <w:t>/</w:t>
            </w:r>
          </w:p>
        </w:tc>
        <w:tc>
          <w:tcPr>
            <w:tcW w:w="2805" w:type="dxa"/>
            <w:tcBorders>
              <w:tl2br w:val="nil"/>
              <w:tr2bl w:val="nil"/>
            </w:tcBorders>
            <w:vAlign w:val="center"/>
          </w:tcPr>
          <w:p w14:paraId="0DF9022F">
            <w:pPr>
              <w:widowControl/>
              <w:kinsoku w:val="0"/>
              <w:autoSpaceDE w:val="0"/>
              <w:autoSpaceDN w:val="0"/>
              <w:ind w:firstLine="0" w:firstLineChars="0"/>
              <w:jc w:val="center"/>
              <w:textAlignment w:val="baseline"/>
              <w:rPr>
                <w:color w:val="auto"/>
                <w:sz w:val="21"/>
                <w:szCs w:val="21"/>
              </w:rPr>
            </w:pPr>
            <w:r>
              <w:rPr>
                <w:rFonts w:eastAsia="Times New Roman"/>
                <w:color w:val="auto"/>
                <w:spacing w:val="2"/>
                <w:sz w:val="21"/>
                <w:szCs w:val="21"/>
              </w:rPr>
              <w:t>/</w:t>
            </w:r>
          </w:p>
        </w:tc>
        <w:tc>
          <w:tcPr>
            <w:tcW w:w="1593" w:type="dxa"/>
            <w:tcBorders>
              <w:tl2br w:val="nil"/>
              <w:tr2bl w:val="nil"/>
            </w:tcBorders>
            <w:vAlign w:val="center"/>
          </w:tcPr>
          <w:p w14:paraId="6960410A">
            <w:pPr>
              <w:widowControl/>
              <w:kinsoku w:val="0"/>
              <w:autoSpaceDE w:val="0"/>
              <w:autoSpaceDN w:val="0"/>
              <w:ind w:firstLine="0" w:firstLineChars="0"/>
              <w:jc w:val="center"/>
              <w:textAlignment w:val="baseline"/>
              <w:rPr>
                <w:color w:val="auto"/>
                <w:sz w:val="21"/>
                <w:szCs w:val="21"/>
              </w:rPr>
            </w:pPr>
            <w:r>
              <w:rPr>
                <w:rFonts w:eastAsia="Times New Roman"/>
                <w:color w:val="auto"/>
                <w:spacing w:val="2"/>
                <w:sz w:val="21"/>
                <w:szCs w:val="21"/>
              </w:rPr>
              <w:t>/</w:t>
            </w:r>
          </w:p>
        </w:tc>
      </w:tr>
      <w:tr w14:paraId="5739D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tcBorders>
              <w:tl2br w:val="nil"/>
              <w:tr2bl w:val="nil"/>
            </w:tcBorders>
            <w:vAlign w:val="center"/>
          </w:tcPr>
          <w:p w14:paraId="521C302C">
            <w:pPr>
              <w:widowControl/>
              <w:kinsoku w:val="0"/>
              <w:autoSpaceDE w:val="0"/>
              <w:autoSpaceDN w:val="0"/>
              <w:ind w:firstLine="0" w:firstLineChars="0"/>
              <w:jc w:val="center"/>
              <w:textAlignment w:val="baseline"/>
              <w:rPr>
                <w:color w:val="auto"/>
                <w:spacing w:val="1"/>
                <w:sz w:val="24"/>
              </w:rPr>
            </w:pPr>
            <w:r>
              <w:rPr>
                <w:color w:val="auto"/>
                <w:spacing w:val="2"/>
                <w:sz w:val="24"/>
              </w:rPr>
              <w:t>固体废物</w:t>
            </w:r>
          </w:p>
        </w:tc>
        <w:tc>
          <w:tcPr>
            <w:tcW w:w="8283" w:type="dxa"/>
            <w:gridSpan w:val="5"/>
            <w:tcBorders>
              <w:tl2br w:val="nil"/>
              <w:tr2bl w:val="nil"/>
            </w:tcBorders>
            <w:vAlign w:val="center"/>
          </w:tcPr>
          <w:p w14:paraId="318C01F6">
            <w:pPr>
              <w:widowControl/>
              <w:spacing w:line="360" w:lineRule="auto"/>
              <w:ind w:firstLine="0" w:firstLineChars="0"/>
              <w:rPr>
                <w:color w:val="auto"/>
                <w:sz w:val="24"/>
              </w:rPr>
            </w:pPr>
            <w:r>
              <w:rPr>
                <w:color w:val="auto"/>
                <w:sz w:val="24"/>
              </w:rPr>
              <w:t>（</w:t>
            </w:r>
            <w:r>
              <w:rPr>
                <w:rFonts w:hint="eastAsia"/>
                <w:color w:val="auto"/>
                <w:sz w:val="24"/>
              </w:rPr>
              <w:t>1</w:t>
            </w:r>
            <w:r>
              <w:rPr>
                <w:color w:val="auto"/>
                <w:sz w:val="24"/>
              </w:rPr>
              <w:t>）沉淀池底泥：年产生量为约</w:t>
            </w:r>
            <w:r>
              <w:rPr>
                <w:rFonts w:hint="eastAsia"/>
                <w:color w:val="auto"/>
                <w:sz w:val="24"/>
                <w:lang w:val="en-US" w:eastAsia="zh-CN"/>
              </w:rPr>
              <w:t>3.96</w:t>
            </w:r>
            <w:r>
              <w:rPr>
                <w:color w:val="auto"/>
                <w:sz w:val="24"/>
              </w:rPr>
              <w:t>m³/a。产生的底泥定期清理后暂存于原料堆场，用作原料回用于搅拌生产。</w:t>
            </w:r>
          </w:p>
          <w:p w14:paraId="7C276DB5">
            <w:pPr>
              <w:widowControl/>
              <w:spacing w:line="360" w:lineRule="auto"/>
              <w:ind w:firstLine="0" w:firstLineChars="0"/>
              <w:rPr>
                <w:color w:val="auto"/>
                <w:sz w:val="24"/>
              </w:rPr>
            </w:pPr>
            <w:r>
              <w:rPr>
                <w:color w:val="auto"/>
                <w:sz w:val="24"/>
              </w:rPr>
              <w:t>（</w:t>
            </w:r>
            <w:r>
              <w:rPr>
                <w:rFonts w:hint="eastAsia"/>
                <w:color w:val="auto"/>
                <w:sz w:val="24"/>
              </w:rPr>
              <w:t>2</w:t>
            </w:r>
            <w:r>
              <w:rPr>
                <w:color w:val="auto"/>
                <w:sz w:val="24"/>
              </w:rPr>
              <w:t>）袋式除尘器收尘灰：布袋除尘器收集的粉尘产生量为</w:t>
            </w:r>
            <w:r>
              <w:rPr>
                <w:rFonts w:hint="eastAsia"/>
                <w:color w:val="auto"/>
                <w:sz w:val="24"/>
                <w:lang w:eastAsia="zh-CN"/>
              </w:rPr>
              <w:t>41.9328</w:t>
            </w:r>
            <w:r>
              <w:rPr>
                <w:color w:val="auto"/>
                <w:sz w:val="24"/>
              </w:rPr>
              <w:t>t/a，均可作为原料回用于混凝土生产。</w:t>
            </w:r>
          </w:p>
          <w:p w14:paraId="10F19F04">
            <w:pPr>
              <w:widowControl/>
              <w:spacing w:line="360" w:lineRule="auto"/>
              <w:ind w:firstLine="0" w:firstLineChars="0"/>
              <w:rPr>
                <w:color w:val="auto"/>
                <w:sz w:val="24"/>
              </w:rPr>
            </w:pPr>
            <w:r>
              <w:rPr>
                <w:color w:val="auto"/>
                <w:sz w:val="24"/>
              </w:rPr>
              <w:t>（</w:t>
            </w:r>
            <w:r>
              <w:rPr>
                <w:rFonts w:hint="eastAsia"/>
                <w:color w:val="auto"/>
                <w:sz w:val="24"/>
              </w:rPr>
              <w:t>3</w:t>
            </w:r>
            <w:r>
              <w:rPr>
                <w:color w:val="auto"/>
                <w:sz w:val="24"/>
              </w:rPr>
              <w:t>）生产废料：通过调查不合格的砂石料和剩余的</w:t>
            </w:r>
            <w:r>
              <w:rPr>
                <w:rFonts w:hint="eastAsia"/>
                <w:color w:val="auto"/>
                <w:sz w:val="24"/>
              </w:rPr>
              <w:t>混凝土</w:t>
            </w:r>
            <w:r>
              <w:rPr>
                <w:color w:val="auto"/>
                <w:sz w:val="24"/>
              </w:rPr>
              <w:t>年产生量在40t左右，可用于路面的铺垫料，或者路面的平整料。</w:t>
            </w:r>
          </w:p>
          <w:p w14:paraId="401EAC4D">
            <w:pPr>
              <w:widowControl/>
              <w:spacing w:line="360" w:lineRule="auto"/>
              <w:ind w:firstLine="0" w:firstLineChars="0"/>
              <w:rPr>
                <w:rFonts w:eastAsia="Times New Roman"/>
                <w:color w:val="auto"/>
                <w:spacing w:val="2"/>
                <w:sz w:val="24"/>
              </w:rPr>
            </w:pPr>
            <w:r>
              <w:rPr>
                <w:color w:val="auto"/>
                <w:sz w:val="24"/>
              </w:rPr>
              <w:t>（</w:t>
            </w:r>
            <w:r>
              <w:rPr>
                <w:rFonts w:hint="eastAsia"/>
                <w:color w:val="auto"/>
                <w:sz w:val="24"/>
              </w:rPr>
              <w:t>4</w:t>
            </w:r>
            <w:r>
              <w:rPr>
                <w:color w:val="auto"/>
                <w:sz w:val="24"/>
              </w:rPr>
              <w:t>）危险废物：项目定期对生产设备、运输车辆进行维修、保养，维修过程产生的废机油及其包装桶属于危险废物，废机油及其包装桶的产生量约0.</w:t>
            </w:r>
            <w:r>
              <w:rPr>
                <w:rFonts w:hint="eastAsia"/>
                <w:color w:val="auto"/>
                <w:sz w:val="24"/>
              </w:rPr>
              <w:t>1</w:t>
            </w:r>
            <w:r>
              <w:rPr>
                <w:color w:val="auto"/>
                <w:sz w:val="24"/>
              </w:rPr>
              <w:t>t/a，危险废物统一收集暂存于危废暂存间后，委托有资质单位处置。</w:t>
            </w:r>
          </w:p>
        </w:tc>
      </w:tr>
      <w:tr w14:paraId="2BE91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tcBorders>
              <w:tl2br w:val="nil"/>
              <w:tr2bl w:val="nil"/>
            </w:tcBorders>
            <w:vAlign w:val="center"/>
          </w:tcPr>
          <w:p w14:paraId="4191C2BE">
            <w:pPr>
              <w:widowControl/>
              <w:wordWrap w:val="0"/>
              <w:topLinePunct/>
              <w:ind w:firstLine="0" w:firstLineChars="0"/>
              <w:jc w:val="center"/>
              <w:textAlignment w:val="baseline"/>
              <w:rPr>
                <w:color w:val="auto"/>
                <w:sz w:val="24"/>
              </w:rPr>
            </w:pPr>
            <w:r>
              <w:rPr>
                <w:color w:val="auto"/>
                <w:sz w:val="24"/>
              </w:rPr>
              <w:t>土壤及地下水污染防治措施</w:t>
            </w:r>
          </w:p>
        </w:tc>
        <w:tc>
          <w:tcPr>
            <w:tcW w:w="8283" w:type="dxa"/>
            <w:gridSpan w:val="5"/>
            <w:tcBorders>
              <w:tl2br w:val="nil"/>
              <w:tr2bl w:val="nil"/>
            </w:tcBorders>
            <w:vAlign w:val="center"/>
          </w:tcPr>
          <w:p w14:paraId="102126D3">
            <w:pPr>
              <w:widowControl/>
              <w:wordWrap w:val="0"/>
              <w:topLinePunct/>
              <w:spacing w:line="360" w:lineRule="auto"/>
              <w:ind w:firstLine="0" w:firstLineChars="0"/>
              <w:textAlignment w:val="baseline"/>
              <w:rPr>
                <w:color w:val="auto"/>
                <w:sz w:val="24"/>
              </w:rPr>
            </w:pPr>
            <w:r>
              <w:rPr>
                <w:color w:val="auto"/>
                <w:sz w:val="24"/>
              </w:rPr>
              <w:t>（</w:t>
            </w:r>
            <w:r>
              <w:rPr>
                <w:rFonts w:eastAsia="Times New Roman"/>
                <w:color w:val="auto"/>
                <w:sz w:val="24"/>
              </w:rPr>
              <w:t>1</w:t>
            </w:r>
            <w:r>
              <w:rPr>
                <w:color w:val="auto"/>
                <w:sz w:val="24"/>
              </w:rPr>
              <w:t>）各水池采用混凝土硬化。</w:t>
            </w:r>
          </w:p>
          <w:p w14:paraId="56D8764B">
            <w:pPr>
              <w:widowControl/>
              <w:wordWrap w:val="0"/>
              <w:topLinePunct/>
              <w:spacing w:line="360" w:lineRule="auto"/>
              <w:ind w:firstLine="0" w:firstLineChars="0"/>
              <w:textAlignment w:val="baseline"/>
              <w:rPr>
                <w:color w:val="auto"/>
                <w:sz w:val="24"/>
              </w:rPr>
            </w:pPr>
            <w:r>
              <w:rPr>
                <w:color w:val="auto"/>
                <w:sz w:val="24"/>
              </w:rPr>
              <w:t>（</w:t>
            </w:r>
            <w:r>
              <w:rPr>
                <w:rFonts w:eastAsia="Times New Roman"/>
                <w:color w:val="auto"/>
                <w:sz w:val="24"/>
              </w:rPr>
              <w:t>2</w:t>
            </w:r>
            <w:r>
              <w:rPr>
                <w:color w:val="auto"/>
                <w:sz w:val="24"/>
              </w:rPr>
              <w:t>）危废暂存间设置为重点防渗区，重点防渗区防治措施为：防渗层为至少</w:t>
            </w:r>
            <w:r>
              <w:rPr>
                <w:rFonts w:eastAsia="Times New Roman"/>
                <w:color w:val="auto"/>
                <w:sz w:val="24"/>
              </w:rPr>
              <w:t>1m</w:t>
            </w:r>
            <w:r>
              <w:rPr>
                <w:color w:val="auto"/>
                <w:sz w:val="24"/>
              </w:rPr>
              <w:t>厚黏土层（渗透系数</w:t>
            </w:r>
            <w:r>
              <w:rPr>
                <w:rFonts w:eastAsia="Times New Roman"/>
                <w:color w:val="auto"/>
                <w:sz w:val="24"/>
              </w:rPr>
              <w:t>≤10</w:t>
            </w:r>
            <w:r>
              <w:rPr>
                <w:rFonts w:eastAsia="Times New Roman"/>
                <w:color w:val="auto"/>
                <w:sz w:val="24"/>
                <w:vertAlign w:val="superscript"/>
              </w:rPr>
              <w:t>-7</w:t>
            </w:r>
            <w:r>
              <w:rPr>
                <w:rFonts w:eastAsia="Times New Roman"/>
                <w:color w:val="auto"/>
                <w:sz w:val="24"/>
              </w:rPr>
              <w:t>cm/s</w:t>
            </w:r>
            <w:r>
              <w:rPr>
                <w:color w:val="auto"/>
                <w:sz w:val="24"/>
              </w:rPr>
              <w:t>），或</w:t>
            </w:r>
            <w:r>
              <w:rPr>
                <w:rFonts w:eastAsia="Times New Roman"/>
                <w:color w:val="auto"/>
                <w:sz w:val="24"/>
              </w:rPr>
              <w:t>2mm</w:t>
            </w:r>
            <w:r>
              <w:rPr>
                <w:color w:val="auto"/>
                <w:sz w:val="24"/>
              </w:rPr>
              <w:t>厚高密度聚乙烯，或至少</w:t>
            </w:r>
            <w:r>
              <w:rPr>
                <w:rFonts w:eastAsia="Times New Roman"/>
                <w:color w:val="auto"/>
                <w:sz w:val="24"/>
              </w:rPr>
              <w:t>2mm</w:t>
            </w:r>
            <w:r>
              <w:rPr>
                <w:color w:val="auto"/>
                <w:sz w:val="24"/>
              </w:rPr>
              <w:t>厚的其他人工材料，渗透系数</w:t>
            </w:r>
            <w:r>
              <w:rPr>
                <w:rFonts w:eastAsia="Times New Roman"/>
                <w:color w:val="auto"/>
                <w:sz w:val="24"/>
              </w:rPr>
              <w:t>≤10</w:t>
            </w:r>
            <w:r>
              <w:rPr>
                <w:rFonts w:eastAsia="Times New Roman"/>
                <w:color w:val="auto"/>
                <w:szCs w:val="21"/>
                <w:vertAlign w:val="superscript"/>
              </w:rPr>
              <w:t>-10</w:t>
            </w:r>
            <w:r>
              <w:rPr>
                <w:rFonts w:eastAsia="Times New Roman"/>
                <w:color w:val="auto"/>
                <w:sz w:val="24"/>
              </w:rPr>
              <w:t>cm/s</w:t>
            </w:r>
            <w:r>
              <w:rPr>
                <w:color w:val="auto"/>
                <w:sz w:val="24"/>
              </w:rPr>
              <w:t>。</w:t>
            </w:r>
          </w:p>
        </w:tc>
      </w:tr>
      <w:tr w14:paraId="0B36B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tcBorders>
              <w:tl2br w:val="nil"/>
              <w:tr2bl w:val="nil"/>
            </w:tcBorders>
            <w:vAlign w:val="center"/>
          </w:tcPr>
          <w:p w14:paraId="08B2E223">
            <w:pPr>
              <w:ind w:firstLine="0" w:firstLineChars="0"/>
              <w:jc w:val="center"/>
              <w:rPr>
                <w:color w:val="auto"/>
                <w:spacing w:val="1"/>
                <w:sz w:val="24"/>
              </w:rPr>
            </w:pPr>
            <w:r>
              <w:rPr>
                <w:color w:val="auto"/>
                <w:sz w:val="24"/>
              </w:rPr>
              <w:t>生态保护措施</w:t>
            </w:r>
          </w:p>
        </w:tc>
        <w:tc>
          <w:tcPr>
            <w:tcW w:w="8283" w:type="dxa"/>
            <w:gridSpan w:val="5"/>
            <w:tcBorders>
              <w:tl2br w:val="nil"/>
              <w:tr2bl w:val="nil"/>
            </w:tcBorders>
            <w:vAlign w:val="center"/>
          </w:tcPr>
          <w:p w14:paraId="52750B46">
            <w:pPr>
              <w:spacing w:line="360" w:lineRule="auto"/>
              <w:ind w:firstLine="0" w:firstLineChars="0"/>
              <w:rPr>
                <w:rFonts w:eastAsia="Times New Roman"/>
                <w:color w:val="auto"/>
                <w:spacing w:val="2"/>
                <w:sz w:val="24"/>
              </w:rPr>
            </w:pPr>
            <w:r>
              <w:rPr>
                <w:color w:val="auto"/>
                <w:sz w:val="24"/>
              </w:rPr>
              <w:t>项目充分利用空间进行绿化，达到美化环境的效果。</w:t>
            </w:r>
          </w:p>
        </w:tc>
      </w:tr>
      <w:tr w14:paraId="50903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tcBorders>
              <w:tl2br w:val="nil"/>
              <w:tr2bl w:val="nil"/>
            </w:tcBorders>
            <w:vAlign w:val="center"/>
          </w:tcPr>
          <w:p w14:paraId="7E2EF400">
            <w:pPr>
              <w:widowControl/>
              <w:ind w:firstLine="0" w:firstLineChars="0"/>
              <w:jc w:val="center"/>
              <w:rPr>
                <w:color w:val="auto"/>
                <w:sz w:val="24"/>
              </w:rPr>
            </w:pPr>
            <w:r>
              <w:rPr>
                <w:color w:val="auto"/>
                <w:sz w:val="24"/>
              </w:rPr>
              <w:t>环境风险防范措施</w:t>
            </w:r>
          </w:p>
        </w:tc>
        <w:tc>
          <w:tcPr>
            <w:tcW w:w="8283" w:type="dxa"/>
            <w:gridSpan w:val="5"/>
            <w:tcBorders>
              <w:tl2br w:val="nil"/>
              <w:tr2bl w:val="nil"/>
            </w:tcBorders>
            <w:vAlign w:val="center"/>
          </w:tcPr>
          <w:p w14:paraId="5F88EEB1">
            <w:pPr>
              <w:widowControl/>
              <w:spacing w:line="360" w:lineRule="auto"/>
              <w:ind w:firstLine="0" w:firstLineChars="0"/>
              <w:rPr>
                <w:rFonts w:hint="default" w:ascii="Times New Roman" w:hAnsi="Times New Roman" w:cs="Times New Roman"/>
                <w:color w:val="auto"/>
                <w:sz w:val="24"/>
              </w:rPr>
            </w:pPr>
            <w:r>
              <w:rPr>
                <w:rFonts w:hint="default" w:ascii="Times New Roman" w:hAnsi="Times New Roman" w:cs="Times New Roman"/>
                <w:color w:val="auto"/>
                <w:sz w:val="24"/>
              </w:rPr>
              <w:t>①危险化学品储存区应设安全警示标志，车间内配备足够数量的干粉灭火器或泡沫灭火器，设置防火、易燃等警示标牌，远离火种、热源、易燃、可燃物，工作场所严禁吸烟，配备适量的1211灭火器，以及适量砂土作为灭火剂。</w:t>
            </w:r>
          </w:p>
          <w:p w14:paraId="1E2B059F">
            <w:pPr>
              <w:widowControl/>
              <w:spacing w:line="360" w:lineRule="auto"/>
              <w:ind w:firstLine="0" w:firstLineChars="0"/>
              <w:rPr>
                <w:rFonts w:hint="default" w:ascii="Times New Roman" w:hAnsi="Times New Roman" w:cs="Times New Roman"/>
                <w:color w:val="auto"/>
                <w:sz w:val="24"/>
              </w:rPr>
            </w:pPr>
            <w:r>
              <w:rPr>
                <w:rFonts w:hint="default" w:ascii="Times New Roman" w:hAnsi="Times New Roman" w:cs="Times New Roman"/>
                <w:color w:val="auto"/>
                <w:sz w:val="24"/>
              </w:rPr>
              <w:t>②建设单位必须严格遵守《危险化学品安全管理条例》，物料储存过程必须按照《危险化学品安全管理条例》和《仓库防火安全管理规则》等规定做到安全储存。</w:t>
            </w:r>
          </w:p>
          <w:p w14:paraId="36EAD81F">
            <w:pPr>
              <w:widowControl/>
              <w:spacing w:line="360" w:lineRule="auto"/>
              <w:ind w:firstLine="0" w:firstLineChars="0"/>
              <w:rPr>
                <w:rFonts w:hint="default" w:ascii="Times New Roman" w:hAnsi="Times New Roman" w:cs="Times New Roman"/>
                <w:color w:val="auto"/>
                <w:sz w:val="24"/>
              </w:rPr>
            </w:pPr>
            <w:r>
              <w:rPr>
                <w:rFonts w:hint="default" w:ascii="Times New Roman" w:hAnsi="Times New Roman" w:cs="Times New Roman"/>
                <w:color w:val="auto"/>
                <w:sz w:val="24"/>
              </w:rPr>
              <w:t>③应配备有专业知识技术人员管理，管理人员配备可靠的个人安全防护用品。④加强危废收集暂存、储运管理，加强日常检查，保证容器的完好程度，对生产过程洒落、滴漏的少量污染物应及时收集处理。</w:t>
            </w:r>
          </w:p>
          <w:p w14:paraId="48F2DED2">
            <w:pPr>
              <w:widowControl/>
              <w:spacing w:line="360" w:lineRule="auto"/>
              <w:ind w:firstLine="0" w:firstLineChars="0"/>
              <w:rPr>
                <w:color w:val="auto"/>
                <w:sz w:val="24"/>
              </w:rPr>
            </w:pPr>
            <w:r>
              <w:rPr>
                <w:rFonts w:hint="default" w:ascii="Times New Roman" w:hAnsi="Times New Roman" w:cs="Times New Roman"/>
                <w:color w:val="auto"/>
                <w:sz w:val="24"/>
              </w:rPr>
              <w:t>⑤编制突发环境事件应急预案，并报昆明市生态环境局寻甸分局备案。建立完善的应急报告制度，落实应急物资和经费，日常加强应急演练。</w:t>
            </w:r>
          </w:p>
        </w:tc>
      </w:tr>
      <w:tr w14:paraId="046D0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0" w:type="dxa"/>
            <w:left w:w="0" w:type="dxa"/>
            <w:bottom w:w="0" w:type="dxa"/>
            <w:right w:w="0" w:type="dxa"/>
          </w:tblCellMar>
        </w:tblPrEx>
        <w:trPr>
          <w:trHeight w:val="23" w:hRule="atLeast"/>
          <w:jc w:val="center"/>
        </w:trPr>
        <w:tc>
          <w:tcPr>
            <w:tcW w:w="788" w:type="dxa"/>
            <w:tcBorders>
              <w:tl2br w:val="nil"/>
              <w:tr2bl w:val="nil"/>
            </w:tcBorders>
            <w:vAlign w:val="center"/>
          </w:tcPr>
          <w:p w14:paraId="2355536F">
            <w:pPr>
              <w:widowControl/>
              <w:ind w:firstLine="0" w:firstLineChars="0"/>
              <w:jc w:val="center"/>
              <w:rPr>
                <w:color w:val="auto"/>
                <w:sz w:val="24"/>
              </w:rPr>
            </w:pPr>
            <w:r>
              <w:rPr>
                <w:color w:val="auto"/>
                <w:sz w:val="24"/>
              </w:rPr>
              <w:t>其他环境管理要求</w:t>
            </w:r>
          </w:p>
        </w:tc>
        <w:tc>
          <w:tcPr>
            <w:tcW w:w="8283" w:type="dxa"/>
            <w:gridSpan w:val="5"/>
            <w:tcBorders>
              <w:tl2br w:val="nil"/>
              <w:tr2bl w:val="nil"/>
            </w:tcBorders>
            <w:vAlign w:val="center"/>
          </w:tcPr>
          <w:p w14:paraId="0E384F36">
            <w:pPr>
              <w:widowControl/>
              <w:spacing w:line="360" w:lineRule="auto"/>
              <w:ind w:firstLine="0" w:firstLineChars="0"/>
              <w:rPr>
                <w:color w:val="auto"/>
                <w:sz w:val="24"/>
              </w:rPr>
            </w:pPr>
            <w:r>
              <w:rPr>
                <w:color w:val="auto"/>
                <w:sz w:val="24"/>
              </w:rPr>
              <w:t>1、环境管理计划</w:t>
            </w:r>
          </w:p>
          <w:p w14:paraId="51C76CAD">
            <w:pPr>
              <w:widowControl/>
              <w:spacing w:line="360" w:lineRule="auto"/>
              <w:ind w:firstLine="0" w:firstLineChars="0"/>
              <w:rPr>
                <w:color w:val="auto"/>
                <w:sz w:val="24"/>
              </w:rPr>
            </w:pPr>
            <w:r>
              <w:rPr>
                <w:color w:val="auto"/>
                <w:sz w:val="24"/>
              </w:rPr>
              <w:t>①根据国家环保政策、标准及环境监测要求，制定该项目运行期环境管理规章制度、各种污染物排放指标。</w:t>
            </w:r>
          </w:p>
          <w:p w14:paraId="0F3F28C1">
            <w:pPr>
              <w:widowControl/>
              <w:spacing w:line="360" w:lineRule="auto"/>
              <w:ind w:firstLine="0" w:firstLineChars="0"/>
              <w:rPr>
                <w:color w:val="auto"/>
                <w:sz w:val="24"/>
              </w:rPr>
            </w:pPr>
            <w:r>
              <w:rPr>
                <w:color w:val="auto"/>
                <w:sz w:val="24"/>
              </w:rPr>
              <w:t>②为了缓解建设项目生产运行期对环境构成的不良影响，在采取环保治理工程措施解决建设项目环境影响的同时，必须制定全面的企业环境管理计划，配备专职环保人员，负责环境监督管理工作，同时要加强对管理人员的环保培训，不断提高管理水平。</w:t>
            </w:r>
          </w:p>
          <w:p w14:paraId="6C331D28">
            <w:pPr>
              <w:widowControl/>
              <w:spacing w:line="360" w:lineRule="auto"/>
              <w:ind w:firstLine="0" w:firstLineChars="0"/>
              <w:rPr>
                <w:color w:val="auto"/>
                <w:sz w:val="24"/>
              </w:rPr>
            </w:pPr>
            <w:r>
              <w:rPr>
                <w:color w:val="auto"/>
                <w:sz w:val="24"/>
              </w:rPr>
              <w:t>③企业排污发生重大变化、污染治理设施改变或生产运行计划改变等都必须向当地环保部门申报，经审批同意后方可实施。</w:t>
            </w:r>
          </w:p>
          <w:p w14:paraId="16D789EF">
            <w:pPr>
              <w:widowControl/>
              <w:spacing w:line="360" w:lineRule="auto"/>
              <w:ind w:firstLine="0" w:firstLineChars="0"/>
              <w:rPr>
                <w:color w:val="auto"/>
                <w:sz w:val="24"/>
              </w:rPr>
            </w:pPr>
            <w:r>
              <w:rPr>
                <w:color w:val="auto"/>
                <w:sz w:val="24"/>
              </w:rPr>
              <w:t>④对污染治理设施和管理必须与生产经营活动一起纳入企业的日常管理中，要建立岗位责任制，制定操作规程，建立</w:t>
            </w:r>
            <w:r>
              <w:rPr>
                <w:rFonts w:hint="eastAsia"/>
                <w:color w:val="auto"/>
                <w:sz w:val="24"/>
              </w:rPr>
              <w:t>管理台账</w:t>
            </w:r>
            <w:r>
              <w:rPr>
                <w:color w:val="auto"/>
                <w:sz w:val="24"/>
              </w:rPr>
              <w:t>，接受环保主管部门的检查监督，定期上报各项环境管理工作的执行情况。</w:t>
            </w:r>
          </w:p>
          <w:p w14:paraId="208991A3">
            <w:pPr>
              <w:widowControl/>
              <w:spacing w:line="360" w:lineRule="auto"/>
              <w:ind w:firstLine="0" w:firstLineChars="0"/>
              <w:rPr>
                <w:color w:val="auto"/>
                <w:sz w:val="24"/>
              </w:rPr>
            </w:pPr>
            <w:r>
              <w:rPr>
                <w:color w:val="auto"/>
                <w:sz w:val="24"/>
              </w:rPr>
              <w:t>2、排污许可证</w:t>
            </w:r>
          </w:p>
          <w:p w14:paraId="12D0BE52">
            <w:pPr>
              <w:widowControl/>
              <w:spacing w:line="360" w:lineRule="auto"/>
              <w:ind w:firstLine="480"/>
              <w:jc w:val="left"/>
              <w:rPr>
                <w:color w:val="auto"/>
                <w:sz w:val="24"/>
              </w:rPr>
            </w:pPr>
            <w:r>
              <w:rPr>
                <w:color w:val="auto"/>
                <w:sz w:val="24"/>
              </w:rPr>
              <w:t>项目为</w:t>
            </w:r>
            <w:r>
              <w:rPr>
                <w:rFonts w:hint="eastAsia"/>
                <w:color w:val="auto"/>
                <w:sz w:val="24"/>
                <w:lang w:val="en-US" w:eastAsia="zh-CN"/>
              </w:rPr>
              <w:t>商用混凝土</w:t>
            </w:r>
            <w:r>
              <w:rPr>
                <w:color w:val="auto"/>
                <w:sz w:val="24"/>
              </w:rPr>
              <w:t>制造项目，国民经济行业类别为“C3021水泥制品制造”，根据《固定污染源排污许可分类管理名录（2019版）》，本项目属于排污许可登记管理的排污单位。</w:t>
            </w:r>
          </w:p>
          <w:p w14:paraId="381FADB6">
            <w:pPr>
              <w:widowControl/>
              <w:spacing w:line="360" w:lineRule="auto"/>
              <w:ind w:firstLine="0" w:firstLineChars="0"/>
              <w:rPr>
                <w:color w:val="auto"/>
                <w:sz w:val="24"/>
              </w:rPr>
            </w:pPr>
            <w:r>
              <w:rPr>
                <w:color w:val="auto"/>
                <w:sz w:val="24"/>
              </w:rPr>
              <w:t>3、排污口规范化设置</w:t>
            </w:r>
          </w:p>
          <w:p w14:paraId="1C7F15D7">
            <w:pPr>
              <w:widowControl/>
              <w:spacing w:line="360" w:lineRule="auto"/>
              <w:ind w:firstLine="480"/>
              <w:jc w:val="left"/>
              <w:rPr>
                <w:color w:val="auto"/>
                <w:sz w:val="24"/>
              </w:rPr>
            </w:pPr>
            <w:r>
              <w:rPr>
                <w:color w:val="auto"/>
                <w:sz w:val="24"/>
              </w:rPr>
              <w:t>排污口是项目运营期污染物进入环境、污染环境的通道，强化总排口管理是实施污染物总量控制的基础工作之一，也是环境管理逐步实现污染物科学化、定量化的主要手段。</w:t>
            </w:r>
          </w:p>
          <w:p w14:paraId="26D97E46">
            <w:pPr>
              <w:widowControl/>
              <w:spacing w:line="360" w:lineRule="auto"/>
              <w:ind w:firstLine="0" w:firstLineChars="0"/>
              <w:rPr>
                <w:color w:val="auto"/>
                <w:sz w:val="24"/>
              </w:rPr>
            </w:pPr>
            <w:r>
              <w:rPr>
                <w:color w:val="auto"/>
                <w:sz w:val="24"/>
              </w:rPr>
              <w:t>项目排放口设置满足以下要求：</w:t>
            </w:r>
          </w:p>
          <w:p w14:paraId="0247B2A5">
            <w:pPr>
              <w:widowControl/>
              <w:spacing w:line="360" w:lineRule="auto"/>
              <w:ind w:firstLine="480"/>
              <w:jc w:val="left"/>
              <w:rPr>
                <w:color w:val="auto"/>
                <w:sz w:val="24"/>
              </w:rPr>
            </w:pPr>
            <w:r>
              <w:rPr>
                <w:color w:val="auto"/>
                <w:sz w:val="24"/>
              </w:rPr>
              <w:t>（1）污染物排放口，应按国家《环境保护图形标志排放口（源）》（GB15562.1-1995）的规定，设置国家环保总局统一制作的环境保护图形标志牌；本项目废气排放口和废水处理设施均应设置相应标志，并进行专人管理。</w:t>
            </w:r>
          </w:p>
          <w:p w14:paraId="715D03B5">
            <w:pPr>
              <w:widowControl/>
              <w:spacing w:line="360" w:lineRule="auto"/>
              <w:ind w:firstLine="480"/>
              <w:jc w:val="left"/>
              <w:rPr>
                <w:color w:val="auto"/>
                <w:sz w:val="24"/>
              </w:rPr>
            </w:pPr>
            <w:r>
              <w:rPr>
                <w:color w:val="auto"/>
                <w:sz w:val="24"/>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p>
          <w:p w14:paraId="0DD0CF7C">
            <w:pPr>
              <w:widowControl/>
              <w:spacing w:line="360" w:lineRule="auto"/>
              <w:ind w:firstLine="0" w:firstLineChars="0"/>
              <w:rPr>
                <w:color w:val="auto"/>
                <w:sz w:val="24"/>
              </w:rPr>
            </w:pPr>
          </w:p>
        </w:tc>
      </w:tr>
    </w:tbl>
    <w:p w14:paraId="0824C474">
      <w:pPr>
        <w:pStyle w:val="33"/>
        <w:adjustRightInd w:val="0"/>
        <w:snapToGrid w:val="0"/>
        <w:spacing w:before="0" w:beforeAutospacing="0" w:after="0" w:afterAutospacing="0"/>
        <w:ind w:firstLine="0" w:firstLineChars="0"/>
        <w:jc w:val="both"/>
        <w:outlineLvl w:val="0"/>
        <w:rPr>
          <w:rFonts w:ascii="Times New Roman" w:hAnsi="Times New Roman"/>
          <w:b/>
          <w:bCs/>
          <w:snapToGrid w:val="0"/>
          <w:color w:val="auto"/>
          <w:sz w:val="30"/>
          <w:szCs w:val="30"/>
        </w:rPr>
        <w:sectPr>
          <w:pgSz w:w="11906" w:h="16838"/>
          <w:pgMar w:top="1440" w:right="1800" w:bottom="1440" w:left="1800" w:header="851" w:footer="992" w:gutter="0"/>
          <w:cols w:space="425" w:num="1"/>
          <w:docGrid w:type="lines" w:linePitch="312" w:charSpace="0"/>
        </w:sectPr>
      </w:pPr>
      <w:bookmarkStart w:id="25" w:name="_Toc24787"/>
      <w:bookmarkStart w:id="26" w:name="_Toc1582"/>
    </w:p>
    <w:p w14:paraId="6A59609B">
      <w:pPr>
        <w:pStyle w:val="33"/>
        <w:adjustRightInd w:val="0"/>
        <w:snapToGrid w:val="0"/>
        <w:spacing w:before="0" w:beforeAutospacing="0" w:after="0" w:afterAutospacing="0"/>
        <w:ind w:firstLine="0" w:firstLineChars="0"/>
        <w:jc w:val="center"/>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t>六、结论</w:t>
      </w:r>
      <w:bookmarkEnd w:id="25"/>
      <w:bookmarkEnd w:id="26"/>
    </w:p>
    <w:tbl>
      <w:tblPr>
        <w:tblStyle w:val="3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DC5A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7128FC9">
            <w:pPr>
              <w:spacing w:line="360" w:lineRule="auto"/>
              <w:ind w:firstLine="480"/>
              <w:rPr>
                <w:color w:val="auto"/>
                <w:sz w:val="24"/>
              </w:rPr>
            </w:pPr>
            <w:r>
              <w:rPr>
                <w:color w:val="auto"/>
                <w:sz w:val="24"/>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14:paraId="5598510E">
            <w:pPr>
              <w:spacing w:line="360" w:lineRule="auto"/>
              <w:ind w:firstLine="480"/>
              <w:rPr>
                <w:color w:val="auto"/>
                <w:sz w:val="24"/>
              </w:rPr>
            </w:pPr>
            <w:r>
              <w:rPr>
                <w:color w:val="auto"/>
                <w:sz w:val="24"/>
              </w:rPr>
              <w:t>在严格执行环境保护“三同时”制度，严格进行环境管理，保证项目内的废气处理设施及其他环保设施的正常运行，污染物达标排放的条件下，从环境保护角度论证，本项目的建设是可行的。</w:t>
            </w:r>
          </w:p>
        </w:tc>
      </w:tr>
    </w:tbl>
    <w:p w14:paraId="22BC0853">
      <w:pPr>
        <w:ind w:firstLine="420"/>
        <w:rPr>
          <w:color w:val="auto"/>
        </w:rPr>
        <w:sectPr>
          <w:pgSz w:w="11906" w:h="16838"/>
          <w:pgMar w:top="1440" w:right="1800" w:bottom="1440" w:left="1800" w:header="851" w:footer="992" w:gutter="0"/>
          <w:cols w:space="425" w:num="1"/>
          <w:docGrid w:type="lines" w:linePitch="312" w:charSpace="0"/>
        </w:sectPr>
      </w:pPr>
    </w:p>
    <w:p w14:paraId="6ED53454">
      <w:pPr>
        <w:pStyle w:val="33"/>
        <w:adjustRightInd w:val="0"/>
        <w:snapToGrid w:val="0"/>
        <w:spacing w:before="0" w:beforeAutospacing="0" w:after="0" w:afterAutospacing="0"/>
        <w:ind w:firstLine="602"/>
        <w:jc w:val="both"/>
        <w:outlineLvl w:val="0"/>
        <w:rPr>
          <w:rFonts w:ascii="Times New Roman" w:hAnsi="Times New Roman"/>
          <w:b/>
          <w:bCs/>
          <w:snapToGrid w:val="0"/>
          <w:color w:val="auto"/>
          <w:sz w:val="30"/>
          <w:szCs w:val="30"/>
        </w:rPr>
      </w:pPr>
      <w:bookmarkStart w:id="27" w:name="_Toc9427"/>
      <w:bookmarkStart w:id="28" w:name="_Toc6881"/>
      <w:bookmarkStart w:id="29" w:name="_Toc24156"/>
      <w:r>
        <w:rPr>
          <w:rFonts w:ascii="Times New Roman" w:hAnsi="Times New Roman"/>
          <w:b/>
          <w:bCs/>
          <w:snapToGrid w:val="0"/>
          <w:color w:val="auto"/>
          <w:sz w:val="30"/>
          <w:szCs w:val="30"/>
        </w:rPr>
        <w:t>附表</w:t>
      </w:r>
      <w:bookmarkEnd w:id="27"/>
      <w:bookmarkEnd w:id="28"/>
      <w:bookmarkEnd w:id="29"/>
    </w:p>
    <w:p w14:paraId="50F41C61">
      <w:pPr>
        <w:pStyle w:val="33"/>
        <w:adjustRightInd w:val="0"/>
        <w:snapToGrid w:val="0"/>
        <w:spacing w:before="0" w:beforeAutospacing="0" w:after="0" w:afterAutospacing="0"/>
        <w:ind w:firstLine="480"/>
        <w:jc w:val="center"/>
        <w:rPr>
          <w:rFonts w:ascii="Times New Roman" w:hAnsi="Times New Roman"/>
          <w:snapToGrid w:val="0"/>
          <w:color w:val="auto"/>
          <w:szCs w:val="24"/>
        </w:rPr>
      </w:pPr>
      <w:bookmarkStart w:id="30" w:name="_Toc29979"/>
      <w:bookmarkStart w:id="31" w:name="_Toc18631"/>
      <w:r>
        <w:rPr>
          <w:rFonts w:ascii="Times New Roman" w:hAnsi="Times New Roman"/>
          <w:snapToGrid w:val="0"/>
          <w:color w:val="auto"/>
          <w:szCs w:val="24"/>
        </w:rPr>
        <w:t>建设项目污染物排放量汇总表</w:t>
      </w:r>
      <w:bookmarkEnd w:id="30"/>
      <w:bookmarkEnd w:id="31"/>
      <w:r>
        <w:rPr>
          <w:rFonts w:ascii="Times New Roman" w:hAnsi="Times New Roman"/>
          <w:snapToGrid w:val="0"/>
          <w:color w:val="auto"/>
          <w:szCs w:val="24"/>
        </w:rPr>
        <w:t>（单位：t/a）</w:t>
      </w:r>
    </w:p>
    <w:tbl>
      <w:tblPr>
        <w:tblStyle w:val="3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923"/>
        <w:gridCol w:w="1701"/>
        <w:gridCol w:w="1276"/>
        <w:gridCol w:w="1701"/>
        <w:gridCol w:w="1559"/>
        <w:gridCol w:w="1761"/>
        <w:gridCol w:w="1764"/>
        <w:gridCol w:w="1021"/>
      </w:tblGrid>
      <w:tr w14:paraId="3D9E8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tcBorders>
              <w:tl2br w:val="single" w:color="auto" w:sz="4" w:space="0"/>
            </w:tcBorders>
            <w:tcMar>
              <w:left w:w="28" w:type="dxa"/>
              <w:right w:w="28" w:type="dxa"/>
            </w:tcMar>
            <w:vAlign w:val="center"/>
          </w:tcPr>
          <w:p w14:paraId="7C9B876F">
            <w:pPr>
              <w:adjustRightInd w:val="0"/>
              <w:snapToGrid w:val="0"/>
              <w:ind w:firstLine="480"/>
              <w:rPr>
                <w:color w:val="auto"/>
                <w:sz w:val="24"/>
              </w:rPr>
            </w:pPr>
            <w:r>
              <w:rPr>
                <w:color w:val="auto"/>
                <w:sz w:val="24"/>
              </w:rPr>
              <w:t>项目</w:t>
            </w:r>
          </w:p>
          <w:p w14:paraId="6C76F99F">
            <w:pPr>
              <w:adjustRightInd w:val="0"/>
              <w:snapToGrid w:val="0"/>
              <w:ind w:firstLine="0" w:firstLineChars="0"/>
              <w:rPr>
                <w:color w:val="auto"/>
                <w:sz w:val="24"/>
              </w:rPr>
            </w:pPr>
            <w:r>
              <w:rPr>
                <w:color w:val="auto"/>
                <w:sz w:val="24"/>
              </w:rPr>
              <w:t>分类</w:t>
            </w:r>
          </w:p>
        </w:tc>
        <w:tc>
          <w:tcPr>
            <w:tcW w:w="1923" w:type="dxa"/>
            <w:tcMar>
              <w:left w:w="28" w:type="dxa"/>
              <w:right w:w="28" w:type="dxa"/>
            </w:tcMar>
            <w:vAlign w:val="center"/>
          </w:tcPr>
          <w:p w14:paraId="42FAA39D">
            <w:pPr>
              <w:adjustRightInd w:val="0"/>
              <w:snapToGrid w:val="0"/>
              <w:ind w:firstLine="0" w:firstLineChars="0"/>
              <w:jc w:val="center"/>
              <w:rPr>
                <w:color w:val="auto"/>
                <w:sz w:val="24"/>
              </w:rPr>
            </w:pPr>
            <w:r>
              <w:rPr>
                <w:color w:val="auto"/>
                <w:sz w:val="24"/>
              </w:rPr>
              <w:t>污染物名称</w:t>
            </w:r>
          </w:p>
        </w:tc>
        <w:tc>
          <w:tcPr>
            <w:tcW w:w="1701" w:type="dxa"/>
            <w:tcMar>
              <w:left w:w="28" w:type="dxa"/>
              <w:right w:w="28" w:type="dxa"/>
            </w:tcMar>
            <w:vAlign w:val="center"/>
          </w:tcPr>
          <w:p w14:paraId="364DD9FA">
            <w:pPr>
              <w:adjustRightInd w:val="0"/>
              <w:snapToGrid w:val="0"/>
              <w:ind w:firstLine="0" w:firstLineChars="0"/>
              <w:jc w:val="center"/>
              <w:rPr>
                <w:color w:val="auto"/>
                <w:sz w:val="24"/>
              </w:rPr>
            </w:pPr>
            <w:r>
              <w:rPr>
                <w:color w:val="auto"/>
                <w:sz w:val="24"/>
              </w:rPr>
              <w:t>现有工程排放量（固体废物产生量）</w:t>
            </w:r>
            <w:r>
              <w:rPr>
                <w:color w:val="auto"/>
                <w:sz w:val="24"/>
              </w:rPr>
              <w:fldChar w:fldCharType="begin"/>
            </w:r>
            <w:r>
              <w:rPr>
                <w:color w:val="auto"/>
                <w:sz w:val="24"/>
              </w:rPr>
              <w:instrText xml:space="preserve"> = 1 \* GB3 \* MERGEFORMAT </w:instrText>
            </w:r>
            <w:r>
              <w:rPr>
                <w:color w:val="auto"/>
                <w:sz w:val="24"/>
              </w:rPr>
              <w:fldChar w:fldCharType="separate"/>
            </w:r>
            <w:r>
              <w:rPr>
                <w:color w:val="auto"/>
                <w:sz w:val="24"/>
              </w:rPr>
              <w:t>①</w:t>
            </w:r>
            <w:r>
              <w:rPr>
                <w:color w:val="auto"/>
                <w:sz w:val="24"/>
              </w:rPr>
              <w:fldChar w:fldCharType="end"/>
            </w:r>
          </w:p>
        </w:tc>
        <w:tc>
          <w:tcPr>
            <w:tcW w:w="1276" w:type="dxa"/>
            <w:tcMar>
              <w:left w:w="28" w:type="dxa"/>
              <w:right w:w="28" w:type="dxa"/>
            </w:tcMar>
            <w:vAlign w:val="center"/>
          </w:tcPr>
          <w:p w14:paraId="0C9D512D">
            <w:pPr>
              <w:adjustRightInd w:val="0"/>
              <w:snapToGrid w:val="0"/>
              <w:ind w:firstLine="0" w:firstLineChars="0"/>
              <w:jc w:val="center"/>
              <w:rPr>
                <w:color w:val="auto"/>
                <w:sz w:val="24"/>
              </w:rPr>
            </w:pPr>
            <w:r>
              <w:rPr>
                <w:color w:val="auto"/>
                <w:sz w:val="24"/>
              </w:rPr>
              <w:t>现有工程许可排放量</w:t>
            </w:r>
            <w:r>
              <w:rPr>
                <w:color w:val="auto"/>
                <w:sz w:val="24"/>
              </w:rPr>
              <w:fldChar w:fldCharType="begin"/>
            </w:r>
            <w:r>
              <w:rPr>
                <w:color w:val="auto"/>
                <w:sz w:val="24"/>
              </w:rPr>
              <w:instrText xml:space="preserve"> = 2 \* GB3 \* MERGEFORMAT </w:instrText>
            </w:r>
            <w:r>
              <w:rPr>
                <w:color w:val="auto"/>
                <w:sz w:val="24"/>
              </w:rPr>
              <w:fldChar w:fldCharType="separate"/>
            </w:r>
            <w:r>
              <w:rPr>
                <w:color w:val="auto"/>
                <w:sz w:val="24"/>
              </w:rPr>
              <w:t>②</w:t>
            </w:r>
            <w:r>
              <w:rPr>
                <w:color w:val="auto"/>
                <w:sz w:val="24"/>
              </w:rPr>
              <w:fldChar w:fldCharType="end"/>
            </w:r>
          </w:p>
        </w:tc>
        <w:tc>
          <w:tcPr>
            <w:tcW w:w="1701" w:type="dxa"/>
            <w:tcMar>
              <w:left w:w="28" w:type="dxa"/>
              <w:right w:w="28" w:type="dxa"/>
            </w:tcMar>
            <w:vAlign w:val="center"/>
          </w:tcPr>
          <w:p w14:paraId="134DE069">
            <w:pPr>
              <w:adjustRightInd w:val="0"/>
              <w:snapToGrid w:val="0"/>
              <w:ind w:firstLine="0" w:firstLineChars="0"/>
              <w:jc w:val="center"/>
              <w:rPr>
                <w:color w:val="auto"/>
                <w:sz w:val="24"/>
              </w:rPr>
            </w:pPr>
            <w:r>
              <w:rPr>
                <w:color w:val="auto"/>
                <w:sz w:val="24"/>
              </w:rPr>
              <w:t>在建工程排放量（固体废物产生量）</w:t>
            </w:r>
            <w:r>
              <w:rPr>
                <w:color w:val="auto"/>
                <w:sz w:val="24"/>
              </w:rPr>
              <w:fldChar w:fldCharType="begin"/>
            </w:r>
            <w:r>
              <w:rPr>
                <w:color w:val="auto"/>
                <w:sz w:val="24"/>
              </w:rPr>
              <w:instrText xml:space="preserve"> = 3 \* GB3 \* MERGEFORMAT </w:instrText>
            </w:r>
            <w:r>
              <w:rPr>
                <w:color w:val="auto"/>
                <w:sz w:val="24"/>
              </w:rPr>
              <w:fldChar w:fldCharType="separate"/>
            </w:r>
            <w:r>
              <w:rPr>
                <w:color w:val="auto"/>
                <w:sz w:val="24"/>
              </w:rPr>
              <w:t>③</w:t>
            </w:r>
            <w:r>
              <w:rPr>
                <w:color w:val="auto"/>
                <w:sz w:val="24"/>
              </w:rPr>
              <w:fldChar w:fldCharType="end"/>
            </w:r>
          </w:p>
        </w:tc>
        <w:tc>
          <w:tcPr>
            <w:tcW w:w="1559" w:type="dxa"/>
            <w:tcMar>
              <w:left w:w="28" w:type="dxa"/>
              <w:right w:w="28" w:type="dxa"/>
            </w:tcMar>
            <w:vAlign w:val="center"/>
          </w:tcPr>
          <w:p w14:paraId="48E0AE93">
            <w:pPr>
              <w:adjustRightInd w:val="0"/>
              <w:snapToGrid w:val="0"/>
              <w:ind w:firstLine="0" w:firstLineChars="0"/>
              <w:jc w:val="center"/>
              <w:rPr>
                <w:color w:val="auto"/>
                <w:sz w:val="24"/>
              </w:rPr>
            </w:pPr>
            <w:r>
              <w:rPr>
                <w:color w:val="auto"/>
                <w:sz w:val="24"/>
              </w:rPr>
              <w:t>本项目排放量（固体废物产生量）</w:t>
            </w:r>
            <w:r>
              <w:rPr>
                <w:color w:val="auto"/>
                <w:sz w:val="24"/>
              </w:rPr>
              <w:fldChar w:fldCharType="begin"/>
            </w:r>
            <w:r>
              <w:rPr>
                <w:color w:val="auto"/>
                <w:sz w:val="24"/>
              </w:rPr>
              <w:instrText xml:space="preserve"> = 4 \* GB3 \* MERGEFORMAT </w:instrText>
            </w:r>
            <w:r>
              <w:rPr>
                <w:color w:val="auto"/>
                <w:sz w:val="24"/>
              </w:rPr>
              <w:fldChar w:fldCharType="separate"/>
            </w:r>
            <w:r>
              <w:rPr>
                <w:color w:val="auto"/>
                <w:sz w:val="24"/>
              </w:rPr>
              <w:t>④</w:t>
            </w:r>
            <w:r>
              <w:rPr>
                <w:color w:val="auto"/>
                <w:sz w:val="24"/>
              </w:rPr>
              <w:fldChar w:fldCharType="end"/>
            </w:r>
          </w:p>
        </w:tc>
        <w:tc>
          <w:tcPr>
            <w:tcW w:w="1761" w:type="dxa"/>
            <w:tcMar>
              <w:left w:w="28" w:type="dxa"/>
              <w:right w:w="28" w:type="dxa"/>
            </w:tcMar>
            <w:vAlign w:val="center"/>
          </w:tcPr>
          <w:p w14:paraId="4A01B283">
            <w:pPr>
              <w:adjustRightInd w:val="0"/>
              <w:snapToGrid w:val="0"/>
              <w:ind w:firstLine="0" w:firstLineChars="0"/>
              <w:jc w:val="center"/>
              <w:rPr>
                <w:color w:val="auto"/>
                <w:sz w:val="24"/>
              </w:rPr>
            </w:pPr>
            <w:r>
              <w:rPr>
                <w:color w:val="auto"/>
                <w:sz w:val="24"/>
              </w:rPr>
              <w:t>以新带老削减量</w:t>
            </w:r>
          </w:p>
          <w:p w14:paraId="3E80986A">
            <w:pPr>
              <w:adjustRightInd w:val="0"/>
              <w:snapToGrid w:val="0"/>
              <w:ind w:firstLine="0" w:firstLineChars="0"/>
              <w:jc w:val="center"/>
              <w:rPr>
                <w:color w:val="auto"/>
                <w:sz w:val="24"/>
              </w:rPr>
            </w:pPr>
            <w:r>
              <w:rPr>
                <w:color w:val="auto"/>
                <w:sz w:val="24"/>
              </w:rPr>
              <w:t>（新建项目不填）</w:t>
            </w:r>
            <w:r>
              <w:rPr>
                <w:color w:val="auto"/>
                <w:sz w:val="24"/>
              </w:rPr>
              <w:fldChar w:fldCharType="begin"/>
            </w:r>
            <w:r>
              <w:rPr>
                <w:color w:val="auto"/>
                <w:sz w:val="24"/>
              </w:rPr>
              <w:instrText xml:space="preserve"> = 5 \* GB3 \* MERGEFORMAT </w:instrText>
            </w:r>
            <w:r>
              <w:rPr>
                <w:color w:val="auto"/>
                <w:sz w:val="24"/>
              </w:rPr>
              <w:fldChar w:fldCharType="separate"/>
            </w:r>
            <w:r>
              <w:rPr>
                <w:color w:val="auto"/>
                <w:sz w:val="24"/>
              </w:rPr>
              <w:t>⑤</w:t>
            </w:r>
            <w:r>
              <w:rPr>
                <w:color w:val="auto"/>
                <w:sz w:val="24"/>
              </w:rPr>
              <w:fldChar w:fldCharType="end"/>
            </w:r>
          </w:p>
        </w:tc>
        <w:tc>
          <w:tcPr>
            <w:tcW w:w="1764" w:type="dxa"/>
            <w:tcMar>
              <w:left w:w="28" w:type="dxa"/>
              <w:right w:w="28" w:type="dxa"/>
            </w:tcMar>
            <w:vAlign w:val="center"/>
          </w:tcPr>
          <w:p w14:paraId="3FBDE6B5">
            <w:pPr>
              <w:adjustRightInd w:val="0"/>
              <w:snapToGrid w:val="0"/>
              <w:ind w:firstLine="0" w:firstLineChars="0"/>
              <w:jc w:val="center"/>
              <w:rPr>
                <w:color w:val="auto"/>
                <w:sz w:val="24"/>
              </w:rPr>
            </w:pPr>
            <w:r>
              <w:rPr>
                <w:color w:val="auto"/>
                <w:sz w:val="24"/>
              </w:rPr>
              <w:t>本项目建成后全厂排放量（固体废物产生量）</w:t>
            </w:r>
            <w:r>
              <w:rPr>
                <w:color w:val="auto"/>
                <w:sz w:val="24"/>
              </w:rPr>
              <w:fldChar w:fldCharType="begin"/>
            </w:r>
            <w:r>
              <w:rPr>
                <w:color w:val="auto"/>
                <w:sz w:val="24"/>
              </w:rPr>
              <w:instrText xml:space="preserve"> = 6 \* GB3 \* MERGEFORMAT </w:instrText>
            </w:r>
            <w:r>
              <w:rPr>
                <w:color w:val="auto"/>
                <w:sz w:val="24"/>
              </w:rPr>
              <w:fldChar w:fldCharType="separate"/>
            </w:r>
            <w:r>
              <w:rPr>
                <w:color w:val="auto"/>
                <w:sz w:val="24"/>
              </w:rPr>
              <w:t>⑥</w:t>
            </w:r>
            <w:r>
              <w:rPr>
                <w:color w:val="auto"/>
                <w:sz w:val="24"/>
              </w:rPr>
              <w:fldChar w:fldCharType="end"/>
            </w:r>
          </w:p>
        </w:tc>
        <w:tc>
          <w:tcPr>
            <w:tcW w:w="1021" w:type="dxa"/>
            <w:tcMar>
              <w:left w:w="28" w:type="dxa"/>
              <w:right w:w="28" w:type="dxa"/>
            </w:tcMar>
            <w:vAlign w:val="center"/>
          </w:tcPr>
          <w:p w14:paraId="0DE189CF">
            <w:pPr>
              <w:adjustRightInd w:val="0"/>
              <w:snapToGrid w:val="0"/>
              <w:ind w:firstLine="0" w:firstLineChars="0"/>
              <w:jc w:val="center"/>
              <w:rPr>
                <w:color w:val="auto"/>
                <w:sz w:val="24"/>
              </w:rPr>
            </w:pPr>
            <w:r>
              <w:rPr>
                <w:color w:val="auto"/>
                <w:sz w:val="24"/>
              </w:rPr>
              <w:t>变化量</w:t>
            </w:r>
          </w:p>
          <w:p w14:paraId="1C7B034A">
            <w:pPr>
              <w:adjustRightInd w:val="0"/>
              <w:snapToGrid w:val="0"/>
              <w:ind w:firstLine="0" w:firstLineChars="0"/>
              <w:jc w:val="center"/>
              <w:rPr>
                <w:color w:val="auto"/>
                <w:sz w:val="24"/>
              </w:rPr>
            </w:pPr>
            <w:r>
              <w:rPr>
                <w:color w:val="auto"/>
                <w:sz w:val="24"/>
              </w:rPr>
              <w:fldChar w:fldCharType="begin"/>
            </w:r>
            <w:r>
              <w:rPr>
                <w:color w:val="auto"/>
                <w:sz w:val="24"/>
              </w:rPr>
              <w:instrText xml:space="preserve"> = 7 \* GB3 \* MERGEFORMAT </w:instrText>
            </w:r>
            <w:r>
              <w:rPr>
                <w:color w:val="auto"/>
                <w:sz w:val="24"/>
              </w:rPr>
              <w:fldChar w:fldCharType="separate"/>
            </w:r>
            <w:r>
              <w:rPr>
                <w:color w:val="auto"/>
                <w:sz w:val="24"/>
              </w:rPr>
              <w:t>⑦</w:t>
            </w:r>
            <w:r>
              <w:rPr>
                <w:color w:val="auto"/>
                <w:sz w:val="24"/>
              </w:rPr>
              <w:fldChar w:fldCharType="end"/>
            </w:r>
          </w:p>
        </w:tc>
      </w:tr>
      <w:tr w14:paraId="7A746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Align w:val="center"/>
          </w:tcPr>
          <w:p w14:paraId="35213DBD">
            <w:pPr>
              <w:adjustRightInd w:val="0"/>
              <w:snapToGrid w:val="0"/>
              <w:ind w:firstLine="0" w:firstLineChars="0"/>
              <w:jc w:val="center"/>
              <w:rPr>
                <w:color w:val="auto"/>
                <w:sz w:val="24"/>
              </w:rPr>
            </w:pPr>
            <w:r>
              <w:rPr>
                <w:color w:val="auto"/>
                <w:sz w:val="24"/>
              </w:rPr>
              <w:t>大气</w:t>
            </w:r>
          </w:p>
        </w:tc>
        <w:tc>
          <w:tcPr>
            <w:tcW w:w="1923" w:type="dxa"/>
            <w:vAlign w:val="center"/>
          </w:tcPr>
          <w:p w14:paraId="7495F206">
            <w:pPr>
              <w:adjustRightInd w:val="0"/>
              <w:snapToGrid w:val="0"/>
              <w:ind w:firstLine="0" w:firstLineChars="0"/>
              <w:jc w:val="center"/>
              <w:rPr>
                <w:color w:val="auto"/>
                <w:sz w:val="24"/>
              </w:rPr>
            </w:pPr>
            <w:r>
              <w:rPr>
                <w:color w:val="auto"/>
                <w:sz w:val="24"/>
              </w:rPr>
              <w:t>颗粒物</w:t>
            </w:r>
            <w:r>
              <w:rPr>
                <w:rFonts w:hint="eastAsia"/>
                <w:color w:val="auto"/>
                <w:sz w:val="24"/>
              </w:rPr>
              <w:t>t/a</w:t>
            </w:r>
          </w:p>
        </w:tc>
        <w:tc>
          <w:tcPr>
            <w:tcW w:w="1701" w:type="dxa"/>
            <w:vAlign w:val="center"/>
          </w:tcPr>
          <w:p w14:paraId="544F1467">
            <w:pPr>
              <w:adjustRightInd w:val="0"/>
              <w:snapToGrid w:val="0"/>
              <w:ind w:firstLine="0" w:firstLineChars="0"/>
              <w:jc w:val="center"/>
              <w:rPr>
                <w:color w:val="auto"/>
                <w:szCs w:val="21"/>
              </w:rPr>
            </w:pPr>
            <w:r>
              <w:rPr>
                <w:rFonts w:hint="eastAsia"/>
                <w:color w:val="auto"/>
                <w:szCs w:val="21"/>
                <w:lang w:val="en-US" w:eastAsia="zh-CN"/>
              </w:rPr>
              <w:t>1.82255</w:t>
            </w:r>
          </w:p>
        </w:tc>
        <w:tc>
          <w:tcPr>
            <w:tcW w:w="1276" w:type="dxa"/>
            <w:vAlign w:val="center"/>
          </w:tcPr>
          <w:p w14:paraId="7973B114">
            <w:pPr>
              <w:adjustRightInd w:val="0"/>
              <w:snapToGrid w:val="0"/>
              <w:ind w:firstLine="0" w:firstLineChars="0"/>
              <w:jc w:val="center"/>
              <w:rPr>
                <w:color w:val="auto"/>
                <w:szCs w:val="21"/>
              </w:rPr>
            </w:pPr>
            <w:r>
              <w:rPr>
                <w:color w:val="auto"/>
                <w:szCs w:val="21"/>
              </w:rPr>
              <w:t>/</w:t>
            </w:r>
          </w:p>
        </w:tc>
        <w:tc>
          <w:tcPr>
            <w:tcW w:w="1701" w:type="dxa"/>
            <w:vAlign w:val="center"/>
          </w:tcPr>
          <w:p w14:paraId="5AC32FCD">
            <w:pPr>
              <w:adjustRightInd w:val="0"/>
              <w:snapToGrid w:val="0"/>
              <w:ind w:firstLine="0" w:firstLineChars="0"/>
              <w:jc w:val="center"/>
              <w:rPr>
                <w:color w:val="auto"/>
                <w:szCs w:val="21"/>
              </w:rPr>
            </w:pPr>
            <w:r>
              <w:rPr>
                <w:color w:val="auto"/>
                <w:szCs w:val="21"/>
              </w:rPr>
              <w:t>/</w:t>
            </w:r>
          </w:p>
        </w:tc>
        <w:tc>
          <w:tcPr>
            <w:tcW w:w="1559" w:type="dxa"/>
            <w:vAlign w:val="center"/>
          </w:tcPr>
          <w:p w14:paraId="2771443B">
            <w:pPr>
              <w:adjustRightInd w:val="0"/>
              <w:snapToGrid w:val="0"/>
              <w:ind w:firstLine="0" w:firstLineChars="0"/>
              <w:jc w:val="center"/>
              <w:rPr>
                <w:color w:val="auto"/>
                <w:szCs w:val="21"/>
              </w:rPr>
            </w:pPr>
            <w:r>
              <w:rPr>
                <w:rFonts w:hint="eastAsia"/>
                <w:color w:val="auto"/>
                <w:szCs w:val="21"/>
                <w:lang w:val="en-US" w:eastAsia="zh-CN"/>
              </w:rPr>
              <w:t>2.5641</w:t>
            </w:r>
          </w:p>
        </w:tc>
        <w:tc>
          <w:tcPr>
            <w:tcW w:w="1761" w:type="dxa"/>
            <w:vAlign w:val="center"/>
          </w:tcPr>
          <w:p w14:paraId="2C7D6711">
            <w:pPr>
              <w:adjustRightInd w:val="0"/>
              <w:snapToGrid w:val="0"/>
              <w:ind w:firstLine="0" w:firstLineChars="0"/>
              <w:jc w:val="center"/>
              <w:rPr>
                <w:color w:val="auto"/>
                <w:szCs w:val="21"/>
              </w:rPr>
            </w:pPr>
            <w:r>
              <w:rPr>
                <w:color w:val="auto"/>
                <w:szCs w:val="21"/>
              </w:rPr>
              <w:t>/</w:t>
            </w:r>
          </w:p>
        </w:tc>
        <w:tc>
          <w:tcPr>
            <w:tcW w:w="1764" w:type="dxa"/>
            <w:shd w:val="clear" w:color="auto" w:fill="auto"/>
            <w:vAlign w:val="center"/>
          </w:tcPr>
          <w:p w14:paraId="0C18806A">
            <w:pPr>
              <w:widowControl/>
              <w:ind w:firstLine="0" w:firstLineChars="0"/>
              <w:jc w:val="center"/>
              <w:textAlignment w:val="center"/>
              <w:rPr>
                <w:rFonts w:hint="default" w:eastAsia="宋体"/>
                <w:color w:val="auto"/>
                <w:szCs w:val="21"/>
                <w:lang w:val="en-US" w:eastAsia="zh-CN"/>
              </w:rPr>
            </w:pPr>
            <w:r>
              <w:rPr>
                <w:rFonts w:hint="eastAsia"/>
                <w:color w:val="auto"/>
                <w:szCs w:val="21"/>
                <w:lang w:val="en-US" w:eastAsia="zh-CN"/>
              </w:rPr>
              <w:t>4.38665</w:t>
            </w:r>
          </w:p>
        </w:tc>
        <w:tc>
          <w:tcPr>
            <w:tcW w:w="1021" w:type="dxa"/>
            <w:vAlign w:val="center"/>
          </w:tcPr>
          <w:p w14:paraId="70418AD4">
            <w:pPr>
              <w:adjustRightInd w:val="0"/>
              <w:snapToGrid w:val="0"/>
              <w:ind w:firstLine="0" w:firstLineChars="0"/>
              <w:jc w:val="center"/>
              <w:rPr>
                <w:rFonts w:hint="default" w:eastAsia="宋体"/>
                <w:color w:val="auto"/>
                <w:kern w:val="0"/>
                <w:szCs w:val="21"/>
                <w:lang w:val="en-US" w:eastAsia="zh-CN" w:bidi="ar"/>
              </w:rPr>
            </w:pPr>
            <w:r>
              <w:rPr>
                <w:rFonts w:hint="eastAsia"/>
                <w:color w:val="auto"/>
                <w:kern w:val="0"/>
                <w:szCs w:val="21"/>
                <w:lang w:bidi="ar"/>
              </w:rPr>
              <w:t>+</w:t>
            </w:r>
            <w:r>
              <w:rPr>
                <w:rFonts w:hint="eastAsia"/>
                <w:color w:val="auto"/>
                <w:szCs w:val="21"/>
                <w:lang w:val="en-US" w:eastAsia="zh-CN"/>
              </w:rPr>
              <w:t>2.5641</w:t>
            </w:r>
          </w:p>
        </w:tc>
      </w:tr>
      <w:tr w14:paraId="448B1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restart"/>
            <w:vAlign w:val="center"/>
          </w:tcPr>
          <w:p w14:paraId="357CAA61">
            <w:pPr>
              <w:adjustRightInd w:val="0"/>
              <w:snapToGrid w:val="0"/>
              <w:ind w:firstLine="0" w:firstLineChars="0"/>
              <w:jc w:val="center"/>
              <w:rPr>
                <w:color w:val="auto"/>
                <w:sz w:val="24"/>
              </w:rPr>
            </w:pPr>
            <w:r>
              <w:rPr>
                <w:color w:val="auto"/>
                <w:sz w:val="24"/>
              </w:rPr>
              <w:t>一般固体废物</w:t>
            </w:r>
          </w:p>
        </w:tc>
        <w:tc>
          <w:tcPr>
            <w:tcW w:w="1923" w:type="dxa"/>
            <w:vAlign w:val="center"/>
          </w:tcPr>
          <w:p w14:paraId="31BB0716">
            <w:pPr>
              <w:adjustRightInd w:val="0"/>
              <w:snapToGrid w:val="0"/>
              <w:ind w:firstLine="0" w:firstLineChars="0"/>
              <w:jc w:val="center"/>
              <w:rPr>
                <w:color w:val="auto"/>
                <w:sz w:val="24"/>
              </w:rPr>
            </w:pPr>
            <w:r>
              <w:rPr>
                <w:color w:val="auto"/>
                <w:sz w:val="24"/>
              </w:rPr>
              <w:t>生产废料</w:t>
            </w:r>
            <w:r>
              <w:rPr>
                <w:rFonts w:hint="eastAsia"/>
                <w:color w:val="auto"/>
                <w:sz w:val="24"/>
              </w:rPr>
              <w:t>t/a</w:t>
            </w:r>
          </w:p>
        </w:tc>
        <w:tc>
          <w:tcPr>
            <w:tcW w:w="1701" w:type="dxa"/>
            <w:vAlign w:val="center"/>
          </w:tcPr>
          <w:p w14:paraId="4720AB8A">
            <w:pPr>
              <w:adjustRightInd w:val="0"/>
              <w:snapToGrid w:val="0"/>
              <w:ind w:firstLine="0" w:firstLineChars="0"/>
              <w:jc w:val="center"/>
              <w:rPr>
                <w:color w:val="auto"/>
                <w:kern w:val="0"/>
                <w:szCs w:val="21"/>
                <w:lang w:bidi="ar"/>
              </w:rPr>
            </w:pPr>
            <w:r>
              <w:rPr>
                <w:rFonts w:hint="eastAsia"/>
                <w:color w:val="auto"/>
                <w:szCs w:val="21"/>
              </w:rPr>
              <w:t>100</w:t>
            </w:r>
          </w:p>
        </w:tc>
        <w:tc>
          <w:tcPr>
            <w:tcW w:w="1276" w:type="dxa"/>
            <w:vAlign w:val="center"/>
          </w:tcPr>
          <w:p w14:paraId="23476010">
            <w:pPr>
              <w:adjustRightInd w:val="0"/>
              <w:snapToGrid w:val="0"/>
              <w:ind w:firstLine="0" w:firstLineChars="0"/>
              <w:jc w:val="center"/>
              <w:rPr>
                <w:color w:val="auto"/>
                <w:szCs w:val="21"/>
              </w:rPr>
            </w:pPr>
            <w:r>
              <w:rPr>
                <w:color w:val="auto"/>
                <w:szCs w:val="21"/>
              </w:rPr>
              <w:t>/</w:t>
            </w:r>
          </w:p>
        </w:tc>
        <w:tc>
          <w:tcPr>
            <w:tcW w:w="1701" w:type="dxa"/>
            <w:vAlign w:val="center"/>
          </w:tcPr>
          <w:p w14:paraId="5BB6E7AF">
            <w:pPr>
              <w:adjustRightInd w:val="0"/>
              <w:snapToGrid w:val="0"/>
              <w:ind w:firstLine="0" w:firstLineChars="0"/>
              <w:jc w:val="center"/>
              <w:rPr>
                <w:color w:val="auto"/>
                <w:szCs w:val="21"/>
              </w:rPr>
            </w:pPr>
            <w:r>
              <w:rPr>
                <w:color w:val="auto"/>
                <w:szCs w:val="21"/>
              </w:rPr>
              <w:t>/</w:t>
            </w:r>
          </w:p>
        </w:tc>
        <w:tc>
          <w:tcPr>
            <w:tcW w:w="1559" w:type="dxa"/>
            <w:vAlign w:val="center"/>
          </w:tcPr>
          <w:p w14:paraId="4E6574E0">
            <w:pPr>
              <w:adjustRightInd w:val="0"/>
              <w:snapToGrid w:val="0"/>
              <w:ind w:firstLine="0" w:firstLineChars="0"/>
              <w:jc w:val="center"/>
              <w:rPr>
                <w:color w:val="auto"/>
                <w:szCs w:val="21"/>
              </w:rPr>
            </w:pPr>
            <w:r>
              <w:rPr>
                <w:rFonts w:hint="eastAsia"/>
                <w:color w:val="auto"/>
                <w:szCs w:val="21"/>
              </w:rPr>
              <w:t>40</w:t>
            </w:r>
          </w:p>
        </w:tc>
        <w:tc>
          <w:tcPr>
            <w:tcW w:w="1761" w:type="dxa"/>
            <w:vAlign w:val="center"/>
          </w:tcPr>
          <w:p w14:paraId="583A9E82">
            <w:pPr>
              <w:adjustRightInd w:val="0"/>
              <w:snapToGrid w:val="0"/>
              <w:ind w:firstLine="0" w:firstLineChars="0"/>
              <w:jc w:val="center"/>
              <w:rPr>
                <w:color w:val="auto"/>
                <w:szCs w:val="21"/>
              </w:rPr>
            </w:pPr>
            <w:r>
              <w:rPr>
                <w:color w:val="auto"/>
                <w:szCs w:val="21"/>
              </w:rPr>
              <w:t>/</w:t>
            </w:r>
          </w:p>
        </w:tc>
        <w:tc>
          <w:tcPr>
            <w:tcW w:w="1764" w:type="dxa"/>
            <w:vAlign w:val="center"/>
          </w:tcPr>
          <w:p w14:paraId="53E27F6F">
            <w:pPr>
              <w:adjustRightInd w:val="0"/>
              <w:snapToGrid w:val="0"/>
              <w:ind w:firstLine="0" w:firstLineChars="0"/>
              <w:jc w:val="center"/>
              <w:rPr>
                <w:color w:val="auto"/>
                <w:szCs w:val="21"/>
              </w:rPr>
            </w:pPr>
            <w:r>
              <w:rPr>
                <w:rFonts w:hint="eastAsia"/>
                <w:color w:val="auto"/>
                <w:szCs w:val="21"/>
              </w:rPr>
              <w:t>140</w:t>
            </w:r>
          </w:p>
        </w:tc>
        <w:tc>
          <w:tcPr>
            <w:tcW w:w="1021" w:type="dxa"/>
            <w:vAlign w:val="center"/>
          </w:tcPr>
          <w:p w14:paraId="7BAD7CCF">
            <w:pPr>
              <w:adjustRightInd w:val="0"/>
              <w:snapToGrid w:val="0"/>
              <w:ind w:firstLine="0" w:firstLineChars="0"/>
              <w:jc w:val="center"/>
              <w:rPr>
                <w:color w:val="auto"/>
                <w:szCs w:val="21"/>
              </w:rPr>
            </w:pPr>
            <w:r>
              <w:rPr>
                <w:rFonts w:hint="eastAsia"/>
                <w:color w:val="auto"/>
                <w:szCs w:val="21"/>
              </w:rPr>
              <w:t>+40</w:t>
            </w:r>
          </w:p>
        </w:tc>
      </w:tr>
      <w:tr w14:paraId="76244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continue"/>
            <w:vAlign w:val="center"/>
          </w:tcPr>
          <w:p w14:paraId="6F3C569C">
            <w:pPr>
              <w:adjustRightInd w:val="0"/>
              <w:snapToGrid w:val="0"/>
              <w:ind w:firstLine="0" w:firstLineChars="0"/>
              <w:jc w:val="center"/>
              <w:rPr>
                <w:color w:val="auto"/>
                <w:sz w:val="24"/>
              </w:rPr>
            </w:pPr>
          </w:p>
        </w:tc>
        <w:tc>
          <w:tcPr>
            <w:tcW w:w="1923" w:type="dxa"/>
            <w:vAlign w:val="center"/>
          </w:tcPr>
          <w:p w14:paraId="20C53E50">
            <w:pPr>
              <w:adjustRightInd w:val="0"/>
              <w:snapToGrid w:val="0"/>
              <w:ind w:firstLine="0" w:firstLineChars="0"/>
              <w:jc w:val="center"/>
              <w:rPr>
                <w:color w:val="auto"/>
                <w:sz w:val="24"/>
              </w:rPr>
            </w:pPr>
            <w:r>
              <w:rPr>
                <w:color w:val="auto"/>
                <w:sz w:val="24"/>
              </w:rPr>
              <w:t>沉淀池底泥</w:t>
            </w:r>
            <w:r>
              <w:rPr>
                <w:rFonts w:hint="eastAsia"/>
                <w:color w:val="auto"/>
                <w:sz w:val="24"/>
              </w:rPr>
              <w:t>t/a</w:t>
            </w:r>
          </w:p>
        </w:tc>
        <w:tc>
          <w:tcPr>
            <w:tcW w:w="1701" w:type="dxa"/>
            <w:vAlign w:val="center"/>
          </w:tcPr>
          <w:p w14:paraId="7296D89E">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3.96</w:t>
            </w:r>
          </w:p>
        </w:tc>
        <w:tc>
          <w:tcPr>
            <w:tcW w:w="1276" w:type="dxa"/>
            <w:vAlign w:val="center"/>
          </w:tcPr>
          <w:p w14:paraId="6642DC38">
            <w:pPr>
              <w:adjustRightInd w:val="0"/>
              <w:snapToGrid w:val="0"/>
              <w:ind w:firstLine="0" w:firstLineChars="0"/>
              <w:jc w:val="center"/>
              <w:rPr>
                <w:color w:val="auto"/>
                <w:szCs w:val="21"/>
              </w:rPr>
            </w:pPr>
            <w:r>
              <w:rPr>
                <w:color w:val="auto"/>
                <w:szCs w:val="21"/>
              </w:rPr>
              <w:t>/</w:t>
            </w:r>
          </w:p>
        </w:tc>
        <w:tc>
          <w:tcPr>
            <w:tcW w:w="1701" w:type="dxa"/>
            <w:vAlign w:val="center"/>
          </w:tcPr>
          <w:p w14:paraId="18B38EE0">
            <w:pPr>
              <w:adjustRightInd w:val="0"/>
              <w:snapToGrid w:val="0"/>
              <w:ind w:firstLine="0" w:firstLineChars="0"/>
              <w:jc w:val="center"/>
              <w:rPr>
                <w:color w:val="auto"/>
                <w:szCs w:val="21"/>
              </w:rPr>
            </w:pPr>
            <w:r>
              <w:rPr>
                <w:color w:val="auto"/>
                <w:szCs w:val="21"/>
              </w:rPr>
              <w:t>/</w:t>
            </w:r>
          </w:p>
        </w:tc>
        <w:tc>
          <w:tcPr>
            <w:tcW w:w="1559" w:type="dxa"/>
            <w:vAlign w:val="center"/>
          </w:tcPr>
          <w:p w14:paraId="1FC779C0">
            <w:pPr>
              <w:adjustRightInd w:val="0"/>
              <w:snapToGrid w:val="0"/>
              <w:ind w:firstLine="0" w:firstLineChars="0"/>
              <w:jc w:val="center"/>
              <w:rPr>
                <w:color w:val="auto"/>
                <w:szCs w:val="21"/>
              </w:rPr>
            </w:pPr>
            <w:r>
              <w:rPr>
                <w:color w:val="auto"/>
                <w:szCs w:val="21"/>
              </w:rPr>
              <w:t>0</w:t>
            </w:r>
          </w:p>
        </w:tc>
        <w:tc>
          <w:tcPr>
            <w:tcW w:w="1761" w:type="dxa"/>
            <w:vAlign w:val="center"/>
          </w:tcPr>
          <w:p w14:paraId="05F16036">
            <w:pPr>
              <w:adjustRightInd w:val="0"/>
              <w:snapToGrid w:val="0"/>
              <w:ind w:firstLine="0" w:firstLineChars="0"/>
              <w:jc w:val="center"/>
              <w:rPr>
                <w:color w:val="auto"/>
                <w:szCs w:val="21"/>
              </w:rPr>
            </w:pPr>
            <w:r>
              <w:rPr>
                <w:color w:val="auto"/>
                <w:szCs w:val="21"/>
              </w:rPr>
              <w:t>/</w:t>
            </w:r>
          </w:p>
        </w:tc>
        <w:tc>
          <w:tcPr>
            <w:tcW w:w="1764" w:type="dxa"/>
            <w:vAlign w:val="center"/>
          </w:tcPr>
          <w:p w14:paraId="7CE6D5BA">
            <w:pPr>
              <w:adjustRightInd w:val="0"/>
              <w:snapToGrid w:val="0"/>
              <w:ind w:firstLine="0" w:firstLineChars="0"/>
              <w:jc w:val="center"/>
              <w:rPr>
                <w:rFonts w:hint="default" w:eastAsia="宋体"/>
                <w:color w:val="auto"/>
                <w:szCs w:val="21"/>
                <w:lang w:val="en-US" w:eastAsia="zh-CN"/>
              </w:rPr>
            </w:pPr>
            <w:r>
              <w:rPr>
                <w:rFonts w:hint="eastAsia"/>
                <w:color w:val="auto"/>
                <w:szCs w:val="21"/>
                <w:lang w:val="en-US" w:eastAsia="zh-CN"/>
              </w:rPr>
              <w:t>3.96</w:t>
            </w:r>
          </w:p>
        </w:tc>
        <w:tc>
          <w:tcPr>
            <w:tcW w:w="1021" w:type="dxa"/>
            <w:vAlign w:val="center"/>
          </w:tcPr>
          <w:p w14:paraId="3CB0A0E8">
            <w:pPr>
              <w:adjustRightInd w:val="0"/>
              <w:snapToGrid w:val="0"/>
              <w:ind w:firstLine="0" w:firstLineChars="0"/>
              <w:jc w:val="center"/>
              <w:rPr>
                <w:color w:val="auto"/>
                <w:szCs w:val="21"/>
              </w:rPr>
            </w:pPr>
            <w:r>
              <w:rPr>
                <w:color w:val="auto"/>
                <w:szCs w:val="21"/>
              </w:rPr>
              <w:t>/</w:t>
            </w:r>
          </w:p>
        </w:tc>
      </w:tr>
      <w:tr w14:paraId="02E73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continue"/>
            <w:vAlign w:val="center"/>
          </w:tcPr>
          <w:p w14:paraId="50265C30">
            <w:pPr>
              <w:adjustRightInd w:val="0"/>
              <w:snapToGrid w:val="0"/>
              <w:ind w:firstLine="0" w:firstLineChars="0"/>
              <w:jc w:val="center"/>
              <w:rPr>
                <w:color w:val="auto"/>
                <w:sz w:val="24"/>
              </w:rPr>
            </w:pPr>
          </w:p>
        </w:tc>
        <w:tc>
          <w:tcPr>
            <w:tcW w:w="1923" w:type="dxa"/>
            <w:vAlign w:val="center"/>
          </w:tcPr>
          <w:p w14:paraId="751F097E">
            <w:pPr>
              <w:adjustRightInd w:val="0"/>
              <w:snapToGrid w:val="0"/>
              <w:ind w:firstLine="0" w:firstLineChars="0"/>
              <w:jc w:val="center"/>
              <w:rPr>
                <w:color w:val="auto"/>
                <w:sz w:val="24"/>
              </w:rPr>
            </w:pPr>
            <w:r>
              <w:rPr>
                <w:color w:val="auto"/>
                <w:sz w:val="24"/>
              </w:rPr>
              <w:t>除尘器收尘</w:t>
            </w:r>
            <w:r>
              <w:rPr>
                <w:rFonts w:hint="eastAsia"/>
                <w:color w:val="auto"/>
                <w:sz w:val="24"/>
              </w:rPr>
              <w:t>t/a</w:t>
            </w:r>
          </w:p>
        </w:tc>
        <w:tc>
          <w:tcPr>
            <w:tcW w:w="1701" w:type="dxa"/>
            <w:vAlign w:val="center"/>
          </w:tcPr>
          <w:p w14:paraId="623EB9C1">
            <w:pPr>
              <w:adjustRightInd w:val="0"/>
              <w:snapToGrid w:val="0"/>
              <w:ind w:firstLine="0" w:firstLineChars="0"/>
              <w:jc w:val="center"/>
              <w:rPr>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76.27745</w:t>
            </w:r>
          </w:p>
        </w:tc>
        <w:tc>
          <w:tcPr>
            <w:tcW w:w="1276" w:type="dxa"/>
            <w:vAlign w:val="center"/>
          </w:tcPr>
          <w:p w14:paraId="0AE4AB11">
            <w:pPr>
              <w:adjustRightInd w:val="0"/>
              <w:snapToGrid w:val="0"/>
              <w:ind w:firstLine="0" w:firstLineChars="0"/>
              <w:jc w:val="center"/>
              <w:rPr>
                <w:color w:val="auto"/>
                <w:szCs w:val="21"/>
              </w:rPr>
            </w:pPr>
            <w:r>
              <w:rPr>
                <w:color w:val="auto"/>
                <w:szCs w:val="21"/>
              </w:rPr>
              <w:t>/</w:t>
            </w:r>
          </w:p>
        </w:tc>
        <w:tc>
          <w:tcPr>
            <w:tcW w:w="1701" w:type="dxa"/>
            <w:vAlign w:val="center"/>
          </w:tcPr>
          <w:p w14:paraId="699E50C2">
            <w:pPr>
              <w:adjustRightInd w:val="0"/>
              <w:snapToGrid w:val="0"/>
              <w:ind w:firstLine="0" w:firstLineChars="0"/>
              <w:jc w:val="center"/>
              <w:rPr>
                <w:color w:val="auto"/>
                <w:szCs w:val="21"/>
              </w:rPr>
            </w:pPr>
            <w:r>
              <w:rPr>
                <w:color w:val="auto"/>
                <w:szCs w:val="21"/>
              </w:rPr>
              <w:t>/</w:t>
            </w:r>
          </w:p>
        </w:tc>
        <w:tc>
          <w:tcPr>
            <w:tcW w:w="1559" w:type="dxa"/>
            <w:vAlign w:val="center"/>
          </w:tcPr>
          <w:p w14:paraId="693A5047">
            <w:pPr>
              <w:adjustRightInd w:val="0"/>
              <w:snapToGrid w:val="0"/>
              <w:ind w:firstLine="0" w:firstLineChars="0"/>
              <w:jc w:val="center"/>
              <w:rPr>
                <w:rFonts w:hint="eastAsia" w:eastAsia="宋体"/>
                <w:color w:val="auto"/>
                <w:szCs w:val="21"/>
                <w:lang w:eastAsia="zh-CN"/>
              </w:rPr>
            </w:pPr>
            <w:r>
              <w:rPr>
                <w:rFonts w:hint="eastAsia"/>
                <w:color w:val="auto"/>
                <w:kern w:val="0"/>
                <w:szCs w:val="21"/>
                <w:lang w:val="en-US" w:eastAsia="zh-CN" w:bidi="ar"/>
              </w:rPr>
              <w:t>41.9328</w:t>
            </w:r>
          </w:p>
        </w:tc>
        <w:tc>
          <w:tcPr>
            <w:tcW w:w="1761" w:type="dxa"/>
            <w:vAlign w:val="center"/>
          </w:tcPr>
          <w:p w14:paraId="400C4961">
            <w:pPr>
              <w:adjustRightInd w:val="0"/>
              <w:snapToGrid w:val="0"/>
              <w:ind w:firstLine="0" w:firstLineChars="0"/>
              <w:jc w:val="center"/>
              <w:rPr>
                <w:color w:val="auto"/>
                <w:szCs w:val="21"/>
              </w:rPr>
            </w:pPr>
            <w:r>
              <w:rPr>
                <w:color w:val="auto"/>
                <w:szCs w:val="21"/>
              </w:rPr>
              <w:t>/</w:t>
            </w:r>
          </w:p>
        </w:tc>
        <w:tc>
          <w:tcPr>
            <w:tcW w:w="1764" w:type="dxa"/>
            <w:shd w:val="clear" w:color="auto" w:fill="auto"/>
            <w:vAlign w:val="center"/>
          </w:tcPr>
          <w:p w14:paraId="1EA1BCC5">
            <w:pPr>
              <w:widowControl/>
              <w:ind w:firstLine="0" w:firstLineChars="0"/>
              <w:jc w:val="center"/>
              <w:textAlignment w:val="center"/>
              <w:rPr>
                <w:rFonts w:hint="default" w:eastAsia="宋体"/>
                <w:color w:val="auto"/>
                <w:szCs w:val="21"/>
                <w:lang w:val="en-US" w:eastAsia="zh-CN"/>
              </w:rPr>
            </w:pPr>
            <w:r>
              <w:rPr>
                <w:rFonts w:hint="eastAsia"/>
                <w:color w:val="auto"/>
                <w:kern w:val="0"/>
                <w:szCs w:val="21"/>
                <w:lang w:val="en-US" w:eastAsia="zh-CN" w:bidi="ar"/>
              </w:rPr>
              <w:t>118.21025</w:t>
            </w:r>
          </w:p>
        </w:tc>
        <w:tc>
          <w:tcPr>
            <w:tcW w:w="1021" w:type="dxa"/>
            <w:vAlign w:val="center"/>
          </w:tcPr>
          <w:p w14:paraId="02D96444">
            <w:pPr>
              <w:adjustRightInd w:val="0"/>
              <w:snapToGrid w:val="0"/>
              <w:ind w:firstLine="0" w:firstLineChars="0"/>
              <w:jc w:val="center"/>
              <w:rPr>
                <w:rFonts w:hint="eastAsia" w:eastAsia="宋体"/>
                <w:color w:val="auto"/>
                <w:szCs w:val="21"/>
                <w:lang w:eastAsia="zh-CN"/>
              </w:rPr>
            </w:pPr>
            <w:r>
              <w:rPr>
                <w:rFonts w:hint="eastAsia"/>
                <w:color w:val="auto"/>
                <w:kern w:val="0"/>
                <w:szCs w:val="21"/>
                <w:lang w:bidi="ar"/>
              </w:rPr>
              <w:t>+</w:t>
            </w:r>
            <w:r>
              <w:rPr>
                <w:rFonts w:hint="eastAsia"/>
                <w:color w:val="auto"/>
                <w:kern w:val="0"/>
                <w:szCs w:val="21"/>
                <w:lang w:val="en-US" w:eastAsia="zh-CN" w:bidi="ar"/>
              </w:rPr>
              <w:t>41.9328</w:t>
            </w:r>
          </w:p>
        </w:tc>
      </w:tr>
      <w:tr w14:paraId="4D165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vMerge w:val="continue"/>
            <w:vAlign w:val="center"/>
          </w:tcPr>
          <w:p w14:paraId="797A9BB6">
            <w:pPr>
              <w:adjustRightInd w:val="0"/>
              <w:snapToGrid w:val="0"/>
              <w:ind w:firstLine="0" w:firstLineChars="0"/>
              <w:jc w:val="center"/>
              <w:rPr>
                <w:color w:val="auto"/>
                <w:sz w:val="24"/>
              </w:rPr>
            </w:pPr>
          </w:p>
        </w:tc>
        <w:tc>
          <w:tcPr>
            <w:tcW w:w="1923" w:type="dxa"/>
            <w:vAlign w:val="center"/>
          </w:tcPr>
          <w:p w14:paraId="522253CB">
            <w:pPr>
              <w:adjustRightInd w:val="0"/>
              <w:snapToGrid w:val="0"/>
              <w:ind w:firstLine="0" w:firstLineChars="0"/>
              <w:jc w:val="center"/>
              <w:rPr>
                <w:color w:val="auto"/>
                <w:sz w:val="24"/>
              </w:rPr>
            </w:pPr>
            <w:r>
              <w:rPr>
                <w:color w:val="auto"/>
                <w:sz w:val="24"/>
              </w:rPr>
              <w:t>生活垃圾</w:t>
            </w:r>
            <w:r>
              <w:rPr>
                <w:rFonts w:hint="eastAsia"/>
                <w:color w:val="auto"/>
                <w:sz w:val="24"/>
              </w:rPr>
              <w:t>t/a</w:t>
            </w:r>
          </w:p>
        </w:tc>
        <w:tc>
          <w:tcPr>
            <w:tcW w:w="1701" w:type="dxa"/>
            <w:vAlign w:val="center"/>
          </w:tcPr>
          <w:p w14:paraId="4BD020FD">
            <w:pPr>
              <w:adjustRightInd w:val="0"/>
              <w:snapToGrid w:val="0"/>
              <w:ind w:firstLine="0" w:firstLineChars="0"/>
              <w:jc w:val="center"/>
              <w:rPr>
                <w:color w:val="auto"/>
                <w:kern w:val="0"/>
                <w:szCs w:val="21"/>
                <w:lang w:bidi="ar"/>
              </w:rPr>
            </w:pPr>
            <w:r>
              <w:rPr>
                <w:color w:val="auto"/>
                <w:szCs w:val="21"/>
              </w:rPr>
              <w:t>9</w:t>
            </w:r>
          </w:p>
        </w:tc>
        <w:tc>
          <w:tcPr>
            <w:tcW w:w="1276" w:type="dxa"/>
            <w:vAlign w:val="center"/>
          </w:tcPr>
          <w:p w14:paraId="6197789F">
            <w:pPr>
              <w:adjustRightInd w:val="0"/>
              <w:snapToGrid w:val="0"/>
              <w:ind w:firstLine="0" w:firstLineChars="0"/>
              <w:jc w:val="center"/>
              <w:rPr>
                <w:color w:val="auto"/>
                <w:szCs w:val="21"/>
              </w:rPr>
            </w:pPr>
            <w:r>
              <w:rPr>
                <w:color w:val="auto"/>
                <w:szCs w:val="21"/>
              </w:rPr>
              <w:t>/</w:t>
            </w:r>
          </w:p>
        </w:tc>
        <w:tc>
          <w:tcPr>
            <w:tcW w:w="1701" w:type="dxa"/>
            <w:vAlign w:val="center"/>
          </w:tcPr>
          <w:p w14:paraId="64D9B851">
            <w:pPr>
              <w:adjustRightInd w:val="0"/>
              <w:snapToGrid w:val="0"/>
              <w:ind w:firstLine="0" w:firstLineChars="0"/>
              <w:jc w:val="center"/>
              <w:rPr>
                <w:color w:val="auto"/>
                <w:szCs w:val="21"/>
              </w:rPr>
            </w:pPr>
            <w:r>
              <w:rPr>
                <w:color w:val="auto"/>
                <w:szCs w:val="21"/>
              </w:rPr>
              <w:t>/</w:t>
            </w:r>
          </w:p>
        </w:tc>
        <w:tc>
          <w:tcPr>
            <w:tcW w:w="1559" w:type="dxa"/>
            <w:vAlign w:val="center"/>
          </w:tcPr>
          <w:p w14:paraId="74E79492">
            <w:pPr>
              <w:adjustRightInd w:val="0"/>
              <w:snapToGrid w:val="0"/>
              <w:ind w:firstLine="0" w:firstLineChars="0"/>
              <w:jc w:val="center"/>
              <w:rPr>
                <w:color w:val="auto"/>
                <w:szCs w:val="21"/>
              </w:rPr>
            </w:pPr>
            <w:r>
              <w:rPr>
                <w:color w:val="auto"/>
                <w:szCs w:val="21"/>
              </w:rPr>
              <w:t>0</w:t>
            </w:r>
          </w:p>
        </w:tc>
        <w:tc>
          <w:tcPr>
            <w:tcW w:w="1761" w:type="dxa"/>
            <w:vAlign w:val="center"/>
          </w:tcPr>
          <w:p w14:paraId="68EAB4F7">
            <w:pPr>
              <w:adjustRightInd w:val="0"/>
              <w:snapToGrid w:val="0"/>
              <w:ind w:firstLine="0" w:firstLineChars="0"/>
              <w:jc w:val="center"/>
              <w:rPr>
                <w:color w:val="auto"/>
                <w:szCs w:val="21"/>
              </w:rPr>
            </w:pPr>
            <w:r>
              <w:rPr>
                <w:color w:val="auto"/>
                <w:szCs w:val="21"/>
              </w:rPr>
              <w:t>/</w:t>
            </w:r>
          </w:p>
        </w:tc>
        <w:tc>
          <w:tcPr>
            <w:tcW w:w="1764" w:type="dxa"/>
            <w:vAlign w:val="center"/>
          </w:tcPr>
          <w:p w14:paraId="1DEBB8F7">
            <w:pPr>
              <w:adjustRightInd w:val="0"/>
              <w:snapToGrid w:val="0"/>
              <w:ind w:firstLine="0" w:firstLineChars="0"/>
              <w:jc w:val="center"/>
              <w:rPr>
                <w:color w:val="auto"/>
                <w:kern w:val="0"/>
                <w:szCs w:val="21"/>
                <w:lang w:bidi="ar"/>
              </w:rPr>
            </w:pPr>
            <w:r>
              <w:rPr>
                <w:color w:val="auto"/>
                <w:kern w:val="0"/>
                <w:szCs w:val="21"/>
                <w:lang w:bidi="ar"/>
              </w:rPr>
              <w:t>9</w:t>
            </w:r>
          </w:p>
        </w:tc>
        <w:tc>
          <w:tcPr>
            <w:tcW w:w="1021" w:type="dxa"/>
            <w:vAlign w:val="center"/>
          </w:tcPr>
          <w:p w14:paraId="178E9D2F">
            <w:pPr>
              <w:adjustRightInd w:val="0"/>
              <w:snapToGrid w:val="0"/>
              <w:ind w:firstLine="0" w:firstLineChars="0"/>
              <w:jc w:val="center"/>
              <w:rPr>
                <w:color w:val="auto"/>
                <w:kern w:val="0"/>
                <w:szCs w:val="21"/>
                <w:lang w:bidi="ar"/>
              </w:rPr>
            </w:pPr>
            <w:r>
              <w:rPr>
                <w:color w:val="auto"/>
                <w:szCs w:val="21"/>
              </w:rPr>
              <w:t>/</w:t>
            </w:r>
          </w:p>
        </w:tc>
      </w:tr>
      <w:tr w14:paraId="349A6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082" w:type="dxa"/>
            <w:vAlign w:val="center"/>
          </w:tcPr>
          <w:p w14:paraId="1FCC7068">
            <w:pPr>
              <w:adjustRightInd w:val="0"/>
              <w:snapToGrid w:val="0"/>
              <w:ind w:firstLine="0" w:firstLineChars="0"/>
              <w:jc w:val="center"/>
              <w:rPr>
                <w:color w:val="auto"/>
                <w:sz w:val="24"/>
              </w:rPr>
            </w:pPr>
            <w:r>
              <w:rPr>
                <w:color w:val="auto"/>
                <w:sz w:val="24"/>
              </w:rPr>
              <w:t>危险废物</w:t>
            </w:r>
          </w:p>
        </w:tc>
        <w:tc>
          <w:tcPr>
            <w:tcW w:w="1923" w:type="dxa"/>
            <w:vAlign w:val="center"/>
          </w:tcPr>
          <w:p w14:paraId="73129A58">
            <w:pPr>
              <w:adjustRightInd w:val="0"/>
              <w:snapToGrid w:val="0"/>
              <w:ind w:firstLine="0" w:firstLineChars="0"/>
              <w:jc w:val="center"/>
              <w:rPr>
                <w:color w:val="auto"/>
                <w:sz w:val="24"/>
              </w:rPr>
            </w:pPr>
            <w:r>
              <w:rPr>
                <w:color w:val="auto"/>
                <w:sz w:val="24"/>
              </w:rPr>
              <w:t>废矿物油</w:t>
            </w:r>
            <w:r>
              <w:rPr>
                <w:rFonts w:hint="eastAsia"/>
                <w:color w:val="auto"/>
                <w:sz w:val="24"/>
              </w:rPr>
              <w:t>t/a</w:t>
            </w:r>
          </w:p>
        </w:tc>
        <w:tc>
          <w:tcPr>
            <w:tcW w:w="1701" w:type="dxa"/>
            <w:vAlign w:val="center"/>
          </w:tcPr>
          <w:p w14:paraId="24302FC6">
            <w:pPr>
              <w:adjustRightInd w:val="0"/>
              <w:snapToGrid w:val="0"/>
              <w:ind w:firstLine="0" w:firstLineChars="0"/>
              <w:jc w:val="center"/>
              <w:rPr>
                <w:rFonts w:hint="eastAsia" w:eastAsia="宋体"/>
                <w:color w:val="auto"/>
                <w:szCs w:val="21"/>
                <w:lang w:eastAsia="zh-CN"/>
              </w:rPr>
            </w:pPr>
            <w:r>
              <w:rPr>
                <w:color w:val="auto"/>
                <w:szCs w:val="21"/>
              </w:rPr>
              <w:t>0.</w:t>
            </w:r>
            <w:r>
              <w:rPr>
                <w:rFonts w:hint="eastAsia"/>
                <w:color w:val="auto"/>
                <w:szCs w:val="21"/>
                <w:lang w:val="en-US" w:eastAsia="zh-CN"/>
              </w:rPr>
              <w:t>1</w:t>
            </w:r>
          </w:p>
        </w:tc>
        <w:tc>
          <w:tcPr>
            <w:tcW w:w="1276" w:type="dxa"/>
            <w:vAlign w:val="center"/>
          </w:tcPr>
          <w:p w14:paraId="451A5F39">
            <w:pPr>
              <w:adjustRightInd w:val="0"/>
              <w:snapToGrid w:val="0"/>
              <w:ind w:firstLine="0" w:firstLineChars="0"/>
              <w:jc w:val="center"/>
              <w:rPr>
                <w:color w:val="auto"/>
                <w:szCs w:val="21"/>
              </w:rPr>
            </w:pPr>
            <w:r>
              <w:rPr>
                <w:color w:val="auto"/>
                <w:szCs w:val="21"/>
              </w:rPr>
              <w:t>/</w:t>
            </w:r>
          </w:p>
        </w:tc>
        <w:tc>
          <w:tcPr>
            <w:tcW w:w="1701" w:type="dxa"/>
            <w:vAlign w:val="center"/>
          </w:tcPr>
          <w:p w14:paraId="1CE1250F">
            <w:pPr>
              <w:adjustRightInd w:val="0"/>
              <w:snapToGrid w:val="0"/>
              <w:ind w:firstLine="0" w:firstLineChars="0"/>
              <w:jc w:val="center"/>
              <w:rPr>
                <w:color w:val="auto"/>
                <w:szCs w:val="21"/>
              </w:rPr>
            </w:pPr>
            <w:r>
              <w:rPr>
                <w:color w:val="auto"/>
                <w:szCs w:val="21"/>
              </w:rPr>
              <w:t>/</w:t>
            </w:r>
          </w:p>
        </w:tc>
        <w:tc>
          <w:tcPr>
            <w:tcW w:w="1559" w:type="dxa"/>
            <w:vAlign w:val="center"/>
          </w:tcPr>
          <w:p w14:paraId="1E4D0E95">
            <w:pPr>
              <w:adjustRightInd w:val="0"/>
              <w:snapToGrid w:val="0"/>
              <w:ind w:firstLine="0" w:firstLineChars="0"/>
              <w:jc w:val="center"/>
              <w:rPr>
                <w:color w:val="auto"/>
                <w:szCs w:val="21"/>
              </w:rPr>
            </w:pPr>
            <w:r>
              <w:rPr>
                <w:color w:val="auto"/>
                <w:szCs w:val="21"/>
              </w:rPr>
              <w:t>0.1</w:t>
            </w:r>
          </w:p>
        </w:tc>
        <w:tc>
          <w:tcPr>
            <w:tcW w:w="1761" w:type="dxa"/>
            <w:vAlign w:val="center"/>
          </w:tcPr>
          <w:p w14:paraId="66CA217B">
            <w:pPr>
              <w:adjustRightInd w:val="0"/>
              <w:snapToGrid w:val="0"/>
              <w:ind w:firstLine="0" w:firstLineChars="0"/>
              <w:jc w:val="center"/>
              <w:rPr>
                <w:color w:val="auto"/>
                <w:szCs w:val="21"/>
              </w:rPr>
            </w:pPr>
            <w:r>
              <w:rPr>
                <w:color w:val="auto"/>
                <w:szCs w:val="21"/>
              </w:rPr>
              <w:t>/</w:t>
            </w:r>
          </w:p>
        </w:tc>
        <w:tc>
          <w:tcPr>
            <w:tcW w:w="1764" w:type="dxa"/>
            <w:vAlign w:val="center"/>
          </w:tcPr>
          <w:p w14:paraId="739CC13C">
            <w:pPr>
              <w:adjustRightInd w:val="0"/>
              <w:snapToGrid w:val="0"/>
              <w:ind w:firstLine="0" w:firstLineChars="0"/>
              <w:jc w:val="center"/>
              <w:rPr>
                <w:rFonts w:hint="eastAsia" w:eastAsia="宋体"/>
                <w:color w:val="auto"/>
                <w:kern w:val="0"/>
                <w:szCs w:val="21"/>
                <w:lang w:eastAsia="zh-CN" w:bidi="ar"/>
              </w:rPr>
            </w:pPr>
            <w:r>
              <w:rPr>
                <w:color w:val="auto"/>
                <w:szCs w:val="21"/>
              </w:rPr>
              <w:t>0.</w:t>
            </w:r>
            <w:r>
              <w:rPr>
                <w:rFonts w:hint="eastAsia"/>
                <w:color w:val="auto"/>
                <w:szCs w:val="21"/>
                <w:lang w:val="en-US" w:eastAsia="zh-CN"/>
              </w:rPr>
              <w:t>1</w:t>
            </w:r>
          </w:p>
        </w:tc>
        <w:tc>
          <w:tcPr>
            <w:tcW w:w="1021" w:type="dxa"/>
            <w:vAlign w:val="center"/>
          </w:tcPr>
          <w:p w14:paraId="1E08761C">
            <w:pPr>
              <w:adjustRightInd w:val="0"/>
              <w:snapToGrid w:val="0"/>
              <w:ind w:firstLine="0" w:firstLineChars="0"/>
              <w:jc w:val="center"/>
              <w:rPr>
                <w:rFonts w:hint="eastAsia" w:eastAsia="宋体"/>
                <w:color w:val="auto"/>
                <w:kern w:val="0"/>
                <w:szCs w:val="21"/>
                <w:lang w:eastAsia="zh-CN" w:bidi="ar"/>
              </w:rPr>
            </w:pPr>
            <w:r>
              <w:rPr>
                <w:rFonts w:hint="eastAsia"/>
                <w:color w:val="auto"/>
                <w:szCs w:val="21"/>
                <w:lang w:val="en-US" w:eastAsia="zh-CN"/>
              </w:rPr>
              <w:t>/</w:t>
            </w:r>
          </w:p>
        </w:tc>
      </w:tr>
    </w:tbl>
    <w:p w14:paraId="6A1CB3AC">
      <w:pPr>
        <w:ind w:firstLine="480"/>
        <w:rPr>
          <w:color w:val="auto"/>
          <w:sz w:val="24"/>
        </w:rPr>
      </w:pPr>
      <w:r>
        <w:rPr>
          <w:snapToGrid w:val="0"/>
          <w:color w:val="auto"/>
          <w:kern w:val="21"/>
          <w:sz w:val="24"/>
        </w:rPr>
        <w:t>注：</w:t>
      </w:r>
      <w:r>
        <w:rPr>
          <w:snapToGrid w:val="0"/>
          <w:color w:val="auto"/>
          <w:spacing w:val="-16"/>
          <w:kern w:val="21"/>
          <w:sz w:val="24"/>
        </w:rPr>
        <w:fldChar w:fldCharType="begin"/>
      </w:r>
      <w:r>
        <w:rPr>
          <w:snapToGrid w:val="0"/>
          <w:color w:val="auto"/>
          <w:spacing w:val="-16"/>
          <w:kern w:val="21"/>
          <w:sz w:val="24"/>
        </w:rPr>
        <w:instrText xml:space="preserve"> = 6 \* GB3 \* MERGEFORMAT </w:instrText>
      </w:r>
      <w:r>
        <w:rPr>
          <w:snapToGrid w:val="0"/>
          <w:color w:val="auto"/>
          <w:spacing w:val="-16"/>
          <w:kern w:val="21"/>
          <w:sz w:val="24"/>
        </w:rPr>
        <w:fldChar w:fldCharType="separate"/>
      </w:r>
      <w:r>
        <w:rPr>
          <w:color w:val="auto"/>
          <w:sz w:val="24"/>
        </w:rPr>
        <w:t>⑥</w:t>
      </w:r>
      <w:r>
        <w:rPr>
          <w:snapToGrid w:val="0"/>
          <w:color w:val="auto"/>
          <w:spacing w:val="-16"/>
          <w:kern w:val="21"/>
          <w:sz w:val="24"/>
        </w:rPr>
        <w:fldChar w:fldCharType="end"/>
      </w:r>
      <w:r>
        <w:rPr>
          <w:snapToGrid w:val="0"/>
          <w:color w:val="auto"/>
          <w:spacing w:val="-16"/>
          <w:kern w:val="21"/>
          <w:sz w:val="24"/>
        </w:rPr>
        <w:t>=</w:t>
      </w:r>
      <w:r>
        <w:rPr>
          <w:snapToGrid w:val="0"/>
          <w:color w:val="auto"/>
          <w:spacing w:val="-6"/>
          <w:kern w:val="21"/>
          <w:sz w:val="24"/>
        </w:rPr>
        <w:fldChar w:fldCharType="begin"/>
      </w:r>
      <w:r>
        <w:rPr>
          <w:snapToGrid w:val="0"/>
          <w:color w:val="auto"/>
          <w:spacing w:val="-6"/>
          <w:kern w:val="21"/>
          <w:sz w:val="24"/>
        </w:rPr>
        <w:instrText xml:space="preserve"> = 1 \* GB3 \* MERGEFORMAT </w:instrText>
      </w:r>
      <w:r>
        <w:rPr>
          <w:snapToGrid w:val="0"/>
          <w:color w:val="auto"/>
          <w:spacing w:val="-6"/>
          <w:kern w:val="21"/>
          <w:sz w:val="24"/>
        </w:rPr>
        <w:fldChar w:fldCharType="separate"/>
      </w:r>
      <w:r>
        <w:rPr>
          <w:color w:val="auto"/>
          <w:sz w:val="24"/>
        </w:rPr>
        <w:t>①</w:t>
      </w:r>
      <w:r>
        <w:rPr>
          <w:snapToGrid w:val="0"/>
          <w:color w:val="auto"/>
          <w:spacing w:val="-6"/>
          <w:kern w:val="21"/>
          <w:sz w:val="24"/>
        </w:rPr>
        <w:fldChar w:fldCharType="end"/>
      </w:r>
      <w:r>
        <w:rPr>
          <w:snapToGrid w:val="0"/>
          <w:color w:val="auto"/>
          <w:spacing w:val="-6"/>
          <w:kern w:val="21"/>
          <w:sz w:val="24"/>
        </w:rPr>
        <w:t>+</w:t>
      </w:r>
      <w:r>
        <w:rPr>
          <w:snapToGrid w:val="0"/>
          <w:color w:val="auto"/>
          <w:spacing w:val="-6"/>
          <w:kern w:val="21"/>
          <w:sz w:val="24"/>
        </w:rPr>
        <w:fldChar w:fldCharType="begin"/>
      </w:r>
      <w:r>
        <w:rPr>
          <w:snapToGrid w:val="0"/>
          <w:color w:val="auto"/>
          <w:spacing w:val="-6"/>
          <w:kern w:val="21"/>
          <w:sz w:val="24"/>
        </w:rPr>
        <w:instrText xml:space="preserve"> = 3 \* GB3 \* MERGEFORMAT </w:instrText>
      </w:r>
      <w:r>
        <w:rPr>
          <w:snapToGrid w:val="0"/>
          <w:color w:val="auto"/>
          <w:spacing w:val="-6"/>
          <w:kern w:val="21"/>
          <w:sz w:val="24"/>
        </w:rPr>
        <w:fldChar w:fldCharType="separate"/>
      </w:r>
      <w:r>
        <w:rPr>
          <w:color w:val="auto"/>
          <w:sz w:val="24"/>
        </w:rPr>
        <w:t>③</w:t>
      </w:r>
      <w:r>
        <w:rPr>
          <w:snapToGrid w:val="0"/>
          <w:color w:val="auto"/>
          <w:spacing w:val="-6"/>
          <w:kern w:val="21"/>
          <w:sz w:val="24"/>
        </w:rPr>
        <w:fldChar w:fldCharType="end"/>
      </w:r>
      <w:r>
        <w:rPr>
          <w:snapToGrid w:val="0"/>
          <w:color w:val="auto"/>
          <w:spacing w:val="-6"/>
          <w:kern w:val="21"/>
          <w:sz w:val="24"/>
        </w:rPr>
        <w:t>+</w:t>
      </w:r>
      <w:r>
        <w:rPr>
          <w:snapToGrid w:val="0"/>
          <w:color w:val="auto"/>
          <w:spacing w:val="-6"/>
          <w:kern w:val="21"/>
          <w:sz w:val="24"/>
        </w:rPr>
        <w:fldChar w:fldCharType="begin"/>
      </w:r>
      <w:r>
        <w:rPr>
          <w:snapToGrid w:val="0"/>
          <w:color w:val="auto"/>
          <w:spacing w:val="-6"/>
          <w:kern w:val="21"/>
          <w:sz w:val="24"/>
        </w:rPr>
        <w:instrText xml:space="preserve"> = 4 \* GB3 \* MERGEFORMAT </w:instrText>
      </w:r>
      <w:r>
        <w:rPr>
          <w:snapToGrid w:val="0"/>
          <w:color w:val="auto"/>
          <w:spacing w:val="-6"/>
          <w:kern w:val="21"/>
          <w:sz w:val="24"/>
        </w:rPr>
        <w:fldChar w:fldCharType="separate"/>
      </w:r>
      <w:r>
        <w:rPr>
          <w:color w:val="auto"/>
          <w:sz w:val="24"/>
        </w:rPr>
        <w:t>④</w:t>
      </w:r>
      <w:r>
        <w:rPr>
          <w:snapToGrid w:val="0"/>
          <w:color w:val="auto"/>
          <w:spacing w:val="-6"/>
          <w:kern w:val="21"/>
          <w:sz w:val="24"/>
        </w:rPr>
        <w:fldChar w:fldCharType="end"/>
      </w:r>
      <w:r>
        <w:rPr>
          <w:snapToGrid w:val="0"/>
          <w:color w:val="auto"/>
          <w:spacing w:val="-6"/>
          <w:kern w:val="21"/>
          <w:sz w:val="24"/>
        </w:rPr>
        <w:t>-</w:t>
      </w:r>
      <w:r>
        <w:rPr>
          <w:snapToGrid w:val="0"/>
          <w:color w:val="auto"/>
          <w:spacing w:val="-16"/>
          <w:kern w:val="21"/>
          <w:sz w:val="24"/>
        </w:rPr>
        <w:fldChar w:fldCharType="begin"/>
      </w:r>
      <w:r>
        <w:rPr>
          <w:snapToGrid w:val="0"/>
          <w:color w:val="auto"/>
          <w:spacing w:val="-16"/>
          <w:kern w:val="21"/>
          <w:sz w:val="24"/>
        </w:rPr>
        <w:instrText xml:space="preserve"> = 5 \* GB3 \* MERGEFORMAT </w:instrText>
      </w:r>
      <w:r>
        <w:rPr>
          <w:snapToGrid w:val="0"/>
          <w:color w:val="auto"/>
          <w:spacing w:val="-16"/>
          <w:kern w:val="21"/>
          <w:sz w:val="24"/>
        </w:rPr>
        <w:fldChar w:fldCharType="separate"/>
      </w:r>
      <w:r>
        <w:rPr>
          <w:color w:val="auto"/>
          <w:sz w:val="24"/>
        </w:rPr>
        <w:t>⑤</w:t>
      </w:r>
      <w:r>
        <w:rPr>
          <w:snapToGrid w:val="0"/>
          <w:color w:val="auto"/>
          <w:spacing w:val="-16"/>
          <w:kern w:val="21"/>
          <w:sz w:val="24"/>
        </w:rPr>
        <w:fldChar w:fldCharType="end"/>
      </w:r>
      <w:r>
        <w:rPr>
          <w:snapToGrid w:val="0"/>
          <w:color w:val="auto"/>
          <w:spacing w:val="-16"/>
          <w:kern w:val="21"/>
          <w:sz w:val="24"/>
        </w:rPr>
        <w:t>；</w:t>
      </w:r>
      <w:r>
        <w:rPr>
          <w:snapToGrid w:val="0"/>
          <w:color w:val="auto"/>
          <w:spacing w:val="-6"/>
          <w:kern w:val="21"/>
          <w:sz w:val="24"/>
        </w:rPr>
        <w:fldChar w:fldCharType="begin"/>
      </w:r>
      <w:r>
        <w:rPr>
          <w:snapToGrid w:val="0"/>
          <w:color w:val="auto"/>
          <w:spacing w:val="-6"/>
          <w:kern w:val="21"/>
          <w:sz w:val="24"/>
        </w:rPr>
        <w:instrText xml:space="preserve"> = 7 \* GB3 \* MERGEFORMAT </w:instrText>
      </w:r>
      <w:r>
        <w:rPr>
          <w:snapToGrid w:val="0"/>
          <w:color w:val="auto"/>
          <w:spacing w:val="-6"/>
          <w:kern w:val="21"/>
          <w:sz w:val="24"/>
        </w:rPr>
        <w:fldChar w:fldCharType="separate"/>
      </w:r>
      <w:r>
        <w:rPr>
          <w:color w:val="auto"/>
          <w:sz w:val="24"/>
        </w:rPr>
        <w:t>⑦</w:t>
      </w:r>
      <w:r>
        <w:rPr>
          <w:snapToGrid w:val="0"/>
          <w:color w:val="auto"/>
          <w:spacing w:val="-6"/>
          <w:kern w:val="21"/>
          <w:sz w:val="24"/>
        </w:rPr>
        <w:fldChar w:fldCharType="end"/>
      </w:r>
      <w:r>
        <w:rPr>
          <w:snapToGrid w:val="0"/>
          <w:color w:val="auto"/>
          <w:spacing w:val="-6"/>
          <w:kern w:val="21"/>
          <w:sz w:val="24"/>
        </w:rPr>
        <w:t>=</w:t>
      </w:r>
      <w:r>
        <w:rPr>
          <w:snapToGrid w:val="0"/>
          <w:color w:val="auto"/>
          <w:spacing w:val="-16"/>
          <w:kern w:val="21"/>
          <w:sz w:val="24"/>
        </w:rPr>
        <w:fldChar w:fldCharType="begin"/>
      </w:r>
      <w:r>
        <w:rPr>
          <w:snapToGrid w:val="0"/>
          <w:color w:val="auto"/>
          <w:spacing w:val="-16"/>
          <w:kern w:val="21"/>
          <w:sz w:val="24"/>
        </w:rPr>
        <w:instrText xml:space="preserve"> = 6 \* GB3 \* MERGEFORMAT </w:instrText>
      </w:r>
      <w:r>
        <w:rPr>
          <w:snapToGrid w:val="0"/>
          <w:color w:val="auto"/>
          <w:spacing w:val="-16"/>
          <w:kern w:val="21"/>
          <w:sz w:val="24"/>
        </w:rPr>
        <w:fldChar w:fldCharType="separate"/>
      </w:r>
      <w:r>
        <w:rPr>
          <w:color w:val="auto"/>
          <w:sz w:val="24"/>
        </w:rPr>
        <w:t>⑥</w:t>
      </w:r>
      <w:r>
        <w:rPr>
          <w:snapToGrid w:val="0"/>
          <w:color w:val="auto"/>
          <w:spacing w:val="-16"/>
          <w:kern w:val="21"/>
          <w:sz w:val="24"/>
        </w:rPr>
        <w:fldChar w:fldCharType="end"/>
      </w:r>
      <w:r>
        <w:rPr>
          <w:snapToGrid w:val="0"/>
          <w:color w:val="auto"/>
          <w:spacing w:val="-16"/>
          <w:kern w:val="21"/>
          <w:sz w:val="24"/>
        </w:rPr>
        <w:t>-</w:t>
      </w:r>
      <w:r>
        <w:rPr>
          <w:snapToGrid w:val="0"/>
          <w:color w:val="auto"/>
          <w:spacing w:val="-6"/>
          <w:kern w:val="21"/>
          <w:sz w:val="24"/>
        </w:rPr>
        <w:fldChar w:fldCharType="begin"/>
      </w:r>
      <w:r>
        <w:rPr>
          <w:snapToGrid w:val="0"/>
          <w:color w:val="auto"/>
          <w:spacing w:val="-6"/>
          <w:kern w:val="21"/>
          <w:sz w:val="24"/>
        </w:rPr>
        <w:instrText xml:space="preserve"> = 1 \* GB3 \* MERGEFORMAT </w:instrText>
      </w:r>
      <w:r>
        <w:rPr>
          <w:snapToGrid w:val="0"/>
          <w:color w:val="auto"/>
          <w:spacing w:val="-6"/>
          <w:kern w:val="21"/>
          <w:sz w:val="24"/>
        </w:rPr>
        <w:fldChar w:fldCharType="separate"/>
      </w:r>
      <w:r>
        <w:rPr>
          <w:color w:val="auto"/>
          <w:sz w:val="24"/>
        </w:rPr>
        <w:t>①</w:t>
      </w:r>
      <w:r>
        <w:rPr>
          <w:snapToGrid w:val="0"/>
          <w:color w:val="auto"/>
          <w:spacing w:val="-6"/>
          <w:kern w:val="21"/>
          <w:sz w:val="24"/>
        </w:rPr>
        <w:fldChar w:fldCharType="end"/>
      </w:r>
    </w:p>
    <w:p w14:paraId="272895C0">
      <w:pPr>
        <w:ind w:firstLine="420"/>
        <w:rPr>
          <w:color w:val="auto"/>
        </w:rPr>
      </w:pPr>
    </w:p>
    <w:p w14:paraId="5A03C830">
      <w:pPr>
        <w:ind w:firstLine="420"/>
        <w:rPr>
          <w:color w:val="auto"/>
        </w:rPr>
      </w:pPr>
    </w:p>
    <w:sectPr>
      <w:pgSz w:w="16838" w:h="11906" w:orient="landscape"/>
      <w:pgMar w:top="1803" w:right="1440" w:bottom="1803" w:left="1440" w:header="851" w:footer="992" w:gutter="0"/>
      <w:cols w:space="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Geneva">
    <w:altName w:val="Arial"/>
    <w:panose1 w:val="00000000000000000000"/>
    <w:charset w:val="00"/>
    <w:family w:val="swiss"/>
    <w:pitch w:val="default"/>
    <w:sig w:usb0="00000000" w:usb1="00000000" w:usb2="00000000" w:usb3="00000000" w:csb0="0000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B683C">
    <w:pPr>
      <w:pStyle w:val="2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D027F">
    <w:pPr>
      <w:pStyle w:val="29"/>
      <w:framePr w:wrap="around" w:vAnchor="text" w:hAnchor="margin" w:xAlign="center" w:y="1"/>
      <w:ind w:firstLine="360"/>
      <w:rPr>
        <w:rStyle w:val="41"/>
      </w:rPr>
    </w:pPr>
    <w:r>
      <w:fldChar w:fldCharType="begin"/>
    </w:r>
    <w:r>
      <w:rPr>
        <w:rStyle w:val="41"/>
      </w:rPr>
      <w:instrText xml:space="preserve">PAGE  </w:instrText>
    </w:r>
    <w:r>
      <w:fldChar w:fldCharType="end"/>
    </w:r>
  </w:p>
  <w:p w14:paraId="0F184072">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5659B">
    <w:pPr>
      <w:pStyle w:val="2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0563">
    <w:pPr>
      <w:pStyle w:val="2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64D41">
                          <w:pPr>
                            <w:pStyle w:val="29"/>
                            <w:ind w:firstLine="560"/>
                            <w:rPr>
                              <w:rStyle w:val="41"/>
                              <w:rFonts w:hint="eastAsia"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Style w:val="41"/>
                              <w:sz w:val="26"/>
                              <w:szCs w:val="26"/>
                            </w:rPr>
                            <w:fldChar w:fldCharType="begin"/>
                          </w:r>
                          <w:r>
                            <w:rPr>
                              <w:rStyle w:val="41"/>
                              <w:sz w:val="26"/>
                              <w:szCs w:val="26"/>
                            </w:rPr>
                            <w:instrText xml:space="preserve">PAGE  </w:instrText>
                          </w:r>
                          <w:r>
                            <w:rPr>
                              <w:rStyle w:val="41"/>
                              <w:sz w:val="26"/>
                              <w:szCs w:val="26"/>
                            </w:rPr>
                            <w:fldChar w:fldCharType="separate"/>
                          </w:r>
                          <w:r>
                            <w:rPr>
                              <w:rStyle w:val="41"/>
                              <w:sz w:val="26"/>
                              <w:szCs w:val="26"/>
                            </w:rPr>
                            <w:t>9</w:t>
                          </w:r>
                          <w:r>
                            <w:rPr>
                              <w:rStyle w:val="41"/>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B364D41">
                    <w:pPr>
                      <w:pStyle w:val="29"/>
                      <w:ind w:firstLine="560"/>
                      <w:rPr>
                        <w:rStyle w:val="41"/>
                        <w:rFonts w:hint="eastAsia" w:ascii="宋体" w:hAnsi="宋体"/>
                        <w:sz w:val="28"/>
                        <w:szCs w:val="28"/>
                      </w:rPr>
                    </w:pPr>
                    <w:r>
                      <w:rPr>
                        <w:rStyle w:val="41"/>
                        <w:rFonts w:hint="eastAsia" w:ascii="宋体" w:hAnsi="宋体"/>
                        <w:sz w:val="28"/>
                        <w:szCs w:val="28"/>
                      </w:rPr>
                      <w:t>—</w:t>
                    </w:r>
                    <w:r>
                      <w:rPr>
                        <w:rStyle w:val="41"/>
                        <w:rFonts w:hint="eastAsia" w:ascii="宋体" w:hAnsi="宋体"/>
                        <w:sz w:val="20"/>
                      </w:rPr>
                      <w:t xml:space="preserve">  </w:t>
                    </w:r>
                    <w:r>
                      <w:rPr>
                        <w:rStyle w:val="41"/>
                        <w:sz w:val="26"/>
                        <w:szCs w:val="26"/>
                      </w:rPr>
                      <w:fldChar w:fldCharType="begin"/>
                    </w:r>
                    <w:r>
                      <w:rPr>
                        <w:rStyle w:val="41"/>
                        <w:sz w:val="26"/>
                        <w:szCs w:val="26"/>
                      </w:rPr>
                      <w:instrText xml:space="preserve">PAGE  </w:instrText>
                    </w:r>
                    <w:r>
                      <w:rPr>
                        <w:rStyle w:val="41"/>
                        <w:sz w:val="26"/>
                        <w:szCs w:val="26"/>
                      </w:rPr>
                      <w:fldChar w:fldCharType="separate"/>
                    </w:r>
                    <w:r>
                      <w:rPr>
                        <w:rStyle w:val="41"/>
                        <w:sz w:val="26"/>
                        <w:szCs w:val="26"/>
                      </w:rPr>
                      <w:t>9</w:t>
                    </w:r>
                    <w:r>
                      <w:rPr>
                        <w:rStyle w:val="41"/>
                        <w:sz w:val="26"/>
                        <w:szCs w:val="26"/>
                      </w:rPr>
                      <w:fldChar w:fldCharType="end"/>
                    </w:r>
                    <w:r>
                      <w:rPr>
                        <w:rStyle w:val="41"/>
                        <w:rFonts w:hint="eastAsia" w:ascii="宋体" w:hAnsi="宋体"/>
                        <w:sz w:val="20"/>
                      </w:rPr>
                      <w:t xml:space="preserve">  </w:t>
                    </w:r>
                    <w:r>
                      <w:rPr>
                        <w:rStyle w:val="41"/>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BCB62">
    <w:pPr>
      <w:pStyle w:val="2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6C7B9"/>
    <w:multiLevelType w:val="singleLevel"/>
    <w:tmpl w:val="86C6C7B9"/>
    <w:lvl w:ilvl="0" w:tentative="0">
      <w:start w:val="1"/>
      <w:numFmt w:val="bullet"/>
      <w:pStyle w:val="9"/>
      <w:lvlText w:val=""/>
      <w:lvlJc w:val="left"/>
      <w:pPr>
        <w:tabs>
          <w:tab w:val="left" w:pos="780"/>
        </w:tabs>
        <w:ind w:left="780" w:hanging="360"/>
      </w:pPr>
      <w:rPr>
        <w:rFonts w:hint="default" w:ascii="Wingdings" w:hAnsi="Wingdings"/>
      </w:rPr>
    </w:lvl>
  </w:abstractNum>
  <w:abstractNum w:abstractNumId="1">
    <w:nsid w:val="99F941AC"/>
    <w:multiLevelType w:val="singleLevel"/>
    <w:tmpl w:val="99F941AC"/>
    <w:lvl w:ilvl="0" w:tentative="0">
      <w:start w:val="3"/>
      <w:numFmt w:val="decimal"/>
      <w:suff w:val="nothing"/>
      <w:lvlText w:val="（%1）"/>
      <w:lvlJc w:val="left"/>
    </w:lvl>
  </w:abstractNum>
  <w:abstractNum w:abstractNumId="2">
    <w:nsid w:val="C589D756"/>
    <w:multiLevelType w:val="singleLevel"/>
    <w:tmpl w:val="C589D756"/>
    <w:lvl w:ilvl="0" w:tentative="0">
      <w:start w:val="3"/>
      <w:numFmt w:val="decimal"/>
      <w:lvlText w:val="%1."/>
      <w:lvlJc w:val="left"/>
      <w:pPr>
        <w:tabs>
          <w:tab w:val="left" w:pos="312"/>
        </w:tabs>
      </w:pPr>
    </w:lvl>
  </w:abstractNum>
  <w:abstractNum w:abstractNumId="3">
    <w:nsid w:val="ECFD8B23"/>
    <w:multiLevelType w:val="singleLevel"/>
    <w:tmpl w:val="ECFD8B23"/>
    <w:lvl w:ilvl="0" w:tentative="0">
      <w:start w:val="6"/>
      <w:numFmt w:val="decimal"/>
      <w:suff w:val="nothing"/>
      <w:lvlText w:val="%1、"/>
      <w:lvlJc w:val="left"/>
    </w:lvl>
  </w:abstractNum>
  <w:abstractNum w:abstractNumId="4">
    <w:nsid w:val="F4502DB3"/>
    <w:multiLevelType w:val="singleLevel"/>
    <w:tmpl w:val="F4502DB3"/>
    <w:lvl w:ilvl="0" w:tentative="0">
      <w:start w:val="4"/>
      <w:numFmt w:val="decimal"/>
      <w:suff w:val="nothing"/>
      <w:lvlText w:val="（%1）"/>
      <w:lvlJc w:val="left"/>
    </w:lvl>
  </w:abstractNum>
  <w:abstractNum w:abstractNumId="5">
    <w:nsid w:val="22AC3835"/>
    <w:multiLevelType w:val="singleLevel"/>
    <w:tmpl w:val="22AC3835"/>
    <w:lvl w:ilvl="0" w:tentative="0">
      <w:start w:val="5"/>
      <w:numFmt w:val="chineseCounting"/>
      <w:suff w:val="nothing"/>
      <w:lvlText w:val="（%1）"/>
      <w:lvlJc w:val="left"/>
      <w:rPr>
        <w:rFonts w:hint="eastAsia"/>
      </w:rPr>
    </w:lvl>
  </w:abstractNum>
  <w:abstractNum w:abstractNumId="6">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66"/>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kMDBiNTQ5MTg4ZWI1NDY2YzlmOWE2MTVhMGRhZjMifQ=="/>
  </w:docVars>
  <w:rsids>
    <w:rsidRoot w:val="00172A27"/>
    <w:rsid w:val="00003504"/>
    <w:rsid w:val="00015807"/>
    <w:rsid w:val="00051995"/>
    <w:rsid w:val="000F6956"/>
    <w:rsid w:val="00172A27"/>
    <w:rsid w:val="00195B31"/>
    <w:rsid w:val="001A2B41"/>
    <w:rsid w:val="00205621"/>
    <w:rsid w:val="00224C7A"/>
    <w:rsid w:val="00293A34"/>
    <w:rsid w:val="002B49DD"/>
    <w:rsid w:val="002E6615"/>
    <w:rsid w:val="002F4511"/>
    <w:rsid w:val="00303F39"/>
    <w:rsid w:val="00327CB1"/>
    <w:rsid w:val="00340FEF"/>
    <w:rsid w:val="0039470A"/>
    <w:rsid w:val="003C28DE"/>
    <w:rsid w:val="003C3010"/>
    <w:rsid w:val="00433175"/>
    <w:rsid w:val="00551409"/>
    <w:rsid w:val="005C5939"/>
    <w:rsid w:val="005D0EAD"/>
    <w:rsid w:val="005F244C"/>
    <w:rsid w:val="006360BD"/>
    <w:rsid w:val="00656AB2"/>
    <w:rsid w:val="00675306"/>
    <w:rsid w:val="0067766F"/>
    <w:rsid w:val="006911F9"/>
    <w:rsid w:val="006A623D"/>
    <w:rsid w:val="006C1441"/>
    <w:rsid w:val="006D6F3B"/>
    <w:rsid w:val="007C5865"/>
    <w:rsid w:val="007E4E77"/>
    <w:rsid w:val="007F3BFB"/>
    <w:rsid w:val="00872565"/>
    <w:rsid w:val="00884CAE"/>
    <w:rsid w:val="0089189B"/>
    <w:rsid w:val="008E40E1"/>
    <w:rsid w:val="008E6D05"/>
    <w:rsid w:val="008F5B07"/>
    <w:rsid w:val="009333F5"/>
    <w:rsid w:val="00951696"/>
    <w:rsid w:val="00980EC9"/>
    <w:rsid w:val="00A30CDD"/>
    <w:rsid w:val="00A43F55"/>
    <w:rsid w:val="00A86FB1"/>
    <w:rsid w:val="00B431AC"/>
    <w:rsid w:val="00B50AFC"/>
    <w:rsid w:val="00B52CB1"/>
    <w:rsid w:val="00B97279"/>
    <w:rsid w:val="00BA691D"/>
    <w:rsid w:val="00BE6382"/>
    <w:rsid w:val="00C07D66"/>
    <w:rsid w:val="00C51E9F"/>
    <w:rsid w:val="00C74E44"/>
    <w:rsid w:val="00C823C4"/>
    <w:rsid w:val="00CA1B74"/>
    <w:rsid w:val="00CD79DA"/>
    <w:rsid w:val="00D5761F"/>
    <w:rsid w:val="00D91EDB"/>
    <w:rsid w:val="00DC5E6F"/>
    <w:rsid w:val="00E438C3"/>
    <w:rsid w:val="00E46581"/>
    <w:rsid w:val="00E51630"/>
    <w:rsid w:val="00E865C2"/>
    <w:rsid w:val="00E94000"/>
    <w:rsid w:val="00EA40E8"/>
    <w:rsid w:val="00EB2063"/>
    <w:rsid w:val="00F30F89"/>
    <w:rsid w:val="01022F84"/>
    <w:rsid w:val="010A79CD"/>
    <w:rsid w:val="01115B19"/>
    <w:rsid w:val="01167F7D"/>
    <w:rsid w:val="01233A9E"/>
    <w:rsid w:val="012C34B7"/>
    <w:rsid w:val="0136518B"/>
    <w:rsid w:val="01472C04"/>
    <w:rsid w:val="015E4AD6"/>
    <w:rsid w:val="0163340B"/>
    <w:rsid w:val="016C791D"/>
    <w:rsid w:val="01940A17"/>
    <w:rsid w:val="019450FA"/>
    <w:rsid w:val="01982476"/>
    <w:rsid w:val="01991C4C"/>
    <w:rsid w:val="01993D60"/>
    <w:rsid w:val="019A7456"/>
    <w:rsid w:val="01A249C3"/>
    <w:rsid w:val="01A37B56"/>
    <w:rsid w:val="01BA6479"/>
    <w:rsid w:val="01BE4C35"/>
    <w:rsid w:val="01BE7323"/>
    <w:rsid w:val="01CF66BA"/>
    <w:rsid w:val="01D227E9"/>
    <w:rsid w:val="01D51CEF"/>
    <w:rsid w:val="01E07FB3"/>
    <w:rsid w:val="01E274B5"/>
    <w:rsid w:val="01E54191"/>
    <w:rsid w:val="01E70628"/>
    <w:rsid w:val="01EA3F2D"/>
    <w:rsid w:val="01F013C1"/>
    <w:rsid w:val="01F568EE"/>
    <w:rsid w:val="01F677A7"/>
    <w:rsid w:val="01F84A73"/>
    <w:rsid w:val="01FE5971"/>
    <w:rsid w:val="02023F4B"/>
    <w:rsid w:val="02065B63"/>
    <w:rsid w:val="0207297D"/>
    <w:rsid w:val="020D3724"/>
    <w:rsid w:val="02104022"/>
    <w:rsid w:val="02117558"/>
    <w:rsid w:val="02160608"/>
    <w:rsid w:val="02176EB7"/>
    <w:rsid w:val="021805A0"/>
    <w:rsid w:val="021826DA"/>
    <w:rsid w:val="023000CF"/>
    <w:rsid w:val="0234328A"/>
    <w:rsid w:val="023831E6"/>
    <w:rsid w:val="024737BC"/>
    <w:rsid w:val="024A4B13"/>
    <w:rsid w:val="024B0EA1"/>
    <w:rsid w:val="024C492F"/>
    <w:rsid w:val="024E20A3"/>
    <w:rsid w:val="02503F29"/>
    <w:rsid w:val="0250441F"/>
    <w:rsid w:val="02535CBD"/>
    <w:rsid w:val="025817C9"/>
    <w:rsid w:val="027B0375"/>
    <w:rsid w:val="027B5F7F"/>
    <w:rsid w:val="0284056C"/>
    <w:rsid w:val="028A71FF"/>
    <w:rsid w:val="02902A6D"/>
    <w:rsid w:val="029213A5"/>
    <w:rsid w:val="02955AF6"/>
    <w:rsid w:val="029562D6"/>
    <w:rsid w:val="02A1631F"/>
    <w:rsid w:val="02A53D13"/>
    <w:rsid w:val="02A66735"/>
    <w:rsid w:val="02AB79FE"/>
    <w:rsid w:val="02B50098"/>
    <w:rsid w:val="02B76EA0"/>
    <w:rsid w:val="02C119AB"/>
    <w:rsid w:val="02C72207"/>
    <w:rsid w:val="02CB1CF7"/>
    <w:rsid w:val="02D451FD"/>
    <w:rsid w:val="02E1776D"/>
    <w:rsid w:val="02E553A4"/>
    <w:rsid w:val="02F70D3E"/>
    <w:rsid w:val="02FF23DD"/>
    <w:rsid w:val="030C6E5A"/>
    <w:rsid w:val="03112547"/>
    <w:rsid w:val="03153BB5"/>
    <w:rsid w:val="03172975"/>
    <w:rsid w:val="032B09E8"/>
    <w:rsid w:val="032E299E"/>
    <w:rsid w:val="033B50CF"/>
    <w:rsid w:val="03477077"/>
    <w:rsid w:val="03477A8E"/>
    <w:rsid w:val="03550A4B"/>
    <w:rsid w:val="035703B8"/>
    <w:rsid w:val="03591C06"/>
    <w:rsid w:val="035E4CED"/>
    <w:rsid w:val="036676DB"/>
    <w:rsid w:val="036F4ACF"/>
    <w:rsid w:val="037567E0"/>
    <w:rsid w:val="03786668"/>
    <w:rsid w:val="037C09BB"/>
    <w:rsid w:val="03870314"/>
    <w:rsid w:val="03922448"/>
    <w:rsid w:val="0397607D"/>
    <w:rsid w:val="039B3DC0"/>
    <w:rsid w:val="03A569EC"/>
    <w:rsid w:val="03A73E08"/>
    <w:rsid w:val="03A92761"/>
    <w:rsid w:val="03AE1559"/>
    <w:rsid w:val="03BD2A3C"/>
    <w:rsid w:val="03C055D4"/>
    <w:rsid w:val="03C427E7"/>
    <w:rsid w:val="03CA6453"/>
    <w:rsid w:val="03DF1EFE"/>
    <w:rsid w:val="03DF20E6"/>
    <w:rsid w:val="03E84AD5"/>
    <w:rsid w:val="03EA75CC"/>
    <w:rsid w:val="03F139E0"/>
    <w:rsid w:val="03FB485E"/>
    <w:rsid w:val="03FC7FF0"/>
    <w:rsid w:val="03FD436B"/>
    <w:rsid w:val="041365C4"/>
    <w:rsid w:val="04172478"/>
    <w:rsid w:val="04180F6C"/>
    <w:rsid w:val="04182BE0"/>
    <w:rsid w:val="042E24FA"/>
    <w:rsid w:val="04337931"/>
    <w:rsid w:val="043A35D9"/>
    <w:rsid w:val="04455CBC"/>
    <w:rsid w:val="045253A0"/>
    <w:rsid w:val="0456591D"/>
    <w:rsid w:val="046046D6"/>
    <w:rsid w:val="04650054"/>
    <w:rsid w:val="046B3C80"/>
    <w:rsid w:val="047F4146"/>
    <w:rsid w:val="04864599"/>
    <w:rsid w:val="048C120B"/>
    <w:rsid w:val="049158F0"/>
    <w:rsid w:val="049F3A8D"/>
    <w:rsid w:val="04A0541E"/>
    <w:rsid w:val="04A10F62"/>
    <w:rsid w:val="04A60661"/>
    <w:rsid w:val="04AC6063"/>
    <w:rsid w:val="04AE3779"/>
    <w:rsid w:val="04AE464C"/>
    <w:rsid w:val="04B35139"/>
    <w:rsid w:val="04C335CE"/>
    <w:rsid w:val="04C410F4"/>
    <w:rsid w:val="04CB7A9A"/>
    <w:rsid w:val="04CD6D06"/>
    <w:rsid w:val="04DC4690"/>
    <w:rsid w:val="04E83035"/>
    <w:rsid w:val="05025D14"/>
    <w:rsid w:val="050442C2"/>
    <w:rsid w:val="0507507E"/>
    <w:rsid w:val="05145A0C"/>
    <w:rsid w:val="05222BF8"/>
    <w:rsid w:val="052370D3"/>
    <w:rsid w:val="05273155"/>
    <w:rsid w:val="053775DF"/>
    <w:rsid w:val="053814B3"/>
    <w:rsid w:val="053C2CB0"/>
    <w:rsid w:val="054377AC"/>
    <w:rsid w:val="055910AC"/>
    <w:rsid w:val="055E50A5"/>
    <w:rsid w:val="05600E1D"/>
    <w:rsid w:val="056D52E8"/>
    <w:rsid w:val="05753A6C"/>
    <w:rsid w:val="05796D93"/>
    <w:rsid w:val="057A4A23"/>
    <w:rsid w:val="057E43FC"/>
    <w:rsid w:val="05820786"/>
    <w:rsid w:val="058269F5"/>
    <w:rsid w:val="05830037"/>
    <w:rsid w:val="05854CE9"/>
    <w:rsid w:val="058C746C"/>
    <w:rsid w:val="05A23AEA"/>
    <w:rsid w:val="05A32D8D"/>
    <w:rsid w:val="05A607FA"/>
    <w:rsid w:val="05B20F4D"/>
    <w:rsid w:val="05BA6ECD"/>
    <w:rsid w:val="05DB3FDB"/>
    <w:rsid w:val="05E774E6"/>
    <w:rsid w:val="05F477B7"/>
    <w:rsid w:val="05F61781"/>
    <w:rsid w:val="05FB0B46"/>
    <w:rsid w:val="05FC1F0A"/>
    <w:rsid w:val="06025659"/>
    <w:rsid w:val="060519C4"/>
    <w:rsid w:val="06053772"/>
    <w:rsid w:val="060856F4"/>
    <w:rsid w:val="06110369"/>
    <w:rsid w:val="06147E59"/>
    <w:rsid w:val="06191684"/>
    <w:rsid w:val="061D0ABC"/>
    <w:rsid w:val="062067FE"/>
    <w:rsid w:val="062B6E9A"/>
    <w:rsid w:val="062F2FDC"/>
    <w:rsid w:val="06302974"/>
    <w:rsid w:val="063B7CCA"/>
    <w:rsid w:val="063D2F0C"/>
    <w:rsid w:val="063E50AD"/>
    <w:rsid w:val="064249C6"/>
    <w:rsid w:val="06555537"/>
    <w:rsid w:val="065869FD"/>
    <w:rsid w:val="065B0CF6"/>
    <w:rsid w:val="065F4847"/>
    <w:rsid w:val="066801DD"/>
    <w:rsid w:val="06695AAF"/>
    <w:rsid w:val="067A04CA"/>
    <w:rsid w:val="067F3525"/>
    <w:rsid w:val="06817174"/>
    <w:rsid w:val="068230B2"/>
    <w:rsid w:val="06867DFC"/>
    <w:rsid w:val="06915006"/>
    <w:rsid w:val="0692645C"/>
    <w:rsid w:val="06947999"/>
    <w:rsid w:val="06952D48"/>
    <w:rsid w:val="069A3EBB"/>
    <w:rsid w:val="069D5B9B"/>
    <w:rsid w:val="069D785C"/>
    <w:rsid w:val="06A34A08"/>
    <w:rsid w:val="06B425F2"/>
    <w:rsid w:val="06B7213F"/>
    <w:rsid w:val="06BA5030"/>
    <w:rsid w:val="06BA630B"/>
    <w:rsid w:val="06C7630B"/>
    <w:rsid w:val="06CB676A"/>
    <w:rsid w:val="06CF4373"/>
    <w:rsid w:val="06D33870"/>
    <w:rsid w:val="06D346D2"/>
    <w:rsid w:val="06E415DA"/>
    <w:rsid w:val="06EB0BBA"/>
    <w:rsid w:val="06EC1E92"/>
    <w:rsid w:val="070174DD"/>
    <w:rsid w:val="07043A2A"/>
    <w:rsid w:val="071A5C5D"/>
    <w:rsid w:val="071B32B6"/>
    <w:rsid w:val="07267541"/>
    <w:rsid w:val="07287718"/>
    <w:rsid w:val="072B545A"/>
    <w:rsid w:val="07310263"/>
    <w:rsid w:val="0743707D"/>
    <w:rsid w:val="074C325F"/>
    <w:rsid w:val="074E2EF7"/>
    <w:rsid w:val="075958CC"/>
    <w:rsid w:val="075F3ED9"/>
    <w:rsid w:val="076502A6"/>
    <w:rsid w:val="07660241"/>
    <w:rsid w:val="076B3AA9"/>
    <w:rsid w:val="07767EF0"/>
    <w:rsid w:val="077C7D1E"/>
    <w:rsid w:val="07822CFC"/>
    <w:rsid w:val="07837045"/>
    <w:rsid w:val="07A128D4"/>
    <w:rsid w:val="07A1396F"/>
    <w:rsid w:val="07A174CB"/>
    <w:rsid w:val="07A953B1"/>
    <w:rsid w:val="07BC2556"/>
    <w:rsid w:val="07BD7C11"/>
    <w:rsid w:val="07C25320"/>
    <w:rsid w:val="07CE1789"/>
    <w:rsid w:val="07DD7326"/>
    <w:rsid w:val="07DE427B"/>
    <w:rsid w:val="07F32AD5"/>
    <w:rsid w:val="0800140A"/>
    <w:rsid w:val="080D0674"/>
    <w:rsid w:val="080E5162"/>
    <w:rsid w:val="081D54B2"/>
    <w:rsid w:val="082425D6"/>
    <w:rsid w:val="08254FB4"/>
    <w:rsid w:val="082751D4"/>
    <w:rsid w:val="0828199A"/>
    <w:rsid w:val="08367B67"/>
    <w:rsid w:val="08371AF0"/>
    <w:rsid w:val="083E11BD"/>
    <w:rsid w:val="08430582"/>
    <w:rsid w:val="08512C9F"/>
    <w:rsid w:val="08517028"/>
    <w:rsid w:val="08640C24"/>
    <w:rsid w:val="08644C05"/>
    <w:rsid w:val="08821A3A"/>
    <w:rsid w:val="08852292"/>
    <w:rsid w:val="088E7A4F"/>
    <w:rsid w:val="0895702F"/>
    <w:rsid w:val="08966904"/>
    <w:rsid w:val="089963F4"/>
    <w:rsid w:val="089F7EAE"/>
    <w:rsid w:val="08A15C29"/>
    <w:rsid w:val="08AB6408"/>
    <w:rsid w:val="08B258EB"/>
    <w:rsid w:val="08B80F70"/>
    <w:rsid w:val="08C16076"/>
    <w:rsid w:val="08D2511C"/>
    <w:rsid w:val="08D768B3"/>
    <w:rsid w:val="08DC2B16"/>
    <w:rsid w:val="08E06BFE"/>
    <w:rsid w:val="08E231CD"/>
    <w:rsid w:val="08EA1120"/>
    <w:rsid w:val="08FD1DEA"/>
    <w:rsid w:val="08FD31A9"/>
    <w:rsid w:val="091B682D"/>
    <w:rsid w:val="09206DDD"/>
    <w:rsid w:val="09212671"/>
    <w:rsid w:val="0926412B"/>
    <w:rsid w:val="092C1F51"/>
    <w:rsid w:val="092D17CD"/>
    <w:rsid w:val="09364775"/>
    <w:rsid w:val="093700E7"/>
    <w:rsid w:val="0937587F"/>
    <w:rsid w:val="0941451D"/>
    <w:rsid w:val="094A557B"/>
    <w:rsid w:val="094A7FF6"/>
    <w:rsid w:val="096424EF"/>
    <w:rsid w:val="09672AD3"/>
    <w:rsid w:val="096C40EB"/>
    <w:rsid w:val="096E75D6"/>
    <w:rsid w:val="097B395C"/>
    <w:rsid w:val="098904FD"/>
    <w:rsid w:val="099B24A6"/>
    <w:rsid w:val="099F5C8C"/>
    <w:rsid w:val="09C33728"/>
    <w:rsid w:val="09C70C60"/>
    <w:rsid w:val="09C82F9F"/>
    <w:rsid w:val="09D370FD"/>
    <w:rsid w:val="09D674F6"/>
    <w:rsid w:val="09EA11A2"/>
    <w:rsid w:val="09EA6F07"/>
    <w:rsid w:val="09EC032D"/>
    <w:rsid w:val="0A0A147D"/>
    <w:rsid w:val="0A0B22A6"/>
    <w:rsid w:val="0A0D3EBF"/>
    <w:rsid w:val="0A1D552E"/>
    <w:rsid w:val="0A211B30"/>
    <w:rsid w:val="0A21573F"/>
    <w:rsid w:val="0A261B64"/>
    <w:rsid w:val="0A2C447B"/>
    <w:rsid w:val="0A344626"/>
    <w:rsid w:val="0A3948AD"/>
    <w:rsid w:val="0A3B7763"/>
    <w:rsid w:val="0A3D7FAC"/>
    <w:rsid w:val="0A430D0D"/>
    <w:rsid w:val="0A4E393A"/>
    <w:rsid w:val="0A6007AB"/>
    <w:rsid w:val="0A693506"/>
    <w:rsid w:val="0A69398C"/>
    <w:rsid w:val="0A792992"/>
    <w:rsid w:val="0A7E6F9F"/>
    <w:rsid w:val="0A883A89"/>
    <w:rsid w:val="0A8F5D00"/>
    <w:rsid w:val="0A92134D"/>
    <w:rsid w:val="0A946A55"/>
    <w:rsid w:val="0A960E3D"/>
    <w:rsid w:val="0A963AAE"/>
    <w:rsid w:val="0A9D4330"/>
    <w:rsid w:val="0A9E3EB9"/>
    <w:rsid w:val="0AA27E70"/>
    <w:rsid w:val="0AAB0B88"/>
    <w:rsid w:val="0AAC240E"/>
    <w:rsid w:val="0AB75863"/>
    <w:rsid w:val="0ACB31DC"/>
    <w:rsid w:val="0ACE0286"/>
    <w:rsid w:val="0ADB6EF4"/>
    <w:rsid w:val="0AE36ECE"/>
    <w:rsid w:val="0AF60B31"/>
    <w:rsid w:val="0AF96715"/>
    <w:rsid w:val="0AFC77D6"/>
    <w:rsid w:val="0B09418A"/>
    <w:rsid w:val="0B1A19B4"/>
    <w:rsid w:val="0B1D5982"/>
    <w:rsid w:val="0B217FC5"/>
    <w:rsid w:val="0B224DC6"/>
    <w:rsid w:val="0B2F5832"/>
    <w:rsid w:val="0B33619E"/>
    <w:rsid w:val="0B394C5C"/>
    <w:rsid w:val="0B3E67C2"/>
    <w:rsid w:val="0B41524D"/>
    <w:rsid w:val="0B45421B"/>
    <w:rsid w:val="0B5605CC"/>
    <w:rsid w:val="0B5635A2"/>
    <w:rsid w:val="0B5B3783"/>
    <w:rsid w:val="0B5C708E"/>
    <w:rsid w:val="0B5D6576"/>
    <w:rsid w:val="0B622A02"/>
    <w:rsid w:val="0B674CBC"/>
    <w:rsid w:val="0B6874E1"/>
    <w:rsid w:val="0B6C2293"/>
    <w:rsid w:val="0B6C50CB"/>
    <w:rsid w:val="0B6D1AC3"/>
    <w:rsid w:val="0B6E19A7"/>
    <w:rsid w:val="0B7B0B24"/>
    <w:rsid w:val="0B8475F4"/>
    <w:rsid w:val="0B920E35"/>
    <w:rsid w:val="0B9A2BAF"/>
    <w:rsid w:val="0B9A6BA7"/>
    <w:rsid w:val="0BA23811"/>
    <w:rsid w:val="0BBC0D77"/>
    <w:rsid w:val="0BBE064B"/>
    <w:rsid w:val="0BC10245"/>
    <w:rsid w:val="0BCD7E12"/>
    <w:rsid w:val="0BDC4F58"/>
    <w:rsid w:val="0BED2CDE"/>
    <w:rsid w:val="0BF56E60"/>
    <w:rsid w:val="0C0539DD"/>
    <w:rsid w:val="0C0804DC"/>
    <w:rsid w:val="0C0A3890"/>
    <w:rsid w:val="0C100447"/>
    <w:rsid w:val="0C112AE3"/>
    <w:rsid w:val="0C1A4BEB"/>
    <w:rsid w:val="0C2649DF"/>
    <w:rsid w:val="0C2E6944"/>
    <w:rsid w:val="0C3D30AA"/>
    <w:rsid w:val="0C4072B2"/>
    <w:rsid w:val="0C460E04"/>
    <w:rsid w:val="0C486239"/>
    <w:rsid w:val="0C544D34"/>
    <w:rsid w:val="0C6236CC"/>
    <w:rsid w:val="0C6E02C3"/>
    <w:rsid w:val="0C756A7E"/>
    <w:rsid w:val="0C77337C"/>
    <w:rsid w:val="0C7829CA"/>
    <w:rsid w:val="0C82288B"/>
    <w:rsid w:val="0C9B3A6B"/>
    <w:rsid w:val="0C9B7F52"/>
    <w:rsid w:val="0CA30FB8"/>
    <w:rsid w:val="0CA83B4A"/>
    <w:rsid w:val="0CCC0710"/>
    <w:rsid w:val="0CE143B2"/>
    <w:rsid w:val="0CE55D1C"/>
    <w:rsid w:val="0CF04ACE"/>
    <w:rsid w:val="0D04428B"/>
    <w:rsid w:val="0D0A343A"/>
    <w:rsid w:val="0D0C188A"/>
    <w:rsid w:val="0D191630"/>
    <w:rsid w:val="0D295F98"/>
    <w:rsid w:val="0D305D1E"/>
    <w:rsid w:val="0D3875BE"/>
    <w:rsid w:val="0D5F5E5E"/>
    <w:rsid w:val="0D637D73"/>
    <w:rsid w:val="0D643474"/>
    <w:rsid w:val="0D786F20"/>
    <w:rsid w:val="0D7C4200"/>
    <w:rsid w:val="0D863B28"/>
    <w:rsid w:val="0D885A33"/>
    <w:rsid w:val="0D8C58EC"/>
    <w:rsid w:val="0D960D3E"/>
    <w:rsid w:val="0DA254C0"/>
    <w:rsid w:val="0DA675E9"/>
    <w:rsid w:val="0DA837B8"/>
    <w:rsid w:val="0DB55A7E"/>
    <w:rsid w:val="0DBF4B4E"/>
    <w:rsid w:val="0DC21F49"/>
    <w:rsid w:val="0DCD09F0"/>
    <w:rsid w:val="0DCE08EE"/>
    <w:rsid w:val="0DCE4BD6"/>
    <w:rsid w:val="0DD938FF"/>
    <w:rsid w:val="0DE563A5"/>
    <w:rsid w:val="0DE9033F"/>
    <w:rsid w:val="0DF86B73"/>
    <w:rsid w:val="0DFA2BCC"/>
    <w:rsid w:val="0DFF5C3B"/>
    <w:rsid w:val="0E0808DD"/>
    <w:rsid w:val="0E081147"/>
    <w:rsid w:val="0E0F33E0"/>
    <w:rsid w:val="0E102753"/>
    <w:rsid w:val="0E211365"/>
    <w:rsid w:val="0E296834"/>
    <w:rsid w:val="0E296B13"/>
    <w:rsid w:val="0E3C2671"/>
    <w:rsid w:val="0E467795"/>
    <w:rsid w:val="0E4D1DBB"/>
    <w:rsid w:val="0E504631"/>
    <w:rsid w:val="0E5139F9"/>
    <w:rsid w:val="0E567261"/>
    <w:rsid w:val="0E6F3E7F"/>
    <w:rsid w:val="0E7E767A"/>
    <w:rsid w:val="0E807E3A"/>
    <w:rsid w:val="0E813580"/>
    <w:rsid w:val="0E8813E4"/>
    <w:rsid w:val="0E887F44"/>
    <w:rsid w:val="0E894549"/>
    <w:rsid w:val="0E9125B0"/>
    <w:rsid w:val="0E927E61"/>
    <w:rsid w:val="0E971CEC"/>
    <w:rsid w:val="0E9E6F0A"/>
    <w:rsid w:val="0EA72B92"/>
    <w:rsid w:val="0EAD7E75"/>
    <w:rsid w:val="0EAE5132"/>
    <w:rsid w:val="0EB16A5D"/>
    <w:rsid w:val="0EC71F0D"/>
    <w:rsid w:val="0EC97C3C"/>
    <w:rsid w:val="0EE20AF5"/>
    <w:rsid w:val="0EE71214"/>
    <w:rsid w:val="0EE7435D"/>
    <w:rsid w:val="0EF20FBD"/>
    <w:rsid w:val="0EFC6BE3"/>
    <w:rsid w:val="0F114F36"/>
    <w:rsid w:val="0F142919"/>
    <w:rsid w:val="0F1B4006"/>
    <w:rsid w:val="0F1C245B"/>
    <w:rsid w:val="0F1E1F98"/>
    <w:rsid w:val="0F227143"/>
    <w:rsid w:val="0F235324"/>
    <w:rsid w:val="0F3927D6"/>
    <w:rsid w:val="0F455900"/>
    <w:rsid w:val="0F4E1581"/>
    <w:rsid w:val="0F597A04"/>
    <w:rsid w:val="0F5A38D7"/>
    <w:rsid w:val="0F611DE9"/>
    <w:rsid w:val="0F6255B7"/>
    <w:rsid w:val="0F625791"/>
    <w:rsid w:val="0F6A299C"/>
    <w:rsid w:val="0F7A4165"/>
    <w:rsid w:val="0F7F00F1"/>
    <w:rsid w:val="0F8B6CE0"/>
    <w:rsid w:val="0F9A589C"/>
    <w:rsid w:val="0F9B7951"/>
    <w:rsid w:val="0FA609CC"/>
    <w:rsid w:val="0FAC3659"/>
    <w:rsid w:val="0FB83603"/>
    <w:rsid w:val="0FC77ADA"/>
    <w:rsid w:val="0FCC572E"/>
    <w:rsid w:val="0FD3043D"/>
    <w:rsid w:val="0FE4264A"/>
    <w:rsid w:val="0FF26075"/>
    <w:rsid w:val="0FF44180"/>
    <w:rsid w:val="0FF7237E"/>
    <w:rsid w:val="0FF860F6"/>
    <w:rsid w:val="0FFA1E6E"/>
    <w:rsid w:val="0FFC1427"/>
    <w:rsid w:val="1001144E"/>
    <w:rsid w:val="100772EE"/>
    <w:rsid w:val="10142F30"/>
    <w:rsid w:val="1017737C"/>
    <w:rsid w:val="101A14F8"/>
    <w:rsid w:val="102173FB"/>
    <w:rsid w:val="10245548"/>
    <w:rsid w:val="10336795"/>
    <w:rsid w:val="10347536"/>
    <w:rsid w:val="103D0BA2"/>
    <w:rsid w:val="103E48B7"/>
    <w:rsid w:val="103F5AD3"/>
    <w:rsid w:val="103F5C65"/>
    <w:rsid w:val="10407141"/>
    <w:rsid w:val="10414F72"/>
    <w:rsid w:val="104C1361"/>
    <w:rsid w:val="10531192"/>
    <w:rsid w:val="10556DBB"/>
    <w:rsid w:val="10595FBD"/>
    <w:rsid w:val="105C0433"/>
    <w:rsid w:val="105C33D3"/>
    <w:rsid w:val="1067038F"/>
    <w:rsid w:val="106F63B8"/>
    <w:rsid w:val="10817E99"/>
    <w:rsid w:val="10953945"/>
    <w:rsid w:val="109951E3"/>
    <w:rsid w:val="10A5614F"/>
    <w:rsid w:val="10B91E62"/>
    <w:rsid w:val="10BE1BE7"/>
    <w:rsid w:val="10D31FAC"/>
    <w:rsid w:val="10DD253A"/>
    <w:rsid w:val="10DD419A"/>
    <w:rsid w:val="10E16EA2"/>
    <w:rsid w:val="10E431BA"/>
    <w:rsid w:val="10E943BC"/>
    <w:rsid w:val="10E96F67"/>
    <w:rsid w:val="10F34041"/>
    <w:rsid w:val="10F93234"/>
    <w:rsid w:val="10FA431D"/>
    <w:rsid w:val="10FC6398"/>
    <w:rsid w:val="11003900"/>
    <w:rsid w:val="110B7891"/>
    <w:rsid w:val="111C3A3A"/>
    <w:rsid w:val="111D1A3C"/>
    <w:rsid w:val="111D7BC2"/>
    <w:rsid w:val="111E393A"/>
    <w:rsid w:val="11287AF5"/>
    <w:rsid w:val="112D6274"/>
    <w:rsid w:val="113E3FDC"/>
    <w:rsid w:val="114F2D0E"/>
    <w:rsid w:val="11543643"/>
    <w:rsid w:val="115B3BDC"/>
    <w:rsid w:val="115B4B8E"/>
    <w:rsid w:val="116D6B65"/>
    <w:rsid w:val="117143B2"/>
    <w:rsid w:val="1178642B"/>
    <w:rsid w:val="11813B96"/>
    <w:rsid w:val="118A31F7"/>
    <w:rsid w:val="118E1F67"/>
    <w:rsid w:val="119074D8"/>
    <w:rsid w:val="1194344E"/>
    <w:rsid w:val="119B4F8B"/>
    <w:rsid w:val="11A71B81"/>
    <w:rsid w:val="11B36513"/>
    <w:rsid w:val="11C049F1"/>
    <w:rsid w:val="11C37EB6"/>
    <w:rsid w:val="11C412E0"/>
    <w:rsid w:val="11D23F92"/>
    <w:rsid w:val="11D86EAE"/>
    <w:rsid w:val="11D93748"/>
    <w:rsid w:val="11DC2C5C"/>
    <w:rsid w:val="11E1766F"/>
    <w:rsid w:val="11E22BBA"/>
    <w:rsid w:val="11E74565"/>
    <w:rsid w:val="11E9616D"/>
    <w:rsid w:val="11EB41F5"/>
    <w:rsid w:val="11EE77B0"/>
    <w:rsid w:val="11EF60BB"/>
    <w:rsid w:val="11F62EE9"/>
    <w:rsid w:val="11F86D77"/>
    <w:rsid w:val="120314AE"/>
    <w:rsid w:val="12045226"/>
    <w:rsid w:val="12095A3E"/>
    <w:rsid w:val="120D35E2"/>
    <w:rsid w:val="1212349F"/>
    <w:rsid w:val="121355DB"/>
    <w:rsid w:val="12210E7B"/>
    <w:rsid w:val="12255AFC"/>
    <w:rsid w:val="122D0061"/>
    <w:rsid w:val="123155A1"/>
    <w:rsid w:val="12374CB3"/>
    <w:rsid w:val="124517E7"/>
    <w:rsid w:val="12473D7F"/>
    <w:rsid w:val="124D2729"/>
    <w:rsid w:val="125062A1"/>
    <w:rsid w:val="125C38BD"/>
    <w:rsid w:val="12664815"/>
    <w:rsid w:val="126C4B0A"/>
    <w:rsid w:val="127D6304"/>
    <w:rsid w:val="12865C3B"/>
    <w:rsid w:val="128C0640"/>
    <w:rsid w:val="129147AF"/>
    <w:rsid w:val="12920674"/>
    <w:rsid w:val="12960CDE"/>
    <w:rsid w:val="129C6349"/>
    <w:rsid w:val="129E34BA"/>
    <w:rsid w:val="12B441EF"/>
    <w:rsid w:val="12B46304"/>
    <w:rsid w:val="12B559CF"/>
    <w:rsid w:val="12BF763D"/>
    <w:rsid w:val="12C7072D"/>
    <w:rsid w:val="12CB4732"/>
    <w:rsid w:val="12D5073B"/>
    <w:rsid w:val="12D743DE"/>
    <w:rsid w:val="12D75CEB"/>
    <w:rsid w:val="12D83555"/>
    <w:rsid w:val="12E43DCF"/>
    <w:rsid w:val="12EC0194"/>
    <w:rsid w:val="12F02E71"/>
    <w:rsid w:val="12F40DF6"/>
    <w:rsid w:val="12FA57FD"/>
    <w:rsid w:val="130519AD"/>
    <w:rsid w:val="13076E22"/>
    <w:rsid w:val="1312127D"/>
    <w:rsid w:val="13203999"/>
    <w:rsid w:val="132B25B1"/>
    <w:rsid w:val="133B516B"/>
    <w:rsid w:val="133E0FD8"/>
    <w:rsid w:val="13426E05"/>
    <w:rsid w:val="134372EB"/>
    <w:rsid w:val="134E195F"/>
    <w:rsid w:val="134E648D"/>
    <w:rsid w:val="13523637"/>
    <w:rsid w:val="13574D1F"/>
    <w:rsid w:val="136441CE"/>
    <w:rsid w:val="13695C36"/>
    <w:rsid w:val="136C704E"/>
    <w:rsid w:val="13710699"/>
    <w:rsid w:val="13767056"/>
    <w:rsid w:val="13975FCE"/>
    <w:rsid w:val="139C03FB"/>
    <w:rsid w:val="13A35FA2"/>
    <w:rsid w:val="13AB3BAB"/>
    <w:rsid w:val="13B50586"/>
    <w:rsid w:val="13BE63AE"/>
    <w:rsid w:val="13C54441"/>
    <w:rsid w:val="13C82D78"/>
    <w:rsid w:val="13C87727"/>
    <w:rsid w:val="13D1031B"/>
    <w:rsid w:val="13D53B45"/>
    <w:rsid w:val="13D604FC"/>
    <w:rsid w:val="13DF6E73"/>
    <w:rsid w:val="13E175CD"/>
    <w:rsid w:val="13E17DA3"/>
    <w:rsid w:val="13E26EA1"/>
    <w:rsid w:val="13E76168"/>
    <w:rsid w:val="13F1593A"/>
    <w:rsid w:val="13FD4129"/>
    <w:rsid w:val="140339E5"/>
    <w:rsid w:val="14067033"/>
    <w:rsid w:val="14092680"/>
    <w:rsid w:val="140C2170"/>
    <w:rsid w:val="142A6E60"/>
    <w:rsid w:val="142F527C"/>
    <w:rsid w:val="1434290B"/>
    <w:rsid w:val="14357918"/>
    <w:rsid w:val="14362BD1"/>
    <w:rsid w:val="143F5FAA"/>
    <w:rsid w:val="144B0EEA"/>
    <w:rsid w:val="144E4536"/>
    <w:rsid w:val="144F3ACE"/>
    <w:rsid w:val="14524026"/>
    <w:rsid w:val="1454727D"/>
    <w:rsid w:val="14553B17"/>
    <w:rsid w:val="145C6962"/>
    <w:rsid w:val="14644BBB"/>
    <w:rsid w:val="1477078D"/>
    <w:rsid w:val="1480655B"/>
    <w:rsid w:val="14830684"/>
    <w:rsid w:val="14832432"/>
    <w:rsid w:val="148461AA"/>
    <w:rsid w:val="148E6A4C"/>
    <w:rsid w:val="14952165"/>
    <w:rsid w:val="14991DEC"/>
    <w:rsid w:val="149E655B"/>
    <w:rsid w:val="14A8037D"/>
    <w:rsid w:val="14AC7060"/>
    <w:rsid w:val="14B75363"/>
    <w:rsid w:val="14BD65D4"/>
    <w:rsid w:val="14BD7709"/>
    <w:rsid w:val="14C21092"/>
    <w:rsid w:val="14C34F24"/>
    <w:rsid w:val="14CE3295"/>
    <w:rsid w:val="14D16651"/>
    <w:rsid w:val="14D26F15"/>
    <w:rsid w:val="14D427D3"/>
    <w:rsid w:val="14D64C58"/>
    <w:rsid w:val="14DC5FE6"/>
    <w:rsid w:val="14DE35FE"/>
    <w:rsid w:val="14EA24B1"/>
    <w:rsid w:val="14EF1875"/>
    <w:rsid w:val="14FC3F92"/>
    <w:rsid w:val="14FE41AE"/>
    <w:rsid w:val="151E65FF"/>
    <w:rsid w:val="15267BD5"/>
    <w:rsid w:val="1527568C"/>
    <w:rsid w:val="152C56B4"/>
    <w:rsid w:val="153E1664"/>
    <w:rsid w:val="15435C00"/>
    <w:rsid w:val="15451DDD"/>
    <w:rsid w:val="155073CC"/>
    <w:rsid w:val="1552003B"/>
    <w:rsid w:val="15533C1F"/>
    <w:rsid w:val="155C16B2"/>
    <w:rsid w:val="155E4A4F"/>
    <w:rsid w:val="155F0FE5"/>
    <w:rsid w:val="15645BE0"/>
    <w:rsid w:val="156E2000"/>
    <w:rsid w:val="156E30E2"/>
    <w:rsid w:val="15767189"/>
    <w:rsid w:val="157A747A"/>
    <w:rsid w:val="157F2847"/>
    <w:rsid w:val="15806971"/>
    <w:rsid w:val="159259DB"/>
    <w:rsid w:val="15973CBB"/>
    <w:rsid w:val="159B12DE"/>
    <w:rsid w:val="159D1D5D"/>
    <w:rsid w:val="159D5775"/>
    <w:rsid w:val="15A02B70"/>
    <w:rsid w:val="15A72150"/>
    <w:rsid w:val="15AE7982"/>
    <w:rsid w:val="15B33262"/>
    <w:rsid w:val="15BD4731"/>
    <w:rsid w:val="15BE749A"/>
    <w:rsid w:val="15C33CB3"/>
    <w:rsid w:val="15CC1BB7"/>
    <w:rsid w:val="15D05B4B"/>
    <w:rsid w:val="15D13671"/>
    <w:rsid w:val="15D46CBD"/>
    <w:rsid w:val="15D632CE"/>
    <w:rsid w:val="15DA1140"/>
    <w:rsid w:val="15DB747A"/>
    <w:rsid w:val="15EE1307"/>
    <w:rsid w:val="16003FC0"/>
    <w:rsid w:val="16011215"/>
    <w:rsid w:val="16090D0A"/>
    <w:rsid w:val="160A4144"/>
    <w:rsid w:val="160D0296"/>
    <w:rsid w:val="161836C3"/>
    <w:rsid w:val="16196CEE"/>
    <w:rsid w:val="1622065F"/>
    <w:rsid w:val="16227A29"/>
    <w:rsid w:val="162E461F"/>
    <w:rsid w:val="162E6FEA"/>
    <w:rsid w:val="16306CB5"/>
    <w:rsid w:val="163634D4"/>
    <w:rsid w:val="163934C9"/>
    <w:rsid w:val="163B747F"/>
    <w:rsid w:val="163E47A2"/>
    <w:rsid w:val="16411A08"/>
    <w:rsid w:val="16450D3B"/>
    <w:rsid w:val="164B51D1"/>
    <w:rsid w:val="164C2CF7"/>
    <w:rsid w:val="16512C66"/>
    <w:rsid w:val="16534C24"/>
    <w:rsid w:val="16534C52"/>
    <w:rsid w:val="16571DC8"/>
    <w:rsid w:val="16610EFD"/>
    <w:rsid w:val="1666781F"/>
    <w:rsid w:val="16734F4F"/>
    <w:rsid w:val="167B0147"/>
    <w:rsid w:val="168C2EEF"/>
    <w:rsid w:val="16970417"/>
    <w:rsid w:val="169B0523"/>
    <w:rsid w:val="169D3553"/>
    <w:rsid w:val="16A3500D"/>
    <w:rsid w:val="16A54E33"/>
    <w:rsid w:val="16B30AE1"/>
    <w:rsid w:val="16B70AB9"/>
    <w:rsid w:val="16BA4105"/>
    <w:rsid w:val="16BD5CDA"/>
    <w:rsid w:val="16C84A74"/>
    <w:rsid w:val="16CE3958"/>
    <w:rsid w:val="16D03928"/>
    <w:rsid w:val="16D97DC7"/>
    <w:rsid w:val="16E3365C"/>
    <w:rsid w:val="16EC492F"/>
    <w:rsid w:val="170D2487"/>
    <w:rsid w:val="17151105"/>
    <w:rsid w:val="171B2960"/>
    <w:rsid w:val="17211B5D"/>
    <w:rsid w:val="17253C74"/>
    <w:rsid w:val="17285513"/>
    <w:rsid w:val="1729112E"/>
    <w:rsid w:val="172D0D7B"/>
    <w:rsid w:val="173A0E4F"/>
    <w:rsid w:val="173B5246"/>
    <w:rsid w:val="173D68BB"/>
    <w:rsid w:val="17422A59"/>
    <w:rsid w:val="17431887"/>
    <w:rsid w:val="17481C73"/>
    <w:rsid w:val="174836DA"/>
    <w:rsid w:val="17535629"/>
    <w:rsid w:val="175A604E"/>
    <w:rsid w:val="175E7186"/>
    <w:rsid w:val="17684793"/>
    <w:rsid w:val="176B58AB"/>
    <w:rsid w:val="176D1177"/>
    <w:rsid w:val="176D3083"/>
    <w:rsid w:val="17703322"/>
    <w:rsid w:val="177845C9"/>
    <w:rsid w:val="177C120C"/>
    <w:rsid w:val="178D1819"/>
    <w:rsid w:val="17914E66"/>
    <w:rsid w:val="17917D74"/>
    <w:rsid w:val="17950011"/>
    <w:rsid w:val="17960EAE"/>
    <w:rsid w:val="17A85737"/>
    <w:rsid w:val="17AA7B7C"/>
    <w:rsid w:val="17B15700"/>
    <w:rsid w:val="17B814A8"/>
    <w:rsid w:val="17C266ED"/>
    <w:rsid w:val="17C54951"/>
    <w:rsid w:val="17E170AC"/>
    <w:rsid w:val="17F329A6"/>
    <w:rsid w:val="17F92A0B"/>
    <w:rsid w:val="17FE06E4"/>
    <w:rsid w:val="17FF7C55"/>
    <w:rsid w:val="180C06F2"/>
    <w:rsid w:val="180D4E89"/>
    <w:rsid w:val="181602D3"/>
    <w:rsid w:val="18161D69"/>
    <w:rsid w:val="182C4B26"/>
    <w:rsid w:val="182D1850"/>
    <w:rsid w:val="18316649"/>
    <w:rsid w:val="183D4058"/>
    <w:rsid w:val="184229CE"/>
    <w:rsid w:val="184B38CC"/>
    <w:rsid w:val="18577262"/>
    <w:rsid w:val="186913B9"/>
    <w:rsid w:val="186C142F"/>
    <w:rsid w:val="186F1A5A"/>
    <w:rsid w:val="18836BCC"/>
    <w:rsid w:val="188A4EBF"/>
    <w:rsid w:val="189B5D97"/>
    <w:rsid w:val="18A10AF7"/>
    <w:rsid w:val="18A14754"/>
    <w:rsid w:val="18AF6EC4"/>
    <w:rsid w:val="18B0332F"/>
    <w:rsid w:val="18B31A70"/>
    <w:rsid w:val="18BB355D"/>
    <w:rsid w:val="18C536A3"/>
    <w:rsid w:val="18CB084B"/>
    <w:rsid w:val="18D71DD8"/>
    <w:rsid w:val="18DB7BBC"/>
    <w:rsid w:val="18E216F1"/>
    <w:rsid w:val="18E322BF"/>
    <w:rsid w:val="18E77701"/>
    <w:rsid w:val="18FE3B41"/>
    <w:rsid w:val="190340F9"/>
    <w:rsid w:val="190568F9"/>
    <w:rsid w:val="19124F6A"/>
    <w:rsid w:val="19201045"/>
    <w:rsid w:val="19232435"/>
    <w:rsid w:val="19242A1C"/>
    <w:rsid w:val="19265A82"/>
    <w:rsid w:val="19313AE7"/>
    <w:rsid w:val="19355CC5"/>
    <w:rsid w:val="1936518C"/>
    <w:rsid w:val="193A47F4"/>
    <w:rsid w:val="194175B6"/>
    <w:rsid w:val="19466124"/>
    <w:rsid w:val="194C2307"/>
    <w:rsid w:val="194D37D0"/>
    <w:rsid w:val="19590DAC"/>
    <w:rsid w:val="19596F19"/>
    <w:rsid w:val="19597DE9"/>
    <w:rsid w:val="195F7E92"/>
    <w:rsid w:val="197174BD"/>
    <w:rsid w:val="19720CC7"/>
    <w:rsid w:val="197607B7"/>
    <w:rsid w:val="19831126"/>
    <w:rsid w:val="19856C4C"/>
    <w:rsid w:val="19880B1B"/>
    <w:rsid w:val="1991739F"/>
    <w:rsid w:val="19AF1F1B"/>
    <w:rsid w:val="19B133AF"/>
    <w:rsid w:val="19B17A0A"/>
    <w:rsid w:val="19BA156E"/>
    <w:rsid w:val="19BE6530"/>
    <w:rsid w:val="19C73E97"/>
    <w:rsid w:val="19C95974"/>
    <w:rsid w:val="19C968E8"/>
    <w:rsid w:val="19E020D4"/>
    <w:rsid w:val="19E90135"/>
    <w:rsid w:val="19EC6CCB"/>
    <w:rsid w:val="19ED4882"/>
    <w:rsid w:val="19F077E8"/>
    <w:rsid w:val="19FC385E"/>
    <w:rsid w:val="1A0D64EA"/>
    <w:rsid w:val="1A122BC9"/>
    <w:rsid w:val="1A18186E"/>
    <w:rsid w:val="1A1C14C0"/>
    <w:rsid w:val="1A2361DE"/>
    <w:rsid w:val="1A2B77F4"/>
    <w:rsid w:val="1A2D1CA6"/>
    <w:rsid w:val="1A3174C7"/>
    <w:rsid w:val="1A332204"/>
    <w:rsid w:val="1A383F32"/>
    <w:rsid w:val="1A3F504D"/>
    <w:rsid w:val="1A4A7EC5"/>
    <w:rsid w:val="1A5D0811"/>
    <w:rsid w:val="1A5F07D0"/>
    <w:rsid w:val="1A6A64BE"/>
    <w:rsid w:val="1A6E2201"/>
    <w:rsid w:val="1A6F2BF7"/>
    <w:rsid w:val="1A734CF7"/>
    <w:rsid w:val="1A7353E6"/>
    <w:rsid w:val="1A741638"/>
    <w:rsid w:val="1A7D3DC7"/>
    <w:rsid w:val="1A8326B7"/>
    <w:rsid w:val="1A8470D5"/>
    <w:rsid w:val="1A867F89"/>
    <w:rsid w:val="1A8A0CDA"/>
    <w:rsid w:val="1A906823"/>
    <w:rsid w:val="1A9609E5"/>
    <w:rsid w:val="1AA107CB"/>
    <w:rsid w:val="1AAC1D72"/>
    <w:rsid w:val="1AAD228C"/>
    <w:rsid w:val="1AB162BD"/>
    <w:rsid w:val="1AC90407"/>
    <w:rsid w:val="1ACD08AB"/>
    <w:rsid w:val="1ADC0AEE"/>
    <w:rsid w:val="1AEE0ED0"/>
    <w:rsid w:val="1B110E54"/>
    <w:rsid w:val="1B18370C"/>
    <w:rsid w:val="1B1E17CD"/>
    <w:rsid w:val="1B1F59AD"/>
    <w:rsid w:val="1B251795"/>
    <w:rsid w:val="1B261D69"/>
    <w:rsid w:val="1B300E3A"/>
    <w:rsid w:val="1B3120D1"/>
    <w:rsid w:val="1B3501FE"/>
    <w:rsid w:val="1B397A1B"/>
    <w:rsid w:val="1B4F270F"/>
    <w:rsid w:val="1B590390"/>
    <w:rsid w:val="1B5E3125"/>
    <w:rsid w:val="1B6A60FA"/>
    <w:rsid w:val="1B6C11C8"/>
    <w:rsid w:val="1B6D0B86"/>
    <w:rsid w:val="1B6F3F64"/>
    <w:rsid w:val="1B715935"/>
    <w:rsid w:val="1B721A08"/>
    <w:rsid w:val="1B80591D"/>
    <w:rsid w:val="1B8371BB"/>
    <w:rsid w:val="1B8C7D04"/>
    <w:rsid w:val="1B930AD5"/>
    <w:rsid w:val="1B965141"/>
    <w:rsid w:val="1BA11A37"/>
    <w:rsid w:val="1BA2759C"/>
    <w:rsid w:val="1BA60433"/>
    <w:rsid w:val="1BA76296"/>
    <w:rsid w:val="1BB11F7A"/>
    <w:rsid w:val="1BB8003C"/>
    <w:rsid w:val="1BBA62E9"/>
    <w:rsid w:val="1BC25F36"/>
    <w:rsid w:val="1BC455EE"/>
    <w:rsid w:val="1BC565DC"/>
    <w:rsid w:val="1BCD48DA"/>
    <w:rsid w:val="1BCD79CF"/>
    <w:rsid w:val="1BD87507"/>
    <w:rsid w:val="1BDF01E5"/>
    <w:rsid w:val="1BDF3A0A"/>
    <w:rsid w:val="1BE37C5A"/>
    <w:rsid w:val="1BEF424D"/>
    <w:rsid w:val="1BF954ED"/>
    <w:rsid w:val="1BFC2ACA"/>
    <w:rsid w:val="1BFF6B87"/>
    <w:rsid w:val="1C035D31"/>
    <w:rsid w:val="1C0E117B"/>
    <w:rsid w:val="1C136D8A"/>
    <w:rsid w:val="1C1D316C"/>
    <w:rsid w:val="1C1D75AD"/>
    <w:rsid w:val="1C1E6BE2"/>
    <w:rsid w:val="1C25718E"/>
    <w:rsid w:val="1C2C7853"/>
    <w:rsid w:val="1C2E328C"/>
    <w:rsid w:val="1C3819EF"/>
    <w:rsid w:val="1C3861F8"/>
    <w:rsid w:val="1C406E5A"/>
    <w:rsid w:val="1C4B4B3B"/>
    <w:rsid w:val="1C5841A4"/>
    <w:rsid w:val="1C5A023C"/>
    <w:rsid w:val="1C5A0D28"/>
    <w:rsid w:val="1C5B0F25"/>
    <w:rsid w:val="1C5B5A42"/>
    <w:rsid w:val="1C607A2E"/>
    <w:rsid w:val="1C784104"/>
    <w:rsid w:val="1C7A05BE"/>
    <w:rsid w:val="1C8F1B2E"/>
    <w:rsid w:val="1C935C95"/>
    <w:rsid w:val="1C954CD6"/>
    <w:rsid w:val="1C963EFD"/>
    <w:rsid w:val="1C990357"/>
    <w:rsid w:val="1C994EC8"/>
    <w:rsid w:val="1C9A4142"/>
    <w:rsid w:val="1CA23671"/>
    <w:rsid w:val="1CA2734E"/>
    <w:rsid w:val="1CA44644"/>
    <w:rsid w:val="1CB4492A"/>
    <w:rsid w:val="1CBA322D"/>
    <w:rsid w:val="1CBC4D93"/>
    <w:rsid w:val="1CBF19D2"/>
    <w:rsid w:val="1CC916A3"/>
    <w:rsid w:val="1CCC09D0"/>
    <w:rsid w:val="1D035BF9"/>
    <w:rsid w:val="1D081F61"/>
    <w:rsid w:val="1D0870CF"/>
    <w:rsid w:val="1D185F8C"/>
    <w:rsid w:val="1D1D719C"/>
    <w:rsid w:val="1D1F0D32"/>
    <w:rsid w:val="1D1F17BA"/>
    <w:rsid w:val="1D1F6293"/>
    <w:rsid w:val="1D203AB4"/>
    <w:rsid w:val="1D206B8C"/>
    <w:rsid w:val="1D281A40"/>
    <w:rsid w:val="1D293D92"/>
    <w:rsid w:val="1D2B0222"/>
    <w:rsid w:val="1D2D5293"/>
    <w:rsid w:val="1D376540"/>
    <w:rsid w:val="1D4F1A4B"/>
    <w:rsid w:val="1D5305B1"/>
    <w:rsid w:val="1D5B5B91"/>
    <w:rsid w:val="1D6B462A"/>
    <w:rsid w:val="1D7517E7"/>
    <w:rsid w:val="1D790876"/>
    <w:rsid w:val="1D7B481A"/>
    <w:rsid w:val="1D813BCE"/>
    <w:rsid w:val="1D856FBD"/>
    <w:rsid w:val="1D862BB4"/>
    <w:rsid w:val="1D8C3B39"/>
    <w:rsid w:val="1D951428"/>
    <w:rsid w:val="1D970011"/>
    <w:rsid w:val="1D9A5E6B"/>
    <w:rsid w:val="1D9B6A3E"/>
    <w:rsid w:val="1D9F5E03"/>
    <w:rsid w:val="1DA4146D"/>
    <w:rsid w:val="1DA51BD7"/>
    <w:rsid w:val="1DA52F17"/>
    <w:rsid w:val="1DC13FCB"/>
    <w:rsid w:val="1DC63C1F"/>
    <w:rsid w:val="1DCD0BC2"/>
    <w:rsid w:val="1DD714CA"/>
    <w:rsid w:val="1DE1641B"/>
    <w:rsid w:val="1DEC7712"/>
    <w:rsid w:val="1DEE1D7B"/>
    <w:rsid w:val="1DF0613F"/>
    <w:rsid w:val="1DFA6CCA"/>
    <w:rsid w:val="1E0A4DB8"/>
    <w:rsid w:val="1E0D1DFA"/>
    <w:rsid w:val="1E0F4C28"/>
    <w:rsid w:val="1E144269"/>
    <w:rsid w:val="1E166D26"/>
    <w:rsid w:val="1E2076B7"/>
    <w:rsid w:val="1E250EAC"/>
    <w:rsid w:val="1E2E3A39"/>
    <w:rsid w:val="1E3173A3"/>
    <w:rsid w:val="1E370E0A"/>
    <w:rsid w:val="1E403142"/>
    <w:rsid w:val="1E462B8B"/>
    <w:rsid w:val="1E4B4FD8"/>
    <w:rsid w:val="1E5F1377"/>
    <w:rsid w:val="1E651F3D"/>
    <w:rsid w:val="1E6C3BCE"/>
    <w:rsid w:val="1E7767C7"/>
    <w:rsid w:val="1E86075E"/>
    <w:rsid w:val="1EB1403F"/>
    <w:rsid w:val="1EB53569"/>
    <w:rsid w:val="1EB82905"/>
    <w:rsid w:val="1EC9410B"/>
    <w:rsid w:val="1EE1179C"/>
    <w:rsid w:val="1EE214C0"/>
    <w:rsid w:val="1EF3123C"/>
    <w:rsid w:val="1EF55B62"/>
    <w:rsid w:val="1EF65EF6"/>
    <w:rsid w:val="1F06438B"/>
    <w:rsid w:val="1F0B3750"/>
    <w:rsid w:val="1F0B7084"/>
    <w:rsid w:val="1F0F64BD"/>
    <w:rsid w:val="1F1B4728"/>
    <w:rsid w:val="1F1B770B"/>
    <w:rsid w:val="1F24386A"/>
    <w:rsid w:val="1F282554"/>
    <w:rsid w:val="1F291E28"/>
    <w:rsid w:val="1F2C5FA4"/>
    <w:rsid w:val="1F360D7E"/>
    <w:rsid w:val="1F36422B"/>
    <w:rsid w:val="1F3B6C01"/>
    <w:rsid w:val="1F3D0086"/>
    <w:rsid w:val="1F476215"/>
    <w:rsid w:val="1F4D0EF4"/>
    <w:rsid w:val="1F552FA7"/>
    <w:rsid w:val="1F574CD6"/>
    <w:rsid w:val="1F617814"/>
    <w:rsid w:val="1F690C77"/>
    <w:rsid w:val="1F6B2440"/>
    <w:rsid w:val="1F736D63"/>
    <w:rsid w:val="1F737547"/>
    <w:rsid w:val="1F7677D6"/>
    <w:rsid w:val="1F784B5D"/>
    <w:rsid w:val="1F910CB5"/>
    <w:rsid w:val="1F9626BE"/>
    <w:rsid w:val="1F976D27"/>
    <w:rsid w:val="1F9B218F"/>
    <w:rsid w:val="1FA00D60"/>
    <w:rsid w:val="1FB97650"/>
    <w:rsid w:val="1FBD6F82"/>
    <w:rsid w:val="1FC14DBD"/>
    <w:rsid w:val="1FC3467F"/>
    <w:rsid w:val="1FC472A5"/>
    <w:rsid w:val="1FC758F5"/>
    <w:rsid w:val="1FCD4EA9"/>
    <w:rsid w:val="1FCD625C"/>
    <w:rsid w:val="1FCE5246"/>
    <w:rsid w:val="1FD004A7"/>
    <w:rsid w:val="1FD53695"/>
    <w:rsid w:val="1FDA6AFE"/>
    <w:rsid w:val="1FED37B9"/>
    <w:rsid w:val="2012795A"/>
    <w:rsid w:val="20182827"/>
    <w:rsid w:val="20293677"/>
    <w:rsid w:val="202A56CE"/>
    <w:rsid w:val="203541B5"/>
    <w:rsid w:val="203E1903"/>
    <w:rsid w:val="203E74FC"/>
    <w:rsid w:val="20445069"/>
    <w:rsid w:val="20445CF6"/>
    <w:rsid w:val="204557E3"/>
    <w:rsid w:val="20457135"/>
    <w:rsid w:val="20463307"/>
    <w:rsid w:val="204721AA"/>
    <w:rsid w:val="204A474C"/>
    <w:rsid w:val="20517888"/>
    <w:rsid w:val="2059725E"/>
    <w:rsid w:val="205B7CB4"/>
    <w:rsid w:val="2076401A"/>
    <w:rsid w:val="20783067"/>
    <w:rsid w:val="207B26EE"/>
    <w:rsid w:val="207B3A1F"/>
    <w:rsid w:val="2080206C"/>
    <w:rsid w:val="20814CCB"/>
    <w:rsid w:val="20825957"/>
    <w:rsid w:val="20897B81"/>
    <w:rsid w:val="20930891"/>
    <w:rsid w:val="2096173F"/>
    <w:rsid w:val="20996762"/>
    <w:rsid w:val="209E05F3"/>
    <w:rsid w:val="20A26DCE"/>
    <w:rsid w:val="20A43EB9"/>
    <w:rsid w:val="20A63400"/>
    <w:rsid w:val="20A756FA"/>
    <w:rsid w:val="20AD455D"/>
    <w:rsid w:val="20AE57E6"/>
    <w:rsid w:val="20AF31B0"/>
    <w:rsid w:val="20B06AF5"/>
    <w:rsid w:val="20B501C0"/>
    <w:rsid w:val="20BD2233"/>
    <w:rsid w:val="20BE3384"/>
    <w:rsid w:val="20C067BC"/>
    <w:rsid w:val="20CE5434"/>
    <w:rsid w:val="20D33D76"/>
    <w:rsid w:val="20DC26D0"/>
    <w:rsid w:val="20E805DE"/>
    <w:rsid w:val="20EC0B7F"/>
    <w:rsid w:val="20EE7201"/>
    <w:rsid w:val="20F33B84"/>
    <w:rsid w:val="20F6042F"/>
    <w:rsid w:val="20F84942"/>
    <w:rsid w:val="20FA0C45"/>
    <w:rsid w:val="20FA1CCE"/>
    <w:rsid w:val="20FB5A46"/>
    <w:rsid w:val="20FC5411"/>
    <w:rsid w:val="20FD063F"/>
    <w:rsid w:val="21031E9A"/>
    <w:rsid w:val="21033044"/>
    <w:rsid w:val="210B5C89"/>
    <w:rsid w:val="21130FE1"/>
    <w:rsid w:val="212467E6"/>
    <w:rsid w:val="21376B82"/>
    <w:rsid w:val="21381B3A"/>
    <w:rsid w:val="213F00CE"/>
    <w:rsid w:val="21425423"/>
    <w:rsid w:val="21457CBE"/>
    <w:rsid w:val="2147554F"/>
    <w:rsid w:val="21527E75"/>
    <w:rsid w:val="215F4A0D"/>
    <w:rsid w:val="216B59E3"/>
    <w:rsid w:val="216F4323"/>
    <w:rsid w:val="216F733B"/>
    <w:rsid w:val="21720468"/>
    <w:rsid w:val="217560B0"/>
    <w:rsid w:val="21771FE5"/>
    <w:rsid w:val="2188552B"/>
    <w:rsid w:val="219D08AB"/>
    <w:rsid w:val="219F5033"/>
    <w:rsid w:val="21A00408"/>
    <w:rsid w:val="21B53586"/>
    <w:rsid w:val="21C00D8A"/>
    <w:rsid w:val="21C10A3D"/>
    <w:rsid w:val="21C34002"/>
    <w:rsid w:val="21DC50BF"/>
    <w:rsid w:val="21F14FC0"/>
    <w:rsid w:val="220A5F40"/>
    <w:rsid w:val="221348E6"/>
    <w:rsid w:val="221B1A4E"/>
    <w:rsid w:val="223823A3"/>
    <w:rsid w:val="223905D4"/>
    <w:rsid w:val="224372CA"/>
    <w:rsid w:val="22445ECF"/>
    <w:rsid w:val="22630B62"/>
    <w:rsid w:val="2263197E"/>
    <w:rsid w:val="226F3030"/>
    <w:rsid w:val="22717EF7"/>
    <w:rsid w:val="227E5C9D"/>
    <w:rsid w:val="2288155B"/>
    <w:rsid w:val="22BC3EB7"/>
    <w:rsid w:val="22C60B71"/>
    <w:rsid w:val="22D05933"/>
    <w:rsid w:val="22F059E5"/>
    <w:rsid w:val="22F55D5B"/>
    <w:rsid w:val="22FD5350"/>
    <w:rsid w:val="22FF35CB"/>
    <w:rsid w:val="23007CB8"/>
    <w:rsid w:val="2302130E"/>
    <w:rsid w:val="230706D2"/>
    <w:rsid w:val="23194D81"/>
    <w:rsid w:val="23243032"/>
    <w:rsid w:val="23362D65"/>
    <w:rsid w:val="23393A5D"/>
    <w:rsid w:val="233A6758"/>
    <w:rsid w:val="233C481F"/>
    <w:rsid w:val="234436D4"/>
    <w:rsid w:val="23556570"/>
    <w:rsid w:val="235A7056"/>
    <w:rsid w:val="23616034"/>
    <w:rsid w:val="23621DAC"/>
    <w:rsid w:val="23641680"/>
    <w:rsid w:val="23672C8A"/>
    <w:rsid w:val="23713407"/>
    <w:rsid w:val="237613B4"/>
    <w:rsid w:val="23904D06"/>
    <w:rsid w:val="23957A8C"/>
    <w:rsid w:val="23A20F7E"/>
    <w:rsid w:val="23A300A3"/>
    <w:rsid w:val="23AE4F4C"/>
    <w:rsid w:val="23BA3EF6"/>
    <w:rsid w:val="23C640E9"/>
    <w:rsid w:val="23D902C0"/>
    <w:rsid w:val="23DD0BFC"/>
    <w:rsid w:val="23DF2FA8"/>
    <w:rsid w:val="23E00EE5"/>
    <w:rsid w:val="23F231AE"/>
    <w:rsid w:val="23F821FE"/>
    <w:rsid w:val="24042E63"/>
    <w:rsid w:val="24150A21"/>
    <w:rsid w:val="241C63FF"/>
    <w:rsid w:val="243049F3"/>
    <w:rsid w:val="243204A7"/>
    <w:rsid w:val="243778D5"/>
    <w:rsid w:val="2446776E"/>
    <w:rsid w:val="2449696F"/>
    <w:rsid w:val="244D480A"/>
    <w:rsid w:val="2450029A"/>
    <w:rsid w:val="2455334D"/>
    <w:rsid w:val="24577437"/>
    <w:rsid w:val="24695B13"/>
    <w:rsid w:val="246A1D00"/>
    <w:rsid w:val="246D5DEC"/>
    <w:rsid w:val="24772B22"/>
    <w:rsid w:val="247F027C"/>
    <w:rsid w:val="2485604C"/>
    <w:rsid w:val="24881092"/>
    <w:rsid w:val="249B37C8"/>
    <w:rsid w:val="249D60D3"/>
    <w:rsid w:val="24A65CC9"/>
    <w:rsid w:val="24A96539"/>
    <w:rsid w:val="24B46637"/>
    <w:rsid w:val="24C22047"/>
    <w:rsid w:val="24C46654"/>
    <w:rsid w:val="24C548D6"/>
    <w:rsid w:val="24D9609E"/>
    <w:rsid w:val="24E30CCB"/>
    <w:rsid w:val="24EE7D9B"/>
    <w:rsid w:val="24F353B2"/>
    <w:rsid w:val="24FF74CC"/>
    <w:rsid w:val="25071B35"/>
    <w:rsid w:val="250A07C3"/>
    <w:rsid w:val="253D3D04"/>
    <w:rsid w:val="25401C79"/>
    <w:rsid w:val="254A073A"/>
    <w:rsid w:val="254D7A2C"/>
    <w:rsid w:val="254E2266"/>
    <w:rsid w:val="25653D07"/>
    <w:rsid w:val="25694D45"/>
    <w:rsid w:val="258C1362"/>
    <w:rsid w:val="2591184A"/>
    <w:rsid w:val="25951FC5"/>
    <w:rsid w:val="25A93CC2"/>
    <w:rsid w:val="25AD2225"/>
    <w:rsid w:val="25B05B18"/>
    <w:rsid w:val="25B1768E"/>
    <w:rsid w:val="25B92D29"/>
    <w:rsid w:val="25BD776E"/>
    <w:rsid w:val="25C062B9"/>
    <w:rsid w:val="25C805EC"/>
    <w:rsid w:val="25D626A7"/>
    <w:rsid w:val="25D710E1"/>
    <w:rsid w:val="25D92344"/>
    <w:rsid w:val="25E40F98"/>
    <w:rsid w:val="25E46AA9"/>
    <w:rsid w:val="25F0369F"/>
    <w:rsid w:val="25F9324C"/>
    <w:rsid w:val="26041520"/>
    <w:rsid w:val="260E4DA2"/>
    <w:rsid w:val="26142CA8"/>
    <w:rsid w:val="2624159B"/>
    <w:rsid w:val="262477ED"/>
    <w:rsid w:val="262F0073"/>
    <w:rsid w:val="26307F40"/>
    <w:rsid w:val="264834DB"/>
    <w:rsid w:val="265005E2"/>
    <w:rsid w:val="26547039"/>
    <w:rsid w:val="265754CC"/>
    <w:rsid w:val="26591245"/>
    <w:rsid w:val="265C4DF4"/>
    <w:rsid w:val="26600825"/>
    <w:rsid w:val="26661BB3"/>
    <w:rsid w:val="2669133F"/>
    <w:rsid w:val="266929DC"/>
    <w:rsid w:val="267C5E66"/>
    <w:rsid w:val="26851904"/>
    <w:rsid w:val="26887D7C"/>
    <w:rsid w:val="268A58A2"/>
    <w:rsid w:val="268C1088"/>
    <w:rsid w:val="268E11BD"/>
    <w:rsid w:val="268F41C1"/>
    <w:rsid w:val="269A673C"/>
    <w:rsid w:val="26A050C5"/>
    <w:rsid w:val="26AF38E8"/>
    <w:rsid w:val="26B61F36"/>
    <w:rsid w:val="26BB44D0"/>
    <w:rsid w:val="26C827B3"/>
    <w:rsid w:val="26CA7D26"/>
    <w:rsid w:val="26CF1A96"/>
    <w:rsid w:val="26D24E89"/>
    <w:rsid w:val="26D905D7"/>
    <w:rsid w:val="26DE510E"/>
    <w:rsid w:val="26DE5BEE"/>
    <w:rsid w:val="26E038BD"/>
    <w:rsid w:val="26E03DBE"/>
    <w:rsid w:val="26E256DE"/>
    <w:rsid w:val="26E26D33"/>
    <w:rsid w:val="26EA49F0"/>
    <w:rsid w:val="26EA6341"/>
    <w:rsid w:val="26FB32FB"/>
    <w:rsid w:val="27096C04"/>
    <w:rsid w:val="270E64D3"/>
    <w:rsid w:val="27121405"/>
    <w:rsid w:val="2712523F"/>
    <w:rsid w:val="27195750"/>
    <w:rsid w:val="2723061B"/>
    <w:rsid w:val="27263487"/>
    <w:rsid w:val="27475258"/>
    <w:rsid w:val="27491CE2"/>
    <w:rsid w:val="274A3283"/>
    <w:rsid w:val="274C00E7"/>
    <w:rsid w:val="274E4B21"/>
    <w:rsid w:val="27526510"/>
    <w:rsid w:val="27554346"/>
    <w:rsid w:val="275A2024"/>
    <w:rsid w:val="275E4EAC"/>
    <w:rsid w:val="27736336"/>
    <w:rsid w:val="277F74D6"/>
    <w:rsid w:val="27871DE1"/>
    <w:rsid w:val="278C73F8"/>
    <w:rsid w:val="2799071E"/>
    <w:rsid w:val="279B2B20"/>
    <w:rsid w:val="279D281D"/>
    <w:rsid w:val="27BA50C6"/>
    <w:rsid w:val="27C110E8"/>
    <w:rsid w:val="27C2589A"/>
    <w:rsid w:val="27C608B1"/>
    <w:rsid w:val="27CB2C5E"/>
    <w:rsid w:val="27D008CD"/>
    <w:rsid w:val="27D24728"/>
    <w:rsid w:val="27D74B17"/>
    <w:rsid w:val="27DD5EA5"/>
    <w:rsid w:val="27E84793"/>
    <w:rsid w:val="27EB3F28"/>
    <w:rsid w:val="280E5870"/>
    <w:rsid w:val="28173D98"/>
    <w:rsid w:val="281B6B3C"/>
    <w:rsid w:val="281D62A2"/>
    <w:rsid w:val="281E2746"/>
    <w:rsid w:val="281F026C"/>
    <w:rsid w:val="28250CC6"/>
    <w:rsid w:val="28251E9F"/>
    <w:rsid w:val="2829733C"/>
    <w:rsid w:val="283A4B96"/>
    <w:rsid w:val="284B190C"/>
    <w:rsid w:val="28527737"/>
    <w:rsid w:val="2854351E"/>
    <w:rsid w:val="28584390"/>
    <w:rsid w:val="2858552C"/>
    <w:rsid w:val="285C547F"/>
    <w:rsid w:val="285D1471"/>
    <w:rsid w:val="28606245"/>
    <w:rsid w:val="28645791"/>
    <w:rsid w:val="28687D48"/>
    <w:rsid w:val="286D0FD7"/>
    <w:rsid w:val="286E7500"/>
    <w:rsid w:val="28810F26"/>
    <w:rsid w:val="2887059C"/>
    <w:rsid w:val="288753C6"/>
    <w:rsid w:val="288A5FB2"/>
    <w:rsid w:val="288B58A3"/>
    <w:rsid w:val="28991DCC"/>
    <w:rsid w:val="28A138D1"/>
    <w:rsid w:val="28A32C4B"/>
    <w:rsid w:val="28A36707"/>
    <w:rsid w:val="28A45A66"/>
    <w:rsid w:val="28A71382"/>
    <w:rsid w:val="28A80261"/>
    <w:rsid w:val="28AF35C6"/>
    <w:rsid w:val="28B06FF1"/>
    <w:rsid w:val="28B90FF5"/>
    <w:rsid w:val="28BC1F5F"/>
    <w:rsid w:val="28BF4C04"/>
    <w:rsid w:val="28C57065"/>
    <w:rsid w:val="28C82C67"/>
    <w:rsid w:val="28C96AE8"/>
    <w:rsid w:val="28D15A0A"/>
    <w:rsid w:val="28D37A3B"/>
    <w:rsid w:val="28D41056"/>
    <w:rsid w:val="28DC43AF"/>
    <w:rsid w:val="28E21187"/>
    <w:rsid w:val="28F11C08"/>
    <w:rsid w:val="28FC7098"/>
    <w:rsid w:val="28FD2BFA"/>
    <w:rsid w:val="290D0E0E"/>
    <w:rsid w:val="29171045"/>
    <w:rsid w:val="29201406"/>
    <w:rsid w:val="29220014"/>
    <w:rsid w:val="292B0F16"/>
    <w:rsid w:val="293748C1"/>
    <w:rsid w:val="293B2E83"/>
    <w:rsid w:val="29435094"/>
    <w:rsid w:val="29580D07"/>
    <w:rsid w:val="295D54F0"/>
    <w:rsid w:val="29606D8E"/>
    <w:rsid w:val="296350A7"/>
    <w:rsid w:val="29653242"/>
    <w:rsid w:val="296C5604"/>
    <w:rsid w:val="297B325A"/>
    <w:rsid w:val="297B340B"/>
    <w:rsid w:val="298939FC"/>
    <w:rsid w:val="298C3CA4"/>
    <w:rsid w:val="299130E9"/>
    <w:rsid w:val="2994513B"/>
    <w:rsid w:val="2996455E"/>
    <w:rsid w:val="29A97F8A"/>
    <w:rsid w:val="29AD778D"/>
    <w:rsid w:val="29B47173"/>
    <w:rsid w:val="29BB1BAC"/>
    <w:rsid w:val="29C410CB"/>
    <w:rsid w:val="29C87D11"/>
    <w:rsid w:val="29D05CC2"/>
    <w:rsid w:val="29D15596"/>
    <w:rsid w:val="29DF7CB3"/>
    <w:rsid w:val="29E057D9"/>
    <w:rsid w:val="29E10F72"/>
    <w:rsid w:val="29E4176D"/>
    <w:rsid w:val="29E6570E"/>
    <w:rsid w:val="29E94B0F"/>
    <w:rsid w:val="29EC61E5"/>
    <w:rsid w:val="29FD2C93"/>
    <w:rsid w:val="2A0911D4"/>
    <w:rsid w:val="2A133B85"/>
    <w:rsid w:val="2A190AFA"/>
    <w:rsid w:val="2A3049B2"/>
    <w:rsid w:val="2A331DAD"/>
    <w:rsid w:val="2A3D6440"/>
    <w:rsid w:val="2A4B5348"/>
    <w:rsid w:val="2A4B5EB3"/>
    <w:rsid w:val="2A5A1A2F"/>
    <w:rsid w:val="2A5E73FC"/>
    <w:rsid w:val="2A5F0DF4"/>
    <w:rsid w:val="2A5F5BA1"/>
    <w:rsid w:val="2A666276"/>
    <w:rsid w:val="2A701253"/>
    <w:rsid w:val="2A765DEA"/>
    <w:rsid w:val="2A854FC4"/>
    <w:rsid w:val="2A872FE8"/>
    <w:rsid w:val="2A9211C9"/>
    <w:rsid w:val="2A932085"/>
    <w:rsid w:val="2A9413C9"/>
    <w:rsid w:val="2A944F41"/>
    <w:rsid w:val="2A984622"/>
    <w:rsid w:val="2A9D36CA"/>
    <w:rsid w:val="2A9E191C"/>
    <w:rsid w:val="2AAF1D7B"/>
    <w:rsid w:val="2AB056E9"/>
    <w:rsid w:val="2AB34501"/>
    <w:rsid w:val="2ABB0C08"/>
    <w:rsid w:val="2AC1560A"/>
    <w:rsid w:val="2AD16F39"/>
    <w:rsid w:val="2AD27817"/>
    <w:rsid w:val="2AD838DF"/>
    <w:rsid w:val="2ADC2444"/>
    <w:rsid w:val="2ADD0128"/>
    <w:rsid w:val="2AE64EDD"/>
    <w:rsid w:val="2AEA268E"/>
    <w:rsid w:val="2AF5279C"/>
    <w:rsid w:val="2AF91248"/>
    <w:rsid w:val="2AF93D22"/>
    <w:rsid w:val="2AFE498C"/>
    <w:rsid w:val="2B0261C7"/>
    <w:rsid w:val="2B035523"/>
    <w:rsid w:val="2B14199B"/>
    <w:rsid w:val="2B1616C0"/>
    <w:rsid w:val="2B1C6CE5"/>
    <w:rsid w:val="2B2067D5"/>
    <w:rsid w:val="2B277B63"/>
    <w:rsid w:val="2B2A6B45"/>
    <w:rsid w:val="2B2C172A"/>
    <w:rsid w:val="2B2D2CA0"/>
    <w:rsid w:val="2B3109E2"/>
    <w:rsid w:val="2B375A80"/>
    <w:rsid w:val="2B4326B6"/>
    <w:rsid w:val="2B5618EA"/>
    <w:rsid w:val="2B5B15BB"/>
    <w:rsid w:val="2B5E554F"/>
    <w:rsid w:val="2B620B9B"/>
    <w:rsid w:val="2B6A60AE"/>
    <w:rsid w:val="2B724C12"/>
    <w:rsid w:val="2B747BBA"/>
    <w:rsid w:val="2B801021"/>
    <w:rsid w:val="2B835C97"/>
    <w:rsid w:val="2B8A1EA0"/>
    <w:rsid w:val="2B9F0531"/>
    <w:rsid w:val="2B9F77CC"/>
    <w:rsid w:val="2BA524C4"/>
    <w:rsid w:val="2BAC4C84"/>
    <w:rsid w:val="2BAE0029"/>
    <w:rsid w:val="2BAE3DE1"/>
    <w:rsid w:val="2BB12FF2"/>
    <w:rsid w:val="2BB44AC4"/>
    <w:rsid w:val="2BB60EE7"/>
    <w:rsid w:val="2BC3094D"/>
    <w:rsid w:val="2BDA238F"/>
    <w:rsid w:val="2BDD46C6"/>
    <w:rsid w:val="2BE22220"/>
    <w:rsid w:val="2BEF61A7"/>
    <w:rsid w:val="2BF57425"/>
    <w:rsid w:val="2C064ECB"/>
    <w:rsid w:val="2C0A0F63"/>
    <w:rsid w:val="2C0E487F"/>
    <w:rsid w:val="2C104E0B"/>
    <w:rsid w:val="2C155C0E"/>
    <w:rsid w:val="2C1B0FB3"/>
    <w:rsid w:val="2C230890"/>
    <w:rsid w:val="2C275E71"/>
    <w:rsid w:val="2C2C11A9"/>
    <w:rsid w:val="2C2C6236"/>
    <w:rsid w:val="2C33078A"/>
    <w:rsid w:val="2C387B4E"/>
    <w:rsid w:val="2C390A42"/>
    <w:rsid w:val="2C4732BE"/>
    <w:rsid w:val="2C4B7881"/>
    <w:rsid w:val="2C5A208D"/>
    <w:rsid w:val="2C5C383D"/>
    <w:rsid w:val="2C5F332D"/>
    <w:rsid w:val="2C603C73"/>
    <w:rsid w:val="2C6941AB"/>
    <w:rsid w:val="2C696B54"/>
    <w:rsid w:val="2C6B4044"/>
    <w:rsid w:val="2C7D2489"/>
    <w:rsid w:val="2C854E8D"/>
    <w:rsid w:val="2C8B2374"/>
    <w:rsid w:val="2C9A0FA0"/>
    <w:rsid w:val="2C9A4C4D"/>
    <w:rsid w:val="2CA90A4C"/>
    <w:rsid w:val="2CB76CC5"/>
    <w:rsid w:val="2CBC077F"/>
    <w:rsid w:val="2CBD5A27"/>
    <w:rsid w:val="2CC1332A"/>
    <w:rsid w:val="2CC460EE"/>
    <w:rsid w:val="2CC55886"/>
    <w:rsid w:val="2CC94C4A"/>
    <w:rsid w:val="2CCB451E"/>
    <w:rsid w:val="2CCD4076"/>
    <w:rsid w:val="2CD31625"/>
    <w:rsid w:val="2CD60A6C"/>
    <w:rsid w:val="2CDB5B13"/>
    <w:rsid w:val="2CDC2BCF"/>
    <w:rsid w:val="2CDC7EC4"/>
    <w:rsid w:val="2CE13E0E"/>
    <w:rsid w:val="2CE63642"/>
    <w:rsid w:val="2CF55A3F"/>
    <w:rsid w:val="2D157E8F"/>
    <w:rsid w:val="2D2307FE"/>
    <w:rsid w:val="2D2B7629"/>
    <w:rsid w:val="2D2F7EFE"/>
    <w:rsid w:val="2D307726"/>
    <w:rsid w:val="2D3D2140"/>
    <w:rsid w:val="2D3E1194"/>
    <w:rsid w:val="2D464494"/>
    <w:rsid w:val="2D49287B"/>
    <w:rsid w:val="2D525F67"/>
    <w:rsid w:val="2D5409B8"/>
    <w:rsid w:val="2D5573EF"/>
    <w:rsid w:val="2D5663E5"/>
    <w:rsid w:val="2D5704A8"/>
    <w:rsid w:val="2D5B79F0"/>
    <w:rsid w:val="2D5C59D6"/>
    <w:rsid w:val="2D727090"/>
    <w:rsid w:val="2D7746A6"/>
    <w:rsid w:val="2D7B4196"/>
    <w:rsid w:val="2D852054"/>
    <w:rsid w:val="2D872595"/>
    <w:rsid w:val="2D9066E8"/>
    <w:rsid w:val="2D9D3677"/>
    <w:rsid w:val="2D9D410D"/>
    <w:rsid w:val="2D9E7E85"/>
    <w:rsid w:val="2DA01E4F"/>
    <w:rsid w:val="2DA239F0"/>
    <w:rsid w:val="2DA9761A"/>
    <w:rsid w:val="2DAB444D"/>
    <w:rsid w:val="2DAD00C8"/>
    <w:rsid w:val="2DB245D8"/>
    <w:rsid w:val="2DB6793F"/>
    <w:rsid w:val="2DB96B52"/>
    <w:rsid w:val="2DBB4593"/>
    <w:rsid w:val="2DC0323D"/>
    <w:rsid w:val="2DC0604D"/>
    <w:rsid w:val="2DC378EB"/>
    <w:rsid w:val="2DC45B3D"/>
    <w:rsid w:val="2DC515B0"/>
    <w:rsid w:val="2DC729FE"/>
    <w:rsid w:val="2DC77DCA"/>
    <w:rsid w:val="2DCD403A"/>
    <w:rsid w:val="2DE63220"/>
    <w:rsid w:val="2DEA387E"/>
    <w:rsid w:val="2DFB0D3B"/>
    <w:rsid w:val="2DFE297D"/>
    <w:rsid w:val="2E0208DD"/>
    <w:rsid w:val="2E073CE1"/>
    <w:rsid w:val="2E0C6AD8"/>
    <w:rsid w:val="2E0E2DE1"/>
    <w:rsid w:val="2E114AFB"/>
    <w:rsid w:val="2E1344DC"/>
    <w:rsid w:val="2E1C30BA"/>
    <w:rsid w:val="2E20085E"/>
    <w:rsid w:val="2E234885"/>
    <w:rsid w:val="2E286A42"/>
    <w:rsid w:val="2E3507E9"/>
    <w:rsid w:val="2E362BC9"/>
    <w:rsid w:val="2E426A62"/>
    <w:rsid w:val="2E5311BD"/>
    <w:rsid w:val="2E55192F"/>
    <w:rsid w:val="2E6021BF"/>
    <w:rsid w:val="2E607A11"/>
    <w:rsid w:val="2E69625B"/>
    <w:rsid w:val="2E7133BC"/>
    <w:rsid w:val="2E7D18A1"/>
    <w:rsid w:val="2E7E255B"/>
    <w:rsid w:val="2E7F3812"/>
    <w:rsid w:val="2E903C71"/>
    <w:rsid w:val="2E9E2638"/>
    <w:rsid w:val="2EA446A8"/>
    <w:rsid w:val="2EB01C1E"/>
    <w:rsid w:val="2EB46A04"/>
    <w:rsid w:val="2EB711FE"/>
    <w:rsid w:val="2EB84F76"/>
    <w:rsid w:val="2EBA6D20"/>
    <w:rsid w:val="2ECD362D"/>
    <w:rsid w:val="2EE20771"/>
    <w:rsid w:val="2EE23DA1"/>
    <w:rsid w:val="2EE962FC"/>
    <w:rsid w:val="2EFC4E63"/>
    <w:rsid w:val="2F0247C0"/>
    <w:rsid w:val="2F0A1F46"/>
    <w:rsid w:val="2F141D40"/>
    <w:rsid w:val="2F191A56"/>
    <w:rsid w:val="2F21503B"/>
    <w:rsid w:val="2F257C3B"/>
    <w:rsid w:val="2F363DB4"/>
    <w:rsid w:val="2F446CE9"/>
    <w:rsid w:val="2F533148"/>
    <w:rsid w:val="2F600347"/>
    <w:rsid w:val="2F6A03D2"/>
    <w:rsid w:val="2F723377"/>
    <w:rsid w:val="2F775613"/>
    <w:rsid w:val="2F787D25"/>
    <w:rsid w:val="2F7D09D9"/>
    <w:rsid w:val="2F8A246F"/>
    <w:rsid w:val="2F8A334E"/>
    <w:rsid w:val="2F8D08FB"/>
    <w:rsid w:val="2F9316C0"/>
    <w:rsid w:val="2F962126"/>
    <w:rsid w:val="2F9966D9"/>
    <w:rsid w:val="2FA26362"/>
    <w:rsid w:val="2FB175B6"/>
    <w:rsid w:val="2FB62D97"/>
    <w:rsid w:val="2FBA48F0"/>
    <w:rsid w:val="2FC10CAA"/>
    <w:rsid w:val="2FD054DB"/>
    <w:rsid w:val="2FD271D9"/>
    <w:rsid w:val="2FD42EE9"/>
    <w:rsid w:val="2FD808A9"/>
    <w:rsid w:val="2FE37DD1"/>
    <w:rsid w:val="2FF41FDE"/>
    <w:rsid w:val="2FFB15BE"/>
    <w:rsid w:val="2FFB2DCC"/>
    <w:rsid w:val="2FFD65A9"/>
    <w:rsid w:val="300E12F2"/>
    <w:rsid w:val="30157993"/>
    <w:rsid w:val="30316D8E"/>
    <w:rsid w:val="30336FAA"/>
    <w:rsid w:val="303650C3"/>
    <w:rsid w:val="30367A6B"/>
    <w:rsid w:val="303A5707"/>
    <w:rsid w:val="304F5466"/>
    <w:rsid w:val="30504D60"/>
    <w:rsid w:val="305553AF"/>
    <w:rsid w:val="30557019"/>
    <w:rsid w:val="305E5768"/>
    <w:rsid w:val="30662EDC"/>
    <w:rsid w:val="307153DD"/>
    <w:rsid w:val="30922964"/>
    <w:rsid w:val="30991074"/>
    <w:rsid w:val="30C9346B"/>
    <w:rsid w:val="30CB2D3F"/>
    <w:rsid w:val="30CC6F7E"/>
    <w:rsid w:val="30D23F36"/>
    <w:rsid w:val="30D75B88"/>
    <w:rsid w:val="30DA4B38"/>
    <w:rsid w:val="30DD6F16"/>
    <w:rsid w:val="30E418CC"/>
    <w:rsid w:val="30E57840"/>
    <w:rsid w:val="30EC0F07"/>
    <w:rsid w:val="30EE2ED1"/>
    <w:rsid w:val="30EE3F00"/>
    <w:rsid w:val="30EF1D20"/>
    <w:rsid w:val="30F027A5"/>
    <w:rsid w:val="30F779FC"/>
    <w:rsid w:val="30FA12BF"/>
    <w:rsid w:val="31093867"/>
    <w:rsid w:val="312E4504"/>
    <w:rsid w:val="312E5247"/>
    <w:rsid w:val="3134032E"/>
    <w:rsid w:val="31363E4E"/>
    <w:rsid w:val="313B179E"/>
    <w:rsid w:val="314A7BDF"/>
    <w:rsid w:val="314D409C"/>
    <w:rsid w:val="314F750B"/>
    <w:rsid w:val="315159AC"/>
    <w:rsid w:val="3153463F"/>
    <w:rsid w:val="31566970"/>
    <w:rsid w:val="31580624"/>
    <w:rsid w:val="315B5C24"/>
    <w:rsid w:val="315E7B1E"/>
    <w:rsid w:val="31735E28"/>
    <w:rsid w:val="31876369"/>
    <w:rsid w:val="318D450C"/>
    <w:rsid w:val="31903F88"/>
    <w:rsid w:val="319F0024"/>
    <w:rsid w:val="31A06998"/>
    <w:rsid w:val="31A320B5"/>
    <w:rsid w:val="31A812D2"/>
    <w:rsid w:val="31AB2DAB"/>
    <w:rsid w:val="31AC0DC2"/>
    <w:rsid w:val="31B25476"/>
    <w:rsid w:val="31B64119"/>
    <w:rsid w:val="31B71515"/>
    <w:rsid w:val="31B959C7"/>
    <w:rsid w:val="31BB0CC6"/>
    <w:rsid w:val="31BD550A"/>
    <w:rsid w:val="31C3435E"/>
    <w:rsid w:val="31CA11C3"/>
    <w:rsid w:val="31CC3212"/>
    <w:rsid w:val="31CF465E"/>
    <w:rsid w:val="31D65860"/>
    <w:rsid w:val="31DF2946"/>
    <w:rsid w:val="31E26639"/>
    <w:rsid w:val="31E77E49"/>
    <w:rsid w:val="31ED3189"/>
    <w:rsid w:val="31EE10DC"/>
    <w:rsid w:val="31F27808"/>
    <w:rsid w:val="31F81AD3"/>
    <w:rsid w:val="32110C25"/>
    <w:rsid w:val="321142D8"/>
    <w:rsid w:val="32130298"/>
    <w:rsid w:val="321B644E"/>
    <w:rsid w:val="322112BA"/>
    <w:rsid w:val="32236BAB"/>
    <w:rsid w:val="32251E0E"/>
    <w:rsid w:val="322E5C7B"/>
    <w:rsid w:val="32317484"/>
    <w:rsid w:val="323647E0"/>
    <w:rsid w:val="323808A8"/>
    <w:rsid w:val="323E5792"/>
    <w:rsid w:val="32431AD0"/>
    <w:rsid w:val="32530340"/>
    <w:rsid w:val="325A3421"/>
    <w:rsid w:val="32607DFF"/>
    <w:rsid w:val="326501D5"/>
    <w:rsid w:val="326E03CD"/>
    <w:rsid w:val="32716E51"/>
    <w:rsid w:val="32737B32"/>
    <w:rsid w:val="32793FAC"/>
    <w:rsid w:val="3282040F"/>
    <w:rsid w:val="328E2CF1"/>
    <w:rsid w:val="32933D30"/>
    <w:rsid w:val="32977498"/>
    <w:rsid w:val="329D6A39"/>
    <w:rsid w:val="32A11B7A"/>
    <w:rsid w:val="32A55B5B"/>
    <w:rsid w:val="32A962DD"/>
    <w:rsid w:val="32AB22E8"/>
    <w:rsid w:val="32AB7E73"/>
    <w:rsid w:val="32B04DB2"/>
    <w:rsid w:val="32C55AA7"/>
    <w:rsid w:val="32C569FF"/>
    <w:rsid w:val="32C75788"/>
    <w:rsid w:val="32CE4D68"/>
    <w:rsid w:val="32CF2B72"/>
    <w:rsid w:val="32D03638"/>
    <w:rsid w:val="32D50524"/>
    <w:rsid w:val="32E53A10"/>
    <w:rsid w:val="32E93950"/>
    <w:rsid w:val="32EC5A11"/>
    <w:rsid w:val="32F124A1"/>
    <w:rsid w:val="32F50547"/>
    <w:rsid w:val="32F7552F"/>
    <w:rsid w:val="32FA3431"/>
    <w:rsid w:val="3306616E"/>
    <w:rsid w:val="330662B0"/>
    <w:rsid w:val="330807D7"/>
    <w:rsid w:val="33107E9C"/>
    <w:rsid w:val="332350B4"/>
    <w:rsid w:val="333A389D"/>
    <w:rsid w:val="334F2A27"/>
    <w:rsid w:val="33545A64"/>
    <w:rsid w:val="33575D02"/>
    <w:rsid w:val="336F3663"/>
    <w:rsid w:val="337554A3"/>
    <w:rsid w:val="337B0E24"/>
    <w:rsid w:val="338401D6"/>
    <w:rsid w:val="338C030E"/>
    <w:rsid w:val="33925D96"/>
    <w:rsid w:val="33A45AC9"/>
    <w:rsid w:val="33A8380B"/>
    <w:rsid w:val="33A855B9"/>
    <w:rsid w:val="33B053AF"/>
    <w:rsid w:val="33B43F5E"/>
    <w:rsid w:val="33B7681F"/>
    <w:rsid w:val="33C0222F"/>
    <w:rsid w:val="33C61EE3"/>
    <w:rsid w:val="33CA4D76"/>
    <w:rsid w:val="33CF5015"/>
    <w:rsid w:val="33D34C0B"/>
    <w:rsid w:val="33D62126"/>
    <w:rsid w:val="33E0347F"/>
    <w:rsid w:val="33E16D1D"/>
    <w:rsid w:val="3413690A"/>
    <w:rsid w:val="34210CAE"/>
    <w:rsid w:val="342875AD"/>
    <w:rsid w:val="342B1D46"/>
    <w:rsid w:val="342C61EA"/>
    <w:rsid w:val="34313E57"/>
    <w:rsid w:val="34321327"/>
    <w:rsid w:val="344008D1"/>
    <w:rsid w:val="344572AC"/>
    <w:rsid w:val="34495444"/>
    <w:rsid w:val="345E1E65"/>
    <w:rsid w:val="34705769"/>
    <w:rsid w:val="348002E4"/>
    <w:rsid w:val="34802708"/>
    <w:rsid w:val="34847DD4"/>
    <w:rsid w:val="3485461B"/>
    <w:rsid w:val="34925255"/>
    <w:rsid w:val="349721D9"/>
    <w:rsid w:val="34AA710F"/>
    <w:rsid w:val="34BE489F"/>
    <w:rsid w:val="34C5219B"/>
    <w:rsid w:val="34CA77B1"/>
    <w:rsid w:val="34D10B40"/>
    <w:rsid w:val="34D661A3"/>
    <w:rsid w:val="34D7676C"/>
    <w:rsid w:val="34D81ECE"/>
    <w:rsid w:val="34DC7C98"/>
    <w:rsid w:val="34EB2CDD"/>
    <w:rsid w:val="34EC2EB9"/>
    <w:rsid w:val="34EE524E"/>
    <w:rsid w:val="34EE74E4"/>
    <w:rsid w:val="3504664D"/>
    <w:rsid w:val="350E1B0E"/>
    <w:rsid w:val="350F40EB"/>
    <w:rsid w:val="35134507"/>
    <w:rsid w:val="35156C7E"/>
    <w:rsid w:val="351E091F"/>
    <w:rsid w:val="351F0FAC"/>
    <w:rsid w:val="35210197"/>
    <w:rsid w:val="352A4256"/>
    <w:rsid w:val="352C5D76"/>
    <w:rsid w:val="352E7D40"/>
    <w:rsid w:val="353D61D5"/>
    <w:rsid w:val="3542559A"/>
    <w:rsid w:val="35431424"/>
    <w:rsid w:val="35474AB0"/>
    <w:rsid w:val="3547515D"/>
    <w:rsid w:val="35480CF6"/>
    <w:rsid w:val="354E3E1E"/>
    <w:rsid w:val="355D069A"/>
    <w:rsid w:val="355F7EFA"/>
    <w:rsid w:val="35635C3C"/>
    <w:rsid w:val="35646B82"/>
    <w:rsid w:val="3566572C"/>
    <w:rsid w:val="356B50D9"/>
    <w:rsid w:val="356C58AD"/>
    <w:rsid w:val="35774AB9"/>
    <w:rsid w:val="357E2A76"/>
    <w:rsid w:val="358335C2"/>
    <w:rsid w:val="3587366D"/>
    <w:rsid w:val="358F2172"/>
    <w:rsid w:val="35A16F73"/>
    <w:rsid w:val="35A3641B"/>
    <w:rsid w:val="35A41DB0"/>
    <w:rsid w:val="35A46254"/>
    <w:rsid w:val="35A470AE"/>
    <w:rsid w:val="35B277CF"/>
    <w:rsid w:val="35BA5E1A"/>
    <w:rsid w:val="35C84690"/>
    <w:rsid w:val="35CA7988"/>
    <w:rsid w:val="35E47D46"/>
    <w:rsid w:val="35E93432"/>
    <w:rsid w:val="35ED6B48"/>
    <w:rsid w:val="35F25932"/>
    <w:rsid w:val="35F45E8B"/>
    <w:rsid w:val="35F97A73"/>
    <w:rsid w:val="35FB5B03"/>
    <w:rsid w:val="35FF717D"/>
    <w:rsid w:val="360016DD"/>
    <w:rsid w:val="36043FBF"/>
    <w:rsid w:val="360F7B72"/>
    <w:rsid w:val="36241293"/>
    <w:rsid w:val="36257395"/>
    <w:rsid w:val="36341386"/>
    <w:rsid w:val="363B0967"/>
    <w:rsid w:val="36583083"/>
    <w:rsid w:val="365A33B7"/>
    <w:rsid w:val="36670086"/>
    <w:rsid w:val="366D23E9"/>
    <w:rsid w:val="366E276C"/>
    <w:rsid w:val="36703A01"/>
    <w:rsid w:val="36755FDE"/>
    <w:rsid w:val="36767C04"/>
    <w:rsid w:val="367E6394"/>
    <w:rsid w:val="368340BC"/>
    <w:rsid w:val="36881445"/>
    <w:rsid w:val="368A292D"/>
    <w:rsid w:val="368A594B"/>
    <w:rsid w:val="368C1783"/>
    <w:rsid w:val="368F7238"/>
    <w:rsid w:val="36AA4451"/>
    <w:rsid w:val="36AF6C5F"/>
    <w:rsid w:val="36B008D8"/>
    <w:rsid w:val="36B10C29"/>
    <w:rsid w:val="36BC2851"/>
    <w:rsid w:val="36CF7301"/>
    <w:rsid w:val="36D96DD9"/>
    <w:rsid w:val="36DD267C"/>
    <w:rsid w:val="36E66C40"/>
    <w:rsid w:val="36E7289C"/>
    <w:rsid w:val="36EC5B02"/>
    <w:rsid w:val="36F10990"/>
    <w:rsid w:val="370D26A3"/>
    <w:rsid w:val="371376BD"/>
    <w:rsid w:val="371D0583"/>
    <w:rsid w:val="37201095"/>
    <w:rsid w:val="372235BD"/>
    <w:rsid w:val="37227431"/>
    <w:rsid w:val="37252C7D"/>
    <w:rsid w:val="37321D6A"/>
    <w:rsid w:val="373309DC"/>
    <w:rsid w:val="37361E7F"/>
    <w:rsid w:val="37520247"/>
    <w:rsid w:val="376215F9"/>
    <w:rsid w:val="3763248C"/>
    <w:rsid w:val="376C68FE"/>
    <w:rsid w:val="376E70A4"/>
    <w:rsid w:val="377719EF"/>
    <w:rsid w:val="37816DA9"/>
    <w:rsid w:val="378679C0"/>
    <w:rsid w:val="37885B03"/>
    <w:rsid w:val="37887BDC"/>
    <w:rsid w:val="37922D12"/>
    <w:rsid w:val="37A3555E"/>
    <w:rsid w:val="37A434A3"/>
    <w:rsid w:val="37A920BC"/>
    <w:rsid w:val="37B01116"/>
    <w:rsid w:val="37C5495D"/>
    <w:rsid w:val="37DE4991"/>
    <w:rsid w:val="37E341DA"/>
    <w:rsid w:val="37EC5F7B"/>
    <w:rsid w:val="37F0694A"/>
    <w:rsid w:val="37F14165"/>
    <w:rsid w:val="37F979D5"/>
    <w:rsid w:val="37FB65FF"/>
    <w:rsid w:val="37FE1C4C"/>
    <w:rsid w:val="380600E0"/>
    <w:rsid w:val="380C7EA0"/>
    <w:rsid w:val="381257AF"/>
    <w:rsid w:val="381450F7"/>
    <w:rsid w:val="38237904"/>
    <w:rsid w:val="3824244F"/>
    <w:rsid w:val="3826386B"/>
    <w:rsid w:val="38276324"/>
    <w:rsid w:val="382947EF"/>
    <w:rsid w:val="3837600C"/>
    <w:rsid w:val="38441E4A"/>
    <w:rsid w:val="38581D94"/>
    <w:rsid w:val="386C12AB"/>
    <w:rsid w:val="38703520"/>
    <w:rsid w:val="387442BD"/>
    <w:rsid w:val="387A5AF6"/>
    <w:rsid w:val="387A74C6"/>
    <w:rsid w:val="38803184"/>
    <w:rsid w:val="38824FEC"/>
    <w:rsid w:val="388365F5"/>
    <w:rsid w:val="389B74EC"/>
    <w:rsid w:val="389E342F"/>
    <w:rsid w:val="389E6F8B"/>
    <w:rsid w:val="38A2163C"/>
    <w:rsid w:val="38B10CD7"/>
    <w:rsid w:val="38B371E2"/>
    <w:rsid w:val="38BC484B"/>
    <w:rsid w:val="38BF1A11"/>
    <w:rsid w:val="38C01848"/>
    <w:rsid w:val="38C21810"/>
    <w:rsid w:val="38D8647F"/>
    <w:rsid w:val="38DB1F8D"/>
    <w:rsid w:val="38E758FC"/>
    <w:rsid w:val="38EC7806"/>
    <w:rsid w:val="38ED6A84"/>
    <w:rsid w:val="38F51C6A"/>
    <w:rsid w:val="390115DC"/>
    <w:rsid w:val="39111C5F"/>
    <w:rsid w:val="39142431"/>
    <w:rsid w:val="39186D3D"/>
    <w:rsid w:val="39204A69"/>
    <w:rsid w:val="39391637"/>
    <w:rsid w:val="393A67E2"/>
    <w:rsid w:val="394B5125"/>
    <w:rsid w:val="396401D4"/>
    <w:rsid w:val="39640917"/>
    <w:rsid w:val="39651C68"/>
    <w:rsid w:val="396C6F56"/>
    <w:rsid w:val="398828FC"/>
    <w:rsid w:val="39985DC1"/>
    <w:rsid w:val="399E27B0"/>
    <w:rsid w:val="399E7355"/>
    <w:rsid w:val="399F6B2E"/>
    <w:rsid w:val="39B01ACE"/>
    <w:rsid w:val="39B13948"/>
    <w:rsid w:val="39B20F40"/>
    <w:rsid w:val="39B36A66"/>
    <w:rsid w:val="39BA4298"/>
    <w:rsid w:val="39BD24A1"/>
    <w:rsid w:val="39C84BD3"/>
    <w:rsid w:val="39CD7B28"/>
    <w:rsid w:val="39D23088"/>
    <w:rsid w:val="39D23C11"/>
    <w:rsid w:val="39D63BC2"/>
    <w:rsid w:val="39E210F9"/>
    <w:rsid w:val="39E60BE9"/>
    <w:rsid w:val="39F03816"/>
    <w:rsid w:val="39F24786"/>
    <w:rsid w:val="39FD5F33"/>
    <w:rsid w:val="3A097641"/>
    <w:rsid w:val="3A0B4AF4"/>
    <w:rsid w:val="3A0D1341"/>
    <w:rsid w:val="3A1104BB"/>
    <w:rsid w:val="3A15085B"/>
    <w:rsid w:val="3A19697C"/>
    <w:rsid w:val="3A241712"/>
    <w:rsid w:val="3A275664"/>
    <w:rsid w:val="3A296A5E"/>
    <w:rsid w:val="3A396F6B"/>
    <w:rsid w:val="3A483652"/>
    <w:rsid w:val="3A4B6EC2"/>
    <w:rsid w:val="3A555D6F"/>
    <w:rsid w:val="3A672285"/>
    <w:rsid w:val="3A6A7A6C"/>
    <w:rsid w:val="3A72247D"/>
    <w:rsid w:val="3A73258B"/>
    <w:rsid w:val="3A740FA3"/>
    <w:rsid w:val="3A773F37"/>
    <w:rsid w:val="3A775EA5"/>
    <w:rsid w:val="3A810912"/>
    <w:rsid w:val="3A94332A"/>
    <w:rsid w:val="3A946897"/>
    <w:rsid w:val="3A9A17CE"/>
    <w:rsid w:val="3A9A69CA"/>
    <w:rsid w:val="3A9B7C26"/>
    <w:rsid w:val="3AB7338B"/>
    <w:rsid w:val="3AC54CA3"/>
    <w:rsid w:val="3AD03877"/>
    <w:rsid w:val="3AD06FC2"/>
    <w:rsid w:val="3ADF71D3"/>
    <w:rsid w:val="3AED7768"/>
    <w:rsid w:val="3AFB06C4"/>
    <w:rsid w:val="3AFB0CF2"/>
    <w:rsid w:val="3AFC1592"/>
    <w:rsid w:val="3B080191"/>
    <w:rsid w:val="3B0A473E"/>
    <w:rsid w:val="3B0B3494"/>
    <w:rsid w:val="3B0C4680"/>
    <w:rsid w:val="3B174F09"/>
    <w:rsid w:val="3B421FAF"/>
    <w:rsid w:val="3B424B80"/>
    <w:rsid w:val="3B424C11"/>
    <w:rsid w:val="3B4267A7"/>
    <w:rsid w:val="3B48382E"/>
    <w:rsid w:val="3B521A71"/>
    <w:rsid w:val="3B794422"/>
    <w:rsid w:val="3B7A3CDF"/>
    <w:rsid w:val="3BDA4E51"/>
    <w:rsid w:val="3BDB2906"/>
    <w:rsid w:val="3BEC3676"/>
    <w:rsid w:val="3BEF7DD6"/>
    <w:rsid w:val="3BF66E77"/>
    <w:rsid w:val="3BF82EB3"/>
    <w:rsid w:val="3C0165D0"/>
    <w:rsid w:val="3C0B174D"/>
    <w:rsid w:val="3C0D1A01"/>
    <w:rsid w:val="3C1832DF"/>
    <w:rsid w:val="3C1D7D04"/>
    <w:rsid w:val="3C205E92"/>
    <w:rsid w:val="3C2A1056"/>
    <w:rsid w:val="3C2F4ACA"/>
    <w:rsid w:val="3C353F33"/>
    <w:rsid w:val="3C3859C3"/>
    <w:rsid w:val="3C3A7F27"/>
    <w:rsid w:val="3C4F7B4B"/>
    <w:rsid w:val="3C5C33E5"/>
    <w:rsid w:val="3C5D3C4F"/>
    <w:rsid w:val="3C5F0E2E"/>
    <w:rsid w:val="3C5F3DC8"/>
    <w:rsid w:val="3C746DFB"/>
    <w:rsid w:val="3C871817"/>
    <w:rsid w:val="3C8E046F"/>
    <w:rsid w:val="3C9E65CD"/>
    <w:rsid w:val="3CA7031E"/>
    <w:rsid w:val="3CA863F1"/>
    <w:rsid w:val="3CCB5684"/>
    <w:rsid w:val="3CCF0F6E"/>
    <w:rsid w:val="3CD15B81"/>
    <w:rsid w:val="3CDC1151"/>
    <w:rsid w:val="3CDC7007"/>
    <w:rsid w:val="3CDD5A81"/>
    <w:rsid w:val="3CE433F0"/>
    <w:rsid w:val="3CE55646"/>
    <w:rsid w:val="3CF03B2D"/>
    <w:rsid w:val="3D0E510B"/>
    <w:rsid w:val="3D1230BD"/>
    <w:rsid w:val="3D154912"/>
    <w:rsid w:val="3D1A5448"/>
    <w:rsid w:val="3D2D7B8E"/>
    <w:rsid w:val="3D3659E4"/>
    <w:rsid w:val="3D464B66"/>
    <w:rsid w:val="3D474095"/>
    <w:rsid w:val="3D5B544A"/>
    <w:rsid w:val="3D600CB3"/>
    <w:rsid w:val="3D7442A2"/>
    <w:rsid w:val="3D7A7FC6"/>
    <w:rsid w:val="3D8438F5"/>
    <w:rsid w:val="3D891FB8"/>
    <w:rsid w:val="3D8D3E1A"/>
    <w:rsid w:val="3D913562"/>
    <w:rsid w:val="3D9170BE"/>
    <w:rsid w:val="3D98044D"/>
    <w:rsid w:val="3D994F8E"/>
    <w:rsid w:val="3D9B65E3"/>
    <w:rsid w:val="3DA31D8B"/>
    <w:rsid w:val="3DA43295"/>
    <w:rsid w:val="3DB159B2"/>
    <w:rsid w:val="3DB272D8"/>
    <w:rsid w:val="3DB57251"/>
    <w:rsid w:val="3DBF1E7D"/>
    <w:rsid w:val="3DCA537A"/>
    <w:rsid w:val="3DCE20C0"/>
    <w:rsid w:val="3DCE24ED"/>
    <w:rsid w:val="3DD11BB1"/>
    <w:rsid w:val="3DD31714"/>
    <w:rsid w:val="3DDF2B68"/>
    <w:rsid w:val="3DE50366"/>
    <w:rsid w:val="3DFF127E"/>
    <w:rsid w:val="3E014244"/>
    <w:rsid w:val="3E05072E"/>
    <w:rsid w:val="3E067AAC"/>
    <w:rsid w:val="3E0B2D85"/>
    <w:rsid w:val="3E16206F"/>
    <w:rsid w:val="3E1A2166"/>
    <w:rsid w:val="3E277A87"/>
    <w:rsid w:val="3E2972F7"/>
    <w:rsid w:val="3E2B7513"/>
    <w:rsid w:val="3E2B7626"/>
    <w:rsid w:val="3E394EAC"/>
    <w:rsid w:val="3E406979"/>
    <w:rsid w:val="3E43040A"/>
    <w:rsid w:val="3E4500E0"/>
    <w:rsid w:val="3E4B3711"/>
    <w:rsid w:val="3E4D29DB"/>
    <w:rsid w:val="3E5838DD"/>
    <w:rsid w:val="3E5C4AA2"/>
    <w:rsid w:val="3E614CE2"/>
    <w:rsid w:val="3E726EC9"/>
    <w:rsid w:val="3E8E326B"/>
    <w:rsid w:val="3E902A1D"/>
    <w:rsid w:val="3E951889"/>
    <w:rsid w:val="3E9629CF"/>
    <w:rsid w:val="3E9A6446"/>
    <w:rsid w:val="3E9C5D1B"/>
    <w:rsid w:val="3EA0134A"/>
    <w:rsid w:val="3EA86E3E"/>
    <w:rsid w:val="3EAE0324"/>
    <w:rsid w:val="3EAF1EF2"/>
    <w:rsid w:val="3EB72B54"/>
    <w:rsid w:val="3EC3206C"/>
    <w:rsid w:val="3EC3599D"/>
    <w:rsid w:val="3EC77CC5"/>
    <w:rsid w:val="3ECC7844"/>
    <w:rsid w:val="3ECD00BE"/>
    <w:rsid w:val="3ED25BE0"/>
    <w:rsid w:val="3ED41958"/>
    <w:rsid w:val="3EDF07E5"/>
    <w:rsid w:val="3EE91D44"/>
    <w:rsid w:val="3EED1E62"/>
    <w:rsid w:val="3EEE2F1C"/>
    <w:rsid w:val="3EF23B8C"/>
    <w:rsid w:val="3EF8449E"/>
    <w:rsid w:val="3EFC7DAE"/>
    <w:rsid w:val="3F010273"/>
    <w:rsid w:val="3F067638"/>
    <w:rsid w:val="3F096D0B"/>
    <w:rsid w:val="3F0B7179"/>
    <w:rsid w:val="3F0E02A4"/>
    <w:rsid w:val="3F151574"/>
    <w:rsid w:val="3F163D1F"/>
    <w:rsid w:val="3F1E4289"/>
    <w:rsid w:val="3F2261CC"/>
    <w:rsid w:val="3F251D7D"/>
    <w:rsid w:val="3F2E1312"/>
    <w:rsid w:val="3F42218F"/>
    <w:rsid w:val="3F514B2D"/>
    <w:rsid w:val="3F557260"/>
    <w:rsid w:val="3F5D1B7A"/>
    <w:rsid w:val="3F667372"/>
    <w:rsid w:val="3F6D115F"/>
    <w:rsid w:val="3F6E6BCF"/>
    <w:rsid w:val="3F724CCD"/>
    <w:rsid w:val="3F7C5873"/>
    <w:rsid w:val="3F8B74A4"/>
    <w:rsid w:val="3F8E0264"/>
    <w:rsid w:val="3F93128E"/>
    <w:rsid w:val="3F9335C1"/>
    <w:rsid w:val="3F942E96"/>
    <w:rsid w:val="3F9A298D"/>
    <w:rsid w:val="3F9D1F1C"/>
    <w:rsid w:val="3FA540B0"/>
    <w:rsid w:val="3FA541A9"/>
    <w:rsid w:val="3FB11C9A"/>
    <w:rsid w:val="3FB776F5"/>
    <w:rsid w:val="3FE40BF6"/>
    <w:rsid w:val="3FEE76F8"/>
    <w:rsid w:val="3FF12096"/>
    <w:rsid w:val="3FF22C1F"/>
    <w:rsid w:val="3FFD0A3B"/>
    <w:rsid w:val="400310D8"/>
    <w:rsid w:val="40041DC9"/>
    <w:rsid w:val="40086AA5"/>
    <w:rsid w:val="400B22C6"/>
    <w:rsid w:val="400E0E9A"/>
    <w:rsid w:val="400E2C48"/>
    <w:rsid w:val="4014562F"/>
    <w:rsid w:val="40154B29"/>
    <w:rsid w:val="401D24AF"/>
    <w:rsid w:val="402473D7"/>
    <w:rsid w:val="402C78D5"/>
    <w:rsid w:val="40307BC9"/>
    <w:rsid w:val="40356427"/>
    <w:rsid w:val="403A0A27"/>
    <w:rsid w:val="403D28E3"/>
    <w:rsid w:val="403F5E49"/>
    <w:rsid w:val="40430493"/>
    <w:rsid w:val="4048768D"/>
    <w:rsid w:val="40564EE7"/>
    <w:rsid w:val="405E5CCB"/>
    <w:rsid w:val="40692E9F"/>
    <w:rsid w:val="406E3D2B"/>
    <w:rsid w:val="40714172"/>
    <w:rsid w:val="407F661D"/>
    <w:rsid w:val="408245ED"/>
    <w:rsid w:val="40864295"/>
    <w:rsid w:val="408D1DBF"/>
    <w:rsid w:val="40926379"/>
    <w:rsid w:val="409B11BC"/>
    <w:rsid w:val="409F45CB"/>
    <w:rsid w:val="40AC7A1C"/>
    <w:rsid w:val="40B90E06"/>
    <w:rsid w:val="40B94B83"/>
    <w:rsid w:val="40BE466E"/>
    <w:rsid w:val="40C319E2"/>
    <w:rsid w:val="40C854ED"/>
    <w:rsid w:val="40CA3013"/>
    <w:rsid w:val="40CD00BD"/>
    <w:rsid w:val="40D12495"/>
    <w:rsid w:val="40DC0019"/>
    <w:rsid w:val="40E31DD5"/>
    <w:rsid w:val="40E85247"/>
    <w:rsid w:val="40EC27D7"/>
    <w:rsid w:val="40EE3E7E"/>
    <w:rsid w:val="40EF2A79"/>
    <w:rsid w:val="410C127B"/>
    <w:rsid w:val="41196606"/>
    <w:rsid w:val="411E6EBB"/>
    <w:rsid w:val="41242B9C"/>
    <w:rsid w:val="412A1D04"/>
    <w:rsid w:val="412F10C8"/>
    <w:rsid w:val="413466DE"/>
    <w:rsid w:val="41474664"/>
    <w:rsid w:val="41523008"/>
    <w:rsid w:val="415437EE"/>
    <w:rsid w:val="41546B10"/>
    <w:rsid w:val="415625C0"/>
    <w:rsid w:val="41562AF9"/>
    <w:rsid w:val="41616C71"/>
    <w:rsid w:val="41676221"/>
    <w:rsid w:val="416C40CA"/>
    <w:rsid w:val="4173463F"/>
    <w:rsid w:val="418238EE"/>
    <w:rsid w:val="418672B4"/>
    <w:rsid w:val="419867DB"/>
    <w:rsid w:val="419D4283"/>
    <w:rsid w:val="41A2306B"/>
    <w:rsid w:val="41A51BAC"/>
    <w:rsid w:val="41B17F29"/>
    <w:rsid w:val="41B429D8"/>
    <w:rsid w:val="41B501A4"/>
    <w:rsid w:val="41BF3BD9"/>
    <w:rsid w:val="41BF4A91"/>
    <w:rsid w:val="41C757A4"/>
    <w:rsid w:val="41CB3D94"/>
    <w:rsid w:val="41D614EA"/>
    <w:rsid w:val="41DC36BB"/>
    <w:rsid w:val="41F51BC5"/>
    <w:rsid w:val="41FA3484"/>
    <w:rsid w:val="41FB0356"/>
    <w:rsid w:val="42022339"/>
    <w:rsid w:val="42132FE7"/>
    <w:rsid w:val="421B648D"/>
    <w:rsid w:val="4220595A"/>
    <w:rsid w:val="4220623E"/>
    <w:rsid w:val="4226071D"/>
    <w:rsid w:val="4229661D"/>
    <w:rsid w:val="42330CE7"/>
    <w:rsid w:val="423821FE"/>
    <w:rsid w:val="423952E3"/>
    <w:rsid w:val="4254392F"/>
    <w:rsid w:val="425B768F"/>
    <w:rsid w:val="42733236"/>
    <w:rsid w:val="42881C6A"/>
    <w:rsid w:val="42892644"/>
    <w:rsid w:val="428A7B32"/>
    <w:rsid w:val="429A7093"/>
    <w:rsid w:val="42A76B06"/>
    <w:rsid w:val="42A93909"/>
    <w:rsid w:val="42AD52B2"/>
    <w:rsid w:val="42B71734"/>
    <w:rsid w:val="42B86941"/>
    <w:rsid w:val="42BC698B"/>
    <w:rsid w:val="42BF195C"/>
    <w:rsid w:val="42BF7680"/>
    <w:rsid w:val="42C817D4"/>
    <w:rsid w:val="42D02437"/>
    <w:rsid w:val="42D737C5"/>
    <w:rsid w:val="42DC7863"/>
    <w:rsid w:val="42E35426"/>
    <w:rsid w:val="42E42D48"/>
    <w:rsid w:val="430B16C1"/>
    <w:rsid w:val="431920F3"/>
    <w:rsid w:val="431A3863"/>
    <w:rsid w:val="4320789F"/>
    <w:rsid w:val="43223EC8"/>
    <w:rsid w:val="432841FF"/>
    <w:rsid w:val="4329362C"/>
    <w:rsid w:val="433160C7"/>
    <w:rsid w:val="43374264"/>
    <w:rsid w:val="43410F50"/>
    <w:rsid w:val="43452E25"/>
    <w:rsid w:val="43470AA6"/>
    <w:rsid w:val="43486471"/>
    <w:rsid w:val="434E1DB1"/>
    <w:rsid w:val="43536554"/>
    <w:rsid w:val="43537B5E"/>
    <w:rsid w:val="43556CA5"/>
    <w:rsid w:val="435F2849"/>
    <w:rsid w:val="436C76AE"/>
    <w:rsid w:val="43707E00"/>
    <w:rsid w:val="43710B5F"/>
    <w:rsid w:val="437512A7"/>
    <w:rsid w:val="437F411E"/>
    <w:rsid w:val="43811983"/>
    <w:rsid w:val="43853221"/>
    <w:rsid w:val="438A541B"/>
    <w:rsid w:val="438F7452"/>
    <w:rsid w:val="43903286"/>
    <w:rsid w:val="43972F54"/>
    <w:rsid w:val="43A32A80"/>
    <w:rsid w:val="43AA2D86"/>
    <w:rsid w:val="43AD1BA2"/>
    <w:rsid w:val="43BA62BC"/>
    <w:rsid w:val="43C43746"/>
    <w:rsid w:val="43D16C6D"/>
    <w:rsid w:val="43DD1CAD"/>
    <w:rsid w:val="43E85F2B"/>
    <w:rsid w:val="43F30C80"/>
    <w:rsid w:val="43F45810"/>
    <w:rsid w:val="43F612C7"/>
    <w:rsid w:val="43F6778C"/>
    <w:rsid w:val="43F955DA"/>
    <w:rsid w:val="44000AFA"/>
    <w:rsid w:val="440452E5"/>
    <w:rsid w:val="4425686A"/>
    <w:rsid w:val="44307631"/>
    <w:rsid w:val="443538F2"/>
    <w:rsid w:val="44410337"/>
    <w:rsid w:val="445023B4"/>
    <w:rsid w:val="446B0669"/>
    <w:rsid w:val="44727C49"/>
    <w:rsid w:val="44776BD6"/>
    <w:rsid w:val="447A5F85"/>
    <w:rsid w:val="44801914"/>
    <w:rsid w:val="44817C4F"/>
    <w:rsid w:val="44855C27"/>
    <w:rsid w:val="448E6105"/>
    <w:rsid w:val="4491249F"/>
    <w:rsid w:val="44917E58"/>
    <w:rsid w:val="449A7A08"/>
    <w:rsid w:val="44B87626"/>
    <w:rsid w:val="44C4759D"/>
    <w:rsid w:val="44CC3666"/>
    <w:rsid w:val="44CE0BF8"/>
    <w:rsid w:val="44CE660D"/>
    <w:rsid w:val="44DA759D"/>
    <w:rsid w:val="44E57955"/>
    <w:rsid w:val="44F10492"/>
    <w:rsid w:val="44F370A9"/>
    <w:rsid w:val="44F468B0"/>
    <w:rsid w:val="44F6398F"/>
    <w:rsid w:val="44FC7513"/>
    <w:rsid w:val="44FD328B"/>
    <w:rsid w:val="450B1B4F"/>
    <w:rsid w:val="45101210"/>
    <w:rsid w:val="45121B01"/>
    <w:rsid w:val="45154A79"/>
    <w:rsid w:val="45172E59"/>
    <w:rsid w:val="45180379"/>
    <w:rsid w:val="451E1B7F"/>
    <w:rsid w:val="451F4814"/>
    <w:rsid w:val="45322415"/>
    <w:rsid w:val="45366650"/>
    <w:rsid w:val="453D27DA"/>
    <w:rsid w:val="453F6E28"/>
    <w:rsid w:val="454F6EB1"/>
    <w:rsid w:val="455141F3"/>
    <w:rsid w:val="45516873"/>
    <w:rsid w:val="45565EE6"/>
    <w:rsid w:val="45566CB6"/>
    <w:rsid w:val="455D26BD"/>
    <w:rsid w:val="456926CF"/>
    <w:rsid w:val="456D298D"/>
    <w:rsid w:val="456F4189"/>
    <w:rsid w:val="456F5F37"/>
    <w:rsid w:val="45700241"/>
    <w:rsid w:val="458F0387"/>
    <w:rsid w:val="458F3DA1"/>
    <w:rsid w:val="45912351"/>
    <w:rsid w:val="45957044"/>
    <w:rsid w:val="45962409"/>
    <w:rsid w:val="45965BB9"/>
    <w:rsid w:val="45981F3C"/>
    <w:rsid w:val="45991206"/>
    <w:rsid w:val="45A03F59"/>
    <w:rsid w:val="45A831F7"/>
    <w:rsid w:val="45B34405"/>
    <w:rsid w:val="45C07A37"/>
    <w:rsid w:val="45CD7101"/>
    <w:rsid w:val="45D160A9"/>
    <w:rsid w:val="45D87924"/>
    <w:rsid w:val="45EE1552"/>
    <w:rsid w:val="45F63016"/>
    <w:rsid w:val="46163A3F"/>
    <w:rsid w:val="461D64FB"/>
    <w:rsid w:val="463648E9"/>
    <w:rsid w:val="464253F9"/>
    <w:rsid w:val="46491939"/>
    <w:rsid w:val="46557299"/>
    <w:rsid w:val="46607F75"/>
    <w:rsid w:val="466247F2"/>
    <w:rsid w:val="46696E2A"/>
    <w:rsid w:val="46873754"/>
    <w:rsid w:val="468A6DA0"/>
    <w:rsid w:val="469203F9"/>
    <w:rsid w:val="46A51334"/>
    <w:rsid w:val="46A55352"/>
    <w:rsid w:val="46A875A0"/>
    <w:rsid w:val="46A9225B"/>
    <w:rsid w:val="46AC4F69"/>
    <w:rsid w:val="46BC4807"/>
    <w:rsid w:val="46BC781A"/>
    <w:rsid w:val="46C92EF6"/>
    <w:rsid w:val="46CA5F1E"/>
    <w:rsid w:val="46CE23DF"/>
    <w:rsid w:val="46E62384"/>
    <w:rsid w:val="46E7395C"/>
    <w:rsid w:val="46E75FA1"/>
    <w:rsid w:val="47037071"/>
    <w:rsid w:val="4707219F"/>
    <w:rsid w:val="470E5296"/>
    <w:rsid w:val="47166879"/>
    <w:rsid w:val="471741F3"/>
    <w:rsid w:val="47186BFB"/>
    <w:rsid w:val="47207C7B"/>
    <w:rsid w:val="472E6063"/>
    <w:rsid w:val="473C009B"/>
    <w:rsid w:val="47505E92"/>
    <w:rsid w:val="475950F1"/>
    <w:rsid w:val="47595427"/>
    <w:rsid w:val="475A0F43"/>
    <w:rsid w:val="47637D1D"/>
    <w:rsid w:val="47685B93"/>
    <w:rsid w:val="477261B2"/>
    <w:rsid w:val="47837A8A"/>
    <w:rsid w:val="478A34FC"/>
    <w:rsid w:val="478B1B1F"/>
    <w:rsid w:val="478B5BE9"/>
    <w:rsid w:val="47906312"/>
    <w:rsid w:val="479B1265"/>
    <w:rsid w:val="47A12458"/>
    <w:rsid w:val="47AE7E19"/>
    <w:rsid w:val="47B17848"/>
    <w:rsid w:val="47B2035D"/>
    <w:rsid w:val="47B42327"/>
    <w:rsid w:val="47C46F79"/>
    <w:rsid w:val="47D1249A"/>
    <w:rsid w:val="47D14E3C"/>
    <w:rsid w:val="47E8201B"/>
    <w:rsid w:val="47F40975"/>
    <w:rsid w:val="48151DFF"/>
    <w:rsid w:val="481A3E58"/>
    <w:rsid w:val="481D433B"/>
    <w:rsid w:val="481F5300"/>
    <w:rsid w:val="482A25E9"/>
    <w:rsid w:val="48383643"/>
    <w:rsid w:val="483B2A48"/>
    <w:rsid w:val="484359E3"/>
    <w:rsid w:val="48463DC2"/>
    <w:rsid w:val="48482514"/>
    <w:rsid w:val="485737AE"/>
    <w:rsid w:val="48604DA3"/>
    <w:rsid w:val="486050DE"/>
    <w:rsid w:val="486176F0"/>
    <w:rsid w:val="48691363"/>
    <w:rsid w:val="48701EA5"/>
    <w:rsid w:val="487A6E4A"/>
    <w:rsid w:val="487F6A9B"/>
    <w:rsid w:val="48947BBD"/>
    <w:rsid w:val="489850F6"/>
    <w:rsid w:val="48A25E13"/>
    <w:rsid w:val="48AE6D76"/>
    <w:rsid w:val="48AF018B"/>
    <w:rsid w:val="48B523EF"/>
    <w:rsid w:val="48B87AB8"/>
    <w:rsid w:val="48BB132D"/>
    <w:rsid w:val="48BC31D4"/>
    <w:rsid w:val="48BF5427"/>
    <w:rsid w:val="48C2431F"/>
    <w:rsid w:val="48C4518A"/>
    <w:rsid w:val="48CA52B0"/>
    <w:rsid w:val="48CB4577"/>
    <w:rsid w:val="48CC2F89"/>
    <w:rsid w:val="48CE3B8F"/>
    <w:rsid w:val="48DD3AFF"/>
    <w:rsid w:val="48DD7B03"/>
    <w:rsid w:val="48E34F6D"/>
    <w:rsid w:val="48E62612"/>
    <w:rsid w:val="48E629B4"/>
    <w:rsid w:val="48EA5BC1"/>
    <w:rsid w:val="48F212BE"/>
    <w:rsid w:val="48F6071D"/>
    <w:rsid w:val="48F609CD"/>
    <w:rsid w:val="48FF3FE4"/>
    <w:rsid w:val="490648C8"/>
    <w:rsid w:val="490F1EEF"/>
    <w:rsid w:val="49180A9B"/>
    <w:rsid w:val="491C2C2F"/>
    <w:rsid w:val="491C63D6"/>
    <w:rsid w:val="491E4156"/>
    <w:rsid w:val="4924528A"/>
    <w:rsid w:val="49276855"/>
    <w:rsid w:val="493556E9"/>
    <w:rsid w:val="49382AE4"/>
    <w:rsid w:val="49423962"/>
    <w:rsid w:val="494471A5"/>
    <w:rsid w:val="49482783"/>
    <w:rsid w:val="494C3B78"/>
    <w:rsid w:val="494F3168"/>
    <w:rsid w:val="49554BE1"/>
    <w:rsid w:val="496A6BED"/>
    <w:rsid w:val="49710949"/>
    <w:rsid w:val="49731BCB"/>
    <w:rsid w:val="497467A8"/>
    <w:rsid w:val="49843E14"/>
    <w:rsid w:val="49AA0075"/>
    <w:rsid w:val="49C65640"/>
    <w:rsid w:val="49D97E23"/>
    <w:rsid w:val="49E30CA1"/>
    <w:rsid w:val="49EC7A1D"/>
    <w:rsid w:val="49F27137"/>
    <w:rsid w:val="49F570D9"/>
    <w:rsid w:val="49F66C27"/>
    <w:rsid w:val="49FE3D2D"/>
    <w:rsid w:val="4A0062BB"/>
    <w:rsid w:val="4A121587"/>
    <w:rsid w:val="4A162E25"/>
    <w:rsid w:val="4A192915"/>
    <w:rsid w:val="4A196E79"/>
    <w:rsid w:val="4A235A4E"/>
    <w:rsid w:val="4A24383D"/>
    <w:rsid w:val="4A3140D8"/>
    <w:rsid w:val="4A3C1D1B"/>
    <w:rsid w:val="4A482FDB"/>
    <w:rsid w:val="4A535A86"/>
    <w:rsid w:val="4A54703F"/>
    <w:rsid w:val="4A5804B6"/>
    <w:rsid w:val="4A5B3A9F"/>
    <w:rsid w:val="4A5E2A1E"/>
    <w:rsid w:val="4A655B5A"/>
    <w:rsid w:val="4A677F4D"/>
    <w:rsid w:val="4A6D7FA4"/>
    <w:rsid w:val="4A754C00"/>
    <w:rsid w:val="4A7C7C16"/>
    <w:rsid w:val="4AA06F12"/>
    <w:rsid w:val="4AA448D5"/>
    <w:rsid w:val="4AA76173"/>
    <w:rsid w:val="4AB76615"/>
    <w:rsid w:val="4AB84FEA"/>
    <w:rsid w:val="4ABA448F"/>
    <w:rsid w:val="4ABC61FC"/>
    <w:rsid w:val="4AC34A65"/>
    <w:rsid w:val="4AC565F9"/>
    <w:rsid w:val="4AD07993"/>
    <w:rsid w:val="4AD55B10"/>
    <w:rsid w:val="4AE20F59"/>
    <w:rsid w:val="4AEC002A"/>
    <w:rsid w:val="4AEF09B8"/>
    <w:rsid w:val="4AF04A3A"/>
    <w:rsid w:val="4AF74ADD"/>
    <w:rsid w:val="4B1923E5"/>
    <w:rsid w:val="4B1B7074"/>
    <w:rsid w:val="4B2521E5"/>
    <w:rsid w:val="4B2A3FD7"/>
    <w:rsid w:val="4B3454E4"/>
    <w:rsid w:val="4B3C29B6"/>
    <w:rsid w:val="4B3F79B7"/>
    <w:rsid w:val="4B423440"/>
    <w:rsid w:val="4B553E21"/>
    <w:rsid w:val="4B5861CE"/>
    <w:rsid w:val="4B5C51AF"/>
    <w:rsid w:val="4B5D5D40"/>
    <w:rsid w:val="4B6202EC"/>
    <w:rsid w:val="4B682440"/>
    <w:rsid w:val="4B6A1BE3"/>
    <w:rsid w:val="4B7C13AE"/>
    <w:rsid w:val="4B7E7695"/>
    <w:rsid w:val="4B842010"/>
    <w:rsid w:val="4B8926B1"/>
    <w:rsid w:val="4B8D20F8"/>
    <w:rsid w:val="4BA72512"/>
    <w:rsid w:val="4BB31D91"/>
    <w:rsid w:val="4BB5041C"/>
    <w:rsid w:val="4BB943B0"/>
    <w:rsid w:val="4BBC5AC7"/>
    <w:rsid w:val="4BC3109F"/>
    <w:rsid w:val="4BC36FDC"/>
    <w:rsid w:val="4BC44E0D"/>
    <w:rsid w:val="4BC66ACD"/>
    <w:rsid w:val="4BD034A7"/>
    <w:rsid w:val="4BD048BE"/>
    <w:rsid w:val="4BE156B5"/>
    <w:rsid w:val="4BE74BEC"/>
    <w:rsid w:val="4BF37E67"/>
    <w:rsid w:val="4BF5144B"/>
    <w:rsid w:val="4BFF0BB9"/>
    <w:rsid w:val="4C080E93"/>
    <w:rsid w:val="4C0B2731"/>
    <w:rsid w:val="4C130DA3"/>
    <w:rsid w:val="4C156BCA"/>
    <w:rsid w:val="4C1D4D76"/>
    <w:rsid w:val="4C2B3759"/>
    <w:rsid w:val="4C481078"/>
    <w:rsid w:val="4C546EEE"/>
    <w:rsid w:val="4C577725"/>
    <w:rsid w:val="4C581C45"/>
    <w:rsid w:val="4C623ADB"/>
    <w:rsid w:val="4C6961C6"/>
    <w:rsid w:val="4C6D5A2A"/>
    <w:rsid w:val="4C767B34"/>
    <w:rsid w:val="4C7A1154"/>
    <w:rsid w:val="4C7B45F6"/>
    <w:rsid w:val="4C7D362F"/>
    <w:rsid w:val="4C7E1155"/>
    <w:rsid w:val="4C7E73A7"/>
    <w:rsid w:val="4C804ECE"/>
    <w:rsid w:val="4C81387F"/>
    <w:rsid w:val="4C8554DD"/>
    <w:rsid w:val="4C88285A"/>
    <w:rsid w:val="4C942475"/>
    <w:rsid w:val="4C9B6D84"/>
    <w:rsid w:val="4C9C159D"/>
    <w:rsid w:val="4CA2142F"/>
    <w:rsid w:val="4CB16E35"/>
    <w:rsid w:val="4CB6655C"/>
    <w:rsid w:val="4CB73E4F"/>
    <w:rsid w:val="4CC329A2"/>
    <w:rsid w:val="4CC748AA"/>
    <w:rsid w:val="4CC75E37"/>
    <w:rsid w:val="4CE44D9F"/>
    <w:rsid w:val="4CEA0599"/>
    <w:rsid w:val="4CEA5226"/>
    <w:rsid w:val="4D016156"/>
    <w:rsid w:val="4D0258E3"/>
    <w:rsid w:val="4D0D0E37"/>
    <w:rsid w:val="4D113D78"/>
    <w:rsid w:val="4D14442F"/>
    <w:rsid w:val="4D16603F"/>
    <w:rsid w:val="4D1D16ED"/>
    <w:rsid w:val="4D48194D"/>
    <w:rsid w:val="4D4976F7"/>
    <w:rsid w:val="4D4B227E"/>
    <w:rsid w:val="4D4D338A"/>
    <w:rsid w:val="4D5C1497"/>
    <w:rsid w:val="4D5E4583"/>
    <w:rsid w:val="4D6B3488"/>
    <w:rsid w:val="4D721F65"/>
    <w:rsid w:val="4D783DF7"/>
    <w:rsid w:val="4D7A21FD"/>
    <w:rsid w:val="4D82460E"/>
    <w:rsid w:val="4D9146B3"/>
    <w:rsid w:val="4D9549A9"/>
    <w:rsid w:val="4D964E12"/>
    <w:rsid w:val="4D97249F"/>
    <w:rsid w:val="4DA35BE5"/>
    <w:rsid w:val="4DA62712"/>
    <w:rsid w:val="4DAC62C6"/>
    <w:rsid w:val="4DAD19F9"/>
    <w:rsid w:val="4DB90697"/>
    <w:rsid w:val="4DBB187B"/>
    <w:rsid w:val="4DC1738F"/>
    <w:rsid w:val="4DCB3F26"/>
    <w:rsid w:val="4DD45944"/>
    <w:rsid w:val="4DDE3611"/>
    <w:rsid w:val="4DDE36D5"/>
    <w:rsid w:val="4DDE46EF"/>
    <w:rsid w:val="4DE553FA"/>
    <w:rsid w:val="4DF27608"/>
    <w:rsid w:val="4DF974F1"/>
    <w:rsid w:val="4DFB509E"/>
    <w:rsid w:val="4E121D51"/>
    <w:rsid w:val="4E131F3A"/>
    <w:rsid w:val="4E1C7C1C"/>
    <w:rsid w:val="4E241749"/>
    <w:rsid w:val="4E271AB5"/>
    <w:rsid w:val="4E2F6BAB"/>
    <w:rsid w:val="4E331A18"/>
    <w:rsid w:val="4E375A60"/>
    <w:rsid w:val="4E537920"/>
    <w:rsid w:val="4E555954"/>
    <w:rsid w:val="4E595EA2"/>
    <w:rsid w:val="4E721B60"/>
    <w:rsid w:val="4E734F8F"/>
    <w:rsid w:val="4E772300"/>
    <w:rsid w:val="4E821769"/>
    <w:rsid w:val="4E86609F"/>
    <w:rsid w:val="4E8D38D2"/>
    <w:rsid w:val="4E931D00"/>
    <w:rsid w:val="4E9327BD"/>
    <w:rsid w:val="4E965BF7"/>
    <w:rsid w:val="4E9D0774"/>
    <w:rsid w:val="4EA67795"/>
    <w:rsid w:val="4EA9490A"/>
    <w:rsid w:val="4EAF48AA"/>
    <w:rsid w:val="4EB26E94"/>
    <w:rsid w:val="4EC015B1"/>
    <w:rsid w:val="4EC12182"/>
    <w:rsid w:val="4EDA5E36"/>
    <w:rsid w:val="4EEA6837"/>
    <w:rsid w:val="4EEC5558"/>
    <w:rsid w:val="4EEE723C"/>
    <w:rsid w:val="4EF320A0"/>
    <w:rsid w:val="4F094A9E"/>
    <w:rsid w:val="4F1212A3"/>
    <w:rsid w:val="4F1A75C3"/>
    <w:rsid w:val="4F1D57EB"/>
    <w:rsid w:val="4F2A39EC"/>
    <w:rsid w:val="4F311B14"/>
    <w:rsid w:val="4F321354"/>
    <w:rsid w:val="4F327331"/>
    <w:rsid w:val="4F3B4217"/>
    <w:rsid w:val="4F4264E0"/>
    <w:rsid w:val="4F5368C9"/>
    <w:rsid w:val="4F5979CB"/>
    <w:rsid w:val="4F5F49C4"/>
    <w:rsid w:val="4F615D0A"/>
    <w:rsid w:val="4F766114"/>
    <w:rsid w:val="4F7C39A7"/>
    <w:rsid w:val="4F8E136D"/>
    <w:rsid w:val="4F912F4E"/>
    <w:rsid w:val="4F920444"/>
    <w:rsid w:val="4FA51312"/>
    <w:rsid w:val="4FA90297"/>
    <w:rsid w:val="4FB47FD6"/>
    <w:rsid w:val="4FBA5581"/>
    <w:rsid w:val="4FBA60A3"/>
    <w:rsid w:val="4FC3320E"/>
    <w:rsid w:val="4FC864A4"/>
    <w:rsid w:val="4FC9420B"/>
    <w:rsid w:val="4FD33681"/>
    <w:rsid w:val="4FD712A8"/>
    <w:rsid w:val="4FDE13FD"/>
    <w:rsid w:val="4FE5239D"/>
    <w:rsid w:val="4FEA269F"/>
    <w:rsid w:val="4FF0487B"/>
    <w:rsid w:val="4FF25FC4"/>
    <w:rsid w:val="5004175D"/>
    <w:rsid w:val="5004520D"/>
    <w:rsid w:val="50130483"/>
    <w:rsid w:val="50157ED0"/>
    <w:rsid w:val="502760C5"/>
    <w:rsid w:val="502A714C"/>
    <w:rsid w:val="50357D7D"/>
    <w:rsid w:val="50371D47"/>
    <w:rsid w:val="50377F99"/>
    <w:rsid w:val="5044508F"/>
    <w:rsid w:val="50521378"/>
    <w:rsid w:val="505722FA"/>
    <w:rsid w:val="50665C75"/>
    <w:rsid w:val="50700DB5"/>
    <w:rsid w:val="50811214"/>
    <w:rsid w:val="50852AB2"/>
    <w:rsid w:val="508710FB"/>
    <w:rsid w:val="508C2D2B"/>
    <w:rsid w:val="509C58BA"/>
    <w:rsid w:val="50A02428"/>
    <w:rsid w:val="50A310A9"/>
    <w:rsid w:val="50A62359"/>
    <w:rsid w:val="50B52C6C"/>
    <w:rsid w:val="50C80BF1"/>
    <w:rsid w:val="50CC3A85"/>
    <w:rsid w:val="50CF3D2E"/>
    <w:rsid w:val="50D457E8"/>
    <w:rsid w:val="50F051B9"/>
    <w:rsid w:val="50F33EC0"/>
    <w:rsid w:val="50F65EF1"/>
    <w:rsid w:val="50FF48D0"/>
    <w:rsid w:val="51024D0B"/>
    <w:rsid w:val="511F5F83"/>
    <w:rsid w:val="51260B6A"/>
    <w:rsid w:val="514B3F6A"/>
    <w:rsid w:val="5150517C"/>
    <w:rsid w:val="515626A1"/>
    <w:rsid w:val="515669E7"/>
    <w:rsid w:val="5167040A"/>
    <w:rsid w:val="516A4ADC"/>
    <w:rsid w:val="5172656E"/>
    <w:rsid w:val="518125FA"/>
    <w:rsid w:val="51880507"/>
    <w:rsid w:val="518813FC"/>
    <w:rsid w:val="51A62D85"/>
    <w:rsid w:val="51AA5240"/>
    <w:rsid w:val="51B855E6"/>
    <w:rsid w:val="51BA263B"/>
    <w:rsid w:val="51CC64BF"/>
    <w:rsid w:val="51DA64ED"/>
    <w:rsid w:val="51DB7F4F"/>
    <w:rsid w:val="51DD247A"/>
    <w:rsid w:val="51E8486B"/>
    <w:rsid w:val="51EF6702"/>
    <w:rsid w:val="51F21DCD"/>
    <w:rsid w:val="51F67DA1"/>
    <w:rsid w:val="51FD0BB6"/>
    <w:rsid w:val="520A6C76"/>
    <w:rsid w:val="520B5A2B"/>
    <w:rsid w:val="520C5713"/>
    <w:rsid w:val="521F0CE5"/>
    <w:rsid w:val="5224454D"/>
    <w:rsid w:val="5227192A"/>
    <w:rsid w:val="522B37CC"/>
    <w:rsid w:val="52320A18"/>
    <w:rsid w:val="52391DB4"/>
    <w:rsid w:val="523B771C"/>
    <w:rsid w:val="523F4EE3"/>
    <w:rsid w:val="524546A2"/>
    <w:rsid w:val="5247354A"/>
    <w:rsid w:val="525E35BB"/>
    <w:rsid w:val="526A11AC"/>
    <w:rsid w:val="526B7928"/>
    <w:rsid w:val="526D37FE"/>
    <w:rsid w:val="526D6907"/>
    <w:rsid w:val="527C758B"/>
    <w:rsid w:val="527E556C"/>
    <w:rsid w:val="52860D64"/>
    <w:rsid w:val="52AD718C"/>
    <w:rsid w:val="52B96A43"/>
    <w:rsid w:val="52C02D79"/>
    <w:rsid w:val="52C23047"/>
    <w:rsid w:val="52CE17AF"/>
    <w:rsid w:val="52D41ACF"/>
    <w:rsid w:val="52E431D7"/>
    <w:rsid w:val="52E502A3"/>
    <w:rsid w:val="52E511BE"/>
    <w:rsid w:val="52EB483D"/>
    <w:rsid w:val="52ED6537"/>
    <w:rsid w:val="52EF3D6F"/>
    <w:rsid w:val="52F537F4"/>
    <w:rsid w:val="52FA615D"/>
    <w:rsid w:val="52FE35FA"/>
    <w:rsid w:val="5300759F"/>
    <w:rsid w:val="530321A3"/>
    <w:rsid w:val="530A3743"/>
    <w:rsid w:val="530A48DD"/>
    <w:rsid w:val="530D0BEF"/>
    <w:rsid w:val="531A55EE"/>
    <w:rsid w:val="531C00D0"/>
    <w:rsid w:val="53206076"/>
    <w:rsid w:val="53271025"/>
    <w:rsid w:val="532C7492"/>
    <w:rsid w:val="53353F57"/>
    <w:rsid w:val="53364538"/>
    <w:rsid w:val="533A4B08"/>
    <w:rsid w:val="533E7F6E"/>
    <w:rsid w:val="53486019"/>
    <w:rsid w:val="535022B4"/>
    <w:rsid w:val="535075B2"/>
    <w:rsid w:val="53536636"/>
    <w:rsid w:val="535A55E1"/>
    <w:rsid w:val="535C1828"/>
    <w:rsid w:val="536A41E2"/>
    <w:rsid w:val="536C0605"/>
    <w:rsid w:val="536E636E"/>
    <w:rsid w:val="53794684"/>
    <w:rsid w:val="537B019D"/>
    <w:rsid w:val="537C1E10"/>
    <w:rsid w:val="537D1A12"/>
    <w:rsid w:val="53874D93"/>
    <w:rsid w:val="53890EC3"/>
    <w:rsid w:val="539354E6"/>
    <w:rsid w:val="539D3442"/>
    <w:rsid w:val="53B631FA"/>
    <w:rsid w:val="53C11F3C"/>
    <w:rsid w:val="53D37FD9"/>
    <w:rsid w:val="53D77DB9"/>
    <w:rsid w:val="53E2599D"/>
    <w:rsid w:val="53EB7D0C"/>
    <w:rsid w:val="53FA5565"/>
    <w:rsid w:val="54103A28"/>
    <w:rsid w:val="54176117"/>
    <w:rsid w:val="541D1254"/>
    <w:rsid w:val="54206BAB"/>
    <w:rsid w:val="54222492"/>
    <w:rsid w:val="542757CF"/>
    <w:rsid w:val="54284497"/>
    <w:rsid w:val="542C6F5C"/>
    <w:rsid w:val="542D3B70"/>
    <w:rsid w:val="543433F6"/>
    <w:rsid w:val="5445347D"/>
    <w:rsid w:val="5445601B"/>
    <w:rsid w:val="544A61A7"/>
    <w:rsid w:val="54525277"/>
    <w:rsid w:val="54620263"/>
    <w:rsid w:val="54624EB9"/>
    <w:rsid w:val="54661FA6"/>
    <w:rsid w:val="54692B85"/>
    <w:rsid w:val="546B4888"/>
    <w:rsid w:val="546C31A2"/>
    <w:rsid w:val="54780C2F"/>
    <w:rsid w:val="548573BB"/>
    <w:rsid w:val="548E627B"/>
    <w:rsid w:val="54A53D7C"/>
    <w:rsid w:val="54AB6860"/>
    <w:rsid w:val="54C14E3F"/>
    <w:rsid w:val="54C806BA"/>
    <w:rsid w:val="54CC7AC8"/>
    <w:rsid w:val="54D827E0"/>
    <w:rsid w:val="54DA272A"/>
    <w:rsid w:val="54DB06F3"/>
    <w:rsid w:val="54EA7EC3"/>
    <w:rsid w:val="54F1026B"/>
    <w:rsid w:val="54F1103D"/>
    <w:rsid w:val="54F25C8B"/>
    <w:rsid w:val="54F93A6F"/>
    <w:rsid w:val="54FE4633"/>
    <w:rsid w:val="55045144"/>
    <w:rsid w:val="55055F70"/>
    <w:rsid w:val="5512301C"/>
    <w:rsid w:val="55222FC6"/>
    <w:rsid w:val="55254864"/>
    <w:rsid w:val="5532240D"/>
    <w:rsid w:val="553739C0"/>
    <w:rsid w:val="55421934"/>
    <w:rsid w:val="55450A62"/>
    <w:rsid w:val="554F1507"/>
    <w:rsid w:val="55582538"/>
    <w:rsid w:val="555D2250"/>
    <w:rsid w:val="555F65A5"/>
    <w:rsid w:val="5564034E"/>
    <w:rsid w:val="5565489D"/>
    <w:rsid w:val="556A56B6"/>
    <w:rsid w:val="556E5D90"/>
    <w:rsid w:val="557E6181"/>
    <w:rsid w:val="558925E5"/>
    <w:rsid w:val="55A02195"/>
    <w:rsid w:val="55A41C2D"/>
    <w:rsid w:val="55A75279"/>
    <w:rsid w:val="55A81B76"/>
    <w:rsid w:val="55B00195"/>
    <w:rsid w:val="55B31E70"/>
    <w:rsid w:val="55B94FAC"/>
    <w:rsid w:val="55BF3799"/>
    <w:rsid w:val="55C10EFF"/>
    <w:rsid w:val="55C36183"/>
    <w:rsid w:val="55C73193"/>
    <w:rsid w:val="55C961B4"/>
    <w:rsid w:val="55D2625E"/>
    <w:rsid w:val="55DA38A0"/>
    <w:rsid w:val="55DB13C7"/>
    <w:rsid w:val="55F14746"/>
    <w:rsid w:val="55F221C8"/>
    <w:rsid w:val="55F2604B"/>
    <w:rsid w:val="55F60291"/>
    <w:rsid w:val="55F7482D"/>
    <w:rsid w:val="55F74830"/>
    <w:rsid w:val="56026953"/>
    <w:rsid w:val="560468F6"/>
    <w:rsid w:val="56144780"/>
    <w:rsid w:val="56151E85"/>
    <w:rsid w:val="561F15E3"/>
    <w:rsid w:val="5622420A"/>
    <w:rsid w:val="562D6668"/>
    <w:rsid w:val="5637264E"/>
    <w:rsid w:val="563945B3"/>
    <w:rsid w:val="563F0D72"/>
    <w:rsid w:val="56444AB4"/>
    <w:rsid w:val="56452BCB"/>
    <w:rsid w:val="564A60E6"/>
    <w:rsid w:val="56522B4A"/>
    <w:rsid w:val="566025B8"/>
    <w:rsid w:val="56603417"/>
    <w:rsid w:val="566748DD"/>
    <w:rsid w:val="56837A94"/>
    <w:rsid w:val="568836AC"/>
    <w:rsid w:val="56921A85"/>
    <w:rsid w:val="569C2AFB"/>
    <w:rsid w:val="569D0B40"/>
    <w:rsid w:val="56A15384"/>
    <w:rsid w:val="56AB6D07"/>
    <w:rsid w:val="56AD2D63"/>
    <w:rsid w:val="56C9121F"/>
    <w:rsid w:val="56D402F0"/>
    <w:rsid w:val="56D94391"/>
    <w:rsid w:val="56DA600C"/>
    <w:rsid w:val="56E01FD3"/>
    <w:rsid w:val="56E147BB"/>
    <w:rsid w:val="56F83D23"/>
    <w:rsid w:val="57041072"/>
    <w:rsid w:val="570C4656"/>
    <w:rsid w:val="57174680"/>
    <w:rsid w:val="57347A2F"/>
    <w:rsid w:val="5735698D"/>
    <w:rsid w:val="573F1A51"/>
    <w:rsid w:val="574D1E50"/>
    <w:rsid w:val="574E4D83"/>
    <w:rsid w:val="575718DC"/>
    <w:rsid w:val="575C2093"/>
    <w:rsid w:val="57694C35"/>
    <w:rsid w:val="577216B2"/>
    <w:rsid w:val="5774402B"/>
    <w:rsid w:val="577C7244"/>
    <w:rsid w:val="577F4CE4"/>
    <w:rsid w:val="57A05711"/>
    <w:rsid w:val="57A16CEB"/>
    <w:rsid w:val="57A908C7"/>
    <w:rsid w:val="57A9177C"/>
    <w:rsid w:val="57AB105E"/>
    <w:rsid w:val="57B679F5"/>
    <w:rsid w:val="57B87ECB"/>
    <w:rsid w:val="57C00175"/>
    <w:rsid w:val="57C02622"/>
    <w:rsid w:val="57C33EC0"/>
    <w:rsid w:val="57D8796C"/>
    <w:rsid w:val="57DB5B54"/>
    <w:rsid w:val="57E15E8A"/>
    <w:rsid w:val="58005114"/>
    <w:rsid w:val="58095D77"/>
    <w:rsid w:val="5814471C"/>
    <w:rsid w:val="58161499"/>
    <w:rsid w:val="581D5CC6"/>
    <w:rsid w:val="582818A8"/>
    <w:rsid w:val="5830221D"/>
    <w:rsid w:val="583161A3"/>
    <w:rsid w:val="58337D56"/>
    <w:rsid w:val="583B614D"/>
    <w:rsid w:val="583E2172"/>
    <w:rsid w:val="584F0F3C"/>
    <w:rsid w:val="5853793A"/>
    <w:rsid w:val="58562F86"/>
    <w:rsid w:val="5859566B"/>
    <w:rsid w:val="585A69C8"/>
    <w:rsid w:val="586466E1"/>
    <w:rsid w:val="586618D3"/>
    <w:rsid w:val="586B07E0"/>
    <w:rsid w:val="586B4C84"/>
    <w:rsid w:val="58746BD9"/>
    <w:rsid w:val="587F24DD"/>
    <w:rsid w:val="58841452"/>
    <w:rsid w:val="588E2720"/>
    <w:rsid w:val="589B4229"/>
    <w:rsid w:val="58AD53C5"/>
    <w:rsid w:val="58B531C5"/>
    <w:rsid w:val="58BC5126"/>
    <w:rsid w:val="58D52BBB"/>
    <w:rsid w:val="58DB6D15"/>
    <w:rsid w:val="58F06F37"/>
    <w:rsid w:val="58F9403E"/>
    <w:rsid w:val="58FD5317"/>
    <w:rsid w:val="58FF22DB"/>
    <w:rsid w:val="590824D3"/>
    <w:rsid w:val="590A1475"/>
    <w:rsid w:val="590A2C81"/>
    <w:rsid w:val="590B7C9C"/>
    <w:rsid w:val="590E16D1"/>
    <w:rsid w:val="5915074C"/>
    <w:rsid w:val="59195665"/>
    <w:rsid w:val="591A49CA"/>
    <w:rsid w:val="59257140"/>
    <w:rsid w:val="592738E1"/>
    <w:rsid w:val="592A43BA"/>
    <w:rsid w:val="59305585"/>
    <w:rsid w:val="59352B9C"/>
    <w:rsid w:val="59361550"/>
    <w:rsid w:val="593E6247"/>
    <w:rsid w:val="5947124D"/>
    <w:rsid w:val="59513D66"/>
    <w:rsid w:val="59516C01"/>
    <w:rsid w:val="59545718"/>
    <w:rsid w:val="595C637A"/>
    <w:rsid w:val="59653481"/>
    <w:rsid w:val="59657925"/>
    <w:rsid w:val="59693390"/>
    <w:rsid w:val="5973527B"/>
    <w:rsid w:val="59753252"/>
    <w:rsid w:val="59786A09"/>
    <w:rsid w:val="597914B4"/>
    <w:rsid w:val="598729A5"/>
    <w:rsid w:val="598A2EE8"/>
    <w:rsid w:val="598A35B0"/>
    <w:rsid w:val="599124C8"/>
    <w:rsid w:val="599B3347"/>
    <w:rsid w:val="59A01D23"/>
    <w:rsid w:val="59A12B57"/>
    <w:rsid w:val="59A87D08"/>
    <w:rsid w:val="59B17140"/>
    <w:rsid w:val="59B43525"/>
    <w:rsid w:val="59B678AD"/>
    <w:rsid w:val="59B7658D"/>
    <w:rsid w:val="59BA0642"/>
    <w:rsid w:val="59BA76B2"/>
    <w:rsid w:val="59C33FA5"/>
    <w:rsid w:val="59C356A8"/>
    <w:rsid w:val="59C56616"/>
    <w:rsid w:val="59C61D34"/>
    <w:rsid w:val="59CF1242"/>
    <w:rsid w:val="59D92219"/>
    <w:rsid w:val="59F111B9"/>
    <w:rsid w:val="59F94AC0"/>
    <w:rsid w:val="59FE6DC7"/>
    <w:rsid w:val="5A013D74"/>
    <w:rsid w:val="5A0802B0"/>
    <w:rsid w:val="5A0C1B4F"/>
    <w:rsid w:val="5A0F6902"/>
    <w:rsid w:val="5A0F707A"/>
    <w:rsid w:val="5A137B38"/>
    <w:rsid w:val="5A174CF4"/>
    <w:rsid w:val="5A1B4488"/>
    <w:rsid w:val="5A1E1882"/>
    <w:rsid w:val="5A221372"/>
    <w:rsid w:val="5A3022F6"/>
    <w:rsid w:val="5A35111C"/>
    <w:rsid w:val="5A357F97"/>
    <w:rsid w:val="5A3B5FA0"/>
    <w:rsid w:val="5A47702B"/>
    <w:rsid w:val="5A4F5EDF"/>
    <w:rsid w:val="5A5359CF"/>
    <w:rsid w:val="5A7029DE"/>
    <w:rsid w:val="5A764DB1"/>
    <w:rsid w:val="5A79768C"/>
    <w:rsid w:val="5A7D778E"/>
    <w:rsid w:val="5A830771"/>
    <w:rsid w:val="5A8935B7"/>
    <w:rsid w:val="5A8A4D39"/>
    <w:rsid w:val="5A8D5B3C"/>
    <w:rsid w:val="5A8D6B6B"/>
    <w:rsid w:val="5A900A91"/>
    <w:rsid w:val="5A911684"/>
    <w:rsid w:val="5A955FE8"/>
    <w:rsid w:val="5A971D60"/>
    <w:rsid w:val="5A987886"/>
    <w:rsid w:val="5AA71877"/>
    <w:rsid w:val="5AAA3423"/>
    <w:rsid w:val="5AAB2214"/>
    <w:rsid w:val="5AAC01BA"/>
    <w:rsid w:val="5AAC5656"/>
    <w:rsid w:val="5AAC58EC"/>
    <w:rsid w:val="5AAE0E58"/>
    <w:rsid w:val="5AAE2C06"/>
    <w:rsid w:val="5AB61502"/>
    <w:rsid w:val="5AB660D5"/>
    <w:rsid w:val="5AB73595"/>
    <w:rsid w:val="5AD572B3"/>
    <w:rsid w:val="5ADC59C5"/>
    <w:rsid w:val="5ADF0D16"/>
    <w:rsid w:val="5AE06A25"/>
    <w:rsid w:val="5AE76118"/>
    <w:rsid w:val="5AEB6539"/>
    <w:rsid w:val="5AF34ABD"/>
    <w:rsid w:val="5B044F1C"/>
    <w:rsid w:val="5B101A24"/>
    <w:rsid w:val="5B14445E"/>
    <w:rsid w:val="5B162D21"/>
    <w:rsid w:val="5B180446"/>
    <w:rsid w:val="5B231846"/>
    <w:rsid w:val="5B4041A6"/>
    <w:rsid w:val="5B466CB4"/>
    <w:rsid w:val="5B52424E"/>
    <w:rsid w:val="5B547C51"/>
    <w:rsid w:val="5B607464"/>
    <w:rsid w:val="5B633723"/>
    <w:rsid w:val="5B6836FC"/>
    <w:rsid w:val="5B8B5DF2"/>
    <w:rsid w:val="5B935248"/>
    <w:rsid w:val="5B94004E"/>
    <w:rsid w:val="5B962018"/>
    <w:rsid w:val="5B9938B6"/>
    <w:rsid w:val="5B9B5880"/>
    <w:rsid w:val="5BA364E3"/>
    <w:rsid w:val="5BBB1A7E"/>
    <w:rsid w:val="5BCD355F"/>
    <w:rsid w:val="5BDC07D1"/>
    <w:rsid w:val="5BDE5E3D"/>
    <w:rsid w:val="5BED775E"/>
    <w:rsid w:val="5BF127C1"/>
    <w:rsid w:val="5BF12EF0"/>
    <w:rsid w:val="5BF5277C"/>
    <w:rsid w:val="5BFA12D2"/>
    <w:rsid w:val="5BFE196B"/>
    <w:rsid w:val="5C050F4B"/>
    <w:rsid w:val="5C05719D"/>
    <w:rsid w:val="5C1158BF"/>
    <w:rsid w:val="5C1318BA"/>
    <w:rsid w:val="5C207B33"/>
    <w:rsid w:val="5C2102D0"/>
    <w:rsid w:val="5C2E04A2"/>
    <w:rsid w:val="5C304591"/>
    <w:rsid w:val="5C356C4B"/>
    <w:rsid w:val="5C366DD4"/>
    <w:rsid w:val="5C3706D2"/>
    <w:rsid w:val="5C384E7D"/>
    <w:rsid w:val="5C3977B6"/>
    <w:rsid w:val="5C3A119E"/>
    <w:rsid w:val="5C42409E"/>
    <w:rsid w:val="5C4F2412"/>
    <w:rsid w:val="5C525071"/>
    <w:rsid w:val="5C593AC2"/>
    <w:rsid w:val="5C685E55"/>
    <w:rsid w:val="5C6A7000"/>
    <w:rsid w:val="5C713527"/>
    <w:rsid w:val="5C753F48"/>
    <w:rsid w:val="5C7834CB"/>
    <w:rsid w:val="5C7E485A"/>
    <w:rsid w:val="5C82259C"/>
    <w:rsid w:val="5C862BA2"/>
    <w:rsid w:val="5C98714B"/>
    <w:rsid w:val="5C9B540C"/>
    <w:rsid w:val="5C9D2289"/>
    <w:rsid w:val="5CA415FB"/>
    <w:rsid w:val="5CC23BA2"/>
    <w:rsid w:val="5CD0702B"/>
    <w:rsid w:val="5CD64696"/>
    <w:rsid w:val="5CDA23D8"/>
    <w:rsid w:val="5CDF3213"/>
    <w:rsid w:val="5CE1177F"/>
    <w:rsid w:val="5CE15956"/>
    <w:rsid w:val="5CED3EB9"/>
    <w:rsid w:val="5CF3349A"/>
    <w:rsid w:val="5CF36FF6"/>
    <w:rsid w:val="5CF44AE0"/>
    <w:rsid w:val="5CF45DC7"/>
    <w:rsid w:val="5CFA40D7"/>
    <w:rsid w:val="5CFA79CB"/>
    <w:rsid w:val="5CFD64EA"/>
    <w:rsid w:val="5CFF599B"/>
    <w:rsid w:val="5D0A07F9"/>
    <w:rsid w:val="5D0D6309"/>
    <w:rsid w:val="5D1458EA"/>
    <w:rsid w:val="5D156F6C"/>
    <w:rsid w:val="5D235B2D"/>
    <w:rsid w:val="5D2672BC"/>
    <w:rsid w:val="5D27532B"/>
    <w:rsid w:val="5D327B1E"/>
    <w:rsid w:val="5D3E051F"/>
    <w:rsid w:val="5D441E39"/>
    <w:rsid w:val="5D445823"/>
    <w:rsid w:val="5D5759CA"/>
    <w:rsid w:val="5D584A99"/>
    <w:rsid w:val="5D5C4B9B"/>
    <w:rsid w:val="5D613BCB"/>
    <w:rsid w:val="5D616655"/>
    <w:rsid w:val="5D6250B4"/>
    <w:rsid w:val="5D63484D"/>
    <w:rsid w:val="5D7A14C5"/>
    <w:rsid w:val="5D876A04"/>
    <w:rsid w:val="5D884E5F"/>
    <w:rsid w:val="5D8A795A"/>
    <w:rsid w:val="5D8F289A"/>
    <w:rsid w:val="5D9216EA"/>
    <w:rsid w:val="5D943DC1"/>
    <w:rsid w:val="5DA34FE8"/>
    <w:rsid w:val="5DA87DE0"/>
    <w:rsid w:val="5DAD3649"/>
    <w:rsid w:val="5DAF3EB2"/>
    <w:rsid w:val="5DB4354B"/>
    <w:rsid w:val="5DBE13B2"/>
    <w:rsid w:val="5DC15346"/>
    <w:rsid w:val="5DC170F4"/>
    <w:rsid w:val="5DC7223B"/>
    <w:rsid w:val="5DD24E5D"/>
    <w:rsid w:val="5DDC146F"/>
    <w:rsid w:val="5DE0757A"/>
    <w:rsid w:val="5DED7EE9"/>
    <w:rsid w:val="5DF272AD"/>
    <w:rsid w:val="5DF56611"/>
    <w:rsid w:val="5DFD07C0"/>
    <w:rsid w:val="5E041FD8"/>
    <w:rsid w:val="5E0764B7"/>
    <w:rsid w:val="5E127071"/>
    <w:rsid w:val="5E1611EE"/>
    <w:rsid w:val="5E1704AA"/>
    <w:rsid w:val="5E17063E"/>
    <w:rsid w:val="5E181275"/>
    <w:rsid w:val="5E18474A"/>
    <w:rsid w:val="5E1E3878"/>
    <w:rsid w:val="5E245894"/>
    <w:rsid w:val="5E2F35DF"/>
    <w:rsid w:val="5E3653EC"/>
    <w:rsid w:val="5E427006"/>
    <w:rsid w:val="5E4A3516"/>
    <w:rsid w:val="5E4C4C10"/>
    <w:rsid w:val="5E4C6BBC"/>
    <w:rsid w:val="5E4F1CDA"/>
    <w:rsid w:val="5E545207"/>
    <w:rsid w:val="5E60047B"/>
    <w:rsid w:val="5E761C8C"/>
    <w:rsid w:val="5E7C38CA"/>
    <w:rsid w:val="5E8124A0"/>
    <w:rsid w:val="5E866961"/>
    <w:rsid w:val="5E8E26A4"/>
    <w:rsid w:val="5EAB402C"/>
    <w:rsid w:val="5EAE7678"/>
    <w:rsid w:val="5EAF6076"/>
    <w:rsid w:val="5EB2314A"/>
    <w:rsid w:val="5EB56C59"/>
    <w:rsid w:val="5EC648CD"/>
    <w:rsid w:val="5EDA40DB"/>
    <w:rsid w:val="5EE20946"/>
    <w:rsid w:val="5EE41524"/>
    <w:rsid w:val="5EF1032E"/>
    <w:rsid w:val="5EFA18BB"/>
    <w:rsid w:val="5EFF1C82"/>
    <w:rsid w:val="5F03515E"/>
    <w:rsid w:val="5F092B01"/>
    <w:rsid w:val="5F0D1098"/>
    <w:rsid w:val="5F0F19B8"/>
    <w:rsid w:val="5F170837"/>
    <w:rsid w:val="5F177DFA"/>
    <w:rsid w:val="5F27521E"/>
    <w:rsid w:val="5F3608F5"/>
    <w:rsid w:val="5F3D00E1"/>
    <w:rsid w:val="5F3D3985"/>
    <w:rsid w:val="5F441E8D"/>
    <w:rsid w:val="5F561124"/>
    <w:rsid w:val="5F5E28DD"/>
    <w:rsid w:val="5F6076AF"/>
    <w:rsid w:val="5F795F2D"/>
    <w:rsid w:val="5F7F7F09"/>
    <w:rsid w:val="5F814D8D"/>
    <w:rsid w:val="5F8613F6"/>
    <w:rsid w:val="5F922535"/>
    <w:rsid w:val="5F973A30"/>
    <w:rsid w:val="5FA01B9B"/>
    <w:rsid w:val="5FA865BC"/>
    <w:rsid w:val="5FB4701C"/>
    <w:rsid w:val="5FB54A36"/>
    <w:rsid w:val="5FB707AE"/>
    <w:rsid w:val="5FBE7D8F"/>
    <w:rsid w:val="5FC34143"/>
    <w:rsid w:val="5FCF4427"/>
    <w:rsid w:val="5FEF48C7"/>
    <w:rsid w:val="5FF078FF"/>
    <w:rsid w:val="5FF92B75"/>
    <w:rsid w:val="5FFF64CC"/>
    <w:rsid w:val="600E2614"/>
    <w:rsid w:val="60136F65"/>
    <w:rsid w:val="601F4A3C"/>
    <w:rsid w:val="6025396A"/>
    <w:rsid w:val="602B3912"/>
    <w:rsid w:val="602C265E"/>
    <w:rsid w:val="603B7A67"/>
    <w:rsid w:val="60402552"/>
    <w:rsid w:val="60494C8A"/>
    <w:rsid w:val="60563B24"/>
    <w:rsid w:val="60580360"/>
    <w:rsid w:val="60624553"/>
    <w:rsid w:val="606359E6"/>
    <w:rsid w:val="60636240"/>
    <w:rsid w:val="6066449B"/>
    <w:rsid w:val="606964C9"/>
    <w:rsid w:val="606E745A"/>
    <w:rsid w:val="607526B4"/>
    <w:rsid w:val="607F2E50"/>
    <w:rsid w:val="6084377A"/>
    <w:rsid w:val="60A13198"/>
    <w:rsid w:val="60A24FBB"/>
    <w:rsid w:val="60A521A0"/>
    <w:rsid w:val="60BB348D"/>
    <w:rsid w:val="60BD2AB5"/>
    <w:rsid w:val="60C33FC4"/>
    <w:rsid w:val="60C72C73"/>
    <w:rsid w:val="60D63B2E"/>
    <w:rsid w:val="60D809DC"/>
    <w:rsid w:val="60DF1D6B"/>
    <w:rsid w:val="60E243FF"/>
    <w:rsid w:val="60E277A8"/>
    <w:rsid w:val="60E27AAD"/>
    <w:rsid w:val="60E47381"/>
    <w:rsid w:val="60E65FC9"/>
    <w:rsid w:val="60EA66DE"/>
    <w:rsid w:val="60FF240D"/>
    <w:rsid w:val="61050A04"/>
    <w:rsid w:val="61066AA3"/>
    <w:rsid w:val="610E4B69"/>
    <w:rsid w:val="61113EEE"/>
    <w:rsid w:val="61177312"/>
    <w:rsid w:val="611C0C3A"/>
    <w:rsid w:val="61377DF9"/>
    <w:rsid w:val="6145155F"/>
    <w:rsid w:val="614E0C9F"/>
    <w:rsid w:val="61520175"/>
    <w:rsid w:val="61614E76"/>
    <w:rsid w:val="61627EF2"/>
    <w:rsid w:val="61690897"/>
    <w:rsid w:val="61696F28"/>
    <w:rsid w:val="616B35FF"/>
    <w:rsid w:val="61734BA9"/>
    <w:rsid w:val="617B5F04"/>
    <w:rsid w:val="618F399A"/>
    <w:rsid w:val="61975D65"/>
    <w:rsid w:val="61980822"/>
    <w:rsid w:val="619F774C"/>
    <w:rsid w:val="61A30A46"/>
    <w:rsid w:val="61A30FEA"/>
    <w:rsid w:val="61AB7E9F"/>
    <w:rsid w:val="61AD67D9"/>
    <w:rsid w:val="61C667E4"/>
    <w:rsid w:val="61D05715"/>
    <w:rsid w:val="61D86911"/>
    <w:rsid w:val="61DB43ED"/>
    <w:rsid w:val="61E1276F"/>
    <w:rsid w:val="61E84C4F"/>
    <w:rsid w:val="61ED495B"/>
    <w:rsid w:val="61F24E65"/>
    <w:rsid w:val="61FC6B54"/>
    <w:rsid w:val="6208709F"/>
    <w:rsid w:val="62132AC5"/>
    <w:rsid w:val="621E619F"/>
    <w:rsid w:val="622112F5"/>
    <w:rsid w:val="622A102E"/>
    <w:rsid w:val="622D2FAA"/>
    <w:rsid w:val="622D7B47"/>
    <w:rsid w:val="623779BE"/>
    <w:rsid w:val="623916BE"/>
    <w:rsid w:val="623A4BAB"/>
    <w:rsid w:val="62402A42"/>
    <w:rsid w:val="62686413"/>
    <w:rsid w:val="626B289A"/>
    <w:rsid w:val="62841E80"/>
    <w:rsid w:val="62870D02"/>
    <w:rsid w:val="6291178B"/>
    <w:rsid w:val="629503BF"/>
    <w:rsid w:val="6295776A"/>
    <w:rsid w:val="629B323B"/>
    <w:rsid w:val="629E37E6"/>
    <w:rsid w:val="62A01DAC"/>
    <w:rsid w:val="62B00A61"/>
    <w:rsid w:val="62B02E9C"/>
    <w:rsid w:val="62BD432E"/>
    <w:rsid w:val="62C21463"/>
    <w:rsid w:val="62CD2B31"/>
    <w:rsid w:val="62D11B87"/>
    <w:rsid w:val="62D5340D"/>
    <w:rsid w:val="62DF0794"/>
    <w:rsid w:val="62DF2A89"/>
    <w:rsid w:val="62E15AE5"/>
    <w:rsid w:val="62EA2C49"/>
    <w:rsid w:val="62EE4706"/>
    <w:rsid w:val="62F13654"/>
    <w:rsid w:val="63077F65"/>
    <w:rsid w:val="63121D16"/>
    <w:rsid w:val="63232C71"/>
    <w:rsid w:val="63291928"/>
    <w:rsid w:val="63301343"/>
    <w:rsid w:val="63332842"/>
    <w:rsid w:val="633C694F"/>
    <w:rsid w:val="633D721D"/>
    <w:rsid w:val="633E1966"/>
    <w:rsid w:val="633E4E82"/>
    <w:rsid w:val="634652DF"/>
    <w:rsid w:val="635025C8"/>
    <w:rsid w:val="63552E8A"/>
    <w:rsid w:val="635B4CC7"/>
    <w:rsid w:val="636130E0"/>
    <w:rsid w:val="63666773"/>
    <w:rsid w:val="636A6886"/>
    <w:rsid w:val="636E564F"/>
    <w:rsid w:val="637D075E"/>
    <w:rsid w:val="63891F1F"/>
    <w:rsid w:val="638D1F52"/>
    <w:rsid w:val="63950C34"/>
    <w:rsid w:val="63A45B72"/>
    <w:rsid w:val="63A53508"/>
    <w:rsid w:val="63A66B70"/>
    <w:rsid w:val="63AA1BCD"/>
    <w:rsid w:val="63AE1B9F"/>
    <w:rsid w:val="63B06793"/>
    <w:rsid w:val="63B079EF"/>
    <w:rsid w:val="63D00091"/>
    <w:rsid w:val="63D62269"/>
    <w:rsid w:val="63DA4A6C"/>
    <w:rsid w:val="63DB4576"/>
    <w:rsid w:val="63E034FC"/>
    <w:rsid w:val="63E86948"/>
    <w:rsid w:val="63FB5C60"/>
    <w:rsid w:val="64037F24"/>
    <w:rsid w:val="64046278"/>
    <w:rsid w:val="640E2967"/>
    <w:rsid w:val="642C3EEA"/>
    <w:rsid w:val="642C54C7"/>
    <w:rsid w:val="642E7A37"/>
    <w:rsid w:val="643237A5"/>
    <w:rsid w:val="643A21BF"/>
    <w:rsid w:val="64484B87"/>
    <w:rsid w:val="644B7576"/>
    <w:rsid w:val="64550596"/>
    <w:rsid w:val="645829C0"/>
    <w:rsid w:val="645853AB"/>
    <w:rsid w:val="646144B1"/>
    <w:rsid w:val="64626A30"/>
    <w:rsid w:val="646F3406"/>
    <w:rsid w:val="64755AD2"/>
    <w:rsid w:val="6486071A"/>
    <w:rsid w:val="64886EB0"/>
    <w:rsid w:val="648D1ADE"/>
    <w:rsid w:val="648D7D30"/>
    <w:rsid w:val="649B3BBD"/>
    <w:rsid w:val="64AF67E1"/>
    <w:rsid w:val="64B976B2"/>
    <w:rsid w:val="64D704F4"/>
    <w:rsid w:val="64DF6B47"/>
    <w:rsid w:val="64E030DF"/>
    <w:rsid w:val="64E1336B"/>
    <w:rsid w:val="64EA5A43"/>
    <w:rsid w:val="64EB4CCD"/>
    <w:rsid w:val="64F54AB1"/>
    <w:rsid w:val="64F664FA"/>
    <w:rsid w:val="64FE4ED3"/>
    <w:rsid w:val="65002528"/>
    <w:rsid w:val="65064C01"/>
    <w:rsid w:val="65065370"/>
    <w:rsid w:val="6509385A"/>
    <w:rsid w:val="651135B3"/>
    <w:rsid w:val="651A0578"/>
    <w:rsid w:val="6521758C"/>
    <w:rsid w:val="6522491C"/>
    <w:rsid w:val="652451D5"/>
    <w:rsid w:val="6525440C"/>
    <w:rsid w:val="652B0517"/>
    <w:rsid w:val="652C2DFC"/>
    <w:rsid w:val="652D7C77"/>
    <w:rsid w:val="652E32C1"/>
    <w:rsid w:val="6531690D"/>
    <w:rsid w:val="653226AF"/>
    <w:rsid w:val="6533091C"/>
    <w:rsid w:val="653F294D"/>
    <w:rsid w:val="654C2076"/>
    <w:rsid w:val="654C747E"/>
    <w:rsid w:val="6552134C"/>
    <w:rsid w:val="655B2AD8"/>
    <w:rsid w:val="656A42D9"/>
    <w:rsid w:val="656F3DC7"/>
    <w:rsid w:val="6579736B"/>
    <w:rsid w:val="65800740"/>
    <w:rsid w:val="658253BB"/>
    <w:rsid w:val="65841133"/>
    <w:rsid w:val="658730AF"/>
    <w:rsid w:val="65882D0B"/>
    <w:rsid w:val="65892A2A"/>
    <w:rsid w:val="659059BC"/>
    <w:rsid w:val="65994698"/>
    <w:rsid w:val="65A74E21"/>
    <w:rsid w:val="65AE61B0"/>
    <w:rsid w:val="65B0017A"/>
    <w:rsid w:val="65B34D4C"/>
    <w:rsid w:val="65B923E3"/>
    <w:rsid w:val="65C32A3D"/>
    <w:rsid w:val="65C50D1A"/>
    <w:rsid w:val="65D315FF"/>
    <w:rsid w:val="65D9682D"/>
    <w:rsid w:val="65E6594A"/>
    <w:rsid w:val="65E76CC4"/>
    <w:rsid w:val="65EC331D"/>
    <w:rsid w:val="65F14EBD"/>
    <w:rsid w:val="65F917A1"/>
    <w:rsid w:val="660C3AF8"/>
    <w:rsid w:val="660D2ED6"/>
    <w:rsid w:val="660D7B9C"/>
    <w:rsid w:val="660F50CF"/>
    <w:rsid w:val="66141D57"/>
    <w:rsid w:val="66187ACD"/>
    <w:rsid w:val="661C73DE"/>
    <w:rsid w:val="661D62C6"/>
    <w:rsid w:val="661D771B"/>
    <w:rsid w:val="662D11E6"/>
    <w:rsid w:val="6635242D"/>
    <w:rsid w:val="66365D84"/>
    <w:rsid w:val="6638530C"/>
    <w:rsid w:val="66391F1D"/>
    <w:rsid w:val="663C7C5F"/>
    <w:rsid w:val="663D7E90"/>
    <w:rsid w:val="664A412A"/>
    <w:rsid w:val="664F7F8B"/>
    <w:rsid w:val="66527571"/>
    <w:rsid w:val="6659436D"/>
    <w:rsid w:val="665D3D8F"/>
    <w:rsid w:val="66602BC7"/>
    <w:rsid w:val="66632867"/>
    <w:rsid w:val="66633B29"/>
    <w:rsid w:val="6672542F"/>
    <w:rsid w:val="667754CC"/>
    <w:rsid w:val="667A512E"/>
    <w:rsid w:val="667E42FD"/>
    <w:rsid w:val="66876081"/>
    <w:rsid w:val="668A4527"/>
    <w:rsid w:val="668E78CD"/>
    <w:rsid w:val="66981404"/>
    <w:rsid w:val="669B5028"/>
    <w:rsid w:val="669C06FE"/>
    <w:rsid w:val="66A7076B"/>
    <w:rsid w:val="66AE6350"/>
    <w:rsid w:val="66B77198"/>
    <w:rsid w:val="66D33235"/>
    <w:rsid w:val="66DB485A"/>
    <w:rsid w:val="66DC3E2C"/>
    <w:rsid w:val="66DD1F0E"/>
    <w:rsid w:val="66E0352A"/>
    <w:rsid w:val="66ED7FC0"/>
    <w:rsid w:val="66EF6D88"/>
    <w:rsid w:val="66F26570"/>
    <w:rsid w:val="66F33E1E"/>
    <w:rsid w:val="66F6264B"/>
    <w:rsid w:val="66F756B2"/>
    <w:rsid w:val="66FC5AA4"/>
    <w:rsid w:val="66FD119D"/>
    <w:rsid w:val="6703521B"/>
    <w:rsid w:val="6705639B"/>
    <w:rsid w:val="6712451C"/>
    <w:rsid w:val="671C6AEB"/>
    <w:rsid w:val="672030DD"/>
    <w:rsid w:val="67300A7E"/>
    <w:rsid w:val="67381478"/>
    <w:rsid w:val="675C40F8"/>
    <w:rsid w:val="676077D1"/>
    <w:rsid w:val="676147DC"/>
    <w:rsid w:val="6764746E"/>
    <w:rsid w:val="67672ABA"/>
    <w:rsid w:val="676B171D"/>
    <w:rsid w:val="676C5483"/>
    <w:rsid w:val="67745493"/>
    <w:rsid w:val="67746F85"/>
    <w:rsid w:val="6778101E"/>
    <w:rsid w:val="677D22DE"/>
    <w:rsid w:val="677D408C"/>
    <w:rsid w:val="678371C8"/>
    <w:rsid w:val="6788395D"/>
    <w:rsid w:val="67896ED4"/>
    <w:rsid w:val="679061BB"/>
    <w:rsid w:val="67916DB0"/>
    <w:rsid w:val="679B09B6"/>
    <w:rsid w:val="67AC671F"/>
    <w:rsid w:val="67B54917"/>
    <w:rsid w:val="67B81568"/>
    <w:rsid w:val="67CD5371"/>
    <w:rsid w:val="67D57A24"/>
    <w:rsid w:val="67F21EBE"/>
    <w:rsid w:val="67F3434E"/>
    <w:rsid w:val="67FC60B7"/>
    <w:rsid w:val="67FD341E"/>
    <w:rsid w:val="681A18DB"/>
    <w:rsid w:val="681C56E8"/>
    <w:rsid w:val="68232E85"/>
    <w:rsid w:val="68246BE9"/>
    <w:rsid w:val="68403AFD"/>
    <w:rsid w:val="68541290"/>
    <w:rsid w:val="685F25FF"/>
    <w:rsid w:val="686113BA"/>
    <w:rsid w:val="68620649"/>
    <w:rsid w:val="68630D3F"/>
    <w:rsid w:val="68690E30"/>
    <w:rsid w:val="68721DB3"/>
    <w:rsid w:val="68727968"/>
    <w:rsid w:val="6879073D"/>
    <w:rsid w:val="687D5A18"/>
    <w:rsid w:val="688B27D8"/>
    <w:rsid w:val="68980099"/>
    <w:rsid w:val="689C6793"/>
    <w:rsid w:val="68AE7647"/>
    <w:rsid w:val="68B03FED"/>
    <w:rsid w:val="68B27FE5"/>
    <w:rsid w:val="68B33CBC"/>
    <w:rsid w:val="68C05073"/>
    <w:rsid w:val="68CC0D03"/>
    <w:rsid w:val="68D423D1"/>
    <w:rsid w:val="68E52BC5"/>
    <w:rsid w:val="68E71B98"/>
    <w:rsid w:val="68ED3493"/>
    <w:rsid w:val="68EE4A67"/>
    <w:rsid w:val="68F951EB"/>
    <w:rsid w:val="68FA0D09"/>
    <w:rsid w:val="690518E3"/>
    <w:rsid w:val="69074555"/>
    <w:rsid w:val="69135514"/>
    <w:rsid w:val="6913778D"/>
    <w:rsid w:val="692216E4"/>
    <w:rsid w:val="692349A9"/>
    <w:rsid w:val="6935729D"/>
    <w:rsid w:val="694110E9"/>
    <w:rsid w:val="69415AE3"/>
    <w:rsid w:val="69433CAC"/>
    <w:rsid w:val="69647910"/>
    <w:rsid w:val="697E2410"/>
    <w:rsid w:val="69852A6B"/>
    <w:rsid w:val="698612A5"/>
    <w:rsid w:val="69872CF3"/>
    <w:rsid w:val="698C2CAC"/>
    <w:rsid w:val="698D2FAC"/>
    <w:rsid w:val="699157A6"/>
    <w:rsid w:val="69976113"/>
    <w:rsid w:val="69A82381"/>
    <w:rsid w:val="69AC2A06"/>
    <w:rsid w:val="69AE43A7"/>
    <w:rsid w:val="69AE7BC5"/>
    <w:rsid w:val="69AF0748"/>
    <w:rsid w:val="69AF58F6"/>
    <w:rsid w:val="69C50468"/>
    <w:rsid w:val="69CC30A8"/>
    <w:rsid w:val="69E2467A"/>
    <w:rsid w:val="69E71C2E"/>
    <w:rsid w:val="69FA19C4"/>
    <w:rsid w:val="6A0202FD"/>
    <w:rsid w:val="6A0518F8"/>
    <w:rsid w:val="6A107439"/>
    <w:rsid w:val="6A3749C6"/>
    <w:rsid w:val="6A476411"/>
    <w:rsid w:val="6A4C6CBB"/>
    <w:rsid w:val="6A5E0111"/>
    <w:rsid w:val="6A6F316D"/>
    <w:rsid w:val="6A912DE0"/>
    <w:rsid w:val="6A943F85"/>
    <w:rsid w:val="6A996C71"/>
    <w:rsid w:val="6A9B5332"/>
    <w:rsid w:val="6A9E2C97"/>
    <w:rsid w:val="6AAC487C"/>
    <w:rsid w:val="6AAD3143"/>
    <w:rsid w:val="6AAF3E38"/>
    <w:rsid w:val="6AB029CA"/>
    <w:rsid w:val="6AB44268"/>
    <w:rsid w:val="6ABC4ECB"/>
    <w:rsid w:val="6AC2152D"/>
    <w:rsid w:val="6AD54350"/>
    <w:rsid w:val="6ADE0048"/>
    <w:rsid w:val="6AF544C1"/>
    <w:rsid w:val="6AF64881"/>
    <w:rsid w:val="6AF96F3D"/>
    <w:rsid w:val="6AFC5C0F"/>
    <w:rsid w:val="6B043F03"/>
    <w:rsid w:val="6B080100"/>
    <w:rsid w:val="6B1017A5"/>
    <w:rsid w:val="6B1C57E8"/>
    <w:rsid w:val="6B222A27"/>
    <w:rsid w:val="6B2E35BA"/>
    <w:rsid w:val="6B3233DF"/>
    <w:rsid w:val="6B3D34FE"/>
    <w:rsid w:val="6B453112"/>
    <w:rsid w:val="6B4E448C"/>
    <w:rsid w:val="6B557938"/>
    <w:rsid w:val="6B5A3C35"/>
    <w:rsid w:val="6B66741E"/>
    <w:rsid w:val="6B87372B"/>
    <w:rsid w:val="6B900117"/>
    <w:rsid w:val="6B96396E"/>
    <w:rsid w:val="6BA72B30"/>
    <w:rsid w:val="6BA86101"/>
    <w:rsid w:val="6BB57E47"/>
    <w:rsid w:val="6BB77B3F"/>
    <w:rsid w:val="6BBD714D"/>
    <w:rsid w:val="6BC03782"/>
    <w:rsid w:val="6BC04E8F"/>
    <w:rsid w:val="6BC235DF"/>
    <w:rsid w:val="6BCB40EA"/>
    <w:rsid w:val="6BD149A6"/>
    <w:rsid w:val="6BD44EF8"/>
    <w:rsid w:val="6BD57763"/>
    <w:rsid w:val="6BDC2D4F"/>
    <w:rsid w:val="6BDF1392"/>
    <w:rsid w:val="6BE648F5"/>
    <w:rsid w:val="6BE749C8"/>
    <w:rsid w:val="6BEB3756"/>
    <w:rsid w:val="6C060AF4"/>
    <w:rsid w:val="6C0D4ACE"/>
    <w:rsid w:val="6C134DB5"/>
    <w:rsid w:val="6C1929E0"/>
    <w:rsid w:val="6C1A634D"/>
    <w:rsid w:val="6C1B20C5"/>
    <w:rsid w:val="6C225202"/>
    <w:rsid w:val="6C292BE1"/>
    <w:rsid w:val="6C346A47"/>
    <w:rsid w:val="6C393583"/>
    <w:rsid w:val="6C3B762A"/>
    <w:rsid w:val="6C4038DA"/>
    <w:rsid w:val="6C430EC6"/>
    <w:rsid w:val="6C432F47"/>
    <w:rsid w:val="6C444ECC"/>
    <w:rsid w:val="6C460B8D"/>
    <w:rsid w:val="6C4C04D0"/>
    <w:rsid w:val="6C4C4B88"/>
    <w:rsid w:val="6C5238F7"/>
    <w:rsid w:val="6C5D26DE"/>
    <w:rsid w:val="6C60203D"/>
    <w:rsid w:val="6C604856"/>
    <w:rsid w:val="6C615D2A"/>
    <w:rsid w:val="6C6217A7"/>
    <w:rsid w:val="6C643A6C"/>
    <w:rsid w:val="6C6C46CF"/>
    <w:rsid w:val="6C6F002C"/>
    <w:rsid w:val="6C740C4D"/>
    <w:rsid w:val="6C747D90"/>
    <w:rsid w:val="6C860A2C"/>
    <w:rsid w:val="6C88775B"/>
    <w:rsid w:val="6C916D53"/>
    <w:rsid w:val="6C922387"/>
    <w:rsid w:val="6CA02C98"/>
    <w:rsid w:val="6CA127B4"/>
    <w:rsid w:val="6CA27B74"/>
    <w:rsid w:val="6CA34594"/>
    <w:rsid w:val="6CA67BE1"/>
    <w:rsid w:val="6CB55D42"/>
    <w:rsid w:val="6CB8671C"/>
    <w:rsid w:val="6CB90EA6"/>
    <w:rsid w:val="6CBA7B30"/>
    <w:rsid w:val="6CCB5481"/>
    <w:rsid w:val="6CCD1470"/>
    <w:rsid w:val="6CCE5B95"/>
    <w:rsid w:val="6CD01102"/>
    <w:rsid w:val="6CDB5E4B"/>
    <w:rsid w:val="6CF20041"/>
    <w:rsid w:val="6CF43042"/>
    <w:rsid w:val="6CFD1C68"/>
    <w:rsid w:val="6D091F16"/>
    <w:rsid w:val="6D1347EA"/>
    <w:rsid w:val="6D140FEE"/>
    <w:rsid w:val="6D1B2C9B"/>
    <w:rsid w:val="6D2471EB"/>
    <w:rsid w:val="6D321474"/>
    <w:rsid w:val="6D3A50DF"/>
    <w:rsid w:val="6D503BE3"/>
    <w:rsid w:val="6D5164B6"/>
    <w:rsid w:val="6D5238C5"/>
    <w:rsid w:val="6D5F318C"/>
    <w:rsid w:val="6D614FFE"/>
    <w:rsid w:val="6D6A21E0"/>
    <w:rsid w:val="6D7427C5"/>
    <w:rsid w:val="6D8223FC"/>
    <w:rsid w:val="6D8E6FF3"/>
    <w:rsid w:val="6D910EB2"/>
    <w:rsid w:val="6D9261A9"/>
    <w:rsid w:val="6D940381"/>
    <w:rsid w:val="6D963072"/>
    <w:rsid w:val="6D9B67E2"/>
    <w:rsid w:val="6DA33AB1"/>
    <w:rsid w:val="6DA34120"/>
    <w:rsid w:val="6DB12CE1"/>
    <w:rsid w:val="6DB30807"/>
    <w:rsid w:val="6DC02F24"/>
    <w:rsid w:val="6DC36570"/>
    <w:rsid w:val="6DD841D1"/>
    <w:rsid w:val="6DE035C6"/>
    <w:rsid w:val="6DE1112A"/>
    <w:rsid w:val="6DE62234"/>
    <w:rsid w:val="6DEE1DA5"/>
    <w:rsid w:val="6DF131D9"/>
    <w:rsid w:val="6DF362F1"/>
    <w:rsid w:val="6DFC0A94"/>
    <w:rsid w:val="6E0A419F"/>
    <w:rsid w:val="6E0E7E73"/>
    <w:rsid w:val="6E163B54"/>
    <w:rsid w:val="6E1F3AB9"/>
    <w:rsid w:val="6E22598D"/>
    <w:rsid w:val="6E230702"/>
    <w:rsid w:val="6E291B51"/>
    <w:rsid w:val="6E2B5B70"/>
    <w:rsid w:val="6E2E2225"/>
    <w:rsid w:val="6E3260E0"/>
    <w:rsid w:val="6E391146"/>
    <w:rsid w:val="6E46026B"/>
    <w:rsid w:val="6E5B2C4D"/>
    <w:rsid w:val="6E82467D"/>
    <w:rsid w:val="6E8B3532"/>
    <w:rsid w:val="6E917D94"/>
    <w:rsid w:val="6E95615F"/>
    <w:rsid w:val="6E9879FD"/>
    <w:rsid w:val="6E9F0D8B"/>
    <w:rsid w:val="6EB14BEE"/>
    <w:rsid w:val="6EB4221B"/>
    <w:rsid w:val="6EB56007"/>
    <w:rsid w:val="6EB97C9A"/>
    <w:rsid w:val="6EBA3EC2"/>
    <w:rsid w:val="6EC425A0"/>
    <w:rsid w:val="6EC7692F"/>
    <w:rsid w:val="6EC9405A"/>
    <w:rsid w:val="6ED547AD"/>
    <w:rsid w:val="6EEF3C2A"/>
    <w:rsid w:val="6EFF06E0"/>
    <w:rsid w:val="6F0230C8"/>
    <w:rsid w:val="6F03756C"/>
    <w:rsid w:val="6F0C365F"/>
    <w:rsid w:val="6F141779"/>
    <w:rsid w:val="6F174DC6"/>
    <w:rsid w:val="6F265009"/>
    <w:rsid w:val="6F286FD3"/>
    <w:rsid w:val="6F2B4B68"/>
    <w:rsid w:val="6F341033"/>
    <w:rsid w:val="6F366055"/>
    <w:rsid w:val="6F484F7F"/>
    <w:rsid w:val="6F4A69B3"/>
    <w:rsid w:val="6F4E6A14"/>
    <w:rsid w:val="6F6135D9"/>
    <w:rsid w:val="6F68348B"/>
    <w:rsid w:val="6F693749"/>
    <w:rsid w:val="6F6A3147"/>
    <w:rsid w:val="6F7458D1"/>
    <w:rsid w:val="6F8416CF"/>
    <w:rsid w:val="6F847FFE"/>
    <w:rsid w:val="6F857F81"/>
    <w:rsid w:val="6F9D7BE5"/>
    <w:rsid w:val="6F9F2AB4"/>
    <w:rsid w:val="6FA2175C"/>
    <w:rsid w:val="6FAD1286"/>
    <w:rsid w:val="6FB77864"/>
    <w:rsid w:val="6FC07FB0"/>
    <w:rsid w:val="6FCC75D9"/>
    <w:rsid w:val="6FD367B7"/>
    <w:rsid w:val="6FDB5A0D"/>
    <w:rsid w:val="6FDD0023"/>
    <w:rsid w:val="6FFB0243"/>
    <w:rsid w:val="6FFE5F86"/>
    <w:rsid w:val="700F0193"/>
    <w:rsid w:val="70115BD2"/>
    <w:rsid w:val="70236185"/>
    <w:rsid w:val="70311EB7"/>
    <w:rsid w:val="70315562"/>
    <w:rsid w:val="70335C2F"/>
    <w:rsid w:val="703620CB"/>
    <w:rsid w:val="703D260A"/>
    <w:rsid w:val="70402199"/>
    <w:rsid w:val="704240C4"/>
    <w:rsid w:val="70511328"/>
    <w:rsid w:val="70583F76"/>
    <w:rsid w:val="705A27F4"/>
    <w:rsid w:val="705C4791"/>
    <w:rsid w:val="7060062E"/>
    <w:rsid w:val="706338B4"/>
    <w:rsid w:val="706651E3"/>
    <w:rsid w:val="70666005"/>
    <w:rsid w:val="707F4E4E"/>
    <w:rsid w:val="70807928"/>
    <w:rsid w:val="7088334B"/>
    <w:rsid w:val="70A61135"/>
    <w:rsid w:val="70A73F27"/>
    <w:rsid w:val="70B477CF"/>
    <w:rsid w:val="70B623BC"/>
    <w:rsid w:val="70B65F8C"/>
    <w:rsid w:val="70B66341"/>
    <w:rsid w:val="70B81788"/>
    <w:rsid w:val="70BE62B2"/>
    <w:rsid w:val="70C26FB3"/>
    <w:rsid w:val="70C456BC"/>
    <w:rsid w:val="70C920F0"/>
    <w:rsid w:val="70CE7706"/>
    <w:rsid w:val="70D7170B"/>
    <w:rsid w:val="70E92792"/>
    <w:rsid w:val="70EB1D07"/>
    <w:rsid w:val="70ED4030"/>
    <w:rsid w:val="70FD6810"/>
    <w:rsid w:val="71047056"/>
    <w:rsid w:val="71080E6A"/>
    <w:rsid w:val="711E3CE1"/>
    <w:rsid w:val="712333EB"/>
    <w:rsid w:val="71285068"/>
    <w:rsid w:val="713438AD"/>
    <w:rsid w:val="713A123F"/>
    <w:rsid w:val="714C1194"/>
    <w:rsid w:val="714C1A59"/>
    <w:rsid w:val="714C59B7"/>
    <w:rsid w:val="71557E27"/>
    <w:rsid w:val="7163703D"/>
    <w:rsid w:val="717304A3"/>
    <w:rsid w:val="7175660B"/>
    <w:rsid w:val="717750A4"/>
    <w:rsid w:val="71775FD9"/>
    <w:rsid w:val="71836742"/>
    <w:rsid w:val="71844269"/>
    <w:rsid w:val="71856665"/>
    <w:rsid w:val="718A7A50"/>
    <w:rsid w:val="719C7804"/>
    <w:rsid w:val="719E4941"/>
    <w:rsid w:val="71A83AF7"/>
    <w:rsid w:val="71A843FB"/>
    <w:rsid w:val="71AD13D4"/>
    <w:rsid w:val="71BB412E"/>
    <w:rsid w:val="71BD3A7A"/>
    <w:rsid w:val="71C64881"/>
    <w:rsid w:val="71C77AE4"/>
    <w:rsid w:val="71D376CA"/>
    <w:rsid w:val="71D47A7F"/>
    <w:rsid w:val="71E82A49"/>
    <w:rsid w:val="71E926CD"/>
    <w:rsid w:val="71EA0570"/>
    <w:rsid w:val="71ED62B2"/>
    <w:rsid w:val="71F509A5"/>
    <w:rsid w:val="72083B33"/>
    <w:rsid w:val="720B57FE"/>
    <w:rsid w:val="720B62BF"/>
    <w:rsid w:val="720D3D20"/>
    <w:rsid w:val="72203F91"/>
    <w:rsid w:val="72216562"/>
    <w:rsid w:val="72225F5B"/>
    <w:rsid w:val="72277008"/>
    <w:rsid w:val="7229261B"/>
    <w:rsid w:val="722C01C9"/>
    <w:rsid w:val="72304722"/>
    <w:rsid w:val="7231386E"/>
    <w:rsid w:val="723C6383"/>
    <w:rsid w:val="724E3E15"/>
    <w:rsid w:val="724F5E6C"/>
    <w:rsid w:val="725D1AA0"/>
    <w:rsid w:val="72657495"/>
    <w:rsid w:val="72674CC8"/>
    <w:rsid w:val="72692740"/>
    <w:rsid w:val="72693B8A"/>
    <w:rsid w:val="726E117A"/>
    <w:rsid w:val="72764326"/>
    <w:rsid w:val="72781F16"/>
    <w:rsid w:val="727B38BE"/>
    <w:rsid w:val="728032BA"/>
    <w:rsid w:val="728B493A"/>
    <w:rsid w:val="728D4FDC"/>
    <w:rsid w:val="72914E8F"/>
    <w:rsid w:val="729A209E"/>
    <w:rsid w:val="729D3834"/>
    <w:rsid w:val="729E390D"/>
    <w:rsid w:val="72AA78B4"/>
    <w:rsid w:val="72BC3359"/>
    <w:rsid w:val="72C00D95"/>
    <w:rsid w:val="72C40186"/>
    <w:rsid w:val="72C730FE"/>
    <w:rsid w:val="72E8337C"/>
    <w:rsid w:val="72F434FA"/>
    <w:rsid w:val="72FA075E"/>
    <w:rsid w:val="730A6B8B"/>
    <w:rsid w:val="730B2421"/>
    <w:rsid w:val="730B2A5D"/>
    <w:rsid w:val="730D1C62"/>
    <w:rsid w:val="731356C2"/>
    <w:rsid w:val="73151916"/>
    <w:rsid w:val="73184198"/>
    <w:rsid w:val="73190A23"/>
    <w:rsid w:val="73262E6D"/>
    <w:rsid w:val="732D075F"/>
    <w:rsid w:val="73373C05"/>
    <w:rsid w:val="73394622"/>
    <w:rsid w:val="733F0AB7"/>
    <w:rsid w:val="733F63CB"/>
    <w:rsid w:val="73440153"/>
    <w:rsid w:val="734463A5"/>
    <w:rsid w:val="73487C44"/>
    <w:rsid w:val="73490DFC"/>
    <w:rsid w:val="73555688"/>
    <w:rsid w:val="73571A95"/>
    <w:rsid w:val="7366158E"/>
    <w:rsid w:val="736C1BDF"/>
    <w:rsid w:val="736E2B3F"/>
    <w:rsid w:val="7370719A"/>
    <w:rsid w:val="73754FD7"/>
    <w:rsid w:val="737948E1"/>
    <w:rsid w:val="737C5B3F"/>
    <w:rsid w:val="737C7606"/>
    <w:rsid w:val="738E4CE0"/>
    <w:rsid w:val="739A5FC5"/>
    <w:rsid w:val="73A26CD8"/>
    <w:rsid w:val="73AC4932"/>
    <w:rsid w:val="73B34E42"/>
    <w:rsid w:val="73B83040"/>
    <w:rsid w:val="73BA1DA6"/>
    <w:rsid w:val="73BB193B"/>
    <w:rsid w:val="73BF2DAF"/>
    <w:rsid w:val="73C17A92"/>
    <w:rsid w:val="73CC0DAA"/>
    <w:rsid w:val="73E35202"/>
    <w:rsid w:val="73E829D8"/>
    <w:rsid w:val="73F62B37"/>
    <w:rsid w:val="74094E3D"/>
    <w:rsid w:val="740A1426"/>
    <w:rsid w:val="740D2C3B"/>
    <w:rsid w:val="7410198C"/>
    <w:rsid w:val="741F54A2"/>
    <w:rsid w:val="742331AE"/>
    <w:rsid w:val="742A10F7"/>
    <w:rsid w:val="742F2BB2"/>
    <w:rsid w:val="743553DE"/>
    <w:rsid w:val="74361F76"/>
    <w:rsid w:val="743D0A2B"/>
    <w:rsid w:val="7447614D"/>
    <w:rsid w:val="74551EB3"/>
    <w:rsid w:val="745708AE"/>
    <w:rsid w:val="74584F72"/>
    <w:rsid w:val="745A0FA0"/>
    <w:rsid w:val="74746816"/>
    <w:rsid w:val="747F58E7"/>
    <w:rsid w:val="74876A28"/>
    <w:rsid w:val="74884175"/>
    <w:rsid w:val="749132B1"/>
    <w:rsid w:val="749D15EC"/>
    <w:rsid w:val="74AC6BC6"/>
    <w:rsid w:val="74B566ED"/>
    <w:rsid w:val="74B81105"/>
    <w:rsid w:val="74CE23CA"/>
    <w:rsid w:val="74D13C69"/>
    <w:rsid w:val="74D514A1"/>
    <w:rsid w:val="74DE1317"/>
    <w:rsid w:val="74E0206B"/>
    <w:rsid w:val="74F160B9"/>
    <w:rsid w:val="74F236DC"/>
    <w:rsid w:val="750514DE"/>
    <w:rsid w:val="7506131B"/>
    <w:rsid w:val="750B717B"/>
    <w:rsid w:val="751A5826"/>
    <w:rsid w:val="752B5127"/>
    <w:rsid w:val="752C6AB2"/>
    <w:rsid w:val="75322959"/>
    <w:rsid w:val="7534397E"/>
    <w:rsid w:val="753540AD"/>
    <w:rsid w:val="75494AE8"/>
    <w:rsid w:val="754D7793"/>
    <w:rsid w:val="75630F17"/>
    <w:rsid w:val="756845CD"/>
    <w:rsid w:val="756920F3"/>
    <w:rsid w:val="756C5695"/>
    <w:rsid w:val="75720FA8"/>
    <w:rsid w:val="75727EE9"/>
    <w:rsid w:val="75735A2A"/>
    <w:rsid w:val="75826D11"/>
    <w:rsid w:val="75836B45"/>
    <w:rsid w:val="75845947"/>
    <w:rsid w:val="75850468"/>
    <w:rsid w:val="75866BE9"/>
    <w:rsid w:val="759B6003"/>
    <w:rsid w:val="759C32BC"/>
    <w:rsid w:val="75A04F3B"/>
    <w:rsid w:val="75A26BC4"/>
    <w:rsid w:val="75AE59C7"/>
    <w:rsid w:val="75B61842"/>
    <w:rsid w:val="75BC78AF"/>
    <w:rsid w:val="75C604F3"/>
    <w:rsid w:val="75CB1378"/>
    <w:rsid w:val="75CB7BF0"/>
    <w:rsid w:val="75D62BEE"/>
    <w:rsid w:val="75D74EF8"/>
    <w:rsid w:val="75E20E90"/>
    <w:rsid w:val="75E27AE1"/>
    <w:rsid w:val="75EB280B"/>
    <w:rsid w:val="75FE283B"/>
    <w:rsid w:val="76066358"/>
    <w:rsid w:val="760719A1"/>
    <w:rsid w:val="760A52CC"/>
    <w:rsid w:val="760C4ED0"/>
    <w:rsid w:val="760D3186"/>
    <w:rsid w:val="7621477C"/>
    <w:rsid w:val="76261C26"/>
    <w:rsid w:val="762F2954"/>
    <w:rsid w:val="76342701"/>
    <w:rsid w:val="76384F46"/>
    <w:rsid w:val="764337ED"/>
    <w:rsid w:val="764D5571"/>
    <w:rsid w:val="764E1B03"/>
    <w:rsid w:val="766703E1"/>
    <w:rsid w:val="76780840"/>
    <w:rsid w:val="767C19B2"/>
    <w:rsid w:val="7683069C"/>
    <w:rsid w:val="768D3BBF"/>
    <w:rsid w:val="76A27DD7"/>
    <w:rsid w:val="76AD15F9"/>
    <w:rsid w:val="76B61368"/>
    <w:rsid w:val="76BB697E"/>
    <w:rsid w:val="76BD44A5"/>
    <w:rsid w:val="76BE4F30"/>
    <w:rsid w:val="76C30C21"/>
    <w:rsid w:val="76C70E7F"/>
    <w:rsid w:val="76CD451D"/>
    <w:rsid w:val="76EE2591"/>
    <w:rsid w:val="76EF6628"/>
    <w:rsid w:val="76EF7D2C"/>
    <w:rsid w:val="76F53C3E"/>
    <w:rsid w:val="770318FD"/>
    <w:rsid w:val="77092404"/>
    <w:rsid w:val="7711659E"/>
    <w:rsid w:val="77146E97"/>
    <w:rsid w:val="771766AF"/>
    <w:rsid w:val="771D558A"/>
    <w:rsid w:val="772A140E"/>
    <w:rsid w:val="77403575"/>
    <w:rsid w:val="77411C3C"/>
    <w:rsid w:val="7748368E"/>
    <w:rsid w:val="774F6700"/>
    <w:rsid w:val="77533F2B"/>
    <w:rsid w:val="77543014"/>
    <w:rsid w:val="775517FF"/>
    <w:rsid w:val="77652D28"/>
    <w:rsid w:val="77674410"/>
    <w:rsid w:val="777336D2"/>
    <w:rsid w:val="777860D8"/>
    <w:rsid w:val="777F2F76"/>
    <w:rsid w:val="778E5440"/>
    <w:rsid w:val="77913188"/>
    <w:rsid w:val="7792252C"/>
    <w:rsid w:val="77991C3E"/>
    <w:rsid w:val="779A6594"/>
    <w:rsid w:val="77A83CB3"/>
    <w:rsid w:val="77AE7402"/>
    <w:rsid w:val="77B238DE"/>
    <w:rsid w:val="77B533CE"/>
    <w:rsid w:val="77B70EF4"/>
    <w:rsid w:val="77BA595E"/>
    <w:rsid w:val="77BB1E01"/>
    <w:rsid w:val="77BF5BB1"/>
    <w:rsid w:val="77C87BF6"/>
    <w:rsid w:val="77DC4DFE"/>
    <w:rsid w:val="77DE221F"/>
    <w:rsid w:val="77E837A3"/>
    <w:rsid w:val="77F26063"/>
    <w:rsid w:val="780B4A40"/>
    <w:rsid w:val="781A16DF"/>
    <w:rsid w:val="781B72AA"/>
    <w:rsid w:val="781C67C3"/>
    <w:rsid w:val="783764D9"/>
    <w:rsid w:val="783C2021"/>
    <w:rsid w:val="783F079D"/>
    <w:rsid w:val="78412EB3"/>
    <w:rsid w:val="78533C42"/>
    <w:rsid w:val="785F235F"/>
    <w:rsid w:val="786A679E"/>
    <w:rsid w:val="787E207D"/>
    <w:rsid w:val="787E7C64"/>
    <w:rsid w:val="78841D97"/>
    <w:rsid w:val="78872D16"/>
    <w:rsid w:val="78900078"/>
    <w:rsid w:val="78A56AB5"/>
    <w:rsid w:val="78C620B9"/>
    <w:rsid w:val="78C966FA"/>
    <w:rsid w:val="78CB1B99"/>
    <w:rsid w:val="78CE2454"/>
    <w:rsid w:val="78DC5A8E"/>
    <w:rsid w:val="78E91F32"/>
    <w:rsid w:val="78F12B57"/>
    <w:rsid w:val="790A315A"/>
    <w:rsid w:val="790D6D3D"/>
    <w:rsid w:val="790E7239"/>
    <w:rsid w:val="791648AD"/>
    <w:rsid w:val="791F1D70"/>
    <w:rsid w:val="7937681E"/>
    <w:rsid w:val="793F5645"/>
    <w:rsid w:val="79440AEE"/>
    <w:rsid w:val="794A1A4C"/>
    <w:rsid w:val="794E5BD0"/>
    <w:rsid w:val="7956428E"/>
    <w:rsid w:val="79581337"/>
    <w:rsid w:val="796C31B8"/>
    <w:rsid w:val="79716417"/>
    <w:rsid w:val="797967FE"/>
    <w:rsid w:val="797B15E9"/>
    <w:rsid w:val="79872276"/>
    <w:rsid w:val="79890FF4"/>
    <w:rsid w:val="7989257D"/>
    <w:rsid w:val="79922D97"/>
    <w:rsid w:val="79927E6B"/>
    <w:rsid w:val="79A454A8"/>
    <w:rsid w:val="79A90D10"/>
    <w:rsid w:val="79AA26DF"/>
    <w:rsid w:val="79AE68AE"/>
    <w:rsid w:val="79B70EF8"/>
    <w:rsid w:val="79C15542"/>
    <w:rsid w:val="79C75326"/>
    <w:rsid w:val="79CB43E5"/>
    <w:rsid w:val="79D33FDF"/>
    <w:rsid w:val="79D51B05"/>
    <w:rsid w:val="79E612E9"/>
    <w:rsid w:val="79EB497D"/>
    <w:rsid w:val="79F6754E"/>
    <w:rsid w:val="79FB0261"/>
    <w:rsid w:val="79FB2DAF"/>
    <w:rsid w:val="7A087BDF"/>
    <w:rsid w:val="7A0C565C"/>
    <w:rsid w:val="7A0D129F"/>
    <w:rsid w:val="7A19454A"/>
    <w:rsid w:val="7A1C2352"/>
    <w:rsid w:val="7A1C61A9"/>
    <w:rsid w:val="7A2B7977"/>
    <w:rsid w:val="7A41719B"/>
    <w:rsid w:val="7A484CAA"/>
    <w:rsid w:val="7A4A24F3"/>
    <w:rsid w:val="7A5001CD"/>
    <w:rsid w:val="7A5D08F9"/>
    <w:rsid w:val="7A5E7D4D"/>
    <w:rsid w:val="7A5F3524"/>
    <w:rsid w:val="7A62317A"/>
    <w:rsid w:val="7A6510DB"/>
    <w:rsid w:val="7A6D1D3E"/>
    <w:rsid w:val="7A811C8D"/>
    <w:rsid w:val="7A813A3B"/>
    <w:rsid w:val="7A817172"/>
    <w:rsid w:val="7A885FEA"/>
    <w:rsid w:val="7A890F22"/>
    <w:rsid w:val="7A916DEC"/>
    <w:rsid w:val="7A9F2CF5"/>
    <w:rsid w:val="7AA53BCD"/>
    <w:rsid w:val="7AA60701"/>
    <w:rsid w:val="7AAC0AB8"/>
    <w:rsid w:val="7AAE5C60"/>
    <w:rsid w:val="7ABE4C8F"/>
    <w:rsid w:val="7AC0465B"/>
    <w:rsid w:val="7AC322A6"/>
    <w:rsid w:val="7AC926EB"/>
    <w:rsid w:val="7ACE2AB8"/>
    <w:rsid w:val="7AD128A9"/>
    <w:rsid w:val="7AD2187C"/>
    <w:rsid w:val="7ADC456B"/>
    <w:rsid w:val="7AE45DA6"/>
    <w:rsid w:val="7AEA0DF1"/>
    <w:rsid w:val="7AEC766E"/>
    <w:rsid w:val="7AEE15E9"/>
    <w:rsid w:val="7AEF309B"/>
    <w:rsid w:val="7AF67F85"/>
    <w:rsid w:val="7AF95CC7"/>
    <w:rsid w:val="7AFC5FA0"/>
    <w:rsid w:val="7B05488D"/>
    <w:rsid w:val="7B095F0A"/>
    <w:rsid w:val="7B0A06CB"/>
    <w:rsid w:val="7B0D17BE"/>
    <w:rsid w:val="7B18614D"/>
    <w:rsid w:val="7B1C3C9D"/>
    <w:rsid w:val="7B1F0B72"/>
    <w:rsid w:val="7B284E41"/>
    <w:rsid w:val="7B354232"/>
    <w:rsid w:val="7B430CF1"/>
    <w:rsid w:val="7B4428FF"/>
    <w:rsid w:val="7B4754DF"/>
    <w:rsid w:val="7B4E3BEA"/>
    <w:rsid w:val="7B532E03"/>
    <w:rsid w:val="7B5A7292"/>
    <w:rsid w:val="7B5B603A"/>
    <w:rsid w:val="7B626231"/>
    <w:rsid w:val="7B642499"/>
    <w:rsid w:val="7B656EB9"/>
    <w:rsid w:val="7B6D4A4B"/>
    <w:rsid w:val="7B6F568B"/>
    <w:rsid w:val="7B8706E0"/>
    <w:rsid w:val="7B931C78"/>
    <w:rsid w:val="7B98728E"/>
    <w:rsid w:val="7B9E4FF6"/>
    <w:rsid w:val="7BAA2A01"/>
    <w:rsid w:val="7BAD0F8C"/>
    <w:rsid w:val="7BB51BEE"/>
    <w:rsid w:val="7BB526B3"/>
    <w:rsid w:val="7BC912FA"/>
    <w:rsid w:val="7BD10038"/>
    <w:rsid w:val="7BD302C6"/>
    <w:rsid w:val="7BD71211"/>
    <w:rsid w:val="7BE06574"/>
    <w:rsid w:val="7BE07560"/>
    <w:rsid w:val="7BE50268"/>
    <w:rsid w:val="7BF07FCB"/>
    <w:rsid w:val="7BFF730D"/>
    <w:rsid w:val="7C01327F"/>
    <w:rsid w:val="7C014FB3"/>
    <w:rsid w:val="7C0244F2"/>
    <w:rsid w:val="7C153B42"/>
    <w:rsid w:val="7C181EB2"/>
    <w:rsid w:val="7C304F8E"/>
    <w:rsid w:val="7C336FB7"/>
    <w:rsid w:val="7C39281F"/>
    <w:rsid w:val="7C4A4A2C"/>
    <w:rsid w:val="7C4C370C"/>
    <w:rsid w:val="7C4F089D"/>
    <w:rsid w:val="7C5238E1"/>
    <w:rsid w:val="7C5807CC"/>
    <w:rsid w:val="7C5D7E4F"/>
    <w:rsid w:val="7C605B0C"/>
    <w:rsid w:val="7C630C65"/>
    <w:rsid w:val="7C740D99"/>
    <w:rsid w:val="7C760599"/>
    <w:rsid w:val="7C7C5114"/>
    <w:rsid w:val="7C885BA4"/>
    <w:rsid w:val="7C935AB5"/>
    <w:rsid w:val="7CB4634A"/>
    <w:rsid w:val="7CC3658D"/>
    <w:rsid w:val="7CC62D8B"/>
    <w:rsid w:val="7CCA4662"/>
    <w:rsid w:val="7CCF762A"/>
    <w:rsid w:val="7CD45364"/>
    <w:rsid w:val="7CDD2818"/>
    <w:rsid w:val="7CE04A49"/>
    <w:rsid w:val="7CF404F4"/>
    <w:rsid w:val="7CF60710"/>
    <w:rsid w:val="7CFE5817"/>
    <w:rsid w:val="7D00333D"/>
    <w:rsid w:val="7D040449"/>
    <w:rsid w:val="7D0A335E"/>
    <w:rsid w:val="7D0A5491"/>
    <w:rsid w:val="7D0B17A5"/>
    <w:rsid w:val="7D231188"/>
    <w:rsid w:val="7D2F3C22"/>
    <w:rsid w:val="7D313426"/>
    <w:rsid w:val="7D357EBC"/>
    <w:rsid w:val="7D580A83"/>
    <w:rsid w:val="7D633A67"/>
    <w:rsid w:val="7D6F29AF"/>
    <w:rsid w:val="7D705CBB"/>
    <w:rsid w:val="7D7B6E68"/>
    <w:rsid w:val="7D7E3B4B"/>
    <w:rsid w:val="7D817656"/>
    <w:rsid w:val="7D845D1C"/>
    <w:rsid w:val="7D8862B7"/>
    <w:rsid w:val="7D8C71F3"/>
    <w:rsid w:val="7D935E67"/>
    <w:rsid w:val="7D99109C"/>
    <w:rsid w:val="7D9B184A"/>
    <w:rsid w:val="7D9F519D"/>
    <w:rsid w:val="7DA3023D"/>
    <w:rsid w:val="7DA43CC8"/>
    <w:rsid w:val="7DAE0FEB"/>
    <w:rsid w:val="7DB61C4E"/>
    <w:rsid w:val="7DB71C83"/>
    <w:rsid w:val="7DB84577"/>
    <w:rsid w:val="7DB87F12"/>
    <w:rsid w:val="7DBF5565"/>
    <w:rsid w:val="7DC75C09"/>
    <w:rsid w:val="7DC9372F"/>
    <w:rsid w:val="7DCC4A87"/>
    <w:rsid w:val="7DD0308E"/>
    <w:rsid w:val="7DD303DA"/>
    <w:rsid w:val="7DD65E4C"/>
    <w:rsid w:val="7DD9273F"/>
    <w:rsid w:val="7DE40F78"/>
    <w:rsid w:val="7DE871B4"/>
    <w:rsid w:val="7DEA0341"/>
    <w:rsid w:val="7DEB37E9"/>
    <w:rsid w:val="7DEE7639"/>
    <w:rsid w:val="7DFB3D6A"/>
    <w:rsid w:val="7E0751A3"/>
    <w:rsid w:val="7E14791A"/>
    <w:rsid w:val="7E197282"/>
    <w:rsid w:val="7E1A5C35"/>
    <w:rsid w:val="7E1D3A7B"/>
    <w:rsid w:val="7E2766A8"/>
    <w:rsid w:val="7E297621"/>
    <w:rsid w:val="7E2C4707"/>
    <w:rsid w:val="7E35325C"/>
    <w:rsid w:val="7E393919"/>
    <w:rsid w:val="7E395B7B"/>
    <w:rsid w:val="7E397153"/>
    <w:rsid w:val="7E3A63DB"/>
    <w:rsid w:val="7E4A6504"/>
    <w:rsid w:val="7E4D4360"/>
    <w:rsid w:val="7E4E1E86"/>
    <w:rsid w:val="7E500C09"/>
    <w:rsid w:val="7E5E656D"/>
    <w:rsid w:val="7E70004F"/>
    <w:rsid w:val="7E7C69F3"/>
    <w:rsid w:val="7E845D81"/>
    <w:rsid w:val="7E8813E9"/>
    <w:rsid w:val="7E8F5C1E"/>
    <w:rsid w:val="7E941F8F"/>
    <w:rsid w:val="7E9E696A"/>
    <w:rsid w:val="7EA667AD"/>
    <w:rsid w:val="7EA96C28"/>
    <w:rsid w:val="7EAF501B"/>
    <w:rsid w:val="7EB97C47"/>
    <w:rsid w:val="7EBF64A4"/>
    <w:rsid w:val="7EC27667"/>
    <w:rsid w:val="7ECB606F"/>
    <w:rsid w:val="7EE328E6"/>
    <w:rsid w:val="7EEC6DDC"/>
    <w:rsid w:val="7EF71012"/>
    <w:rsid w:val="7EF77AD5"/>
    <w:rsid w:val="7F0C5FC9"/>
    <w:rsid w:val="7F1050B8"/>
    <w:rsid w:val="7F1175B5"/>
    <w:rsid w:val="7F121106"/>
    <w:rsid w:val="7F152DF5"/>
    <w:rsid w:val="7F261F6C"/>
    <w:rsid w:val="7F2F74D9"/>
    <w:rsid w:val="7F2F7F0A"/>
    <w:rsid w:val="7F4B329E"/>
    <w:rsid w:val="7F4B424A"/>
    <w:rsid w:val="7F4B7D56"/>
    <w:rsid w:val="7F5E259D"/>
    <w:rsid w:val="7F623E3B"/>
    <w:rsid w:val="7F642F64"/>
    <w:rsid w:val="7F737DF6"/>
    <w:rsid w:val="7F7A3700"/>
    <w:rsid w:val="7F815665"/>
    <w:rsid w:val="7F87534F"/>
    <w:rsid w:val="7F9014F2"/>
    <w:rsid w:val="7F9020BE"/>
    <w:rsid w:val="7F911291"/>
    <w:rsid w:val="7FAE0E2E"/>
    <w:rsid w:val="7FB623D9"/>
    <w:rsid w:val="7FC31166"/>
    <w:rsid w:val="7FC625E9"/>
    <w:rsid w:val="7FCE57F4"/>
    <w:rsid w:val="7FD16384"/>
    <w:rsid w:val="7FD5285F"/>
    <w:rsid w:val="7FD64829"/>
    <w:rsid w:val="7FDE0B57"/>
    <w:rsid w:val="7FE02050"/>
    <w:rsid w:val="7FE2578F"/>
    <w:rsid w:val="7FEB2083"/>
    <w:rsid w:val="7FF13411"/>
    <w:rsid w:val="7FF408E5"/>
    <w:rsid w:val="7FF60A27"/>
    <w:rsid w:val="7FF672E6"/>
    <w:rsid w:val="7FFA0854"/>
    <w:rsid w:val="7FFF5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144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keepNext/>
      <w:keepLines/>
      <w:adjustRightInd w:val="0"/>
      <w:snapToGrid w:val="0"/>
      <w:spacing w:line="360" w:lineRule="auto"/>
      <w:outlineLvl w:val="1"/>
    </w:pPr>
    <w:rPr>
      <w:b/>
      <w:sz w:val="24"/>
    </w:rPr>
  </w:style>
  <w:style w:type="paragraph" w:styleId="4">
    <w:name w:val="heading 3"/>
    <w:basedOn w:val="1"/>
    <w:next w:val="1"/>
    <w:autoRedefine/>
    <w:qFormat/>
    <w:uiPriority w:val="0"/>
    <w:pPr>
      <w:keepNext/>
      <w:keepLines/>
      <w:spacing w:line="360" w:lineRule="auto"/>
      <w:ind w:left="852"/>
      <w:outlineLvl w:val="2"/>
    </w:pPr>
    <w:rPr>
      <w:rFonts w:eastAsia="黑体"/>
      <w:b/>
      <w:kern w:val="0"/>
      <w:sz w:val="24"/>
    </w:rPr>
  </w:style>
  <w:style w:type="paragraph" w:styleId="5">
    <w:name w:val="heading 4"/>
    <w:basedOn w:val="1"/>
    <w:next w:val="1"/>
    <w:autoRedefine/>
    <w:qFormat/>
    <w:uiPriority w:val="0"/>
    <w:pPr>
      <w:keepNext/>
      <w:keepLines/>
      <w:spacing w:line="360" w:lineRule="auto"/>
      <w:ind w:firstLine="0" w:firstLineChars="0"/>
      <w:outlineLvl w:val="3"/>
    </w:pPr>
    <w:rPr>
      <w:b/>
      <w:sz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E-mail Signature"/>
    <w:basedOn w:val="1"/>
    <w:next w:val="7"/>
    <w:autoRedefine/>
    <w:qFormat/>
    <w:uiPriority w:val="99"/>
    <w:pPr>
      <w:spacing w:line="460" w:lineRule="exact"/>
      <w:ind w:firstLine="200"/>
    </w:pPr>
  </w:style>
  <w:style w:type="paragraph" w:customStyle="1" w:styleId="7">
    <w:name w:val="文章"/>
    <w:next w:val="8"/>
    <w:autoRedefine/>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8">
    <w:name w:val="List"/>
    <w:basedOn w:val="1"/>
    <w:next w:val="9"/>
    <w:autoRedefine/>
    <w:qFormat/>
    <w:uiPriority w:val="0"/>
    <w:pPr>
      <w:ind w:left="420" w:hanging="420"/>
    </w:pPr>
    <w:rPr>
      <w:sz w:val="28"/>
      <w:szCs w:val="20"/>
    </w:rPr>
  </w:style>
  <w:style w:type="paragraph" w:styleId="9">
    <w:name w:val="List Bullet 2"/>
    <w:basedOn w:val="1"/>
    <w:next w:val="10"/>
    <w:autoRedefine/>
    <w:qFormat/>
    <w:uiPriority w:val="0"/>
    <w:pPr>
      <w:numPr>
        <w:ilvl w:val="0"/>
        <w:numId w:val="1"/>
      </w:numPr>
    </w:pPr>
  </w:style>
  <w:style w:type="paragraph" w:customStyle="1" w:styleId="10">
    <w:name w:val="xl70"/>
    <w:basedOn w:val="1"/>
    <w:next w:val="11"/>
    <w:autoRedefine/>
    <w:qFormat/>
    <w:uiPriority w:val="0"/>
    <w:pPr>
      <w:widowControl/>
      <w:spacing w:before="280" w:after="280"/>
      <w:ind w:firstLine="0"/>
    </w:pPr>
    <w:rPr>
      <w:rFonts w:ascii="宋体"/>
    </w:rPr>
  </w:style>
  <w:style w:type="paragraph" w:customStyle="1" w:styleId="11">
    <w:name w:val="正文缩进1"/>
    <w:basedOn w:val="1"/>
    <w:next w:val="12"/>
    <w:autoRedefine/>
    <w:qFormat/>
    <w:uiPriority w:val="0"/>
    <w:pPr>
      <w:ind w:firstLine="420"/>
    </w:pPr>
    <w:rPr>
      <w:rFonts w:ascii="宋体"/>
      <w:sz w:val="28"/>
    </w:rPr>
  </w:style>
  <w:style w:type="paragraph" w:customStyle="1" w:styleId="12">
    <w:name w:val="td1"/>
    <w:basedOn w:val="1"/>
    <w:next w:val="1"/>
    <w:autoRedefine/>
    <w:qFormat/>
    <w:uiPriority w:val="0"/>
    <w:pPr>
      <w:widowControl/>
      <w:spacing w:before="280" w:after="280" w:line="300" w:lineRule="atLeast"/>
      <w:ind w:firstLine="200"/>
    </w:pPr>
    <w:rPr>
      <w:color w:val="000000"/>
      <w:sz w:val="18"/>
    </w:rPr>
  </w:style>
  <w:style w:type="paragraph" w:styleId="13">
    <w:name w:val="Normal Indent"/>
    <w:basedOn w:val="1"/>
    <w:next w:val="14"/>
    <w:autoRedefine/>
    <w:qFormat/>
    <w:uiPriority w:val="0"/>
    <w:pPr>
      <w:ind w:firstLine="420"/>
    </w:pPr>
  </w:style>
  <w:style w:type="paragraph" w:customStyle="1" w:styleId="14">
    <w:name w:val="Default"/>
    <w:basedOn w:val="15"/>
    <w:autoRedefine/>
    <w:qFormat/>
    <w:uiPriority w:val="0"/>
    <w:pPr>
      <w:autoSpaceDE w:val="0"/>
      <w:autoSpaceDN w:val="0"/>
      <w:adjustRightInd w:val="0"/>
    </w:pPr>
    <w:rPr>
      <w:rFonts w:ascii="Times New Roman" w:hAnsi="Times New Roman"/>
      <w:color w:val="000000"/>
      <w:sz w:val="24"/>
      <w:szCs w:val="24"/>
    </w:rPr>
  </w:style>
  <w:style w:type="paragraph" w:customStyle="1" w:styleId="15">
    <w:name w:val="纯文本1"/>
    <w:basedOn w:val="1"/>
    <w:autoRedefine/>
    <w:qFormat/>
    <w:uiPriority w:val="0"/>
    <w:pPr>
      <w:textAlignment w:val="baseline"/>
    </w:pPr>
    <w:rPr>
      <w:rFonts w:ascii="宋体" w:hAnsi="Courier New"/>
      <w:szCs w:val="20"/>
    </w:rPr>
  </w:style>
  <w:style w:type="paragraph" w:styleId="16">
    <w:name w:val="caption"/>
    <w:basedOn w:val="1"/>
    <w:next w:val="1"/>
    <w:autoRedefine/>
    <w:qFormat/>
    <w:uiPriority w:val="0"/>
    <w:rPr>
      <w:rFonts w:ascii="Arial" w:hAnsi="Arial" w:eastAsia="黑体" w:cs="Arial"/>
      <w:sz w:val="20"/>
      <w:szCs w:val="20"/>
    </w:rPr>
  </w:style>
  <w:style w:type="paragraph" w:styleId="17">
    <w:name w:val="toa heading"/>
    <w:basedOn w:val="1"/>
    <w:next w:val="1"/>
    <w:autoRedefine/>
    <w:unhideWhenUsed/>
    <w:qFormat/>
    <w:uiPriority w:val="99"/>
    <w:pPr>
      <w:spacing w:before="120"/>
    </w:pPr>
    <w:rPr>
      <w:rFonts w:ascii="Cambria" w:hAnsi="Cambria"/>
      <w:sz w:val="24"/>
    </w:rPr>
  </w:style>
  <w:style w:type="paragraph" w:styleId="18">
    <w:name w:val="annotation text"/>
    <w:basedOn w:val="1"/>
    <w:link w:val="125"/>
    <w:autoRedefine/>
    <w:qFormat/>
    <w:uiPriority w:val="0"/>
    <w:pPr>
      <w:jc w:val="left"/>
    </w:pPr>
  </w:style>
  <w:style w:type="paragraph" w:styleId="19">
    <w:name w:val="Salutation"/>
    <w:basedOn w:val="1"/>
    <w:next w:val="1"/>
    <w:autoRedefine/>
    <w:qFormat/>
    <w:uiPriority w:val="0"/>
  </w:style>
  <w:style w:type="paragraph" w:styleId="20">
    <w:name w:val="Body Text"/>
    <w:basedOn w:val="1"/>
    <w:next w:val="1"/>
    <w:autoRedefine/>
    <w:qFormat/>
    <w:uiPriority w:val="0"/>
    <w:pPr>
      <w:spacing w:after="120"/>
    </w:pPr>
  </w:style>
  <w:style w:type="paragraph" w:styleId="21">
    <w:name w:val="Body Text Indent"/>
    <w:basedOn w:val="1"/>
    <w:next w:val="22"/>
    <w:autoRedefine/>
    <w:qFormat/>
    <w:uiPriority w:val="0"/>
    <w:pPr>
      <w:widowControl/>
      <w:spacing w:after="120"/>
      <w:ind w:left="420" w:leftChars="200"/>
      <w:jc w:val="left"/>
    </w:pPr>
    <w:rPr>
      <w:kern w:val="0"/>
      <w:sz w:val="24"/>
    </w:rPr>
  </w:style>
  <w:style w:type="paragraph" w:styleId="22">
    <w:name w:val="header"/>
    <w:basedOn w:val="1"/>
    <w:next w:val="2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index heading"/>
    <w:basedOn w:val="1"/>
    <w:next w:val="24"/>
    <w:autoRedefine/>
    <w:qFormat/>
    <w:uiPriority w:val="0"/>
    <w:rPr>
      <w:rFonts w:ascii="Arial" w:hAnsi="Arial"/>
      <w:b/>
    </w:rPr>
  </w:style>
  <w:style w:type="paragraph" w:styleId="24">
    <w:name w:val="index 1"/>
    <w:basedOn w:val="1"/>
    <w:next w:val="1"/>
    <w:autoRedefine/>
    <w:semiHidden/>
    <w:qFormat/>
    <w:uiPriority w:val="0"/>
    <w:pPr>
      <w:adjustRightInd w:val="0"/>
      <w:snapToGrid w:val="0"/>
      <w:ind w:firstLine="823" w:firstLineChars="358"/>
      <w:jc w:val="left"/>
    </w:pPr>
    <w:rPr>
      <w:rFonts w:ascii="宋体" w:hAnsi="宋体"/>
      <w:spacing w:val="10"/>
    </w:rPr>
  </w:style>
  <w:style w:type="paragraph" w:styleId="25">
    <w:name w:val="Block Text"/>
    <w:basedOn w:val="1"/>
    <w:autoRedefine/>
    <w:qFormat/>
    <w:uiPriority w:val="0"/>
    <w:pPr>
      <w:spacing w:after="120"/>
      <w:ind w:left="1440" w:leftChars="700" w:right="1440" w:rightChars="700"/>
    </w:pPr>
  </w:style>
  <w:style w:type="paragraph" w:styleId="26">
    <w:name w:val="Plain Text"/>
    <w:basedOn w:val="1"/>
    <w:next w:val="14"/>
    <w:autoRedefine/>
    <w:qFormat/>
    <w:uiPriority w:val="0"/>
    <w:rPr>
      <w:rFonts w:ascii="宋体" w:hAnsi="Courier New"/>
    </w:rPr>
  </w:style>
  <w:style w:type="paragraph" w:styleId="27">
    <w:name w:val="Date"/>
    <w:basedOn w:val="1"/>
    <w:next w:val="1"/>
    <w:autoRedefine/>
    <w:qFormat/>
    <w:uiPriority w:val="0"/>
    <w:rPr>
      <w:sz w:val="24"/>
      <w:szCs w:val="20"/>
    </w:rPr>
  </w:style>
  <w:style w:type="paragraph" w:styleId="28">
    <w:name w:val="Body Text Indent 2"/>
    <w:basedOn w:val="1"/>
    <w:autoRedefine/>
    <w:qFormat/>
    <w:uiPriority w:val="0"/>
    <w:pPr>
      <w:spacing w:after="120" w:line="480" w:lineRule="auto"/>
      <w:ind w:left="200" w:leftChars="200"/>
    </w:pPr>
    <w:rPr>
      <w:sz w:val="24"/>
    </w:rPr>
  </w:style>
  <w:style w:type="paragraph" w:styleId="29">
    <w:name w:val="footer"/>
    <w:basedOn w:val="1"/>
    <w:autoRedefine/>
    <w:qFormat/>
    <w:uiPriority w:val="99"/>
    <w:pPr>
      <w:tabs>
        <w:tab w:val="center" w:pos="4153"/>
        <w:tab w:val="right" w:pos="8306"/>
      </w:tabs>
      <w:snapToGrid w:val="0"/>
      <w:jc w:val="left"/>
    </w:pPr>
    <w:rPr>
      <w:kern w:val="0"/>
      <w:sz w:val="18"/>
      <w:szCs w:val="20"/>
    </w:rPr>
  </w:style>
  <w:style w:type="paragraph" w:styleId="30">
    <w:name w:val="toc 1"/>
    <w:basedOn w:val="1"/>
    <w:next w:val="1"/>
    <w:autoRedefine/>
    <w:qFormat/>
    <w:uiPriority w:val="0"/>
  </w:style>
  <w:style w:type="paragraph" w:styleId="31">
    <w:name w:val="Body Text Indent 3"/>
    <w:basedOn w:val="1"/>
    <w:autoRedefine/>
    <w:qFormat/>
    <w:uiPriority w:val="0"/>
    <w:pPr>
      <w:spacing w:after="120"/>
      <w:ind w:left="420" w:leftChars="200"/>
    </w:pPr>
    <w:rPr>
      <w:sz w:val="16"/>
      <w:szCs w:val="16"/>
    </w:rPr>
  </w:style>
  <w:style w:type="paragraph" w:styleId="32">
    <w:name w:val="toc 2"/>
    <w:basedOn w:val="1"/>
    <w:next w:val="6"/>
    <w:autoRedefine/>
    <w:qFormat/>
    <w:uiPriority w:val="39"/>
    <w:pPr>
      <w:ind w:left="210"/>
      <w:jc w:val="left"/>
    </w:pPr>
    <w:rPr>
      <w:smallCaps/>
      <w:sz w:val="24"/>
      <w:szCs w:val="20"/>
    </w:rPr>
  </w:style>
  <w:style w:type="paragraph" w:styleId="33">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34">
    <w:name w:val="annotation subject"/>
    <w:basedOn w:val="18"/>
    <w:next w:val="18"/>
    <w:link w:val="126"/>
    <w:qFormat/>
    <w:uiPriority w:val="0"/>
    <w:rPr>
      <w:b/>
      <w:bCs/>
    </w:rPr>
  </w:style>
  <w:style w:type="paragraph" w:styleId="35">
    <w:name w:val="Body Text First Indent"/>
    <w:basedOn w:val="20"/>
    <w:next w:val="1"/>
    <w:autoRedefine/>
    <w:qFormat/>
    <w:uiPriority w:val="0"/>
    <w:pPr>
      <w:ind w:firstLine="420" w:firstLineChars="100"/>
    </w:pPr>
    <w:rPr>
      <w:sz w:val="24"/>
    </w:rPr>
  </w:style>
  <w:style w:type="paragraph" w:styleId="36">
    <w:name w:val="Body Text First Indent 2"/>
    <w:basedOn w:val="1"/>
    <w:next w:val="35"/>
    <w:autoRedefine/>
    <w:qFormat/>
    <w:uiPriority w:val="0"/>
    <w:pPr>
      <w:ind w:firstLine="420"/>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autoRedefine/>
    <w:qFormat/>
    <w:uiPriority w:val="0"/>
    <w:rPr>
      <w:b/>
    </w:rPr>
  </w:style>
  <w:style w:type="character" w:styleId="41">
    <w:name w:val="page number"/>
    <w:basedOn w:val="39"/>
    <w:autoRedefine/>
    <w:qFormat/>
    <w:uiPriority w:val="0"/>
  </w:style>
  <w:style w:type="character" w:styleId="42">
    <w:name w:val="Emphasis"/>
    <w:autoRedefine/>
    <w:qFormat/>
    <w:uiPriority w:val="20"/>
  </w:style>
  <w:style w:type="character" w:styleId="43">
    <w:name w:val="Hyperlink"/>
    <w:basedOn w:val="39"/>
    <w:autoRedefine/>
    <w:qFormat/>
    <w:uiPriority w:val="0"/>
    <w:rPr>
      <w:color w:val="000000"/>
      <w:u w:val="none"/>
    </w:rPr>
  </w:style>
  <w:style w:type="character" w:styleId="44">
    <w:name w:val="annotation reference"/>
    <w:basedOn w:val="39"/>
    <w:autoRedefine/>
    <w:qFormat/>
    <w:uiPriority w:val="0"/>
    <w:rPr>
      <w:sz w:val="21"/>
    </w:rPr>
  </w:style>
  <w:style w:type="paragraph" w:customStyle="1" w:styleId="45">
    <w:name w:val="样式35"/>
    <w:next w:val="46"/>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46">
    <w:name w:val="font6"/>
    <w:basedOn w:val="1"/>
    <w:next w:val="32"/>
    <w:autoRedefine/>
    <w:qFormat/>
    <w:uiPriority w:val="0"/>
    <w:pPr>
      <w:widowControl/>
      <w:spacing w:before="100" w:beforeAutospacing="1" w:after="100" w:afterAutospacing="1"/>
      <w:jc w:val="left"/>
    </w:pPr>
    <w:rPr>
      <w:rFonts w:eastAsia="Arial Unicode MS"/>
      <w:kern w:val="0"/>
      <w:sz w:val="24"/>
    </w:rPr>
  </w:style>
  <w:style w:type="paragraph" w:customStyle="1" w:styleId="47">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8">
    <w:name w:val="样式 标题 1 + 四号 段前: 0 磅 段后: 0 磅 行距: 1.5 倍行距"/>
    <w:basedOn w:val="49"/>
    <w:next w:val="1"/>
    <w:autoRedefine/>
    <w:qFormat/>
    <w:uiPriority w:val="0"/>
    <w:pPr>
      <w:spacing w:line="360" w:lineRule="auto"/>
      <w:jc w:val="center"/>
    </w:pPr>
  </w:style>
  <w:style w:type="paragraph" w:customStyle="1" w:styleId="49">
    <w:name w:val="1正文"/>
    <w:basedOn w:val="1"/>
    <w:autoRedefine/>
    <w:qFormat/>
    <w:uiPriority w:val="0"/>
    <w:pPr>
      <w:spacing w:line="500" w:lineRule="exact"/>
      <w:ind w:firstLine="588" w:firstLineChars="196"/>
    </w:pPr>
    <w:rPr>
      <w:rFonts w:eastAsia="楷体_GB2312"/>
      <w:sz w:val="30"/>
      <w:szCs w:val="30"/>
    </w:rPr>
  </w:style>
  <w:style w:type="paragraph" w:customStyle="1" w:styleId="50">
    <w:name w:val="文本正文"/>
    <w:basedOn w:val="1"/>
    <w:autoRedefine/>
    <w:qFormat/>
    <w:uiPriority w:val="0"/>
    <w:pPr>
      <w:snapToGrid w:val="0"/>
      <w:spacing w:line="360" w:lineRule="auto"/>
      <w:ind w:firstLine="510"/>
      <w:jc w:val="left"/>
    </w:pPr>
    <w:rPr>
      <w:spacing w:val="4"/>
      <w:kern w:val="24"/>
      <w:lang w:val="zh-CN"/>
    </w:rPr>
  </w:style>
  <w:style w:type="paragraph" w:customStyle="1" w:styleId="51">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52">
    <w:name w:val="样式 黑色 行距: 最小值 26 磅"/>
    <w:basedOn w:val="1"/>
    <w:autoRedefine/>
    <w:qFormat/>
    <w:uiPriority w:val="0"/>
    <w:pPr>
      <w:ind w:firstLine="200"/>
      <w:jc w:val="left"/>
    </w:pPr>
    <w:rPr>
      <w:rFonts w:eastAsia="楷体_GB2312" w:cs="宋体"/>
      <w:color w:val="000000"/>
      <w:spacing w:val="6"/>
      <w:sz w:val="28"/>
      <w:szCs w:val="20"/>
    </w:rPr>
  </w:style>
  <w:style w:type="paragraph" w:customStyle="1" w:styleId="53">
    <w:name w:val="表格"/>
    <w:basedOn w:val="13"/>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54">
    <w:name w:val="图标题"/>
    <w:basedOn w:val="1"/>
    <w:autoRedefine/>
    <w:qFormat/>
    <w:uiPriority w:val="0"/>
    <w:pPr>
      <w:tabs>
        <w:tab w:val="left" w:pos="1035"/>
      </w:tabs>
      <w:spacing w:afterLines="100"/>
      <w:jc w:val="center"/>
    </w:pPr>
    <w:rPr>
      <w:sz w:val="24"/>
    </w:rPr>
  </w:style>
  <w:style w:type="paragraph" w:customStyle="1" w:styleId="55">
    <w:name w:val="表格及表头"/>
    <w:basedOn w:val="1"/>
    <w:next w:val="1"/>
    <w:autoRedefine/>
    <w:qFormat/>
    <w:uiPriority w:val="0"/>
    <w:pPr>
      <w:ind w:firstLine="0" w:firstLineChars="0"/>
    </w:pPr>
    <w:rPr>
      <w:szCs w:val="21"/>
    </w:rPr>
  </w:style>
  <w:style w:type="paragraph" w:customStyle="1" w:styleId="56">
    <w:name w:val="p17"/>
    <w:basedOn w:val="1"/>
    <w:autoRedefine/>
    <w:qFormat/>
    <w:uiPriority w:val="0"/>
    <w:pPr>
      <w:widowControl/>
      <w:spacing w:after="120"/>
    </w:pPr>
    <w:rPr>
      <w:kern w:val="0"/>
      <w:sz w:val="30"/>
      <w:szCs w:val="30"/>
    </w:rPr>
  </w:style>
  <w:style w:type="paragraph" w:customStyle="1" w:styleId="57">
    <w:name w:val="文本内容"/>
    <w:basedOn w:val="1"/>
    <w:autoRedefine/>
    <w:qFormat/>
    <w:uiPriority w:val="0"/>
    <w:pPr>
      <w:adjustRightInd w:val="0"/>
      <w:snapToGrid w:val="0"/>
      <w:spacing w:line="360" w:lineRule="auto"/>
      <w:ind w:firstLine="546"/>
    </w:pPr>
    <w:rPr>
      <w:rFonts w:ascii="Calibri" w:hAnsi="Calibri"/>
      <w:sz w:val="28"/>
    </w:rPr>
  </w:style>
  <w:style w:type="character" w:customStyle="1" w:styleId="58">
    <w:name w:val="ggzbt011"/>
    <w:basedOn w:val="39"/>
    <w:autoRedefine/>
    <w:qFormat/>
    <w:uiPriority w:val="0"/>
  </w:style>
  <w:style w:type="paragraph" w:customStyle="1" w:styleId="59">
    <w:name w:val="中文报告书样式"/>
    <w:basedOn w:val="1"/>
    <w:autoRedefine/>
    <w:qFormat/>
    <w:uiPriority w:val="0"/>
    <w:pPr>
      <w:adjustRightInd w:val="0"/>
      <w:spacing w:line="480" w:lineRule="atLeast"/>
      <w:ind w:firstLine="482"/>
      <w:textAlignment w:val="baseline"/>
    </w:pPr>
    <w:rPr>
      <w:kern w:val="24"/>
      <w:sz w:val="24"/>
      <w:szCs w:val="20"/>
    </w:rPr>
  </w:style>
  <w:style w:type="character" w:customStyle="1" w:styleId="60">
    <w:name w:val="dz1"/>
    <w:autoRedefine/>
    <w:qFormat/>
    <w:uiPriority w:val="0"/>
    <w:rPr>
      <w:rFonts w:hint="default" w:ascii="Geneva" w:hAnsi="Geneva"/>
      <w:sz w:val="20"/>
      <w:szCs w:val="20"/>
    </w:rPr>
  </w:style>
  <w:style w:type="paragraph" w:customStyle="1" w:styleId="61">
    <w:name w:val="制表格"/>
    <w:basedOn w:val="1"/>
    <w:autoRedefine/>
    <w:qFormat/>
    <w:uiPriority w:val="0"/>
    <w:pPr>
      <w:jc w:val="center"/>
    </w:pPr>
    <w:rPr>
      <w:snapToGrid w:val="0"/>
      <w:kern w:val="0"/>
      <w:szCs w:val="28"/>
    </w:rPr>
  </w:style>
  <w:style w:type="paragraph" w:customStyle="1" w:styleId="62">
    <w:name w:val="环科院正文"/>
    <w:basedOn w:val="1"/>
    <w:autoRedefine/>
    <w:qFormat/>
    <w:uiPriority w:val="0"/>
    <w:pPr>
      <w:tabs>
        <w:tab w:val="left" w:pos="5760"/>
      </w:tabs>
      <w:spacing w:line="360" w:lineRule="auto"/>
      <w:ind w:firstLine="480"/>
    </w:pPr>
    <w:rPr>
      <w:rFonts w:hAnsi="宋体"/>
      <w:bCs/>
      <w:sz w:val="24"/>
      <w:szCs w:val="20"/>
    </w:rPr>
  </w:style>
  <w:style w:type="paragraph" w:customStyle="1" w:styleId="63">
    <w:name w:val="11"/>
    <w:basedOn w:val="20"/>
    <w:autoRedefine/>
    <w:qFormat/>
    <w:uiPriority w:val="0"/>
    <w:pPr>
      <w:autoSpaceDE w:val="0"/>
      <w:autoSpaceDN w:val="0"/>
      <w:adjustRightInd w:val="0"/>
      <w:spacing w:after="0" w:line="360" w:lineRule="auto"/>
      <w:ind w:firstLine="1320" w:firstLineChars="550"/>
      <w:textAlignment w:val="baseline"/>
    </w:pPr>
    <w:rPr>
      <w:sz w:val="24"/>
    </w:rPr>
  </w:style>
  <w:style w:type="paragraph" w:customStyle="1" w:styleId="64">
    <w:name w:val="样式 小四 行距: 1.5 倍行距"/>
    <w:autoRedefine/>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65">
    <w:name w:val="WPSOffice手动目录 1"/>
    <w:autoRedefine/>
    <w:qFormat/>
    <w:uiPriority w:val="0"/>
    <w:rPr>
      <w:rFonts w:ascii="Times New Roman" w:hAnsi="Times New Roman" w:eastAsia="宋体" w:cs="Times New Roman"/>
      <w:lang w:val="en-US" w:eastAsia="zh-CN" w:bidi="ar-SA"/>
    </w:rPr>
  </w:style>
  <w:style w:type="paragraph" w:customStyle="1" w:styleId="66">
    <w:name w:val="表头（书）"/>
    <w:basedOn w:val="1"/>
    <w:next w:val="53"/>
    <w:autoRedefine/>
    <w:qFormat/>
    <w:uiPriority w:val="0"/>
    <w:pPr>
      <w:numPr>
        <w:ilvl w:val="4"/>
        <w:numId w:val="2"/>
      </w:numPr>
      <w:ind w:firstLineChars="0"/>
      <w:jc w:val="center"/>
    </w:pPr>
    <w:rPr>
      <w:b/>
      <w:bCs/>
    </w:rPr>
  </w:style>
  <w:style w:type="paragraph" w:customStyle="1" w:styleId="67">
    <w:name w:val="无间隔1"/>
    <w:autoRedefine/>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68">
    <w:name w:val="p0"/>
    <w:basedOn w:val="1"/>
    <w:autoRedefine/>
    <w:qFormat/>
    <w:uiPriority w:val="0"/>
    <w:pPr>
      <w:widowControl/>
    </w:pPr>
    <w:rPr>
      <w:rFonts w:eastAsia="Arial Unicode MS"/>
      <w:kern w:val="0"/>
      <w:szCs w:val="21"/>
    </w:rPr>
  </w:style>
  <w:style w:type="paragraph" w:customStyle="1" w:styleId="69">
    <w:name w:val="赵"/>
    <w:basedOn w:val="1"/>
    <w:autoRedefine/>
    <w:qFormat/>
    <w:uiPriority w:val="0"/>
    <w:pPr>
      <w:spacing w:line="360" w:lineRule="auto"/>
      <w:ind w:firstLine="200"/>
    </w:pPr>
    <w:rPr>
      <w:color w:val="000000"/>
      <w:kern w:val="0"/>
      <w:sz w:val="24"/>
    </w:rPr>
  </w:style>
  <w:style w:type="paragraph" w:customStyle="1" w:styleId="70">
    <w:name w:val="表题"/>
    <w:autoRedefine/>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71">
    <w:name w:val="填表5中"/>
    <w:basedOn w:val="1"/>
    <w:next w:val="1"/>
    <w:autoRedefine/>
    <w:qFormat/>
    <w:uiPriority w:val="0"/>
    <w:pPr>
      <w:spacing w:line="300" w:lineRule="exact"/>
      <w:jc w:val="center"/>
    </w:pPr>
    <w:rPr>
      <w:rFonts w:ascii="宋体"/>
      <w:sz w:val="24"/>
      <w:szCs w:val="21"/>
    </w:rPr>
  </w:style>
  <w:style w:type="character" w:customStyle="1" w:styleId="72">
    <w:name w:val="fw2"/>
    <w:basedOn w:val="39"/>
    <w:autoRedefine/>
    <w:qFormat/>
    <w:uiPriority w:val="0"/>
  </w:style>
  <w:style w:type="paragraph" w:customStyle="1" w:styleId="73">
    <w:name w:val="_Style 2"/>
    <w:autoRedefine/>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74">
    <w:name w:val="1文章"/>
    <w:basedOn w:val="1"/>
    <w:autoRedefine/>
    <w:qFormat/>
    <w:uiPriority w:val="0"/>
    <w:pPr>
      <w:spacing w:line="360" w:lineRule="auto"/>
      <w:ind w:firstLine="573"/>
    </w:pPr>
    <w:rPr>
      <w:rFonts w:eastAsia="楷体_GB2312"/>
      <w:sz w:val="28"/>
      <w:szCs w:val="20"/>
    </w:rPr>
  </w:style>
  <w:style w:type="paragraph" w:customStyle="1" w:styleId="75">
    <w:name w:val="正文内容"/>
    <w:autoRedefine/>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6">
    <w:name w:val="列表段落1"/>
    <w:basedOn w:val="1"/>
    <w:autoRedefine/>
    <w:qFormat/>
    <w:uiPriority w:val="0"/>
    <w:pPr>
      <w:ind w:firstLine="420"/>
    </w:pPr>
    <w:rPr>
      <w:szCs w:val="22"/>
    </w:rPr>
  </w:style>
  <w:style w:type="paragraph" w:customStyle="1" w:styleId="77">
    <w:name w:val="报告表格"/>
    <w:basedOn w:val="1"/>
    <w:autoRedefine/>
    <w:qFormat/>
    <w:uiPriority w:val="0"/>
    <w:pPr>
      <w:autoSpaceDE w:val="0"/>
      <w:autoSpaceDN w:val="0"/>
      <w:adjustRightInd w:val="0"/>
      <w:spacing w:before="40" w:after="40"/>
      <w:jc w:val="center"/>
    </w:pPr>
    <w:rPr>
      <w:kern w:val="0"/>
    </w:rPr>
  </w:style>
  <w:style w:type="paragraph" w:customStyle="1" w:styleId="78">
    <w:name w:val="正文01"/>
    <w:basedOn w:val="3"/>
    <w:autoRedefine/>
    <w:qFormat/>
    <w:uiPriority w:val="0"/>
    <w:pPr>
      <w:keepNext w:val="0"/>
      <w:keepLines w:val="0"/>
      <w:adjustRightInd/>
      <w:snapToGrid/>
      <w:spacing w:before="60" w:line="460" w:lineRule="exact"/>
      <w:ind w:firstLine="200"/>
      <w:outlineLvl w:val="9"/>
    </w:pPr>
    <w:rPr>
      <w:b w:val="0"/>
    </w:rPr>
  </w:style>
  <w:style w:type="paragraph" w:customStyle="1" w:styleId="79">
    <w:name w:val="表格 32"/>
    <w:basedOn w:val="1"/>
    <w:autoRedefine/>
    <w:qFormat/>
    <w:uiPriority w:val="0"/>
    <w:pPr>
      <w:autoSpaceDE w:val="0"/>
      <w:autoSpaceDN w:val="0"/>
      <w:adjustRightInd w:val="0"/>
      <w:ind w:firstLine="0"/>
      <w:jc w:val="center"/>
      <w:textAlignment w:val="baseline"/>
    </w:pPr>
    <w:rPr>
      <w:rFonts w:ascii="宋体" w:hAnsi="Impact"/>
      <w:kern w:val="24"/>
    </w:rPr>
  </w:style>
  <w:style w:type="paragraph" w:customStyle="1" w:styleId="80">
    <w:name w:val="reader-word-layer reader-word-s6-8"/>
    <w:basedOn w:val="1"/>
    <w:autoRedefine/>
    <w:qFormat/>
    <w:uiPriority w:val="0"/>
    <w:pPr>
      <w:widowControl/>
      <w:spacing w:before="100" w:beforeAutospacing="1" w:after="100" w:afterAutospacing="1"/>
      <w:jc w:val="left"/>
    </w:pPr>
    <w:rPr>
      <w:rFonts w:cs="宋体"/>
      <w:kern w:val="0"/>
      <w:sz w:val="24"/>
    </w:rPr>
  </w:style>
  <w:style w:type="paragraph" w:customStyle="1" w:styleId="81">
    <w:name w:val="正文样式1"/>
    <w:basedOn w:val="1"/>
    <w:autoRedefine/>
    <w:qFormat/>
    <w:uiPriority w:val="0"/>
    <w:pPr>
      <w:adjustRightInd w:val="0"/>
      <w:spacing w:line="288" w:lineRule="auto"/>
      <w:ind w:firstLine="360" w:firstLineChars="150"/>
      <w:textAlignment w:val="baseline"/>
    </w:pPr>
    <w:rPr>
      <w:kern w:val="0"/>
      <w:sz w:val="24"/>
      <w:szCs w:val="20"/>
    </w:rPr>
  </w:style>
  <w:style w:type="character" w:customStyle="1" w:styleId="82">
    <w:name w:val="正文文本 Char1"/>
    <w:autoRedefine/>
    <w:qFormat/>
    <w:uiPriority w:val="0"/>
    <w:rPr>
      <w:rFonts w:eastAsia="宋体"/>
      <w:kern w:val="2"/>
      <w:sz w:val="28"/>
      <w:szCs w:val="24"/>
      <w:lang w:val="en-US" w:eastAsia="zh-CN" w:bidi="ar-SA"/>
    </w:rPr>
  </w:style>
  <w:style w:type="paragraph" w:customStyle="1" w:styleId="83">
    <w:name w:val="文本22"/>
    <w:basedOn w:val="1"/>
    <w:autoRedefine/>
    <w:qFormat/>
    <w:uiPriority w:val="0"/>
    <w:pPr>
      <w:autoSpaceDE w:val="0"/>
      <w:autoSpaceDN w:val="0"/>
      <w:adjustRightInd w:val="0"/>
      <w:spacing w:line="360" w:lineRule="auto"/>
      <w:ind w:firstLine="480"/>
    </w:pPr>
    <w:rPr>
      <w:sz w:val="24"/>
    </w:rPr>
  </w:style>
  <w:style w:type="paragraph" w:customStyle="1" w:styleId="84">
    <w:name w:val="样式 cucd-0 + (西文) Arial (中文) 仿宋_GB2312"/>
    <w:basedOn w:val="1"/>
    <w:autoRedefine/>
    <w:qFormat/>
    <w:uiPriority w:val="0"/>
    <w:pPr>
      <w:widowControl/>
      <w:spacing w:line="360" w:lineRule="auto"/>
      <w:ind w:firstLine="480"/>
      <w:jc w:val="left"/>
    </w:pPr>
    <w:rPr>
      <w:rFonts w:ascii="Arial" w:hAnsi="Arial" w:eastAsia="仿宋_GB2312"/>
      <w:sz w:val="28"/>
      <w:szCs w:val="21"/>
    </w:rPr>
  </w:style>
  <w:style w:type="paragraph" w:customStyle="1" w:styleId="85">
    <w:name w:val="缩进2正文"/>
    <w:basedOn w:val="86"/>
    <w:autoRedefine/>
    <w:qFormat/>
    <w:uiPriority w:val="0"/>
    <w:pPr>
      <w:tabs>
        <w:tab w:val="left" w:pos="4860"/>
      </w:tabs>
      <w:ind w:firstLine="560"/>
      <w:jc w:val="both"/>
    </w:pPr>
    <w:rPr>
      <w:sz w:val="28"/>
      <w:szCs w:val="28"/>
    </w:rPr>
  </w:style>
  <w:style w:type="paragraph" w:customStyle="1" w:styleId="86">
    <w:name w:val="报告正文"/>
    <w:basedOn w:val="1"/>
    <w:autoRedefine/>
    <w:qFormat/>
    <w:uiPriority w:val="0"/>
    <w:pPr>
      <w:spacing w:line="360" w:lineRule="auto"/>
      <w:ind w:firstLine="200"/>
      <w:jc w:val="left"/>
    </w:pPr>
    <w:rPr>
      <w:sz w:val="24"/>
    </w:rPr>
  </w:style>
  <w:style w:type="paragraph" w:customStyle="1" w:styleId="87">
    <w:name w:val="列出段落1"/>
    <w:basedOn w:val="1"/>
    <w:autoRedefine/>
    <w:qFormat/>
    <w:uiPriority w:val="34"/>
    <w:pPr>
      <w:ind w:firstLine="420"/>
    </w:pPr>
    <w:rPr>
      <w:szCs w:val="20"/>
    </w:rPr>
  </w:style>
  <w:style w:type="paragraph" w:customStyle="1" w:styleId="88">
    <w:name w:val="Char"/>
    <w:basedOn w:val="1"/>
    <w:autoRedefine/>
    <w:qFormat/>
    <w:uiPriority w:val="0"/>
    <w:pPr>
      <w:snapToGrid w:val="0"/>
      <w:spacing w:line="360" w:lineRule="auto"/>
      <w:ind w:firstLine="529"/>
    </w:pPr>
  </w:style>
  <w:style w:type="paragraph" w:customStyle="1" w:styleId="89">
    <w:name w:val="Table Paragraph"/>
    <w:basedOn w:val="1"/>
    <w:autoRedefine/>
    <w:unhideWhenUsed/>
    <w:qFormat/>
    <w:uiPriority w:val="1"/>
    <w:rPr>
      <w:sz w:val="24"/>
    </w:rPr>
  </w:style>
  <w:style w:type="paragraph" w:customStyle="1" w:styleId="90">
    <w:name w:val="样式1"/>
    <w:basedOn w:val="5"/>
    <w:autoRedefine/>
    <w:qFormat/>
    <w:uiPriority w:val="0"/>
    <w:pPr>
      <w:spacing w:before="160" w:after="170" w:line="372" w:lineRule="auto"/>
    </w:pPr>
    <w:rPr>
      <w:rFonts w:eastAsia="仿宋_GB2312"/>
    </w:rPr>
  </w:style>
  <w:style w:type="paragraph" w:customStyle="1" w:styleId="91">
    <w:name w:val="样式 (西文) Times New Roman 小四 行距: 1.5 倍行距 首行缩进:  2 字符"/>
    <w:basedOn w:val="1"/>
    <w:autoRedefine/>
    <w:qFormat/>
    <w:uiPriority w:val="0"/>
    <w:pPr>
      <w:spacing w:line="360" w:lineRule="auto"/>
      <w:ind w:firstLine="480"/>
    </w:pPr>
    <w:rPr>
      <w:rFonts w:cs="宋体"/>
      <w:sz w:val="24"/>
      <w:szCs w:val="20"/>
    </w:rPr>
  </w:style>
  <w:style w:type="paragraph" w:customStyle="1" w:styleId="92">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93">
    <w:name w:val="表格内容"/>
    <w:basedOn w:val="1"/>
    <w:next w:val="1"/>
    <w:autoRedefine/>
    <w:qFormat/>
    <w:uiPriority w:val="0"/>
    <w:pPr>
      <w:adjustRightInd w:val="0"/>
      <w:snapToGrid w:val="0"/>
      <w:jc w:val="center"/>
    </w:pPr>
    <w:rPr>
      <w:rFonts w:eastAsia="Times New Roman"/>
      <w:szCs w:val="21"/>
    </w:rPr>
  </w:style>
  <w:style w:type="paragraph" w:customStyle="1" w:styleId="94">
    <w:name w:val="1正文段落"/>
    <w:basedOn w:val="1"/>
    <w:autoRedefine/>
    <w:unhideWhenUsed/>
    <w:qFormat/>
    <w:uiPriority w:val="0"/>
    <w:pPr>
      <w:spacing w:line="360" w:lineRule="auto"/>
      <w:ind w:firstLine="200"/>
    </w:pPr>
    <w:rPr>
      <w:snapToGrid w:val="0"/>
      <w:kern w:val="0"/>
      <w:sz w:val="24"/>
    </w:rPr>
  </w:style>
  <w:style w:type="paragraph" w:customStyle="1" w:styleId="95">
    <w:name w:val="表格文字"/>
    <w:basedOn w:val="96"/>
    <w:next w:val="1"/>
    <w:autoRedefine/>
    <w:qFormat/>
    <w:uiPriority w:val="0"/>
    <w:pPr>
      <w:spacing w:line="320" w:lineRule="exact"/>
      <w:jc w:val="center"/>
    </w:pPr>
    <w:rPr>
      <w:rFonts w:ascii="宋体"/>
      <w:szCs w:val="24"/>
    </w:rPr>
  </w:style>
  <w:style w:type="paragraph" w:customStyle="1" w:styleId="96">
    <w:name w:val="方案正文"/>
    <w:basedOn w:val="1"/>
    <w:autoRedefine/>
    <w:qFormat/>
    <w:uiPriority w:val="0"/>
    <w:rPr>
      <w:kern w:val="0"/>
      <w:sz w:val="24"/>
      <w:szCs w:val="20"/>
    </w:rPr>
  </w:style>
  <w:style w:type="paragraph" w:customStyle="1" w:styleId="97">
    <w:name w:val="1、正文文本"/>
    <w:next w:val="1"/>
    <w:autoRedefine/>
    <w:qFormat/>
    <w:uiPriority w:val="0"/>
    <w:pPr>
      <w:adjustRightInd w:val="0"/>
      <w:snapToGrid w:val="0"/>
      <w:spacing w:line="240" w:lineRule="auto"/>
      <w:ind w:firstLine="0" w:firstLineChars="0"/>
      <w:jc w:val="center"/>
    </w:pPr>
    <w:rPr>
      <w:rFonts w:ascii="Times New Roman" w:hAnsi="Times New Roman" w:eastAsia="宋体" w:cs="宋体"/>
      <w:kern w:val="2"/>
      <w:sz w:val="24"/>
      <w:lang w:val="en-US" w:eastAsia="zh-CN" w:bidi="ar-SA"/>
    </w:rPr>
  </w:style>
  <w:style w:type="paragraph" w:customStyle="1" w:styleId="98">
    <w:name w:val="表头"/>
    <w:basedOn w:val="99"/>
    <w:next w:val="1"/>
    <w:autoRedefine/>
    <w:qFormat/>
    <w:uiPriority w:val="0"/>
    <w:pPr>
      <w:ind w:firstLine="2169" w:firstLineChars="1029"/>
    </w:pPr>
    <w:rPr>
      <w:rFonts w:ascii="宋体" w:hAnsi="宋体"/>
      <w:b/>
      <w:szCs w:val="21"/>
    </w:rPr>
  </w:style>
  <w:style w:type="paragraph" w:customStyle="1" w:styleId="99">
    <w:name w:val="T正文"/>
    <w:autoRedefine/>
    <w:qFormat/>
    <w:uiPriority w:val="0"/>
    <w:pPr>
      <w:widowControl w:val="0"/>
      <w:adjustRightInd w:val="0"/>
      <w:snapToGrid w:val="0"/>
      <w:spacing w:line="360" w:lineRule="auto"/>
      <w:ind w:firstLine="200" w:firstLineChars="200"/>
      <w:jc w:val="both"/>
    </w:pPr>
    <w:rPr>
      <w:rFonts w:ascii="Calibri" w:hAnsi="Calibri" w:eastAsia="仿宋_GB2312" w:cs="Times New Roman"/>
      <w:sz w:val="28"/>
      <w:lang w:val="en-US" w:eastAsia="zh-CN" w:bidi="ar-SA"/>
    </w:rPr>
  </w:style>
  <w:style w:type="character" w:customStyle="1" w:styleId="100">
    <w:name w:val="font01"/>
    <w:basedOn w:val="39"/>
    <w:autoRedefine/>
    <w:qFormat/>
    <w:uiPriority w:val="0"/>
    <w:rPr>
      <w:rFonts w:hint="eastAsia" w:ascii="宋体" w:hAnsi="宋体" w:eastAsia="宋体" w:cs="宋体"/>
      <w:color w:val="000000"/>
      <w:sz w:val="21"/>
      <w:szCs w:val="21"/>
      <w:u w:val="none"/>
    </w:rPr>
  </w:style>
  <w:style w:type="character" w:customStyle="1" w:styleId="101">
    <w:name w:val="font21"/>
    <w:basedOn w:val="39"/>
    <w:autoRedefine/>
    <w:qFormat/>
    <w:uiPriority w:val="0"/>
    <w:rPr>
      <w:rFonts w:hint="default" w:ascii="Times New Roman" w:hAnsi="Times New Roman" w:cs="Times New Roman"/>
      <w:color w:val="000000"/>
      <w:sz w:val="21"/>
      <w:szCs w:val="21"/>
      <w:u w:val="none"/>
    </w:rPr>
  </w:style>
  <w:style w:type="character" w:customStyle="1" w:styleId="102">
    <w:name w:val="font41"/>
    <w:basedOn w:val="39"/>
    <w:autoRedefine/>
    <w:qFormat/>
    <w:uiPriority w:val="0"/>
    <w:rPr>
      <w:rFonts w:hint="default" w:ascii="Times New Roman" w:hAnsi="Times New Roman" w:cs="Times New Roman"/>
      <w:b/>
      <w:bCs/>
      <w:color w:val="000000"/>
      <w:sz w:val="21"/>
      <w:szCs w:val="21"/>
      <w:u w:val="none"/>
    </w:rPr>
  </w:style>
  <w:style w:type="character" w:customStyle="1" w:styleId="103">
    <w:name w:val="font31"/>
    <w:basedOn w:val="39"/>
    <w:autoRedefine/>
    <w:qFormat/>
    <w:uiPriority w:val="0"/>
    <w:rPr>
      <w:rFonts w:hint="default" w:ascii="Times New Roman" w:hAnsi="Times New Roman" w:cs="Times New Roman"/>
      <w:color w:val="000000"/>
      <w:sz w:val="21"/>
      <w:szCs w:val="21"/>
      <w:u w:val="none"/>
    </w:rPr>
  </w:style>
  <w:style w:type="character" w:customStyle="1" w:styleId="104">
    <w:name w:val="font51"/>
    <w:basedOn w:val="39"/>
    <w:autoRedefine/>
    <w:qFormat/>
    <w:uiPriority w:val="0"/>
    <w:rPr>
      <w:rFonts w:hint="default" w:ascii="Times New Roman" w:hAnsi="Times New Roman" w:cs="Times New Roman"/>
      <w:color w:val="000000"/>
      <w:sz w:val="21"/>
      <w:szCs w:val="21"/>
      <w:u w:val="none"/>
      <w:vertAlign w:val="subscript"/>
    </w:rPr>
  </w:style>
  <w:style w:type="character" w:customStyle="1" w:styleId="105">
    <w:name w:val="正文文本_"/>
    <w:link w:val="106"/>
    <w:autoRedefine/>
    <w:qFormat/>
    <w:locked/>
    <w:uiPriority w:val="99"/>
    <w:rPr>
      <w:rFonts w:ascii="MingLiU" w:hAnsi="MingLiU" w:eastAsia="MingLiU"/>
      <w:spacing w:val="10"/>
      <w:kern w:val="0"/>
      <w:szCs w:val="21"/>
    </w:rPr>
  </w:style>
  <w:style w:type="paragraph" w:customStyle="1" w:styleId="106">
    <w:name w:val="正文文本3"/>
    <w:basedOn w:val="1"/>
    <w:link w:val="105"/>
    <w:autoRedefine/>
    <w:qFormat/>
    <w:uiPriority w:val="99"/>
    <w:pPr>
      <w:shd w:val="clear" w:color="auto" w:fill="FFFFFF"/>
      <w:spacing w:before="240" w:line="466" w:lineRule="exact"/>
      <w:ind w:hanging="480"/>
      <w:jc w:val="distribute"/>
    </w:pPr>
    <w:rPr>
      <w:rFonts w:ascii="MingLiU" w:hAnsi="MingLiU" w:eastAsia="MingLiU"/>
      <w:spacing w:val="10"/>
      <w:kern w:val="0"/>
      <w:szCs w:val="21"/>
    </w:rPr>
  </w:style>
  <w:style w:type="paragraph" w:customStyle="1" w:styleId="107">
    <w:name w:val="wlm表头"/>
    <w:basedOn w:val="1"/>
    <w:autoRedefine/>
    <w:qFormat/>
    <w:uiPriority w:val="0"/>
    <w:pPr>
      <w:jc w:val="center"/>
    </w:pPr>
    <w:rPr>
      <w:b/>
      <w:szCs w:val="21"/>
    </w:rPr>
  </w:style>
  <w:style w:type="paragraph" w:customStyle="1" w:styleId="108">
    <w:name w:val="wlm表格"/>
    <w:basedOn w:val="1"/>
    <w:autoRedefine/>
    <w:qFormat/>
    <w:uiPriority w:val="0"/>
    <w:pPr>
      <w:snapToGrid w:val="0"/>
      <w:ind w:firstLine="0" w:firstLineChars="0"/>
      <w:jc w:val="center"/>
    </w:pPr>
    <w:rPr>
      <w:snapToGrid w:val="0"/>
      <w:spacing w:val="2"/>
      <w:szCs w:val="21"/>
    </w:rPr>
  </w:style>
  <w:style w:type="paragraph" w:customStyle="1" w:styleId="109">
    <w:name w:val="正文四号"/>
    <w:basedOn w:val="1"/>
    <w:autoRedefine/>
    <w:qFormat/>
    <w:uiPriority w:val="0"/>
    <w:pPr>
      <w:spacing w:line="600" w:lineRule="exact"/>
      <w:ind w:firstLine="200"/>
    </w:pPr>
    <w:rPr>
      <w:rFonts w:ascii="Calibri" w:hAnsi="Calibri" w:eastAsia="仿宋_GB2312"/>
      <w:sz w:val="28"/>
      <w:szCs w:val="28"/>
    </w:rPr>
  </w:style>
  <w:style w:type="paragraph" w:customStyle="1" w:styleId="110">
    <w:name w:val="表头、图尾"/>
    <w:basedOn w:val="1"/>
    <w:autoRedefine/>
    <w:qFormat/>
    <w:uiPriority w:val="0"/>
    <w:pPr>
      <w:spacing w:beforeLines="50" w:afterLines="20"/>
      <w:ind w:firstLine="0" w:firstLineChars="0"/>
      <w:jc w:val="center"/>
      <w:outlineLvl w:val="1"/>
    </w:pPr>
    <w:rPr>
      <w:b/>
    </w:rPr>
  </w:style>
  <w:style w:type="character" w:customStyle="1" w:styleId="111">
    <w:name w:val="NormalCharacter"/>
    <w:autoRedefine/>
    <w:qFormat/>
    <w:uiPriority w:val="0"/>
  </w:style>
  <w:style w:type="paragraph" w:customStyle="1" w:styleId="112">
    <w:name w:val="cucd-0"/>
    <w:autoRedefine/>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13">
    <w:name w:val="表格标题"/>
    <w:basedOn w:val="1"/>
    <w:autoRedefine/>
    <w:qFormat/>
    <w:uiPriority w:val="0"/>
    <w:pPr>
      <w:spacing w:line="540" w:lineRule="exact"/>
      <w:jc w:val="center"/>
    </w:pPr>
    <w:rPr>
      <w:rFonts w:ascii="宋体" w:hAnsi="宋体"/>
      <w:bCs/>
      <w:sz w:val="24"/>
    </w:rPr>
  </w:style>
  <w:style w:type="character" w:customStyle="1" w:styleId="114">
    <w:name w:val="viewthreadtxt"/>
    <w:basedOn w:val="39"/>
    <w:autoRedefine/>
    <w:qFormat/>
    <w:uiPriority w:val="0"/>
  </w:style>
  <w:style w:type="paragraph" w:customStyle="1" w:styleId="115">
    <w:name w:val="Char Char Char Char"/>
    <w:basedOn w:val="1"/>
    <w:autoRedefine/>
    <w:qFormat/>
    <w:uiPriority w:val="0"/>
    <w:pPr>
      <w:snapToGrid w:val="0"/>
      <w:spacing w:line="360" w:lineRule="auto"/>
      <w:ind w:firstLine="200"/>
    </w:pPr>
    <w:rPr>
      <w:szCs w:val="20"/>
    </w:rPr>
  </w:style>
  <w:style w:type="character" w:customStyle="1" w:styleId="116">
    <w:name w:val="font11"/>
    <w:basedOn w:val="39"/>
    <w:autoRedefine/>
    <w:qFormat/>
    <w:uiPriority w:val="0"/>
    <w:rPr>
      <w:rFonts w:hint="eastAsia" w:ascii="宋体" w:hAnsi="宋体" w:eastAsia="宋体" w:cs="宋体"/>
      <w:color w:val="000000"/>
      <w:sz w:val="21"/>
      <w:szCs w:val="21"/>
      <w:u w:val="none"/>
    </w:rPr>
  </w:style>
  <w:style w:type="paragraph" w:customStyle="1" w:styleId="117">
    <w:name w:val="文本"/>
    <w:basedOn w:val="1"/>
    <w:autoRedefine/>
    <w:qFormat/>
    <w:uiPriority w:val="0"/>
    <w:pPr>
      <w:ind w:firstLine="480"/>
    </w:pPr>
  </w:style>
  <w:style w:type="character" w:customStyle="1" w:styleId="118">
    <w:name w:val="font61"/>
    <w:basedOn w:val="39"/>
    <w:autoRedefine/>
    <w:qFormat/>
    <w:uiPriority w:val="0"/>
    <w:rPr>
      <w:rFonts w:hint="default" w:ascii="Times New Roman" w:hAnsi="Times New Roman" w:cs="Times New Roman"/>
      <w:color w:val="000000"/>
      <w:sz w:val="21"/>
      <w:szCs w:val="21"/>
      <w:u w:val="none"/>
      <w:vertAlign w:val="subscript"/>
    </w:rPr>
  </w:style>
  <w:style w:type="paragraph" w:customStyle="1" w:styleId="119">
    <w:name w:val="翔一正文"/>
    <w:basedOn w:val="1"/>
    <w:next w:val="1"/>
    <w:autoRedefine/>
    <w:semiHidden/>
    <w:qFormat/>
    <w:uiPriority w:val="0"/>
    <w:pPr>
      <w:spacing w:line="360" w:lineRule="auto"/>
      <w:ind w:firstLine="1446"/>
    </w:pPr>
    <w:rPr>
      <w:sz w:val="24"/>
      <w:szCs w:val="21"/>
    </w:rPr>
  </w:style>
  <w:style w:type="paragraph" w:customStyle="1" w:styleId="120">
    <w:name w:val="翔一表格"/>
    <w:basedOn w:val="1"/>
    <w:next w:val="1"/>
    <w:autoRedefine/>
    <w:semiHidden/>
    <w:qFormat/>
    <w:uiPriority w:val="0"/>
    <w:pPr>
      <w:autoSpaceDE w:val="0"/>
      <w:autoSpaceDN w:val="0"/>
      <w:jc w:val="center"/>
      <w:textAlignment w:val="baseline"/>
    </w:pPr>
    <w:rPr>
      <w:kern w:val="0"/>
      <w:szCs w:val="21"/>
    </w:rPr>
  </w:style>
  <w:style w:type="table" w:customStyle="1" w:styleId="121">
    <w:name w:val="Table Normal"/>
    <w:autoRedefine/>
    <w:semiHidden/>
    <w:unhideWhenUsed/>
    <w:qFormat/>
    <w:uiPriority w:val="0"/>
    <w:tblPr>
      <w:tblCellMar>
        <w:top w:w="0" w:type="dxa"/>
        <w:left w:w="0" w:type="dxa"/>
        <w:bottom w:w="0" w:type="dxa"/>
        <w:right w:w="0" w:type="dxa"/>
      </w:tblCellMar>
    </w:tblPr>
  </w:style>
  <w:style w:type="paragraph" w:customStyle="1" w:styleId="122">
    <w:name w:val="Table Text"/>
    <w:basedOn w:val="1"/>
    <w:autoRedefine/>
    <w:semiHidden/>
    <w:qFormat/>
    <w:uiPriority w:val="0"/>
    <w:rPr>
      <w:rFonts w:ascii="Arial" w:hAnsi="Arial" w:eastAsia="Arial" w:cs="Arial"/>
      <w:szCs w:val="21"/>
      <w:lang w:eastAsia="en-US"/>
    </w:rPr>
  </w:style>
  <w:style w:type="paragraph" w:customStyle="1" w:styleId="123">
    <w:name w:val="表   头"/>
    <w:basedOn w:val="1"/>
    <w:autoRedefine/>
    <w:qFormat/>
    <w:uiPriority w:val="0"/>
    <w:pPr>
      <w:snapToGrid w:val="0"/>
      <w:jc w:val="center"/>
    </w:pPr>
    <w:rPr>
      <w:b/>
      <w:kern w:val="0"/>
      <w:sz w:val="20"/>
      <w:szCs w:val="20"/>
    </w:rPr>
  </w:style>
  <w:style w:type="character" w:customStyle="1" w:styleId="124">
    <w:name w:val="fontstyle01"/>
    <w:autoRedefine/>
    <w:qFormat/>
    <w:uiPriority w:val="0"/>
    <w:rPr>
      <w:rFonts w:hint="eastAsia" w:ascii="宋体" w:hAnsi="宋体" w:eastAsia="宋体"/>
      <w:color w:val="000000"/>
      <w:sz w:val="24"/>
      <w:szCs w:val="24"/>
    </w:rPr>
  </w:style>
  <w:style w:type="character" w:customStyle="1" w:styleId="125">
    <w:name w:val="批注文字 字符"/>
    <w:basedOn w:val="39"/>
    <w:link w:val="18"/>
    <w:qFormat/>
    <w:uiPriority w:val="0"/>
    <w:rPr>
      <w:kern w:val="2"/>
      <w:sz w:val="21"/>
      <w:szCs w:val="24"/>
    </w:rPr>
  </w:style>
  <w:style w:type="character" w:customStyle="1" w:styleId="126">
    <w:name w:val="批注主题 字符"/>
    <w:basedOn w:val="125"/>
    <w:link w:val="34"/>
    <w:qFormat/>
    <w:uiPriority w:val="0"/>
    <w:rPr>
      <w:b/>
      <w:bCs/>
      <w:kern w:val="2"/>
      <w:sz w:val="21"/>
      <w:szCs w:val="24"/>
    </w:rPr>
  </w:style>
  <w:style w:type="paragraph" w:customStyle="1" w:styleId="127">
    <w:name w:val="表格表头"/>
    <w:basedOn w:val="68"/>
    <w:next w:val="53"/>
    <w:qFormat/>
    <w:uiPriority w:val="0"/>
    <w:pPr>
      <w:snapToGrid w:val="0"/>
      <w:spacing w:beforeAutospacing="0" w:afterAutospacing="0" w:line="240" w:lineRule="auto"/>
      <w:jc w:val="center"/>
    </w:pPr>
    <w:rPr>
      <w:rFonts w:ascii="Times New Roman" w:hAnsi="Times New Roman" w:eastAsia="宋体" w:cs="Times New Roman"/>
      <w:b/>
      <w:snapToGrid w:val="0"/>
      <w:kern w:val="28"/>
      <w:szCs w:val="21"/>
      <w:lang w:val="sq-A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9.wmf"/><Relationship Id="rId36" Type="http://schemas.openxmlformats.org/officeDocument/2006/relationships/oleObject" Target="embeddings/oleObject8.bin"/><Relationship Id="rId35" Type="http://schemas.openxmlformats.org/officeDocument/2006/relationships/image" Target="media/image18.png"/><Relationship Id="rId34" Type="http://schemas.openxmlformats.org/officeDocument/2006/relationships/image" Target="media/image17.wmf"/><Relationship Id="rId33" Type="http://schemas.openxmlformats.org/officeDocument/2006/relationships/oleObject" Target="embeddings/oleObject7.bin"/><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95</Pages>
  <Words>5414</Words>
  <Characters>5855</Characters>
  <Lines>476</Lines>
  <Paragraphs>134</Paragraphs>
  <TotalTime>6</TotalTime>
  <ScaleCrop>false</ScaleCrop>
  <LinksUpToDate>false</LinksUpToDate>
  <CharactersWithSpaces>5919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顾三岁</cp:lastModifiedBy>
  <dcterms:modified xsi:type="dcterms:W3CDTF">2025-06-27T01:38:23Z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A69B5A93C5AE493C80DBAE443C7DF721_13</vt:lpwstr>
  </property>
  <property fmtid="{D5CDD505-2E9C-101B-9397-08002B2CF9AE}" pid="4" name="KSOTemplateDocerSaveRecord">
    <vt:lpwstr>eyJoZGlkIjoiMTAzN2FkY2Q1ODA1Mjc2Zjc0ZjNhNzYxMmIyNDY1MzkiLCJ1c2VySWQiOiIyNzYzMTQ2MDgifQ==</vt:lpwstr>
  </property>
</Properties>
</file>