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FA5D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寻甸回族彝族自治县人民政府</w:t>
      </w:r>
    </w:p>
    <w:p w14:paraId="2DA85CB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关于《寻甸回族彝族自治县先锋镇且买姑村（一期）土地房屋征迁补偿安置方案（征求意见稿）》的起草说明</w:t>
      </w:r>
    </w:p>
    <w:p w14:paraId="49B33E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小标宋简体" w:cs="Times New Roman"/>
          <w:sz w:val="44"/>
          <w:szCs w:val="44"/>
          <w:lang w:val="en-US" w:eastAsia="zh-CN"/>
        </w:rPr>
      </w:pPr>
    </w:p>
    <w:p w14:paraId="16DFA2A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一、起草政策依据</w:t>
      </w:r>
    </w:p>
    <w:p w14:paraId="477FFB1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根据</w:t>
      </w:r>
      <w:r>
        <w:rPr>
          <w:rFonts w:hint="default" w:ascii="Times New Roman" w:hAnsi="Times New Roman" w:eastAsia="仿宋_GB2312" w:cs="Times New Roman"/>
          <w:color w:val="auto"/>
          <w:kern w:val="0"/>
          <w:sz w:val="32"/>
          <w:szCs w:val="32"/>
          <w:highlight w:val="none"/>
          <w:lang w:val="en-US" w:eastAsia="zh-CN" w:bidi="ar"/>
        </w:rPr>
        <w:t>《中华人民共和国土地管理法》《中华人民共和国土地管理法实施条例》《云南省土地管理条例》，参照《昆明市集体土地上房屋</w:t>
      </w:r>
      <w:r>
        <w:rPr>
          <w:rFonts w:hint="eastAsia" w:ascii="Times New Roman" w:hAnsi="Times New Roman" w:eastAsia="仿宋_GB2312" w:cs="Times New Roman"/>
          <w:color w:val="auto"/>
          <w:kern w:val="0"/>
          <w:sz w:val="32"/>
          <w:szCs w:val="32"/>
          <w:highlight w:val="none"/>
          <w:lang w:val="en-US" w:eastAsia="zh-CN" w:bidi="ar"/>
        </w:rPr>
        <w:t>拆迁</w:t>
      </w:r>
      <w:r>
        <w:rPr>
          <w:rFonts w:hint="default" w:ascii="Times New Roman" w:hAnsi="Times New Roman" w:eastAsia="仿宋_GB2312" w:cs="Times New Roman"/>
          <w:color w:val="auto"/>
          <w:kern w:val="0"/>
          <w:sz w:val="32"/>
          <w:szCs w:val="32"/>
          <w:highlight w:val="none"/>
          <w:lang w:val="en-US" w:eastAsia="zh-CN" w:bidi="ar"/>
        </w:rPr>
        <w:t>补偿安置指导意见》</w:t>
      </w:r>
      <w:r>
        <w:rPr>
          <w:rFonts w:hint="eastAsia" w:ascii="Times New Roman" w:hAnsi="Times New Roman" w:eastAsia="仿宋_GB2312" w:cs="Times New Roman"/>
          <w:color w:val="auto"/>
          <w:kern w:val="0"/>
          <w:sz w:val="32"/>
          <w:szCs w:val="32"/>
          <w:highlight w:val="none"/>
          <w:lang w:val="en-US" w:eastAsia="zh-CN" w:bidi="ar"/>
        </w:rPr>
        <w:t>（昆政办</w:t>
      </w:r>
      <w:r>
        <w:rPr>
          <w:rFonts w:hint="default" w:ascii="Times New Roman" w:hAnsi="Times New Roman" w:eastAsia="仿宋_GB2312" w:cs="Times New Roman"/>
          <w:color w:val="auto"/>
          <w:kern w:val="0"/>
          <w:sz w:val="32"/>
          <w:szCs w:val="32"/>
          <w:highlight w:val="none"/>
          <w:lang w:val="en-US" w:eastAsia="zh-CN" w:bidi="ar"/>
        </w:rPr>
        <w:t>〔20</w:t>
      </w:r>
      <w:r>
        <w:rPr>
          <w:rFonts w:hint="eastAsia" w:ascii="Times New Roman" w:hAnsi="Times New Roman" w:eastAsia="仿宋_GB2312" w:cs="Times New Roman"/>
          <w:color w:val="auto"/>
          <w:kern w:val="0"/>
          <w:sz w:val="32"/>
          <w:szCs w:val="32"/>
          <w:highlight w:val="none"/>
          <w:lang w:val="en-US" w:eastAsia="zh-CN" w:bidi="ar"/>
        </w:rPr>
        <w:t>15</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103</w:t>
      </w:r>
      <w:r>
        <w:rPr>
          <w:rFonts w:hint="default" w:ascii="Times New Roman" w:hAnsi="Times New Roman" w:eastAsia="仿宋_GB2312" w:cs="Times New Roman"/>
          <w:color w:val="auto"/>
          <w:kern w:val="0"/>
          <w:sz w:val="32"/>
          <w:szCs w:val="32"/>
          <w:highlight w:val="none"/>
          <w:lang w:val="en-US" w:eastAsia="zh-CN" w:bidi="ar"/>
        </w:rPr>
        <w:t>号</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《昆明市人民政府关于加强农房管理禁止违法加层的通告》</w:t>
      </w:r>
      <w:r>
        <w:rPr>
          <w:rFonts w:hint="eastAsia" w:ascii="Times New Roman" w:hAnsi="Times New Roman" w:eastAsia="仿宋_GB2312" w:cs="Times New Roman"/>
          <w:color w:val="auto"/>
          <w:kern w:val="0"/>
          <w:sz w:val="32"/>
          <w:szCs w:val="32"/>
          <w:highlight w:val="none"/>
          <w:lang w:val="en-US" w:eastAsia="zh-CN" w:bidi="ar"/>
        </w:rPr>
        <w:t>（昆政发</w:t>
      </w:r>
      <w:r>
        <w:rPr>
          <w:rFonts w:hint="default" w:ascii="Times New Roman" w:hAnsi="Times New Roman" w:eastAsia="仿宋_GB2312" w:cs="Times New Roman"/>
          <w:color w:val="auto"/>
          <w:kern w:val="0"/>
          <w:sz w:val="32"/>
          <w:szCs w:val="32"/>
          <w:highlight w:val="none"/>
          <w:lang w:val="en-US" w:eastAsia="zh-CN" w:bidi="ar"/>
        </w:rPr>
        <w:t>〔20</w:t>
      </w:r>
      <w:r>
        <w:rPr>
          <w:rFonts w:hint="eastAsia" w:ascii="Times New Roman" w:hAnsi="Times New Roman" w:eastAsia="仿宋_GB2312" w:cs="Times New Roman"/>
          <w:color w:val="auto"/>
          <w:kern w:val="0"/>
          <w:sz w:val="32"/>
          <w:szCs w:val="32"/>
          <w:highlight w:val="none"/>
          <w:lang w:val="en-US" w:eastAsia="zh-CN" w:bidi="ar"/>
        </w:rPr>
        <w:t>06</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24</w:t>
      </w:r>
      <w:r>
        <w:rPr>
          <w:rFonts w:hint="default" w:ascii="Times New Roman" w:hAnsi="Times New Roman" w:eastAsia="仿宋_GB2312" w:cs="Times New Roman"/>
          <w:color w:val="auto"/>
          <w:kern w:val="0"/>
          <w:sz w:val="32"/>
          <w:szCs w:val="32"/>
          <w:highlight w:val="none"/>
          <w:lang w:val="en-US" w:eastAsia="zh-CN" w:bidi="ar"/>
        </w:rPr>
        <w:t>号</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寻甸回族彝族自治县人民政府办公室关于印发先锋镇征地补偿标准指导意见的通知》（寻政办发〔2018〕70号）《寻甸回族彝族自治县人民政府关于印发寻甸回族彝族自治县地上附着物和青苗补偿标准的通知》（寻政发〔2023〕66号）《</w:t>
      </w:r>
      <w:r>
        <w:rPr>
          <w:rFonts w:hint="eastAsia" w:ascii="Times New Roman" w:hAnsi="Times New Roman" w:eastAsia="仿宋_GB2312" w:cs="Times New Roman"/>
          <w:color w:val="auto"/>
          <w:kern w:val="0"/>
          <w:sz w:val="32"/>
          <w:szCs w:val="32"/>
          <w:highlight w:val="none"/>
          <w:lang w:val="en-US" w:eastAsia="zh-CN" w:bidi="ar"/>
        </w:rPr>
        <w:t>寻甸回族彝族自治县人民政府关于印发</w:t>
      </w:r>
      <w:r>
        <w:rPr>
          <w:rFonts w:hint="default" w:ascii="Times New Roman" w:hAnsi="Times New Roman" w:eastAsia="仿宋_GB2312" w:cs="Times New Roman"/>
          <w:color w:val="auto"/>
          <w:kern w:val="0"/>
          <w:sz w:val="32"/>
          <w:szCs w:val="32"/>
          <w:highlight w:val="none"/>
          <w:lang w:val="en-US" w:eastAsia="zh-CN" w:bidi="ar"/>
        </w:rPr>
        <w:t>寻甸回族彝族自治县先锋镇且买姑村搬迁工作方案</w:t>
      </w:r>
      <w:r>
        <w:rPr>
          <w:rFonts w:hint="eastAsia" w:ascii="Times New Roman" w:hAnsi="Times New Roman" w:eastAsia="仿宋_GB2312" w:cs="Times New Roman"/>
          <w:color w:val="auto"/>
          <w:kern w:val="0"/>
          <w:sz w:val="32"/>
          <w:szCs w:val="32"/>
          <w:highlight w:val="none"/>
          <w:lang w:val="en-US" w:eastAsia="zh-CN" w:bidi="ar"/>
        </w:rPr>
        <w:t>的通知</w:t>
      </w:r>
      <w:r>
        <w:rPr>
          <w:rFonts w:hint="default" w:ascii="Times New Roman" w:hAnsi="Times New Roman" w:eastAsia="仿宋_GB2312" w:cs="Times New Roman"/>
          <w:color w:val="auto"/>
          <w:kern w:val="0"/>
          <w:sz w:val="32"/>
          <w:szCs w:val="32"/>
          <w:highlight w:val="none"/>
          <w:lang w:val="en-US" w:eastAsia="zh-CN" w:bidi="ar"/>
        </w:rPr>
        <w:t>》（寻政发〔2023〕94号）等相关法律法规和文件规定组织实施</w:t>
      </w:r>
      <w:r>
        <w:rPr>
          <w:rFonts w:hint="eastAsia" w:ascii="Times New Roman" w:hAnsi="Times New Roman" w:eastAsia="仿宋_GB2312" w:cs="Times New Roman"/>
          <w:color w:val="auto"/>
          <w:kern w:val="0"/>
          <w:sz w:val="32"/>
          <w:szCs w:val="32"/>
          <w:highlight w:val="none"/>
          <w:lang w:val="en-US" w:eastAsia="zh-CN" w:bidi="ar"/>
        </w:rPr>
        <w:t>。</w:t>
      </w:r>
    </w:p>
    <w:p w14:paraId="21F2F3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lang w:val="en-US" w:eastAsia="zh-CN" w:bidi="ar"/>
        </w:rPr>
        <w:t>二、</w:t>
      </w:r>
      <w:r>
        <w:rPr>
          <w:rFonts w:hint="eastAsia" w:ascii="黑体" w:hAnsi="黑体" w:eastAsia="黑体" w:cs="黑体"/>
          <w:color w:val="auto"/>
          <w:kern w:val="0"/>
          <w:sz w:val="32"/>
          <w:szCs w:val="32"/>
          <w:highlight w:val="none"/>
          <w:lang w:val="en-US" w:eastAsia="zh-CN" w:bidi="ar"/>
        </w:rPr>
        <w:t>主要内容</w:t>
      </w:r>
    </w:p>
    <w:p w14:paraId="46D487C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（一）正文：</w:t>
      </w:r>
      <w:r>
        <w:rPr>
          <w:rFonts w:hint="eastAsia" w:ascii="Times New Roman" w:hAnsi="Times New Roman" w:eastAsia="仿宋_GB2312" w:cs="Times New Roman"/>
          <w:b/>
          <w:bCs/>
          <w:color w:val="auto"/>
          <w:kern w:val="0"/>
          <w:sz w:val="32"/>
          <w:szCs w:val="32"/>
          <w:highlight w:val="none"/>
          <w:lang w:val="en-US" w:eastAsia="zh-CN" w:bidi="ar"/>
        </w:rPr>
        <w:t>一是</w:t>
      </w:r>
      <w:r>
        <w:rPr>
          <w:rFonts w:hint="eastAsia" w:ascii="Times New Roman" w:hAnsi="Times New Roman" w:eastAsia="仿宋_GB2312" w:cs="Times New Roman"/>
          <w:color w:val="auto"/>
          <w:kern w:val="0"/>
          <w:sz w:val="32"/>
          <w:szCs w:val="32"/>
          <w:highlight w:val="none"/>
          <w:lang w:val="en-US" w:eastAsia="zh-CN" w:bidi="ar"/>
        </w:rPr>
        <w:t>法律法规及政策依据、</w:t>
      </w:r>
      <w:r>
        <w:rPr>
          <w:rFonts w:hint="eastAsia" w:ascii="Times New Roman" w:hAnsi="Times New Roman" w:eastAsia="仿宋_GB2312" w:cs="Times New Roman"/>
          <w:b/>
          <w:bCs/>
          <w:color w:val="auto"/>
          <w:kern w:val="0"/>
          <w:sz w:val="32"/>
          <w:szCs w:val="32"/>
          <w:highlight w:val="none"/>
          <w:lang w:val="en-US" w:eastAsia="zh-CN" w:bidi="ar"/>
        </w:rPr>
        <w:t>二是</w:t>
      </w:r>
      <w:r>
        <w:rPr>
          <w:rFonts w:hint="eastAsia" w:ascii="Times New Roman" w:hAnsi="Times New Roman" w:eastAsia="仿宋_GB2312" w:cs="Times New Roman"/>
          <w:color w:val="auto"/>
          <w:kern w:val="0"/>
          <w:sz w:val="32"/>
          <w:szCs w:val="32"/>
          <w:highlight w:val="none"/>
          <w:lang w:val="en-US" w:eastAsia="zh-CN" w:bidi="ar"/>
        </w:rPr>
        <w:t>征迁适用范围、</w:t>
      </w:r>
      <w:r>
        <w:rPr>
          <w:rFonts w:hint="eastAsia" w:ascii="Times New Roman" w:hAnsi="Times New Roman" w:eastAsia="仿宋_GB2312" w:cs="Times New Roman"/>
          <w:b/>
          <w:bCs/>
          <w:color w:val="auto"/>
          <w:kern w:val="0"/>
          <w:sz w:val="32"/>
          <w:szCs w:val="32"/>
          <w:highlight w:val="none"/>
          <w:lang w:val="en-US" w:eastAsia="zh-CN" w:bidi="ar"/>
        </w:rPr>
        <w:t>三是</w:t>
      </w:r>
      <w:r>
        <w:rPr>
          <w:rFonts w:hint="eastAsia" w:ascii="Times New Roman" w:hAnsi="Times New Roman" w:eastAsia="仿宋_GB2312" w:cs="Times New Roman"/>
          <w:color w:val="auto"/>
          <w:kern w:val="0"/>
          <w:sz w:val="32"/>
          <w:szCs w:val="32"/>
          <w:highlight w:val="none"/>
          <w:lang w:val="en-US" w:eastAsia="zh-CN" w:bidi="ar"/>
        </w:rPr>
        <w:t>征迁认定原则、</w:t>
      </w:r>
      <w:r>
        <w:rPr>
          <w:rFonts w:hint="eastAsia" w:ascii="Times New Roman" w:hAnsi="Times New Roman" w:eastAsia="仿宋_GB2312" w:cs="Times New Roman"/>
          <w:b/>
          <w:bCs/>
          <w:color w:val="auto"/>
          <w:kern w:val="0"/>
          <w:sz w:val="32"/>
          <w:szCs w:val="32"/>
          <w:highlight w:val="none"/>
          <w:lang w:val="en-US" w:eastAsia="zh-CN" w:bidi="ar"/>
        </w:rPr>
        <w:t>四是</w:t>
      </w:r>
      <w:r>
        <w:rPr>
          <w:rFonts w:hint="eastAsia" w:ascii="Times New Roman" w:hAnsi="Times New Roman" w:eastAsia="仿宋_GB2312" w:cs="Times New Roman"/>
          <w:color w:val="auto"/>
          <w:kern w:val="0"/>
          <w:sz w:val="32"/>
          <w:szCs w:val="32"/>
          <w:highlight w:val="none"/>
          <w:lang w:val="en-US" w:eastAsia="zh-CN" w:bidi="ar"/>
        </w:rPr>
        <w:t>征迁安置补偿政策、</w:t>
      </w:r>
      <w:r>
        <w:rPr>
          <w:rFonts w:hint="eastAsia" w:ascii="Times New Roman" w:hAnsi="Times New Roman" w:eastAsia="仿宋_GB2312" w:cs="Times New Roman"/>
          <w:b/>
          <w:bCs/>
          <w:color w:val="auto"/>
          <w:kern w:val="0"/>
          <w:sz w:val="32"/>
          <w:szCs w:val="32"/>
          <w:highlight w:val="none"/>
          <w:lang w:val="en-US" w:eastAsia="zh-CN" w:bidi="ar"/>
        </w:rPr>
        <w:t>五是</w:t>
      </w:r>
      <w:r>
        <w:rPr>
          <w:rFonts w:hint="eastAsia" w:ascii="Times New Roman" w:hAnsi="Times New Roman" w:eastAsia="仿宋_GB2312" w:cs="Times New Roman"/>
          <w:color w:val="auto"/>
          <w:kern w:val="0"/>
          <w:sz w:val="32"/>
          <w:szCs w:val="32"/>
          <w:highlight w:val="none"/>
          <w:lang w:val="en-US" w:eastAsia="zh-CN" w:bidi="ar"/>
        </w:rPr>
        <w:t>征迁奖补政策、</w:t>
      </w:r>
      <w:r>
        <w:rPr>
          <w:rFonts w:hint="eastAsia" w:ascii="Times New Roman" w:hAnsi="Times New Roman" w:eastAsia="仿宋_GB2312" w:cs="Times New Roman"/>
          <w:b/>
          <w:bCs/>
          <w:color w:val="auto"/>
          <w:kern w:val="0"/>
          <w:sz w:val="32"/>
          <w:szCs w:val="32"/>
          <w:highlight w:val="none"/>
          <w:lang w:val="en-US" w:eastAsia="zh-CN" w:bidi="ar"/>
        </w:rPr>
        <w:t>六是</w:t>
      </w:r>
      <w:r>
        <w:rPr>
          <w:rFonts w:hint="eastAsia" w:ascii="Times New Roman" w:hAnsi="Times New Roman" w:eastAsia="仿宋_GB2312" w:cs="Times New Roman"/>
          <w:color w:val="auto"/>
          <w:kern w:val="0"/>
          <w:sz w:val="32"/>
          <w:szCs w:val="32"/>
          <w:highlight w:val="none"/>
          <w:lang w:val="en-US" w:eastAsia="zh-CN" w:bidi="ar"/>
        </w:rPr>
        <w:t>征迁安置其他事项；</w:t>
      </w:r>
    </w:p>
    <w:p w14:paraId="7E95A0B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（二）附件：</w:t>
      </w:r>
      <w:r>
        <w:rPr>
          <w:rFonts w:hint="eastAsia" w:ascii="Times New Roman" w:hAnsi="Times New Roman" w:eastAsia="仿宋_GB2312" w:cs="Times New Roman"/>
          <w:b/>
          <w:bCs/>
          <w:color w:val="auto"/>
          <w:kern w:val="0"/>
          <w:sz w:val="32"/>
          <w:szCs w:val="32"/>
          <w:highlight w:val="none"/>
          <w:lang w:val="en-US" w:eastAsia="zh-CN" w:bidi="ar"/>
        </w:rPr>
        <w:t>一是</w:t>
      </w:r>
      <w:r>
        <w:rPr>
          <w:rFonts w:hint="default" w:ascii="Times New Roman" w:hAnsi="Times New Roman" w:eastAsia="仿宋_GB2312" w:cs="Times New Roman"/>
          <w:color w:val="auto"/>
          <w:kern w:val="0"/>
          <w:sz w:val="32"/>
          <w:szCs w:val="32"/>
          <w:highlight w:val="none"/>
          <w:lang w:val="en-US" w:eastAsia="zh-CN"/>
        </w:rPr>
        <w:t>先锋镇且买姑村</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一期</w:t>
      </w:r>
      <w:r>
        <w:rPr>
          <w:rFonts w:hint="eastAsia" w:ascii="Times New Roman" w:hAnsi="Times New Roman" w:eastAsia="仿宋_GB2312" w:cs="Times New Roman"/>
          <w:color w:val="auto"/>
          <w:kern w:val="0"/>
          <w:sz w:val="32"/>
          <w:szCs w:val="32"/>
          <w:highlight w:val="none"/>
          <w:lang w:val="en-US" w:eastAsia="zh-CN"/>
        </w:rPr>
        <w:t>）征迁</w:t>
      </w:r>
      <w:r>
        <w:rPr>
          <w:rFonts w:hint="default" w:ascii="Times New Roman" w:hAnsi="Times New Roman" w:eastAsia="仿宋_GB2312" w:cs="Times New Roman"/>
          <w:color w:val="auto"/>
          <w:kern w:val="0"/>
          <w:sz w:val="32"/>
          <w:szCs w:val="32"/>
          <w:highlight w:val="none"/>
          <w:lang w:val="en-US" w:eastAsia="zh-CN"/>
        </w:rPr>
        <w:t>范围图</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b/>
          <w:bCs/>
          <w:color w:val="auto"/>
          <w:kern w:val="0"/>
          <w:sz w:val="32"/>
          <w:szCs w:val="32"/>
          <w:highlight w:val="none"/>
          <w:lang w:val="en-US" w:eastAsia="zh-CN" w:bidi="ar"/>
        </w:rPr>
        <w:t>二是</w:t>
      </w:r>
      <w:r>
        <w:rPr>
          <w:rFonts w:hint="eastAsia" w:ascii="Times New Roman" w:hAnsi="Times New Roman" w:eastAsia="仿宋_GB2312" w:cs="Times New Roman"/>
          <w:color w:val="auto"/>
          <w:kern w:val="0"/>
          <w:sz w:val="32"/>
          <w:szCs w:val="32"/>
          <w:highlight w:val="none"/>
          <w:lang w:val="en-US" w:eastAsia="zh-CN"/>
        </w:rPr>
        <w:t>征迁</w:t>
      </w:r>
      <w:r>
        <w:rPr>
          <w:rFonts w:hint="default" w:ascii="Times New Roman" w:hAnsi="Times New Roman" w:eastAsia="仿宋_GB2312" w:cs="Times New Roman"/>
          <w:color w:val="auto"/>
          <w:kern w:val="0"/>
          <w:sz w:val="32"/>
          <w:szCs w:val="32"/>
          <w:highlight w:val="none"/>
          <w:lang w:val="en-US" w:eastAsia="zh-CN"/>
        </w:rPr>
        <w:t>补偿安置标准</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b/>
          <w:bCs/>
          <w:color w:val="auto"/>
          <w:kern w:val="0"/>
          <w:sz w:val="32"/>
          <w:szCs w:val="32"/>
          <w:highlight w:val="none"/>
          <w:lang w:val="en-US" w:eastAsia="zh-CN" w:bidi="ar"/>
        </w:rPr>
        <w:t>三是</w:t>
      </w:r>
      <w:r>
        <w:rPr>
          <w:rFonts w:hint="default" w:ascii="Times New Roman" w:hAnsi="Times New Roman" w:eastAsia="仿宋_GB2312" w:cs="Times New Roman"/>
          <w:color w:val="auto"/>
          <w:kern w:val="0"/>
          <w:sz w:val="32"/>
          <w:szCs w:val="32"/>
          <w:highlight w:val="none"/>
          <w:lang w:val="en-US" w:eastAsia="zh-CN" w:bidi="ar-SA"/>
        </w:rPr>
        <w:t>集体土地补偿标准</w:t>
      </w:r>
      <w:r>
        <w:rPr>
          <w:rFonts w:hint="eastAsia" w:ascii="Times New Roman" w:hAnsi="Times New Roman" w:eastAsia="仿宋_GB2312" w:cs="Times New Roman"/>
          <w:color w:val="auto"/>
          <w:kern w:val="0"/>
          <w:sz w:val="32"/>
          <w:szCs w:val="32"/>
          <w:highlight w:val="none"/>
          <w:lang w:val="en-US" w:eastAsia="zh-CN" w:bidi="ar-SA"/>
        </w:rPr>
        <w:t>。</w:t>
      </w:r>
      <w:bookmarkStart w:id="0" w:name="_GoBack"/>
      <w:bookmarkEnd w:id="0"/>
    </w:p>
    <w:sectPr>
      <w:footerReference r:id="rId3" w:type="default"/>
      <w:pgSz w:w="11906" w:h="16838"/>
      <w:pgMar w:top="2041"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79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470E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0470E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E49F4"/>
    <w:rsid w:val="18BD7CDB"/>
    <w:rsid w:val="39E7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478</Words>
  <Characters>499</Characters>
  <Lines>0</Lines>
  <Paragraphs>0</Paragraphs>
  <TotalTime>2</TotalTime>
  <ScaleCrop>false</ScaleCrop>
  <LinksUpToDate>false</LinksUpToDate>
  <CharactersWithSpaces>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2025-07-03T06:08:00Z</dcterms:created>
  <dc:creator>LENOVO</dc:creator>
  <cp:lastModifiedBy>活着，</cp:lastModifiedBy>
  <dcterms:modified xsi:type="dcterms:W3CDTF">2025-07-03T07:13:57Z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eyJoZGlkIjoiYjU2MzJhZDllMzY3MzFiYjIzZTcxZjlhYjM0M2NmMzMiLCJ1c2VySWQiOiI0MzgyODI0NjQifQ==</vt:lpwstr>
  </property>
  <property fmtid="{D5CDD505-2E9C-101B-9397-08002B2CF9AE}" pid="4" name="ICV">
    <vt:lpwstr>D41B8703F38146CF9C06E6081EA87E96_12</vt:lpwstr>
  </property>
</Properties>
</file>