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37" w:type="dxa"/>
        <w:tblInd w:w="-244" w:type="dxa"/>
        <w:tblLayout w:type="fixed"/>
        <w:tblCellMar>
          <w:top w:w="0" w:type="dxa"/>
          <w:left w:w="108" w:type="dxa"/>
          <w:bottom w:w="0" w:type="dxa"/>
          <w:right w:w="108" w:type="dxa"/>
        </w:tblCellMar>
      </w:tblPr>
      <w:tblGrid>
        <w:gridCol w:w="885"/>
        <w:gridCol w:w="1110"/>
        <w:gridCol w:w="720"/>
        <w:gridCol w:w="7322"/>
      </w:tblGrid>
      <w:tr>
        <w:tblPrEx>
          <w:tblLayout w:type="fixed"/>
          <w:tblCellMar>
            <w:top w:w="0" w:type="dxa"/>
            <w:left w:w="108" w:type="dxa"/>
            <w:bottom w:w="0" w:type="dxa"/>
            <w:right w:w="108" w:type="dxa"/>
          </w:tblCellMar>
        </w:tblPrEx>
        <w:trPr>
          <w:trHeight w:val="979" w:hRule="atLeast"/>
        </w:trPr>
        <w:tc>
          <w:tcPr>
            <w:tcW w:w="10037" w:type="dxa"/>
            <w:gridSpan w:val="4"/>
            <w:tcBorders>
              <w:top w:val="nil"/>
              <w:left w:val="nil"/>
              <w:bottom w:val="single" w:color="auto" w:sz="4" w:space="0"/>
              <w:right w:val="nil"/>
            </w:tcBorders>
            <w:shd w:val="clear" w:color="auto" w:fill="auto"/>
            <w:noWrap/>
            <w:vAlign w:val="center"/>
          </w:tcPr>
          <w:p>
            <w:pPr>
              <w:spacing w:line="620" w:lineRule="exact"/>
              <w:jc w:val="center"/>
              <w:rPr>
                <w:rFonts w:hint="eastAsia" w:eastAsia="方正小标宋简体"/>
                <w:b/>
                <w:bCs/>
                <w:sz w:val="44"/>
                <w:szCs w:val="44"/>
              </w:rPr>
            </w:pPr>
            <w:r>
              <w:rPr>
                <w:rFonts w:hint="eastAsia" w:eastAsia="方正小标宋简体"/>
                <w:b/>
                <w:bCs/>
                <w:sz w:val="44"/>
                <w:szCs w:val="44"/>
              </w:rPr>
              <w:t>寻甸回族彝族自治县</w:t>
            </w:r>
            <w:r>
              <w:rPr>
                <w:rFonts w:hint="eastAsia" w:eastAsia="方正小标宋简体"/>
                <w:b/>
                <w:bCs/>
                <w:sz w:val="44"/>
                <w:szCs w:val="44"/>
                <w:lang w:eastAsia="zh-CN"/>
              </w:rPr>
              <w:t>202</w:t>
            </w:r>
            <w:r>
              <w:rPr>
                <w:rFonts w:hint="eastAsia" w:eastAsia="方正小标宋简体"/>
                <w:b/>
                <w:bCs/>
                <w:sz w:val="44"/>
                <w:szCs w:val="44"/>
                <w:lang w:val="en-US" w:eastAsia="zh-CN"/>
              </w:rPr>
              <w:t>4</w:t>
            </w:r>
            <w:r>
              <w:rPr>
                <w:rFonts w:hint="eastAsia" w:eastAsia="方正小标宋简体"/>
                <w:b/>
                <w:bCs/>
                <w:sz w:val="44"/>
                <w:szCs w:val="44"/>
              </w:rPr>
              <w:t>年政府决算公开</w:t>
            </w:r>
          </w:p>
          <w:p>
            <w:pPr>
              <w:spacing w:line="620" w:lineRule="exact"/>
              <w:jc w:val="center"/>
              <w:rPr>
                <w:rFonts w:eastAsia="方正小标宋简体"/>
                <w:b/>
                <w:bCs/>
                <w:sz w:val="44"/>
                <w:szCs w:val="44"/>
              </w:rPr>
            </w:pPr>
            <w:r>
              <w:rPr>
                <w:rFonts w:hint="eastAsia" w:eastAsia="方正小标宋简体"/>
                <w:b/>
                <w:bCs/>
                <w:sz w:val="44"/>
                <w:szCs w:val="44"/>
              </w:rPr>
              <w:t>目</w:t>
            </w:r>
            <w:r>
              <w:rPr>
                <w:rFonts w:hint="eastAsia" w:eastAsia="方正小标宋简体"/>
                <w:b/>
                <w:bCs/>
                <w:sz w:val="44"/>
                <w:szCs w:val="44"/>
                <w:lang w:val="en-US" w:eastAsia="zh-CN"/>
              </w:rPr>
              <w:t xml:space="preserve">    </w:t>
            </w:r>
            <w:r>
              <w:rPr>
                <w:rFonts w:hint="eastAsia" w:eastAsia="方正小标宋简体"/>
                <w:b/>
                <w:bCs/>
                <w:sz w:val="44"/>
                <w:szCs w:val="44"/>
              </w:rPr>
              <w:t>录</w:t>
            </w:r>
          </w:p>
        </w:tc>
      </w:tr>
      <w:tr>
        <w:tblPrEx>
          <w:tblLayout w:type="fixed"/>
          <w:tblCellMar>
            <w:top w:w="0" w:type="dxa"/>
            <w:left w:w="108" w:type="dxa"/>
            <w:bottom w:w="0" w:type="dxa"/>
            <w:right w:w="108" w:type="dxa"/>
          </w:tblCellMar>
        </w:tblPrEx>
        <w:trPr>
          <w:trHeight w:val="854" w:hRule="atLeast"/>
        </w:trPr>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宋体" w:eastAsia="等线" w:cs="宋体"/>
                <w:b/>
                <w:bCs/>
                <w:color w:val="000000"/>
                <w:kern w:val="0"/>
                <w:sz w:val="22"/>
                <w:szCs w:val="22"/>
                <w:lang w:val="en-US" w:eastAsia="zh-CN"/>
              </w:rPr>
            </w:pPr>
            <w:r>
              <w:rPr>
                <w:rFonts w:hint="eastAsia" w:ascii="等线" w:hAnsi="宋体" w:eastAsia="等线" w:cs="宋体"/>
                <w:b/>
                <w:bCs/>
                <w:color w:val="000000"/>
                <w:kern w:val="0"/>
                <w:sz w:val="22"/>
                <w:szCs w:val="22"/>
                <w:lang w:val="en-US" w:eastAsia="zh-CN"/>
              </w:rPr>
              <w:t>序号</w:t>
            </w:r>
          </w:p>
        </w:tc>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公开类型</w:t>
            </w:r>
          </w:p>
        </w:tc>
        <w:tc>
          <w:tcPr>
            <w:tcW w:w="7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具体内容</w:t>
            </w:r>
          </w:p>
        </w:tc>
      </w:tr>
      <w:tr>
        <w:tblPrEx>
          <w:tblLayout w:type="fixed"/>
          <w:tblCellMar>
            <w:top w:w="0" w:type="dxa"/>
            <w:left w:w="108" w:type="dxa"/>
            <w:bottom w:w="0" w:type="dxa"/>
            <w:right w:w="108" w:type="dxa"/>
          </w:tblCellMar>
        </w:tblPrEx>
        <w:trPr>
          <w:trHeight w:val="979" w:hRule="atLeast"/>
        </w:trPr>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1</w:t>
            </w:r>
          </w:p>
        </w:tc>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寻甸回族彝族自治县2024年财政决算报告</w:t>
            </w:r>
          </w:p>
        </w:tc>
        <w:tc>
          <w:tcPr>
            <w:tcW w:w="7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2025年7月30日向寻甸县</w:t>
            </w:r>
            <w:r>
              <w:rPr>
                <w:rFonts w:hint="default" w:ascii="宋体" w:hAnsi="宋体" w:cs="宋体"/>
                <w:color w:val="000000"/>
                <w:kern w:val="0"/>
                <w:sz w:val="24"/>
              </w:rPr>
              <w:t>第</w:t>
            </w:r>
            <w:r>
              <w:rPr>
                <w:rFonts w:hint="eastAsia" w:ascii="宋体" w:hAnsi="宋体" w:cs="宋体"/>
                <w:color w:val="000000"/>
                <w:kern w:val="0"/>
                <w:sz w:val="24"/>
                <w:lang w:val="en-US" w:eastAsia="zh-CN"/>
              </w:rPr>
              <w:t>十七</w:t>
            </w:r>
            <w:r>
              <w:rPr>
                <w:rFonts w:hint="default" w:ascii="宋体" w:hAnsi="宋体" w:cs="宋体"/>
                <w:color w:val="000000"/>
                <w:kern w:val="0"/>
                <w:sz w:val="24"/>
              </w:rPr>
              <w:t>届人大常委会第</w:t>
            </w:r>
            <w:r>
              <w:rPr>
                <w:rFonts w:hint="eastAsia" w:ascii="宋体" w:hAnsi="宋体" w:cs="宋体"/>
                <w:color w:val="000000"/>
                <w:kern w:val="0"/>
                <w:sz w:val="24"/>
                <w:lang w:val="en-US" w:eastAsia="zh-CN"/>
              </w:rPr>
              <w:t>二十二</w:t>
            </w:r>
            <w:r>
              <w:rPr>
                <w:rFonts w:hint="default" w:ascii="宋体" w:hAnsi="宋体" w:cs="宋体"/>
                <w:color w:val="000000"/>
                <w:kern w:val="0"/>
                <w:sz w:val="24"/>
                <w:lang w:val="en-US" w:eastAsia="zh-CN"/>
              </w:rPr>
              <w:t>次</w:t>
            </w:r>
            <w:r>
              <w:rPr>
                <w:rFonts w:hint="default" w:ascii="宋体" w:hAnsi="宋体" w:cs="宋体"/>
                <w:color w:val="000000"/>
                <w:kern w:val="0"/>
                <w:sz w:val="24"/>
              </w:rPr>
              <w:t>会议</w:t>
            </w:r>
            <w:r>
              <w:rPr>
                <w:rFonts w:hint="eastAsia" w:ascii="宋体" w:hAnsi="宋体" w:cs="宋体"/>
                <w:color w:val="000000"/>
                <w:kern w:val="0"/>
                <w:sz w:val="24"/>
                <w:lang w:val="en-US" w:eastAsia="zh-CN"/>
              </w:rPr>
              <w:t>提请审议的报告</w:t>
            </w:r>
          </w:p>
        </w:tc>
      </w:tr>
      <w:tr>
        <w:tblPrEx>
          <w:tblLayout w:type="fixed"/>
          <w:tblCellMar>
            <w:top w:w="0" w:type="dxa"/>
            <w:left w:w="108" w:type="dxa"/>
            <w:bottom w:w="0" w:type="dxa"/>
            <w:right w:w="108" w:type="dxa"/>
          </w:tblCellMar>
        </w:tblPrEx>
        <w:trPr>
          <w:trHeight w:val="402" w:hRule="atLeast"/>
        </w:trPr>
        <w:tc>
          <w:tcPr>
            <w:tcW w:w="8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宋体" w:eastAsia="等线" w:cs="宋体"/>
                <w:color w:val="000000"/>
                <w:kern w:val="0"/>
                <w:sz w:val="22"/>
                <w:szCs w:val="22"/>
                <w:lang w:val="en-US" w:eastAsia="zh-CN"/>
              </w:rPr>
            </w:pPr>
            <w:r>
              <w:rPr>
                <w:rFonts w:hint="eastAsia" w:ascii="等线" w:hAnsi="宋体" w:eastAsia="等线" w:cs="宋体"/>
                <w:color w:val="000000"/>
                <w:kern w:val="0"/>
                <w:sz w:val="22"/>
                <w:szCs w:val="22"/>
                <w:lang w:val="en-US" w:eastAsia="zh-CN"/>
              </w:rPr>
              <w:t>2</w:t>
            </w:r>
          </w:p>
          <w:p>
            <w:pPr>
              <w:widowControl/>
              <w:jc w:val="center"/>
              <w:rPr>
                <w:rFonts w:hint="eastAsia" w:ascii="等线" w:hAnsi="宋体" w:eastAsia="等线" w:cs="宋体"/>
                <w:color w:val="000000"/>
                <w:kern w:val="0"/>
                <w:sz w:val="22"/>
                <w:szCs w:val="22"/>
                <w:lang w:eastAsia="zh-CN"/>
              </w:rPr>
            </w:pPr>
            <w:r>
              <w:rPr>
                <w:rFonts w:hint="eastAsia" w:ascii="等线" w:hAnsi="宋体" w:eastAsia="等线" w:cs="宋体"/>
                <w:color w:val="000000"/>
                <w:kern w:val="0"/>
                <w:sz w:val="22"/>
                <w:szCs w:val="22"/>
                <w:lang w:val="en-US" w:eastAsia="zh-CN"/>
              </w:rPr>
              <w:t>寻甸回族彝族自治县2024年政府决算公开表</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宋体" w:eastAsia="等线" w:cs="宋体"/>
                <w:color w:val="000000"/>
                <w:kern w:val="0"/>
                <w:sz w:val="22"/>
                <w:szCs w:val="22"/>
              </w:rPr>
            </w:pPr>
            <w:r>
              <w:rPr>
                <w:rFonts w:hint="eastAsia" w:ascii="等线" w:hAnsi="宋体" w:eastAsia="等线" w:cs="宋体"/>
                <w:color w:val="000000"/>
                <w:kern w:val="0"/>
                <w:sz w:val="22"/>
                <w:szCs w:val="22"/>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1</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1-2024年寻甸回族彝族自治县一般公共预算收入决算表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2</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2-2024年寻甸回族彝族自治县一般公共预算支出决算表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3</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3-2024年寻甸回族彝族自治县一般公共预算支出决算明细表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4</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4-2024年寻甸回族彝族自治县税收返还和转移支付收入决算表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5</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5-2024年寻甸回族彝族自治县县本级一般公共预算收入决算表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6</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6-2024年寻甸回族彝族自治县县本级一般公共预算支出决算表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7</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7-2024年寻甸回族彝族自治县县本级一般公共预算支出决算明细表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8</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8-2024年寻甸回族彝族自治县对下税收返还和转移支付支出决算表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9</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9-2024年寻甸回族彝族自治县对下税收返还和转移支付分地区决算表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default" w:ascii="宋体" w:hAnsi="宋体" w:cs="宋体"/>
                <w:color w:val="000000"/>
                <w:kern w:val="0"/>
                <w:sz w:val="24"/>
                <w:lang w:val="en-US" w:eastAsia="zh-CN"/>
              </w:rPr>
              <w:t>10</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10-2024年寻甸回族彝族自治县对下专项转移支付分地区分项目决算表</w:t>
            </w:r>
          </w:p>
        </w:tc>
      </w:tr>
      <w:tr>
        <w:tblPrEx>
          <w:tblLayout w:type="fixed"/>
          <w:tblCellMar>
            <w:top w:w="0" w:type="dxa"/>
            <w:left w:w="108" w:type="dxa"/>
            <w:bottom w:w="0" w:type="dxa"/>
            <w:right w:w="108" w:type="dxa"/>
          </w:tblCellMar>
        </w:tblPrEx>
        <w:trPr>
          <w:trHeight w:val="397"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11</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lang w:val="en-US" w:eastAsia="zh-CN"/>
              </w:rPr>
            </w:pPr>
            <w:r>
              <w:rPr>
                <w:rFonts w:ascii="宋体" w:hAnsi="宋体" w:eastAsia="宋体" w:cs="宋体"/>
                <w:i w:val="0"/>
                <w:color w:val="000000"/>
                <w:kern w:val="0"/>
                <w:sz w:val="24"/>
                <w:szCs w:val="24"/>
                <w:u w:val="none"/>
                <w:lang w:val="en-US" w:eastAsia="zh-CN" w:bidi="ar"/>
              </w:rPr>
              <w:t>11-2024年寻甸回族彝族自治县一般公共预算基本支出（经济分类）决算表</w:t>
            </w:r>
          </w:p>
        </w:tc>
      </w:tr>
      <w:tr>
        <w:tblPrEx>
          <w:tblLayout w:type="fixed"/>
          <w:tblCellMar>
            <w:top w:w="0" w:type="dxa"/>
            <w:left w:w="108" w:type="dxa"/>
            <w:bottom w:w="0" w:type="dxa"/>
            <w:right w:w="108" w:type="dxa"/>
          </w:tblCellMar>
        </w:tblPrEx>
        <w:trPr>
          <w:trHeight w:val="397"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12</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12-2024年寻甸回族彝族自治县县本级一般公共预算基本支出（经济分类）决算表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政府性基金预算</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13</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13-2024年寻甸回族彝族自治县政府性基金预算收入决算表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14</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14-2024年寻甸回族彝族自治县政府性基金预算支出决算表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15</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15-2024年寻甸回族彝族自治县县本级政府性基金预算收入决算表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16</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16-2024年寻甸回族彝族自治县县本级政府性基金预算支出决算表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17</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17-2024年寻甸回族彝族自治县对下政府性基金转移支付支出决算表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国有资本经营预算</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18</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18-2024年寻甸回族彝族自治县国有资本经营预算收入决算表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19</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19-2024年寻甸回族彝族自治县国有资本经营预算支出决算表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20</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20-2024年寻甸回族彝族自治县县本级国有资本经营预算收入决算表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21</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21-2024年寻甸回族彝族自治县县本级国有资本经营预算支出决算表</w:t>
            </w:r>
          </w:p>
        </w:tc>
      </w:tr>
      <w:tr>
        <w:tblPrEx>
          <w:tblLayout w:type="fixed"/>
          <w:tblCellMar>
            <w:top w:w="0" w:type="dxa"/>
            <w:left w:w="108" w:type="dxa"/>
            <w:bottom w:w="0" w:type="dxa"/>
            <w:right w:w="108" w:type="dxa"/>
          </w:tblCellMar>
        </w:tblPrEx>
        <w:trPr>
          <w:trHeight w:val="33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22</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22-2024年寻甸回族彝族自治县国有资本经营预算对下转移支付分地区决算表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23</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23-2024年寻甸回族彝族自治县国有资本经营预算对下转移支付分项目决算表</w:t>
            </w:r>
          </w:p>
        </w:tc>
      </w:tr>
      <w:tr>
        <w:tblPrEx>
          <w:tblLayout w:type="fixed"/>
          <w:tblCellMar>
            <w:top w:w="0" w:type="dxa"/>
            <w:left w:w="108" w:type="dxa"/>
            <w:bottom w:w="0" w:type="dxa"/>
            <w:right w:w="108" w:type="dxa"/>
          </w:tblCellMar>
        </w:tblPrEx>
        <w:trPr>
          <w:trHeight w:val="1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宋体" w:eastAsia="等线" w:cs="宋体"/>
                <w:color w:val="000000"/>
                <w:kern w:val="0"/>
                <w:sz w:val="22"/>
                <w:szCs w:val="22"/>
              </w:rPr>
            </w:pPr>
            <w:r>
              <w:rPr>
                <w:rFonts w:hint="eastAsia" w:ascii="等线" w:hAnsi="宋体" w:eastAsia="等线" w:cs="宋体"/>
                <w:color w:val="000000"/>
                <w:kern w:val="0"/>
                <w:sz w:val="22"/>
                <w:szCs w:val="22"/>
              </w:rPr>
              <w:t>社会保险基金预算</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24</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24-2024年寻甸回族彝族自治县社会保险基金收入决算表</w:t>
            </w:r>
          </w:p>
        </w:tc>
      </w:tr>
      <w:tr>
        <w:tblPrEx>
          <w:tblLayout w:type="fixed"/>
          <w:tblCellMar>
            <w:top w:w="0" w:type="dxa"/>
            <w:left w:w="108" w:type="dxa"/>
            <w:bottom w:w="0" w:type="dxa"/>
            <w:right w:w="108" w:type="dxa"/>
          </w:tblCellMar>
        </w:tblPrEx>
        <w:trPr>
          <w:trHeight w:val="1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25</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25-2024年寻甸回族彝族自治县社会保险基金支出决算表</w:t>
            </w:r>
          </w:p>
        </w:tc>
      </w:tr>
      <w:tr>
        <w:tblPrEx>
          <w:tblLayout w:type="fixed"/>
          <w:tblCellMar>
            <w:top w:w="0" w:type="dxa"/>
            <w:left w:w="108" w:type="dxa"/>
            <w:bottom w:w="0" w:type="dxa"/>
            <w:right w:w="108" w:type="dxa"/>
          </w:tblCellMar>
        </w:tblPrEx>
        <w:trPr>
          <w:trHeight w:val="1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26</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26-2024年寻甸回族彝族自治县县本级社会保险基金收入决算表</w:t>
            </w:r>
          </w:p>
        </w:tc>
      </w:tr>
      <w:tr>
        <w:tblPrEx>
          <w:tblLayout w:type="fixed"/>
          <w:tblCellMar>
            <w:top w:w="0" w:type="dxa"/>
            <w:left w:w="108" w:type="dxa"/>
            <w:bottom w:w="0" w:type="dxa"/>
            <w:right w:w="108" w:type="dxa"/>
          </w:tblCellMar>
        </w:tblPrEx>
        <w:trPr>
          <w:trHeight w:val="1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27</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27-2024年寻甸回族彝族自治县县本级社会保险基金支出决算表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债务情况</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28</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28-2024年寻甸回族彝族自治县地方政府债务限额及余额决算表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29</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29-2024年寻甸回族彝族自治县地方政府债券使用表</w:t>
            </w:r>
          </w:p>
        </w:tc>
      </w:tr>
      <w:tr>
        <w:tblPrEx>
          <w:tblLayout w:type="fixed"/>
          <w:tblCellMar>
            <w:top w:w="0" w:type="dxa"/>
            <w:left w:w="108" w:type="dxa"/>
            <w:bottom w:w="0" w:type="dxa"/>
            <w:right w:w="108" w:type="dxa"/>
          </w:tblCellMar>
        </w:tblPrEx>
        <w:trPr>
          <w:trHeight w:val="402"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宋体" w:eastAsia="等线"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4"/>
                <w:lang w:val="en-US" w:eastAsia="zh-CN"/>
              </w:rPr>
            </w:pPr>
            <w:r>
              <w:rPr>
                <w:rFonts w:hint="default" w:ascii="宋体" w:hAnsi="宋体" w:cs="宋体"/>
                <w:color w:val="000000"/>
                <w:kern w:val="0"/>
                <w:sz w:val="24"/>
                <w:lang w:val="en-US" w:eastAsia="zh-CN"/>
              </w:rPr>
              <w:t>30</w:t>
            </w:r>
          </w:p>
        </w:tc>
        <w:tc>
          <w:tcPr>
            <w:tcW w:w="73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24"/>
              </w:rPr>
            </w:pPr>
            <w:r>
              <w:rPr>
                <w:rFonts w:ascii="宋体" w:hAnsi="宋体" w:eastAsia="宋体" w:cs="宋体"/>
                <w:i w:val="0"/>
                <w:color w:val="000000"/>
                <w:kern w:val="0"/>
                <w:sz w:val="24"/>
                <w:szCs w:val="24"/>
                <w:u w:val="none"/>
                <w:lang w:val="en-US" w:eastAsia="zh-CN" w:bidi="ar"/>
              </w:rPr>
              <w:t>30-2024年寻甸回族彝族自治县地方政府债务发行及还本付息表</w:t>
            </w:r>
          </w:p>
        </w:tc>
      </w:tr>
      <w:tr>
        <w:tblPrEx>
          <w:tblLayout w:type="fixed"/>
          <w:tblCellMar>
            <w:top w:w="0" w:type="dxa"/>
            <w:left w:w="108" w:type="dxa"/>
            <w:bottom w:w="0" w:type="dxa"/>
            <w:right w:w="108" w:type="dxa"/>
          </w:tblCellMar>
        </w:tblPrEx>
        <w:trPr>
          <w:trHeight w:val="402"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r>
              <w:rPr>
                <w:rFonts w:hint="eastAsia" w:ascii="等线" w:hAnsi="宋体" w:eastAsia="等线" w:cs="宋体"/>
                <w:color w:val="000000"/>
                <w:kern w:val="0"/>
                <w:sz w:val="22"/>
                <w:szCs w:val="22"/>
                <w:lang w:val="en-US" w:eastAsia="zh-CN"/>
              </w:rPr>
              <w:t>3</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宋体" w:eastAsia="等线" w:cs="宋体"/>
                <w:color w:val="000000"/>
                <w:kern w:val="0"/>
                <w:sz w:val="22"/>
                <w:szCs w:val="22"/>
                <w:lang w:val="en-US" w:eastAsia="zh-CN"/>
              </w:rPr>
            </w:pPr>
            <w:r>
              <w:rPr>
                <w:rFonts w:hint="eastAsia" w:ascii="宋体" w:hAnsi="宋体" w:cs="宋体"/>
                <w:color w:val="000000"/>
                <w:kern w:val="0"/>
                <w:sz w:val="24"/>
                <w:lang w:val="en-US" w:eastAsia="zh-CN"/>
              </w:rPr>
              <w:t>寻甸回族彝族自治县2024年政府决算公开相关情况说明</w:t>
            </w:r>
          </w:p>
        </w:tc>
        <w:tc>
          <w:tcPr>
            <w:tcW w:w="8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寻甸县2024年地方财政</w:t>
            </w:r>
            <w:r>
              <w:rPr>
                <w:rFonts w:hint="eastAsia" w:ascii="宋体" w:hAnsi="宋体" w:cs="宋体"/>
                <w:color w:val="000000"/>
                <w:kern w:val="0"/>
                <w:sz w:val="24"/>
              </w:rPr>
              <w:t>一般公共预算、政府性基金预算、国有资本经营预算</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社保基金预算等财政决算相关情况。(备注：因县人大常委会要求提请审议的《财政决算报告》篇幅控制在2000字以内，因此，报告中未涉及但按上级要求公开的其他情况在此补充说明。)</w:t>
            </w:r>
          </w:p>
        </w:tc>
      </w:tr>
      <w:tr>
        <w:tblPrEx>
          <w:tblLayout w:type="fixed"/>
          <w:tblCellMar>
            <w:top w:w="0" w:type="dxa"/>
            <w:left w:w="108" w:type="dxa"/>
            <w:bottom w:w="0" w:type="dxa"/>
            <w:right w:w="108" w:type="dxa"/>
          </w:tblCellMar>
        </w:tblPrEx>
        <w:trPr>
          <w:trHeight w:val="402" w:hRule="atLeast"/>
        </w:trPr>
        <w:tc>
          <w:tcPr>
            <w:tcW w:w="88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w:t>
            </w:r>
          </w:p>
        </w:tc>
        <w:tc>
          <w:tcPr>
            <w:tcW w:w="111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 w:val="24"/>
                <w:lang w:val="en-US" w:eastAsia="zh-CN"/>
              </w:rPr>
            </w:pPr>
            <w:r>
              <w:rPr>
                <w:rFonts w:hint="eastAsia" w:ascii="等线" w:hAnsi="宋体" w:eastAsia="等线" w:cs="宋体"/>
                <w:color w:val="000000"/>
                <w:kern w:val="0"/>
                <w:sz w:val="22"/>
                <w:szCs w:val="22"/>
                <w:lang w:val="en-US" w:eastAsia="zh-CN"/>
              </w:rPr>
              <w:t>其他情况说明</w:t>
            </w:r>
          </w:p>
        </w:tc>
        <w:tc>
          <w:tcPr>
            <w:tcW w:w="8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2024年寻甸县财政转移支付安排情况说明</w:t>
            </w:r>
          </w:p>
        </w:tc>
      </w:tr>
      <w:tr>
        <w:tblPrEx>
          <w:tblLayout w:type="fixed"/>
          <w:tblCellMar>
            <w:top w:w="0" w:type="dxa"/>
            <w:left w:w="108" w:type="dxa"/>
            <w:bottom w:w="0" w:type="dxa"/>
            <w:right w:w="108" w:type="dxa"/>
          </w:tblCellMar>
        </w:tblPrEx>
        <w:trPr>
          <w:trHeight w:val="402" w:hRule="atLeast"/>
        </w:trPr>
        <w:tc>
          <w:tcPr>
            <w:tcW w:w="885" w:type="dxa"/>
            <w:vMerge w:val="continue"/>
            <w:tcBorders>
              <w:left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1110" w:type="dxa"/>
            <w:vMerge w:val="continue"/>
            <w:tcBorders>
              <w:left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8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2024年寻甸县举借政府债务说明</w:t>
            </w:r>
          </w:p>
        </w:tc>
      </w:tr>
      <w:tr>
        <w:tblPrEx>
          <w:tblLayout w:type="fixed"/>
          <w:tblCellMar>
            <w:top w:w="0" w:type="dxa"/>
            <w:left w:w="108" w:type="dxa"/>
            <w:bottom w:w="0" w:type="dxa"/>
            <w:right w:w="108" w:type="dxa"/>
          </w:tblCellMar>
        </w:tblPrEx>
        <w:trPr>
          <w:trHeight w:val="402" w:hRule="atLeast"/>
        </w:trPr>
        <w:tc>
          <w:tcPr>
            <w:tcW w:w="885" w:type="dxa"/>
            <w:vMerge w:val="continue"/>
            <w:tcBorders>
              <w:left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1110" w:type="dxa"/>
            <w:vMerge w:val="continue"/>
            <w:tcBorders>
              <w:left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8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2024年寻甸县预算绩效工作开展情况说明</w:t>
            </w:r>
          </w:p>
        </w:tc>
      </w:tr>
      <w:tr>
        <w:tblPrEx>
          <w:tblLayout w:type="fixed"/>
          <w:tblCellMar>
            <w:top w:w="0" w:type="dxa"/>
            <w:left w:w="108" w:type="dxa"/>
            <w:bottom w:w="0" w:type="dxa"/>
            <w:right w:w="108" w:type="dxa"/>
          </w:tblCellMar>
        </w:tblPrEx>
        <w:trPr>
          <w:trHeight w:val="402" w:hRule="atLeast"/>
        </w:trPr>
        <w:tc>
          <w:tcPr>
            <w:tcW w:w="885" w:type="dxa"/>
            <w:vMerge w:val="continue"/>
            <w:tcBorders>
              <w:left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1110" w:type="dxa"/>
            <w:vMerge w:val="continue"/>
            <w:tcBorders>
              <w:left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8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2024年寻甸县重大政策和重点项目等绩效执行结果说明</w:t>
            </w:r>
          </w:p>
        </w:tc>
      </w:tr>
      <w:tr>
        <w:tblPrEx>
          <w:tblLayout w:type="fixed"/>
          <w:tblCellMar>
            <w:top w:w="0" w:type="dxa"/>
            <w:left w:w="108" w:type="dxa"/>
            <w:bottom w:w="0" w:type="dxa"/>
            <w:right w:w="108" w:type="dxa"/>
          </w:tblCellMar>
        </w:tblPrEx>
        <w:trPr>
          <w:trHeight w:val="493" w:hRule="atLeast"/>
        </w:trPr>
        <w:tc>
          <w:tcPr>
            <w:tcW w:w="885" w:type="dxa"/>
            <w:vMerge w:val="continue"/>
            <w:tcBorders>
              <w:left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1110" w:type="dxa"/>
            <w:vMerge w:val="continue"/>
            <w:tcBorders>
              <w:left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8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2024年度寻甸县部门“三公”经费决算公开情况说明</w:t>
            </w:r>
          </w:p>
        </w:tc>
      </w:tr>
      <w:tr>
        <w:tblPrEx>
          <w:tblLayout w:type="fixed"/>
          <w:tblCellMar>
            <w:top w:w="0" w:type="dxa"/>
            <w:left w:w="108" w:type="dxa"/>
            <w:bottom w:w="0" w:type="dxa"/>
            <w:right w:w="108" w:type="dxa"/>
          </w:tblCellMar>
        </w:tblPrEx>
        <w:trPr>
          <w:trHeight w:val="493" w:hRule="atLeast"/>
        </w:trPr>
        <w:tc>
          <w:tcPr>
            <w:tcW w:w="885" w:type="dxa"/>
            <w:vMerge w:val="continue"/>
            <w:tcBorders>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1110" w:type="dxa"/>
            <w:vMerge w:val="continue"/>
            <w:tcBorders>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kern w:val="0"/>
                <w:sz w:val="22"/>
                <w:szCs w:val="22"/>
              </w:rPr>
            </w:pPr>
          </w:p>
        </w:tc>
        <w:tc>
          <w:tcPr>
            <w:tcW w:w="8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lang w:val="en-US" w:eastAsia="zh-CN"/>
              </w:rPr>
            </w:pPr>
            <w:r>
              <w:rPr>
                <w:rFonts w:hint="eastAsia" w:ascii="等线" w:hAnsi="宋体" w:eastAsia="等线" w:cs="宋体"/>
                <w:color w:val="000000"/>
                <w:kern w:val="0"/>
                <w:sz w:val="22"/>
                <w:szCs w:val="22"/>
                <w:lang w:val="en-US" w:eastAsia="zh-CN"/>
              </w:rPr>
              <w:t>备注：2023年政府决算公开整改时按上级整改要求此5项单列，2024年政府决算公开时参照上年整改要求执行，依然单列。</w:t>
            </w:r>
          </w:p>
        </w:tc>
      </w:tr>
    </w:tbl>
    <w:p>
      <w:pPr>
        <w:spacing w:line="620" w:lineRule="exact"/>
        <w:jc w:val="center"/>
        <w:rPr>
          <w:rFonts w:hint="eastAsia" w:eastAsia="方正小标宋简体"/>
          <w:b/>
          <w:bCs/>
          <w:sz w:val="44"/>
          <w:szCs w:val="44"/>
        </w:rPr>
      </w:pPr>
    </w:p>
    <w:p>
      <w:bookmarkStart w:id="0" w:name="_GoBack"/>
      <w:bookmarkEnd w:id="0"/>
    </w:p>
    <w:sectPr>
      <w:pgSz w:w="11906" w:h="16838"/>
      <w:pgMar w:top="1440" w:right="1800"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NThjY2MwODE1ZTRkMDhkOWZlYWJiZTU5YjliZjcifQ=="/>
  </w:docVars>
  <w:rsids>
    <w:rsidRoot w:val="00AA4230"/>
    <w:rsid w:val="0088371D"/>
    <w:rsid w:val="00AA4230"/>
    <w:rsid w:val="00B63040"/>
    <w:rsid w:val="00DB591F"/>
    <w:rsid w:val="0BB87AEA"/>
    <w:rsid w:val="0FB477B8"/>
    <w:rsid w:val="1A2B4CCC"/>
    <w:rsid w:val="1A886D2A"/>
    <w:rsid w:val="1B663B77"/>
    <w:rsid w:val="1E8262EC"/>
    <w:rsid w:val="1FF55DC7"/>
    <w:rsid w:val="23AF5E2A"/>
    <w:rsid w:val="28363EF1"/>
    <w:rsid w:val="29E92220"/>
    <w:rsid w:val="2DC95333"/>
    <w:rsid w:val="2E94094F"/>
    <w:rsid w:val="3C7F3B0B"/>
    <w:rsid w:val="3D24772D"/>
    <w:rsid w:val="428F555B"/>
    <w:rsid w:val="42E12300"/>
    <w:rsid w:val="44BD34BD"/>
    <w:rsid w:val="47957DBA"/>
    <w:rsid w:val="4EA43CB2"/>
    <w:rsid w:val="511A3146"/>
    <w:rsid w:val="52DB0768"/>
    <w:rsid w:val="561C2B1C"/>
    <w:rsid w:val="569F51AC"/>
    <w:rsid w:val="59BB5F28"/>
    <w:rsid w:val="5B533703"/>
    <w:rsid w:val="5BC512C4"/>
    <w:rsid w:val="5D6115A5"/>
    <w:rsid w:val="5E85179E"/>
    <w:rsid w:val="5F0E4372"/>
    <w:rsid w:val="605D1DF5"/>
    <w:rsid w:val="61B1122F"/>
    <w:rsid w:val="71EE4854"/>
    <w:rsid w:val="7AB94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985</Words>
  <Characters>1189</Characters>
  <Lines>9</Lines>
  <Paragraphs>2</Paragraphs>
  <TotalTime>4</TotalTime>
  <ScaleCrop>false</ScaleCrop>
  <LinksUpToDate>false</LinksUpToDate>
  <CharactersWithSpaces>1190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2020-08-18T07:48:00Z</dcterms:created>
  <dc:creator>xdczjgkk</dc:creator>
  <cp:lastModifiedBy>ca</cp:lastModifiedBy>
  <dcterms:modified xsi:type="dcterms:W3CDTF">2025-07-30T02:46:36Z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AE0BA79A15074634B8C628F9FB15EE5B</vt:lpwstr>
  </property>
</Properties>
</file>